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90B74">
      <w:pPr>
        <w:keepNext/>
        <w:keepLines/>
        <w:numPr>
          <w:ilvl w:val="1"/>
          <w:numId w:val="1"/>
        </w:numPr>
        <w:spacing w:before="260" w:after="260" w:line="413" w:lineRule="auto"/>
        <w:jc w:val="center"/>
        <w:outlineLvl w:val="1"/>
        <w:rPr>
          <w:rFonts w:hint="eastAsia" w:ascii="宋体" w:hAnsi="宋体" w:cs="宋体"/>
          <w:b/>
          <w:bCs/>
          <w:color w:val="auto"/>
          <w:sz w:val="56"/>
          <w:szCs w:val="72"/>
          <w:highlight w:val="none"/>
          <w:shd w:val="clear" w:color="auto" w:fill="FFFFFF"/>
        </w:rPr>
      </w:pPr>
      <w:bookmarkStart w:id="27" w:name="_GoBack"/>
      <w:bookmarkEnd w:id="27"/>
    </w:p>
    <w:p w14:paraId="349B44DD">
      <w:pPr>
        <w:keepNext/>
        <w:keepLines/>
        <w:widowControl/>
        <w:numPr>
          <w:ilvl w:val="1"/>
          <w:numId w:val="1"/>
        </w:numPr>
        <w:spacing w:before="260" w:after="260" w:line="413" w:lineRule="auto"/>
        <w:jc w:val="center"/>
        <w:outlineLvl w:val="1"/>
        <w:rPr>
          <w:rFonts w:ascii="宋体" w:hAnsi="宋体" w:cs="宋体"/>
          <w:b/>
          <w:bCs/>
          <w:color w:val="auto"/>
          <w:sz w:val="56"/>
          <w:szCs w:val="72"/>
          <w:highlight w:val="none"/>
          <w:shd w:val="clear" w:color="auto" w:fill="FFFFFF"/>
        </w:rPr>
      </w:pPr>
      <w:r>
        <w:rPr>
          <w:rFonts w:hint="eastAsia" w:ascii="宋体" w:hAnsi="宋体" w:cs="宋体"/>
          <w:b/>
          <w:bCs/>
          <w:color w:val="auto"/>
          <w:sz w:val="56"/>
          <w:szCs w:val="72"/>
          <w:highlight w:val="none"/>
          <w:shd w:val="clear" w:color="auto" w:fill="FFFFFF"/>
          <w:lang w:eastAsia="zh-CN"/>
        </w:rPr>
        <w:t>万田智创园</w:t>
      </w:r>
      <w:r>
        <w:rPr>
          <w:rFonts w:hint="eastAsia" w:ascii="宋体" w:hAnsi="宋体" w:cs="宋体"/>
          <w:b/>
          <w:bCs/>
          <w:color w:val="auto"/>
          <w:sz w:val="56"/>
          <w:szCs w:val="72"/>
          <w:highlight w:val="none"/>
          <w:shd w:val="clear" w:color="auto" w:fill="FFFFFF"/>
        </w:rPr>
        <w:t>全过程造价咨询合同</w:t>
      </w:r>
    </w:p>
    <w:p w14:paraId="05221E8E">
      <w:pPr>
        <w:widowControl/>
        <w:spacing w:line="360" w:lineRule="auto"/>
        <w:jc w:val="center"/>
        <w:rPr>
          <w:rFonts w:ascii="宋体" w:hAnsi="宋体"/>
          <w:b/>
          <w:bCs/>
          <w:color w:val="auto"/>
          <w:sz w:val="32"/>
          <w:szCs w:val="32"/>
          <w:highlight w:val="none"/>
        </w:rPr>
      </w:pPr>
    </w:p>
    <w:p w14:paraId="1F5F8375">
      <w:pPr>
        <w:widowControl/>
        <w:spacing w:line="360" w:lineRule="auto"/>
        <w:jc w:val="center"/>
        <w:rPr>
          <w:rFonts w:ascii="宋体" w:hAnsi="宋体"/>
          <w:b/>
          <w:bCs/>
          <w:color w:val="auto"/>
          <w:sz w:val="32"/>
          <w:szCs w:val="32"/>
          <w:highlight w:val="none"/>
        </w:rPr>
      </w:pPr>
    </w:p>
    <w:p w14:paraId="3CB3E091">
      <w:pPr>
        <w:widowControl/>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合同编号：</w:t>
      </w:r>
    </w:p>
    <w:p w14:paraId="1AE0111E">
      <w:pPr>
        <w:widowControl/>
        <w:spacing w:line="360" w:lineRule="auto"/>
        <w:jc w:val="left"/>
        <w:rPr>
          <w:rFonts w:ascii="宋体" w:hAnsi="宋体"/>
          <w:color w:val="auto"/>
          <w:szCs w:val="20"/>
          <w:highlight w:val="none"/>
        </w:rPr>
      </w:pPr>
    </w:p>
    <w:p w14:paraId="3578CDE3">
      <w:pPr>
        <w:widowControl/>
        <w:spacing w:line="360" w:lineRule="auto"/>
        <w:jc w:val="left"/>
        <w:rPr>
          <w:rFonts w:ascii="宋体" w:hAnsi="宋体"/>
          <w:b/>
          <w:color w:val="auto"/>
          <w:sz w:val="24"/>
          <w:szCs w:val="20"/>
          <w:highlight w:val="none"/>
        </w:rPr>
      </w:pPr>
    </w:p>
    <w:p w14:paraId="26E582FE">
      <w:pPr>
        <w:widowControl/>
        <w:spacing w:line="360" w:lineRule="auto"/>
        <w:jc w:val="left"/>
        <w:rPr>
          <w:rFonts w:ascii="宋体" w:hAnsi="宋体"/>
          <w:b/>
          <w:color w:val="auto"/>
          <w:sz w:val="24"/>
          <w:szCs w:val="20"/>
          <w:highlight w:val="none"/>
        </w:rPr>
      </w:pPr>
    </w:p>
    <w:p w14:paraId="33AEB0B2">
      <w:pPr>
        <w:widowControl/>
        <w:spacing w:line="360" w:lineRule="auto"/>
        <w:jc w:val="left"/>
        <w:rPr>
          <w:rFonts w:ascii="宋体" w:hAnsi="宋体"/>
          <w:b/>
          <w:color w:val="auto"/>
          <w:sz w:val="24"/>
          <w:szCs w:val="20"/>
          <w:highlight w:val="none"/>
        </w:rPr>
      </w:pPr>
    </w:p>
    <w:p w14:paraId="3A944A83">
      <w:pPr>
        <w:widowControl/>
        <w:spacing w:line="360" w:lineRule="auto"/>
        <w:jc w:val="left"/>
        <w:rPr>
          <w:rFonts w:ascii="宋体" w:hAnsi="宋体"/>
          <w:b/>
          <w:color w:val="auto"/>
          <w:sz w:val="24"/>
          <w:szCs w:val="20"/>
          <w:highlight w:val="none"/>
        </w:rPr>
      </w:pPr>
    </w:p>
    <w:p w14:paraId="739CD663">
      <w:pPr>
        <w:widowControl/>
        <w:spacing w:line="360" w:lineRule="auto"/>
        <w:jc w:val="left"/>
        <w:rPr>
          <w:rFonts w:ascii="宋体" w:hAnsi="宋体"/>
          <w:b/>
          <w:color w:val="auto"/>
          <w:sz w:val="24"/>
          <w:szCs w:val="20"/>
          <w:highlight w:val="none"/>
        </w:rPr>
      </w:pPr>
    </w:p>
    <w:p w14:paraId="4FDA2C2F">
      <w:pPr>
        <w:widowControl/>
        <w:spacing w:line="360" w:lineRule="auto"/>
        <w:jc w:val="left"/>
        <w:rPr>
          <w:rFonts w:ascii="宋体" w:hAnsi="宋体"/>
          <w:b/>
          <w:color w:val="auto"/>
          <w:sz w:val="24"/>
          <w:szCs w:val="20"/>
          <w:highlight w:val="none"/>
        </w:rPr>
      </w:pPr>
    </w:p>
    <w:p w14:paraId="5C35AE97">
      <w:pPr>
        <w:widowControl/>
        <w:spacing w:line="360" w:lineRule="auto"/>
        <w:jc w:val="left"/>
        <w:rPr>
          <w:rFonts w:ascii="宋体" w:hAnsi="宋体"/>
          <w:b/>
          <w:color w:val="auto"/>
          <w:sz w:val="24"/>
          <w:szCs w:val="20"/>
          <w:highlight w:val="none"/>
        </w:rPr>
      </w:pPr>
    </w:p>
    <w:p w14:paraId="2A428BFE">
      <w:pPr>
        <w:widowControl/>
        <w:spacing w:line="360" w:lineRule="auto"/>
        <w:jc w:val="left"/>
        <w:rPr>
          <w:rFonts w:ascii="宋体" w:hAnsi="宋体"/>
          <w:b/>
          <w:color w:val="auto"/>
          <w:sz w:val="24"/>
          <w:szCs w:val="20"/>
          <w:highlight w:val="none"/>
        </w:rPr>
      </w:pPr>
    </w:p>
    <w:p w14:paraId="0F5F15B9">
      <w:pPr>
        <w:widowControl/>
        <w:spacing w:line="360" w:lineRule="auto"/>
        <w:jc w:val="left"/>
        <w:rPr>
          <w:rFonts w:ascii="宋体" w:hAnsi="宋体" w:cs="仿宋_GB2312"/>
          <w:b/>
          <w:color w:val="auto"/>
          <w:w w:val="90"/>
          <w:sz w:val="32"/>
          <w:szCs w:val="32"/>
          <w:highlight w:val="none"/>
          <w:lang w:val="zh-CN"/>
        </w:rPr>
      </w:pPr>
      <w:r>
        <w:rPr>
          <w:rFonts w:hint="eastAsia" w:ascii="宋体" w:hAnsi="宋体"/>
          <w:b/>
          <w:color w:val="auto"/>
          <w:sz w:val="32"/>
          <w:szCs w:val="32"/>
          <w:highlight w:val="none"/>
        </w:rPr>
        <w:t>甲方（委托人）：</w:t>
      </w:r>
      <w:r>
        <w:rPr>
          <w:rFonts w:hint="eastAsia" w:ascii="宋体" w:hAnsi="宋体" w:cs="仿宋_GB2312"/>
          <w:b/>
          <w:color w:val="auto"/>
          <w:w w:val="90"/>
          <w:sz w:val="32"/>
          <w:szCs w:val="32"/>
          <w:highlight w:val="none"/>
          <w:lang w:val="zh-CN"/>
        </w:rPr>
        <w:t>广州增城科新产业园开发管理有限公司</w:t>
      </w:r>
    </w:p>
    <w:p w14:paraId="3276DA06">
      <w:pPr>
        <w:widowControl/>
        <w:spacing w:line="360" w:lineRule="auto"/>
        <w:jc w:val="left"/>
        <w:rPr>
          <w:rFonts w:ascii="宋体" w:hAnsi="宋体"/>
          <w:b/>
          <w:color w:val="auto"/>
          <w:spacing w:val="-20"/>
          <w:w w:val="90"/>
          <w:sz w:val="32"/>
          <w:szCs w:val="32"/>
          <w:highlight w:val="none"/>
        </w:rPr>
      </w:pPr>
      <w:r>
        <w:rPr>
          <w:rFonts w:hint="eastAsia" w:ascii="宋体" w:hAnsi="宋体"/>
          <w:b/>
          <w:color w:val="auto"/>
          <w:sz w:val="32"/>
          <w:szCs w:val="32"/>
          <w:highlight w:val="none"/>
        </w:rPr>
        <w:t>乙方（</w:t>
      </w:r>
      <w:r>
        <w:rPr>
          <w:rFonts w:hint="eastAsia" w:ascii="宋体" w:hAnsi="宋体" w:cs="仿宋_GB2312"/>
          <w:b/>
          <w:color w:val="auto"/>
          <w:sz w:val="32"/>
          <w:szCs w:val="32"/>
          <w:highlight w:val="none"/>
          <w:lang w:val="zh-CN"/>
        </w:rPr>
        <w:t>受托人）：</w:t>
      </w:r>
      <w:r>
        <w:rPr>
          <w:rFonts w:hint="eastAsia" w:ascii="宋体" w:hAnsi="宋体" w:cs="仿宋_GB2312"/>
          <w:b/>
          <w:color w:val="auto"/>
          <w:w w:val="90"/>
          <w:sz w:val="32"/>
          <w:szCs w:val="32"/>
          <w:highlight w:val="none"/>
          <w:lang w:val="zh-CN"/>
        </w:rPr>
        <w:t xml:space="preserve">   </w:t>
      </w:r>
    </w:p>
    <w:p w14:paraId="5B626CD8">
      <w:pPr>
        <w:widowControl/>
        <w:spacing w:before="0" w:beforeAutospacing="0" w:after="0" w:afterAutospacing="0" w:line="240" w:lineRule="auto"/>
        <w:jc w:val="left"/>
        <w:outlineLvl w:val="9"/>
        <w:rPr>
          <w:rFonts w:ascii="宋体" w:hAnsi="宋体" w:cs="宋体"/>
          <w:b/>
          <w:bCs/>
          <w:color w:val="auto"/>
          <w:sz w:val="30"/>
          <w:szCs w:val="24"/>
          <w:highlight w:val="none"/>
        </w:rPr>
        <w:sectPr>
          <w:pgSz w:w="11905" w:h="16838"/>
          <w:pgMar w:top="1440" w:right="1080" w:bottom="1440" w:left="1080" w:header="720" w:footer="720" w:gutter="0"/>
          <w:pgNumType w:fmt="decimal"/>
          <w:cols w:space="720" w:num="1"/>
          <w:rtlGutter w:val="1"/>
          <w:docGrid w:linePitch="286" w:charSpace="0"/>
        </w:sectPr>
      </w:pPr>
      <w:bookmarkStart w:id="0" w:name="_Toc2314"/>
    </w:p>
    <w:p w14:paraId="660EB91C">
      <w:pPr>
        <w:widowControl/>
        <w:spacing w:before="100" w:beforeAutospacing="1" w:after="100" w:afterAutospacing="1" w:line="360" w:lineRule="auto"/>
        <w:jc w:val="center"/>
        <w:outlineLvl w:val="0"/>
        <w:rPr>
          <w:rFonts w:hint="eastAsia" w:ascii="宋体" w:hAnsi="宋体" w:cs="宋体"/>
          <w:b/>
          <w:bCs/>
          <w:color w:val="auto"/>
          <w:sz w:val="36"/>
          <w:szCs w:val="36"/>
          <w:highlight w:val="none"/>
        </w:rPr>
        <w:sectPr>
          <w:footerReference r:id="rId3" w:type="default"/>
          <w:pgSz w:w="11905" w:h="16838"/>
          <w:pgMar w:top="1440" w:right="1080" w:bottom="1440" w:left="1080" w:header="720" w:footer="720" w:gutter="0"/>
          <w:pgNumType w:fmt="decimal" w:start="1"/>
          <w:cols w:space="720" w:num="1"/>
          <w:rtlGutter w:val="1"/>
          <w:docGrid w:linePitch="286" w:charSpace="0"/>
        </w:sectPr>
      </w:pPr>
    </w:p>
    <w:p w14:paraId="25D5B741">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第一部分　合同协议书</w:t>
      </w:r>
      <w:bookmarkEnd w:id="0"/>
    </w:p>
    <w:p w14:paraId="254C95B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委托人</w:t>
      </w:r>
      <w:r>
        <w:rPr>
          <w:rFonts w:hint="eastAsia" w:ascii="宋体" w:hAnsi="宋体" w:cs="宋体"/>
          <w:b/>
          <w:color w:val="auto"/>
          <w:sz w:val="24"/>
          <w:szCs w:val="24"/>
          <w:highlight w:val="none"/>
          <w:u w:val="single"/>
          <w:lang w:eastAsia="zh-CN"/>
        </w:rPr>
        <w:t>广州增城科新产业园开发管理有限公司</w:t>
      </w:r>
      <w:r>
        <w:rPr>
          <w:rFonts w:hint="eastAsia" w:ascii="宋体" w:hAnsi="宋体" w:cs="宋体"/>
          <w:color w:val="auto"/>
          <w:sz w:val="24"/>
          <w:szCs w:val="24"/>
          <w:highlight w:val="none"/>
        </w:rPr>
        <w:t>（以下称甲方）与</w:t>
      </w:r>
      <w:r>
        <w:rPr>
          <w:rFonts w:hint="eastAsia" w:ascii="宋体" w:hAnsi="宋体" w:cs="宋体"/>
          <w:b/>
          <w:color w:val="auto"/>
          <w:sz w:val="24"/>
          <w:szCs w:val="24"/>
          <w:highlight w:val="none"/>
        </w:rPr>
        <w:t>_____</w:t>
      </w:r>
      <w:r>
        <w:rPr>
          <w:rFonts w:hint="eastAsia" w:ascii="宋体" w:hAnsi="宋体" w:cs="宋体"/>
          <w:color w:val="auto"/>
          <w:sz w:val="24"/>
          <w:szCs w:val="24"/>
          <w:highlight w:val="none"/>
        </w:rPr>
        <w:t>（以下称乙方）依照《中华人民共和国民法典》、《中华人民共和国建筑法》及其它有关法律、法规的规定，遵循平等、自愿、公平和诚实信用的原则，就</w:t>
      </w:r>
      <w:r>
        <w:rPr>
          <w:rFonts w:hint="eastAsia" w:ascii="宋体" w:hAnsi="宋体"/>
          <w:color w:val="auto"/>
          <w:sz w:val="24"/>
          <w:szCs w:val="24"/>
          <w:highlight w:val="none"/>
          <w:u w:val="single"/>
          <w:lang w:eastAsia="zh-CN"/>
        </w:rPr>
        <w:t>万田智创园全过程造价咨询</w:t>
      </w:r>
      <w:r>
        <w:rPr>
          <w:rFonts w:hint="eastAsia" w:ascii="宋体" w:hAnsi="宋体" w:cs="宋体"/>
          <w:color w:val="auto"/>
          <w:sz w:val="24"/>
          <w:szCs w:val="24"/>
          <w:highlight w:val="none"/>
        </w:rPr>
        <w:t>事项协商一致，订立本合同。</w:t>
      </w:r>
    </w:p>
    <w:p w14:paraId="2F39A351">
      <w:pPr>
        <w:widowControl/>
        <w:spacing w:line="360" w:lineRule="auto"/>
        <w:ind w:firstLine="200"/>
        <w:jc w:val="left"/>
        <w:outlineLvl w:val="1"/>
        <w:rPr>
          <w:rFonts w:ascii="宋体" w:hAnsi="宋体" w:cs="宋体"/>
          <w:b/>
          <w:color w:val="auto"/>
          <w:sz w:val="24"/>
          <w:szCs w:val="24"/>
          <w:highlight w:val="none"/>
        </w:rPr>
      </w:pPr>
      <w:bookmarkStart w:id="1" w:name="_Toc9642"/>
      <w:r>
        <w:rPr>
          <w:rFonts w:hint="eastAsia" w:ascii="宋体" w:hAnsi="宋体" w:cs="宋体"/>
          <w:b/>
          <w:color w:val="auto"/>
          <w:sz w:val="24"/>
          <w:szCs w:val="24"/>
          <w:highlight w:val="none"/>
        </w:rPr>
        <w:t>一、甲方委托乙方为以下项目提供建设工程造价咨询服务：</w:t>
      </w:r>
      <w:bookmarkEnd w:id="1"/>
    </w:p>
    <w:p w14:paraId="18D93F6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1.项目名称：</w:t>
      </w:r>
      <w:r>
        <w:rPr>
          <w:rFonts w:hint="eastAsia" w:ascii="宋体" w:hAnsi="宋体"/>
          <w:color w:val="auto"/>
          <w:sz w:val="24"/>
          <w:szCs w:val="24"/>
          <w:highlight w:val="none"/>
          <w:u w:val="single"/>
          <w:lang w:eastAsia="zh-CN"/>
        </w:rPr>
        <w:t>万田智创园全过程造价咨询</w:t>
      </w:r>
      <w:r>
        <w:rPr>
          <w:rFonts w:hint="eastAsia" w:ascii="宋体" w:hAnsi="宋体" w:cs="宋体"/>
          <w:color w:val="auto"/>
          <w:sz w:val="24"/>
          <w:szCs w:val="24"/>
          <w:highlight w:val="none"/>
          <w:u w:val="single"/>
        </w:rPr>
        <w:t>。</w:t>
      </w:r>
    </w:p>
    <w:p w14:paraId="1ABE43EE">
      <w:pPr>
        <w:spacing w:line="360" w:lineRule="auto"/>
        <w:ind w:firstLine="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2.项目地点：</w:t>
      </w:r>
      <w:r>
        <w:rPr>
          <w:rFonts w:hint="eastAsia" w:ascii="宋体" w:hAnsi="宋体" w:cs="宋体"/>
          <w:color w:val="auto"/>
          <w:sz w:val="24"/>
          <w:szCs w:val="24"/>
          <w:highlight w:val="none"/>
          <w:u w:val="single"/>
        </w:rPr>
        <w:t>本项目位于</w:t>
      </w:r>
      <w:r>
        <w:rPr>
          <w:rFonts w:hint="eastAsia" w:ascii="宋体" w:hAnsi="宋体" w:cs="宋体"/>
          <w:color w:val="auto"/>
          <w:sz w:val="24"/>
          <w:szCs w:val="24"/>
          <w:highlight w:val="none"/>
          <w:u w:val="single"/>
          <w:lang w:eastAsia="zh-CN"/>
        </w:rPr>
        <w:t>广州市增城区新塘镇</w:t>
      </w:r>
      <w:r>
        <w:rPr>
          <w:rFonts w:hint="eastAsia" w:ascii="宋体" w:hAnsi="宋体" w:cs="宋体"/>
          <w:color w:val="auto"/>
          <w:sz w:val="24"/>
          <w:szCs w:val="24"/>
          <w:highlight w:val="none"/>
          <w:u w:val="single"/>
          <w:lang w:val="en-US" w:eastAsia="zh-CN"/>
        </w:rPr>
        <w:t>长巷村</w:t>
      </w:r>
    </w:p>
    <w:p w14:paraId="76B564BD">
      <w:pPr>
        <w:tabs>
          <w:tab w:val="left" w:pos="7513"/>
        </w:tabs>
        <w:spacing w:line="360" w:lineRule="auto"/>
        <w:ind w:firstLine="480" w:firstLineChars="200"/>
        <w:rPr>
          <w:rFonts w:hint="eastAsia" w:ascii="宋体" w:hAnsi="宋体"/>
          <w:color w:val="auto"/>
          <w:sz w:val="24"/>
          <w:szCs w:val="24"/>
          <w:highlight w:val="none"/>
          <w:u w:val="single"/>
        </w:rPr>
      </w:pPr>
      <w:r>
        <w:rPr>
          <w:rFonts w:hint="eastAsia" w:ascii="宋体" w:hAnsi="宋体" w:cs="宋体"/>
          <w:color w:val="auto"/>
          <w:sz w:val="24"/>
          <w:szCs w:val="24"/>
          <w:highlight w:val="none"/>
        </w:rPr>
        <w:t>3.项目规模：</w:t>
      </w:r>
      <w:r>
        <w:rPr>
          <w:rFonts w:hint="eastAsia" w:ascii="宋体" w:hAnsi="宋体" w:cs="宋体"/>
          <w:sz w:val="24"/>
          <w:lang w:eastAsia="zh-CN"/>
        </w:rPr>
        <w:t>项目总用地面积106632.40㎡，可建设用地面积为94912.33㎡。项目拟建总建筑面积约为232466.00㎡，计容建筑面积约为243226.00㎡，地下室建筑面积约为3000㎡，容积率约2.56，建筑密度不小于30%，绿地率为不大于20%。机动车停车位约682个，其中：地面约636个，地下约46个。非机动车停车位约2271个。（具体建设指标以正式项目规划报批文件为准）。</w:t>
      </w:r>
    </w:p>
    <w:p w14:paraId="60CED835">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二、服务范围</w:t>
      </w:r>
    </w:p>
    <w:p w14:paraId="109CB997">
      <w:pPr>
        <w:spacing w:line="360" w:lineRule="auto"/>
        <w:ind w:firstLine="420"/>
        <w:rPr>
          <w:rFonts w:ascii="宋体" w:hAnsi="宋体" w:cs="宋体"/>
          <w:snapToGrid w:val="0"/>
          <w:color w:val="auto"/>
          <w:kern w:val="0"/>
          <w:sz w:val="24"/>
          <w:szCs w:val="24"/>
          <w:highlight w:val="none"/>
        </w:rPr>
      </w:pPr>
      <w:r>
        <w:rPr>
          <w:rFonts w:hint="eastAsia" w:ascii="宋体" w:hAnsi="宋体" w:cs="Arial"/>
          <w:color w:val="auto"/>
          <w:sz w:val="24"/>
          <w:szCs w:val="24"/>
          <w:highlight w:val="none"/>
        </w:rPr>
        <w:t>服务范围包括但不限于：（1）投资控制；（2）设计概算的编制、审核及评审；（3）施工图预算的编制、审核及评审；（4）招标工程量清单和招标控制价编制；（5）工程量与进度款审核；（6）主材单价、综合单价、合同变更费用审核；（7）勘察费、设计费、监理费和检测监测费等费用审核；（8）图纸设计变更会签、材料设备看样定板会签；（9）委托合同价格审核；（10）项目现场巡检；（11）项目动态成本监控；（12）勘察设计施工总承包工程结算审核；（13）项目业主单独发包的专业工程施工或设备材料采购的合同结算审核</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lang w:val="en-US" w:eastAsia="zh-CN"/>
        </w:rPr>
        <w:t>14</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lang w:val="en-US" w:eastAsia="zh-CN"/>
        </w:rPr>
        <w:t>其他全过程造价控制相关工作</w:t>
      </w:r>
      <w:r>
        <w:rPr>
          <w:rFonts w:hint="eastAsia" w:ascii="宋体" w:hAnsi="宋体" w:cs="Arial"/>
          <w:color w:val="auto"/>
          <w:sz w:val="24"/>
          <w:szCs w:val="24"/>
          <w:highlight w:val="none"/>
        </w:rPr>
        <w:t>等。</w:t>
      </w:r>
    </w:p>
    <w:p w14:paraId="3D4BC3EC">
      <w:pPr>
        <w:widowControl/>
        <w:spacing w:line="360" w:lineRule="auto"/>
        <w:ind w:firstLine="200"/>
        <w:jc w:val="left"/>
        <w:outlineLvl w:val="1"/>
        <w:rPr>
          <w:rFonts w:ascii="宋体" w:hAnsi="宋体" w:cs="宋体"/>
          <w:b/>
          <w:color w:val="auto"/>
          <w:sz w:val="24"/>
          <w:szCs w:val="24"/>
          <w:highlight w:val="none"/>
        </w:rPr>
      </w:pPr>
      <w:bookmarkStart w:id="2" w:name="_Toc20947"/>
      <w:r>
        <w:rPr>
          <w:rFonts w:hint="eastAsia" w:ascii="宋体" w:hAnsi="宋体" w:cs="宋体"/>
          <w:b/>
          <w:color w:val="auto"/>
          <w:sz w:val="24"/>
          <w:szCs w:val="24"/>
          <w:highlight w:val="none"/>
        </w:rPr>
        <w:t>三、服务期限</w:t>
      </w:r>
      <w:bookmarkEnd w:id="2"/>
    </w:p>
    <w:p w14:paraId="1818A1C0">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本合同服务期限自收到甲方书面通知开始之日起至本合同约定造价咨询服务工作全部完成时止。甲方根据实际情况，有权对本合同服务期限进行适当调整。</w:t>
      </w:r>
    </w:p>
    <w:p w14:paraId="2B395FFE">
      <w:pPr>
        <w:widowControl/>
        <w:spacing w:line="360" w:lineRule="auto"/>
        <w:ind w:firstLine="200"/>
        <w:jc w:val="left"/>
        <w:outlineLvl w:val="1"/>
        <w:rPr>
          <w:rFonts w:ascii="宋体" w:hAnsi="宋体" w:cs="宋体"/>
          <w:b/>
          <w:color w:val="auto"/>
          <w:sz w:val="24"/>
          <w:szCs w:val="24"/>
          <w:highlight w:val="none"/>
        </w:rPr>
      </w:pPr>
      <w:bookmarkStart w:id="3" w:name="_Toc6381"/>
      <w:r>
        <w:rPr>
          <w:rFonts w:hint="eastAsia" w:ascii="宋体" w:hAnsi="宋体" w:cs="宋体"/>
          <w:b/>
          <w:color w:val="auto"/>
          <w:sz w:val="24"/>
          <w:szCs w:val="24"/>
          <w:highlight w:val="none"/>
        </w:rPr>
        <w:t>四、服务报酬</w:t>
      </w:r>
      <w:bookmarkEnd w:id="3"/>
    </w:p>
    <w:p w14:paraId="2F5451EB">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经甲乙双方协商一致，本合同服务报酬以人民币为计算及支付货币，具体计算方法按第二部分合同条款第七条的约定执行。</w:t>
      </w:r>
    </w:p>
    <w:p w14:paraId="74B9DF6D">
      <w:pPr>
        <w:widowControl/>
        <w:spacing w:line="360" w:lineRule="auto"/>
        <w:ind w:firstLine="200"/>
        <w:jc w:val="left"/>
        <w:outlineLvl w:val="1"/>
        <w:rPr>
          <w:rFonts w:ascii="宋体" w:hAnsi="宋体" w:cs="宋体"/>
          <w:b/>
          <w:color w:val="auto"/>
          <w:sz w:val="24"/>
          <w:szCs w:val="24"/>
          <w:highlight w:val="none"/>
        </w:rPr>
      </w:pPr>
      <w:bookmarkStart w:id="4" w:name="_Toc11215"/>
      <w:r>
        <w:rPr>
          <w:rFonts w:hint="eastAsia" w:ascii="宋体" w:hAnsi="宋体" w:cs="宋体"/>
          <w:b/>
          <w:color w:val="auto"/>
          <w:sz w:val="24"/>
          <w:szCs w:val="24"/>
          <w:highlight w:val="none"/>
        </w:rPr>
        <w:t>五、</w:t>
      </w:r>
      <w:r>
        <w:rPr>
          <w:rFonts w:ascii="宋体" w:hAnsi="宋体" w:cs="宋体"/>
          <w:b/>
          <w:color w:val="auto"/>
          <w:sz w:val="24"/>
          <w:szCs w:val="24"/>
          <w:highlight w:val="none"/>
        </w:rPr>
        <w:t>合同文件构成</w:t>
      </w:r>
      <w:r>
        <w:rPr>
          <w:rFonts w:hint="eastAsia" w:ascii="宋体" w:hAnsi="宋体" w:cs="宋体"/>
          <w:b/>
          <w:color w:val="auto"/>
          <w:sz w:val="24"/>
          <w:szCs w:val="24"/>
          <w:highlight w:val="none"/>
        </w:rPr>
        <w:t>及优先顺序</w:t>
      </w:r>
      <w:bookmarkEnd w:id="4"/>
    </w:p>
    <w:p w14:paraId="5C098CF7">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下列文件应被认为是组成本合同的一部分，并互为补充和解释，如各文件存在冲突之处，以如下排列次序在前者优先适用：</w:t>
      </w:r>
    </w:p>
    <w:p w14:paraId="42D63EC4">
      <w:pPr>
        <w:spacing w:line="360" w:lineRule="auto"/>
        <w:ind w:firstLine="42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.本合同履行期间甲乙双方签订的补充合同（协议）或修正文件；</w:t>
      </w:r>
    </w:p>
    <w:p w14:paraId="36F89F5F">
      <w:pPr>
        <w:spacing w:line="360" w:lineRule="auto"/>
        <w:ind w:firstLine="42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.合同协议书；</w:t>
      </w:r>
    </w:p>
    <w:p w14:paraId="6EAFC833">
      <w:pPr>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rPr>
        <w:t>.中标通知书；</w:t>
      </w:r>
    </w:p>
    <w:p w14:paraId="413CABAE">
      <w:pPr>
        <w:spacing w:line="360" w:lineRule="auto"/>
        <w:ind w:firstLine="42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.合同条款；</w:t>
      </w:r>
    </w:p>
    <w:p w14:paraId="6260BBC9">
      <w:pPr>
        <w:spacing w:line="360" w:lineRule="auto"/>
        <w:ind w:firstLine="42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.甲方制定的各项造价（咨询）管理制度及规定（包括继续沿用甲方更名前的各项管理制度及规定，如有更新则按更新后的执行，下同）；</w:t>
      </w:r>
    </w:p>
    <w:p w14:paraId="678EE486">
      <w:pPr>
        <w:spacing w:line="360" w:lineRule="auto"/>
        <w:ind w:firstLine="42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.合同附件[属本条第（1）项和第（</w:t>
      </w:r>
      <w:r>
        <w:rPr>
          <w:rFonts w:hint="eastAsia" w:ascii="宋体" w:hAnsi="宋体" w:cs="宋体"/>
          <w:sz w:val="24"/>
          <w:szCs w:val="24"/>
          <w:lang w:val="en-US" w:eastAsia="zh-CN"/>
        </w:rPr>
        <w:t>5</w:t>
      </w:r>
      <w:r>
        <w:rPr>
          <w:rFonts w:hint="eastAsia" w:ascii="宋体" w:hAnsi="宋体" w:cs="宋体"/>
          <w:sz w:val="24"/>
          <w:szCs w:val="24"/>
        </w:rPr>
        <w:t>）项内容的除外]；</w:t>
      </w:r>
    </w:p>
    <w:p w14:paraId="11300AF0">
      <w:pPr>
        <w:spacing w:line="360" w:lineRule="auto"/>
        <w:ind w:firstLine="42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olor w:val="auto"/>
          <w:sz w:val="24"/>
          <w:szCs w:val="24"/>
          <w:highlight w:val="none"/>
          <w:u w:val="single"/>
          <w:lang w:val="en-US" w:eastAsia="zh-CN"/>
        </w:rPr>
        <w:t>万田智创园</w:t>
      </w:r>
      <w:r>
        <w:rPr>
          <w:rFonts w:hint="eastAsia" w:ascii="宋体" w:hAnsi="宋体"/>
          <w:color w:val="auto"/>
          <w:sz w:val="24"/>
          <w:szCs w:val="24"/>
          <w:highlight w:val="none"/>
          <w:u w:val="single"/>
        </w:rPr>
        <w:t>全过程造价咨询服务</w:t>
      </w:r>
      <w:r>
        <w:rPr>
          <w:rFonts w:hint="eastAsia" w:ascii="宋体" w:hAnsi="宋体" w:cs="宋体"/>
          <w:sz w:val="24"/>
          <w:szCs w:val="24"/>
        </w:rPr>
        <w:t>招标文件[含招标文件补充文件、澄清文件、答疑文件等，属本条第（7）项内容的除外]；</w:t>
      </w:r>
    </w:p>
    <w:p w14:paraId="03CA1E17">
      <w:pPr>
        <w:spacing w:line="360" w:lineRule="auto"/>
        <w:ind w:firstLine="42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.乙方投标文件[含投标文件澄清等，属本条第（7）项内容的除外]；</w:t>
      </w:r>
    </w:p>
    <w:p w14:paraId="5E023F4A">
      <w:pPr>
        <w:spacing w:line="360" w:lineRule="auto"/>
        <w:ind w:firstLine="420"/>
        <w:rPr>
          <w:rFonts w:ascii="宋体" w:hAnsi="宋体" w:cs="宋体"/>
          <w:color w:val="auto"/>
          <w:sz w:val="24"/>
          <w:szCs w:val="24"/>
          <w:highlight w:val="none"/>
        </w:rPr>
      </w:pPr>
      <w:r>
        <w:rPr>
          <w:rFonts w:hint="eastAsia" w:ascii="宋体" w:hAnsi="宋体" w:cs="宋体"/>
          <w:sz w:val="24"/>
          <w:szCs w:val="24"/>
          <w:lang w:val="en-US" w:eastAsia="zh-CN"/>
        </w:rPr>
        <w:t>9</w:t>
      </w:r>
      <w:r>
        <w:rPr>
          <w:rFonts w:hint="eastAsia" w:ascii="宋体" w:hAnsi="宋体" w:cs="宋体"/>
          <w:sz w:val="24"/>
          <w:szCs w:val="24"/>
        </w:rPr>
        <w:t>.组成合同的其它文件</w:t>
      </w:r>
      <w:r>
        <w:rPr>
          <w:rFonts w:hint="eastAsia" w:ascii="宋体" w:hAnsi="宋体" w:cs="宋体"/>
          <w:color w:val="auto"/>
          <w:sz w:val="24"/>
          <w:szCs w:val="24"/>
          <w:highlight w:val="none"/>
        </w:rPr>
        <w:t>。</w:t>
      </w:r>
    </w:p>
    <w:p w14:paraId="1EB8FA07">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3天内提出书面异议；如期满不提出书面异议的，视为同意甲方的决定。甲方收到乙方的书面异议后应作出进一步的决定，如乙方仍有异议的，可按第二部分合同条款第十一条的约定处理，但在有关部门没有作出正式裁决之前，乙方必须无条件先行执行甲方的决定。</w:t>
      </w:r>
    </w:p>
    <w:p w14:paraId="2D8E5DCD">
      <w:pPr>
        <w:widowControl/>
        <w:spacing w:line="360" w:lineRule="auto"/>
        <w:ind w:firstLine="200"/>
        <w:jc w:val="left"/>
        <w:outlineLvl w:val="1"/>
        <w:rPr>
          <w:rFonts w:ascii="宋体" w:hAnsi="宋体" w:cs="宋体"/>
          <w:b/>
          <w:color w:val="auto"/>
          <w:sz w:val="24"/>
          <w:szCs w:val="24"/>
          <w:highlight w:val="none"/>
        </w:rPr>
      </w:pPr>
      <w:bookmarkStart w:id="5" w:name="_Toc6606"/>
      <w:r>
        <w:rPr>
          <w:rFonts w:hint="eastAsia" w:ascii="宋体" w:hAnsi="宋体" w:cs="宋体"/>
          <w:b/>
          <w:color w:val="auto"/>
          <w:sz w:val="24"/>
          <w:szCs w:val="24"/>
          <w:highlight w:val="none"/>
        </w:rPr>
        <w:t>六、</w:t>
      </w:r>
      <w:r>
        <w:rPr>
          <w:rFonts w:hint="eastAsia" w:ascii="宋体" w:hAnsi="宋体" w:cs="宋体"/>
          <w:color w:val="auto"/>
          <w:sz w:val="24"/>
          <w:szCs w:val="24"/>
          <w:highlight w:val="none"/>
        </w:rPr>
        <w:t>乙方承诺按照本合同的约定履行合同义务。</w:t>
      </w:r>
      <w:bookmarkEnd w:id="5"/>
    </w:p>
    <w:p w14:paraId="059B9428">
      <w:pPr>
        <w:widowControl/>
        <w:spacing w:line="360" w:lineRule="auto"/>
        <w:ind w:firstLine="200"/>
        <w:jc w:val="left"/>
        <w:outlineLvl w:val="1"/>
        <w:rPr>
          <w:rFonts w:ascii="宋体" w:hAnsi="宋体" w:cs="宋体"/>
          <w:b/>
          <w:color w:val="auto"/>
          <w:sz w:val="24"/>
          <w:szCs w:val="24"/>
          <w:highlight w:val="none"/>
        </w:rPr>
      </w:pPr>
      <w:bookmarkStart w:id="6" w:name="_Toc32336"/>
      <w:r>
        <w:rPr>
          <w:rFonts w:hint="eastAsia" w:ascii="宋体" w:hAnsi="宋体" w:cs="宋体"/>
          <w:b/>
          <w:color w:val="auto"/>
          <w:sz w:val="24"/>
          <w:szCs w:val="24"/>
          <w:highlight w:val="none"/>
        </w:rPr>
        <w:t>七、</w:t>
      </w:r>
      <w:r>
        <w:rPr>
          <w:rFonts w:hint="eastAsia" w:ascii="宋体" w:hAnsi="宋体" w:cs="宋体"/>
          <w:color w:val="auto"/>
          <w:sz w:val="24"/>
          <w:szCs w:val="24"/>
          <w:highlight w:val="none"/>
        </w:rPr>
        <w:t>甲方承诺按照本合同约定的履行合同义务。</w:t>
      </w:r>
      <w:bookmarkEnd w:id="6"/>
    </w:p>
    <w:p w14:paraId="133F043D">
      <w:pPr>
        <w:widowControl/>
        <w:spacing w:line="360" w:lineRule="auto"/>
        <w:ind w:firstLine="200"/>
        <w:jc w:val="left"/>
        <w:outlineLvl w:val="1"/>
        <w:rPr>
          <w:rFonts w:ascii="宋体" w:hAnsi="宋体" w:cs="宋体"/>
          <w:b/>
          <w:color w:val="auto"/>
          <w:sz w:val="24"/>
          <w:szCs w:val="24"/>
          <w:highlight w:val="none"/>
        </w:rPr>
      </w:pPr>
      <w:bookmarkStart w:id="7" w:name="_Toc7679"/>
      <w:r>
        <w:rPr>
          <w:rFonts w:hint="eastAsia" w:ascii="宋体" w:hAnsi="宋体" w:cs="宋体"/>
          <w:b/>
          <w:color w:val="auto"/>
          <w:sz w:val="24"/>
          <w:szCs w:val="24"/>
          <w:highlight w:val="none"/>
        </w:rPr>
        <w:t>八、词语定义</w:t>
      </w:r>
      <w:bookmarkEnd w:id="7"/>
    </w:p>
    <w:p w14:paraId="4105B74D">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本合同协议书中有关词语含义与合同条款中分别赋予它们的定义相同。</w:t>
      </w:r>
    </w:p>
    <w:p w14:paraId="4185C19C">
      <w:pPr>
        <w:widowControl/>
        <w:spacing w:line="360" w:lineRule="auto"/>
        <w:ind w:firstLine="200"/>
        <w:jc w:val="left"/>
        <w:outlineLvl w:val="1"/>
        <w:rPr>
          <w:rFonts w:ascii="宋体" w:hAnsi="宋体" w:cs="宋体"/>
          <w:b/>
          <w:color w:val="auto"/>
          <w:sz w:val="24"/>
          <w:szCs w:val="24"/>
          <w:highlight w:val="none"/>
        </w:rPr>
      </w:pPr>
      <w:bookmarkStart w:id="8" w:name="_Toc3396"/>
      <w:r>
        <w:rPr>
          <w:rFonts w:hint="eastAsia" w:ascii="宋体" w:hAnsi="宋体" w:cs="宋体"/>
          <w:b/>
          <w:color w:val="auto"/>
          <w:sz w:val="24"/>
          <w:szCs w:val="24"/>
          <w:highlight w:val="none"/>
        </w:rPr>
        <w:t>九、合同生效及终止</w:t>
      </w:r>
      <w:bookmarkEnd w:id="8"/>
    </w:p>
    <w:p w14:paraId="287FA82B">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1.本合同自双方签字盖章（公章或合同专用章）之日起生效。</w:t>
      </w:r>
    </w:p>
    <w:p w14:paraId="4DDB6E49">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2.乙方完成甲方委托的全部工作内容且</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按合同约定支付了服务报酬后本合同即终止。</w:t>
      </w:r>
    </w:p>
    <w:p w14:paraId="22EAAFA1">
      <w:pPr>
        <w:widowControl/>
        <w:spacing w:line="360" w:lineRule="auto"/>
        <w:ind w:firstLine="200"/>
        <w:jc w:val="left"/>
        <w:outlineLvl w:val="1"/>
        <w:rPr>
          <w:rFonts w:ascii="宋体" w:hAnsi="宋体" w:cs="宋体"/>
          <w:b/>
          <w:color w:val="auto"/>
          <w:sz w:val="24"/>
          <w:szCs w:val="24"/>
          <w:highlight w:val="none"/>
        </w:rPr>
      </w:pPr>
      <w:bookmarkStart w:id="9" w:name="_Toc29359"/>
      <w:r>
        <w:rPr>
          <w:rFonts w:hint="eastAsia" w:ascii="宋体" w:hAnsi="宋体" w:cs="宋体"/>
          <w:b/>
          <w:color w:val="auto"/>
          <w:sz w:val="24"/>
          <w:szCs w:val="24"/>
          <w:highlight w:val="none"/>
        </w:rPr>
        <w:t>十、合同份数</w:t>
      </w:r>
      <w:bookmarkEnd w:id="9"/>
    </w:p>
    <w:p w14:paraId="3EF1989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本合同正本一式两份，双方各执一份；副本八份，其中甲方执六份，乙方执二份。合同正、副本具有同等效力，但当合同正本与副本的表述不一致时，以合同正本为准。</w:t>
      </w:r>
    </w:p>
    <w:p w14:paraId="32F95ED0">
      <w:pPr>
        <w:widowControl/>
        <w:spacing w:line="360" w:lineRule="auto"/>
        <w:jc w:val="left"/>
        <w:rPr>
          <w:rFonts w:ascii="宋体" w:hAnsi="宋体" w:cs="宋体"/>
          <w:color w:val="auto"/>
          <w:sz w:val="24"/>
          <w:szCs w:val="24"/>
          <w:highlight w:val="none"/>
        </w:rPr>
      </w:pPr>
    </w:p>
    <w:p w14:paraId="25139A5B">
      <w:pPr>
        <w:widowControl/>
        <w:spacing w:line="360" w:lineRule="auto"/>
        <w:jc w:val="left"/>
        <w:rPr>
          <w:rFonts w:ascii="宋体" w:hAnsi="宋体" w:cs="宋体"/>
          <w:color w:val="auto"/>
          <w:sz w:val="24"/>
          <w:szCs w:val="24"/>
          <w:highlight w:val="non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14:paraId="064D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41" w:hRule="atLeast"/>
        </w:trPr>
        <w:tc>
          <w:tcPr>
            <w:tcW w:w="4644" w:type="dxa"/>
            <w:tcBorders>
              <w:tl2br w:val="nil"/>
              <w:tr2bl w:val="nil"/>
            </w:tcBorders>
            <w:noWrap w:val="0"/>
            <w:vAlign w:val="top"/>
          </w:tcPr>
          <w:p w14:paraId="0F5F035B">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lang w:eastAsia="zh-CN"/>
              </w:rPr>
            </w:pPr>
            <w:r>
              <w:rPr>
                <w:rFonts w:hint="eastAsia" w:ascii="仿宋" w:hAnsi="仿宋" w:eastAsia="仿宋" w:cs="仿宋"/>
                <w:color w:val="auto"/>
                <w:spacing w:val="-11"/>
                <w:sz w:val="24"/>
                <w:szCs w:val="24"/>
              </w:rPr>
              <w:t>委托人（盖章）：</w:t>
            </w:r>
            <w:r>
              <w:rPr>
                <w:rFonts w:hint="eastAsia" w:ascii="仿宋" w:hAnsi="仿宋" w:eastAsia="仿宋" w:cs="仿宋"/>
                <w:color w:val="auto"/>
                <w:spacing w:val="-11"/>
                <w:sz w:val="24"/>
                <w:szCs w:val="24"/>
                <w:highlight w:val="none"/>
                <w:lang w:eastAsia="zh-CN"/>
              </w:rPr>
              <w:t>广州增城</w:t>
            </w:r>
            <w:r>
              <w:rPr>
                <w:rFonts w:hint="eastAsia" w:ascii="仿宋" w:hAnsi="仿宋" w:eastAsia="仿宋" w:cs="仿宋"/>
                <w:color w:val="auto"/>
                <w:spacing w:val="-11"/>
                <w:sz w:val="24"/>
                <w:szCs w:val="24"/>
                <w:highlight w:val="none"/>
                <w:lang w:val="en-US" w:eastAsia="zh-CN"/>
              </w:rPr>
              <w:t>科新</w:t>
            </w:r>
            <w:r>
              <w:rPr>
                <w:rFonts w:hint="eastAsia" w:ascii="仿宋" w:hAnsi="仿宋" w:eastAsia="仿宋" w:cs="仿宋"/>
                <w:color w:val="auto"/>
                <w:spacing w:val="-11"/>
                <w:sz w:val="24"/>
                <w:szCs w:val="24"/>
                <w:highlight w:val="none"/>
                <w:lang w:eastAsia="zh-CN"/>
              </w:rPr>
              <w:t>产业园开发管理有限公司</w:t>
            </w:r>
          </w:p>
          <w:p w14:paraId="19989D92">
            <w:pPr>
              <w:pStyle w:val="11"/>
              <w:rPr>
                <w:rFonts w:hint="eastAsia" w:ascii="仿宋" w:hAnsi="仿宋" w:eastAsia="仿宋" w:cs="仿宋"/>
                <w:szCs w:val="24"/>
                <w:lang w:eastAsia="zh-CN"/>
              </w:rPr>
            </w:pPr>
          </w:p>
        </w:tc>
        <w:tc>
          <w:tcPr>
            <w:tcW w:w="4644" w:type="dxa"/>
            <w:tcBorders>
              <w:tl2br w:val="nil"/>
              <w:tr2bl w:val="nil"/>
            </w:tcBorders>
            <w:noWrap w:val="0"/>
            <w:vAlign w:val="top"/>
          </w:tcPr>
          <w:p w14:paraId="6B77B65F">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rPr>
              <w:t>受托人（盖章）：</w:t>
            </w:r>
          </w:p>
          <w:p w14:paraId="03D6A4EA">
            <w:pPr>
              <w:pStyle w:val="11"/>
              <w:rPr>
                <w:rFonts w:hint="eastAsia" w:ascii="仿宋" w:hAnsi="仿宋" w:eastAsia="仿宋" w:cs="仿宋"/>
                <w:szCs w:val="24"/>
              </w:rPr>
            </w:pPr>
          </w:p>
        </w:tc>
      </w:tr>
      <w:tr w14:paraId="3A2E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noWrap w:val="0"/>
            <w:vAlign w:val="top"/>
          </w:tcPr>
          <w:p w14:paraId="4350596C">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法定代表人或授权代理人</w:t>
            </w:r>
          </w:p>
          <w:p w14:paraId="5AA991DE">
            <w:pPr>
              <w:pStyle w:val="11"/>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szCs w:val="24"/>
              </w:rPr>
            </w:pPr>
            <w:r>
              <w:rPr>
                <w:rFonts w:hint="eastAsia" w:ascii="仿宋" w:hAnsi="仿宋" w:eastAsia="仿宋" w:cs="仿宋"/>
                <w:color w:val="auto"/>
                <w:szCs w:val="24"/>
              </w:rPr>
              <w:t>（签字或盖章）：</w:t>
            </w:r>
          </w:p>
        </w:tc>
        <w:tc>
          <w:tcPr>
            <w:tcW w:w="4644" w:type="dxa"/>
            <w:tcBorders>
              <w:tl2br w:val="nil"/>
              <w:tr2bl w:val="nil"/>
            </w:tcBorders>
            <w:noWrap w:val="0"/>
            <w:vAlign w:val="top"/>
          </w:tcPr>
          <w:p w14:paraId="3651C81B">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法定代表人或授权代理人</w:t>
            </w:r>
          </w:p>
          <w:p w14:paraId="4E8DBE67">
            <w:pPr>
              <w:pStyle w:val="11"/>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szCs w:val="24"/>
              </w:rPr>
            </w:pPr>
            <w:r>
              <w:rPr>
                <w:rFonts w:hint="eastAsia" w:ascii="仿宋" w:hAnsi="仿宋" w:eastAsia="仿宋" w:cs="仿宋"/>
                <w:color w:val="auto"/>
                <w:szCs w:val="24"/>
              </w:rPr>
              <w:t>（签字或盖章）：</w:t>
            </w:r>
          </w:p>
        </w:tc>
      </w:tr>
      <w:tr w14:paraId="74CD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noWrap w:val="0"/>
            <w:vAlign w:val="top"/>
          </w:tcPr>
          <w:p w14:paraId="6A7BFD12">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vertAlign w:val="baseline"/>
              </w:rPr>
            </w:pPr>
            <w:r>
              <w:rPr>
                <w:rFonts w:hint="eastAsia" w:ascii="仿宋" w:hAnsi="仿宋" w:eastAsia="仿宋" w:cs="仿宋"/>
                <w:color w:val="auto"/>
                <w:sz w:val="24"/>
                <w:szCs w:val="24"/>
              </w:rPr>
              <w:t>单位地址：</w:t>
            </w:r>
          </w:p>
        </w:tc>
        <w:tc>
          <w:tcPr>
            <w:tcW w:w="4644" w:type="dxa"/>
            <w:tcBorders>
              <w:tl2br w:val="nil"/>
              <w:tr2bl w:val="nil"/>
            </w:tcBorders>
            <w:noWrap w:val="0"/>
            <w:vAlign w:val="top"/>
          </w:tcPr>
          <w:p w14:paraId="30A17203">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default" w:ascii="仿宋" w:hAnsi="仿宋" w:eastAsia="仿宋" w:cs="仿宋"/>
                <w:color w:val="auto"/>
                <w:spacing w:val="-11"/>
                <w:sz w:val="24"/>
                <w:szCs w:val="24"/>
                <w:vertAlign w:val="baseline"/>
                <w:lang w:val="en-US" w:eastAsia="zh-CN"/>
              </w:rPr>
            </w:pPr>
            <w:r>
              <w:rPr>
                <w:rFonts w:hint="eastAsia" w:ascii="仿宋" w:hAnsi="仿宋" w:eastAsia="仿宋" w:cs="仿宋"/>
                <w:color w:val="auto"/>
                <w:sz w:val="24"/>
                <w:szCs w:val="24"/>
              </w:rPr>
              <w:t>单位地址：</w:t>
            </w:r>
          </w:p>
        </w:tc>
      </w:tr>
      <w:tr w14:paraId="402F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noWrap w:val="0"/>
            <w:vAlign w:val="top"/>
          </w:tcPr>
          <w:p w14:paraId="01CAB44E">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vertAlign w:val="baseline"/>
              </w:rPr>
            </w:pPr>
            <w:r>
              <w:rPr>
                <w:rFonts w:hint="eastAsia" w:ascii="仿宋" w:hAnsi="仿宋" w:eastAsia="仿宋" w:cs="仿宋"/>
                <w:color w:val="auto"/>
                <w:sz w:val="24"/>
                <w:szCs w:val="24"/>
              </w:rPr>
              <w:t>邮政编码：</w:t>
            </w:r>
          </w:p>
        </w:tc>
        <w:tc>
          <w:tcPr>
            <w:tcW w:w="4644" w:type="dxa"/>
            <w:tcBorders>
              <w:tl2br w:val="nil"/>
              <w:tr2bl w:val="nil"/>
            </w:tcBorders>
            <w:noWrap w:val="0"/>
            <w:vAlign w:val="top"/>
          </w:tcPr>
          <w:p w14:paraId="09DAA00A">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default" w:ascii="仿宋" w:hAnsi="仿宋" w:eastAsia="仿宋" w:cs="仿宋"/>
                <w:color w:val="auto"/>
                <w:spacing w:val="-11"/>
                <w:sz w:val="24"/>
                <w:szCs w:val="24"/>
                <w:vertAlign w:val="baseline"/>
                <w:lang w:val="en-US" w:eastAsia="zh-CN"/>
              </w:rPr>
            </w:pPr>
            <w:r>
              <w:rPr>
                <w:rFonts w:hint="eastAsia" w:ascii="仿宋" w:hAnsi="仿宋" w:eastAsia="仿宋" w:cs="仿宋"/>
                <w:color w:val="auto"/>
                <w:sz w:val="24"/>
                <w:szCs w:val="24"/>
              </w:rPr>
              <w:t>邮政编码：</w:t>
            </w:r>
          </w:p>
        </w:tc>
      </w:tr>
      <w:tr w14:paraId="251C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noWrap w:val="0"/>
            <w:vAlign w:val="top"/>
          </w:tcPr>
          <w:p w14:paraId="5406A5FB">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vertAlign w:val="baseline"/>
              </w:rPr>
            </w:pPr>
            <w:r>
              <w:rPr>
                <w:rFonts w:hint="eastAsia" w:ascii="仿宋" w:hAnsi="仿宋" w:eastAsia="仿宋" w:cs="仿宋"/>
                <w:color w:val="auto"/>
                <w:sz w:val="24"/>
                <w:szCs w:val="24"/>
              </w:rPr>
              <w:t>开户银行：</w:t>
            </w:r>
          </w:p>
        </w:tc>
        <w:tc>
          <w:tcPr>
            <w:tcW w:w="4644" w:type="dxa"/>
            <w:tcBorders>
              <w:tl2br w:val="nil"/>
              <w:tr2bl w:val="nil"/>
            </w:tcBorders>
            <w:noWrap w:val="0"/>
            <w:vAlign w:val="top"/>
          </w:tcPr>
          <w:p w14:paraId="495244C8">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vertAlign w:val="baseline"/>
              </w:rPr>
            </w:pPr>
            <w:r>
              <w:rPr>
                <w:rFonts w:hint="eastAsia" w:ascii="仿宋" w:hAnsi="仿宋" w:eastAsia="仿宋" w:cs="仿宋"/>
                <w:color w:val="auto"/>
                <w:sz w:val="24"/>
                <w:szCs w:val="24"/>
              </w:rPr>
              <w:t>开户银行：</w:t>
            </w:r>
          </w:p>
        </w:tc>
      </w:tr>
      <w:tr w14:paraId="1FF1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noWrap w:val="0"/>
            <w:vAlign w:val="top"/>
          </w:tcPr>
          <w:p w14:paraId="1A514CF6">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账    号：</w:t>
            </w:r>
          </w:p>
        </w:tc>
        <w:tc>
          <w:tcPr>
            <w:tcW w:w="4644" w:type="dxa"/>
            <w:tcBorders>
              <w:tl2br w:val="nil"/>
              <w:tr2bl w:val="nil"/>
            </w:tcBorders>
            <w:noWrap w:val="0"/>
            <w:vAlign w:val="top"/>
          </w:tcPr>
          <w:p w14:paraId="6992549C">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textAlignment w:val="baseline"/>
              <w:rPr>
                <w:rFonts w:hint="eastAsia" w:ascii="仿宋" w:hAnsi="仿宋" w:eastAsia="仿宋" w:cs="仿宋"/>
                <w:color w:val="auto"/>
                <w:spacing w:val="-11"/>
                <w:sz w:val="24"/>
                <w:szCs w:val="24"/>
                <w:vertAlign w:val="baseline"/>
              </w:rPr>
            </w:pPr>
            <w:r>
              <w:rPr>
                <w:rFonts w:hint="eastAsia" w:ascii="仿宋" w:hAnsi="仿宋" w:eastAsia="仿宋" w:cs="仿宋"/>
                <w:color w:val="auto"/>
                <w:sz w:val="24"/>
                <w:szCs w:val="24"/>
              </w:rPr>
              <w:t>账    号：</w:t>
            </w:r>
          </w:p>
        </w:tc>
      </w:tr>
      <w:tr w14:paraId="086A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gridSpan w:val="2"/>
            <w:tcBorders>
              <w:tl2br w:val="nil"/>
              <w:tr2bl w:val="nil"/>
            </w:tcBorders>
            <w:noWrap w:val="0"/>
            <w:vAlign w:val="top"/>
          </w:tcPr>
          <w:p w14:paraId="31E89D87">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jc w:val="center"/>
              <w:textAlignment w:val="baseline"/>
              <w:rPr>
                <w:rFonts w:hint="eastAsia" w:ascii="仿宋" w:hAnsi="仿宋" w:eastAsia="仿宋" w:cs="仿宋"/>
                <w:color w:val="auto"/>
                <w:sz w:val="24"/>
                <w:szCs w:val="24"/>
                <w:lang w:val="en-US" w:eastAsia="zh-CN"/>
              </w:rPr>
            </w:pPr>
          </w:p>
          <w:p w14:paraId="5B77A96F">
            <w:pPr>
              <w:keepNext w:val="0"/>
              <w:keepLines w:val="0"/>
              <w:pageBreakBefore w:val="0"/>
              <w:widowControl/>
              <w:kinsoku/>
              <w:wordWrap/>
              <w:overflowPunct/>
              <w:topLinePunct w:val="0"/>
              <w:autoSpaceDE/>
              <w:autoSpaceDN/>
              <w:bidi w:val="0"/>
              <w:adjustRightInd w:val="0"/>
              <w:snapToGrid w:val="0"/>
              <w:spacing w:before="251" w:beforeLines="80" w:after="251" w:afterLines="80" w:line="240" w:lineRule="auto"/>
              <w:ind w:left="0" w:leftChars="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签订日期：     年    月   日</w:t>
            </w:r>
          </w:p>
        </w:tc>
      </w:tr>
    </w:tbl>
    <w:p w14:paraId="2A132BF1">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6"/>
          <w:szCs w:val="36"/>
          <w:highlight w:val="none"/>
        </w:rPr>
        <w:br w:type="page"/>
      </w:r>
      <w:bookmarkStart w:id="10" w:name="_Toc3628"/>
      <w:r>
        <w:rPr>
          <w:rFonts w:hint="eastAsia" w:ascii="宋体" w:hAnsi="宋体" w:cs="宋体"/>
          <w:b/>
          <w:bCs/>
          <w:color w:val="auto"/>
          <w:sz w:val="36"/>
          <w:szCs w:val="36"/>
          <w:highlight w:val="none"/>
        </w:rPr>
        <w:t>第二部分　合同条款</w:t>
      </w:r>
      <w:bookmarkEnd w:id="10"/>
    </w:p>
    <w:p w14:paraId="78DA6B6C">
      <w:pPr>
        <w:widowControl/>
        <w:spacing w:line="360" w:lineRule="auto"/>
        <w:ind w:firstLine="200"/>
        <w:jc w:val="left"/>
        <w:outlineLvl w:val="1"/>
        <w:rPr>
          <w:rFonts w:ascii="宋体" w:hAnsi="宋体" w:cs="宋体"/>
          <w:b/>
          <w:color w:val="auto"/>
          <w:sz w:val="24"/>
          <w:szCs w:val="24"/>
          <w:highlight w:val="none"/>
        </w:rPr>
      </w:pPr>
      <w:bookmarkStart w:id="11" w:name="_Toc26661"/>
      <w:r>
        <w:rPr>
          <w:rFonts w:hint="eastAsia" w:ascii="宋体" w:hAnsi="宋体" w:cs="宋体"/>
          <w:b/>
          <w:color w:val="auto"/>
          <w:sz w:val="24"/>
          <w:szCs w:val="24"/>
          <w:highlight w:val="none"/>
        </w:rPr>
        <w:t>一、词语定义</w:t>
      </w:r>
      <w:bookmarkEnd w:id="11"/>
    </w:p>
    <w:p w14:paraId="250B7C9D">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1.1甲方：是指委托建设工程造价咨询业务和聘用工程造价咨询单位的一方，在本合同中特指</w:t>
      </w:r>
      <w:r>
        <w:rPr>
          <w:rFonts w:hint="eastAsia" w:ascii="宋体" w:hAnsi="宋体" w:cs="宋体"/>
          <w:b/>
          <w:color w:val="auto"/>
          <w:sz w:val="24"/>
          <w:szCs w:val="24"/>
          <w:highlight w:val="none"/>
          <w:u w:val="single"/>
          <w:lang w:eastAsia="zh-CN"/>
        </w:rPr>
        <w:t>广州增城科新产业园开发管理有限公司</w:t>
      </w:r>
      <w:r>
        <w:rPr>
          <w:rFonts w:hint="eastAsia" w:ascii="宋体" w:hAnsi="宋体" w:cs="宋体"/>
          <w:color w:val="auto"/>
          <w:sz w:val="24"/>
          <w:szCs w:val="24"/>
          <w:highlight w:val="none"/>
        </w:rPr>
        <w:t>。</w:t>
      </w:r>
    </w:p>
    <w:p w14:paraId="2E5D0472">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1.2乙方：是指承担建设工程造价咨询业务和工程造价咨询责任的一方，在本合同中特指</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w:t>
      </w:r>
    </w:p>
    <w:p w14:paraId="2EBA4E2D">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1.3第三人：是指除甲方、乙方以外与本合同约定咨询业务有关的当事人。</w:t>
      </w:r>
    </w:p>
    <w:p w14:paraId="0589F2B6">
      <w:pPr>
        <w:spacing w:line="360" w:lineRule="auto"/>
        <w:ind w:firstLine="420"/>
        <w:rPr>
          <w:rFonts w:ascii="宋体" w:hAnsi="宋体" w:cs="宋体"/>
          <w:strike/>
          <w:color w:val="auto"/>
          <w:sz w:val="24"/>
          <w:szCs w:val="24"/>
          <w:highlight w:val="none"/>
        </w:rPr>
      </w:pPr>
      <w:r>
        <w:rPr>
          <w:rFonts w:hint="eastAsia" w:ascii="宋体" w:hAnsi="宋体" w:cs="宋体"/>
          <w:color w:val="auto"/>
          <w:sz w:val="24"/>
          <w:szCs w:val="24"/>
          <w:highlight w:val="none"/>
        </w:rPr>
        <w:t>1.4</w:t>
      </w:r>
      <w:r>
        <w:rPr>
          <w:rFonts w:hint="eastAsia" w:ascii="宋体" w:hAnsi="宋体" w:cs="宋体"/>
          <w:snapToGrid w:val="0"/>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cs="宋体"/>
          <w:color w:val="auto"/>
          <w:sz w:val="24"/>
          <w:szCs w:val="24"/>
          <w:highlight w:val="none"/>
        </w:rPr>
        <w:t>最后</w:t>
      </w:r>
      <w:r>
        <w:rPr>
          <w:rFonts w:hint="eastAsia" w:ascii="宋体" w:hAnsi="宋体" w:cs="宋体"/>
          <w:snapToGrid w:val="0"/>
          <w:color w:val="auto"/>
          <w:kern w:val="0"/>
          <w:sz w:val="24"/>
          <w:szCs w:val="24"/>
          <w:highlight w:val="none"/>
        </w:rPr>
        <w:t>一天。时限的最后一天的截止时间为当日24时。</w:t>
      </w:r>
    </w:p>
    <w:p w14:paraId="19186BDD">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1.5月：是指根据公历从一个月份中任何一日开始到下一个月相应日期的前一日的时间段。</w:t>
      </w:r>
    </w:p>
    <w:p w14:paraId="1FDC1AEF">
      <w:pPr>
        <w:widowControl/>
        <w:spacing w:line="360" w:lineRule="auto"/>
        <w:ind w:firstLine="200"/>
        <w:jc w:val="left"/>
        <w:outlineLvl w:val="1"/>
        <w:rPr>
          <w:rFonts w:ascii="宋体" w:hAnsi="宋体" w:cs="宋体"/>
          <w:b/>
          <w:color w:val="auto"/>
          <w:sz w:val="24"/>
          <w:szCs w:val="24"/>
          <w:highlight w:val="none"/>
        </w:rPr>
      </w:pPr>
      <w:bookmarkStart w:id="12" w:name="_Toc26077"/>
      <w:r>
        <w:rPr>
          <w:rFonts w:hint="eastAsia" w:ascii="宋体" w:hAnsi="宋体" w:cs="宋体"/>
          <w:b/>
          <w:color w:val="auto"/>
          <w:sz w:val="24"/>
          <w:szCs w:val="24"/>
          <w:highlight w:val="none"/>
        </w:rPr>
        <w:t>二、本合同适用的法律、法规及工程造价计价办法和规定</w:t>
      </w:r>
      <w:bookmarkEnd w:id="12"/>
    </w:p>
    <w:p w14:paraId="5C29A3BD">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2.1本合同适用中华人民共和国法律、法规。</w:t>
      </w:r>
    </w:p>
    <w:p w14:paraId="1F698DA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14:paraId="338AC804">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2.3其它计价依据：甲方的要求、图纸、招标文件。</w:t>
      </w:r>
    </w:p>
    <w:p w14:paraId="4FA746CE">
      <w:pPr>
        <w:widowControl/>
        <w:spacing w:line="360" w:lineRule="auto"/>
        <w:ind w:firstLine="200"/>
        <w:jc w:val="left"/>
        <w:outlineLvl w:val="1"/>
        <w:rPr>
          <w:rFonts w:ascii="宋体" w:hAnsi="宋体" w:cs="宋体"/>
          <w:b/>
          <w:color w:val="auto"/>
          <w:sz w:val="24"/>
          <w:szCs w:val="24"/>
          <w:highlight w:val="none"/>
        </w:rPr>
      </w:pPr>
      <w:bookmarkStart w:id="13" w:name="_Toc22272"/>
      <w:r>
        <w:rPr>
          <w:rFonts w:hint="eastAsia" w:ascii="宋体" w:hAnsi="宋体" w:cs="宋体"/>
          <w:b/>
          <w:color w:val="auto"/>
          <w:sz w:val="24"/>
          <w:szCs w:val="24"/>
          <w:highlight w:val="none"/>
        </w:rPr>
        <w:t>三、本合同适用的语言文字</w:t>
      </w:r>
      <w:bookmarkEnd w:id="13"/>
    </w:p>
    <w:p w14:paraId="5E125EB6">
      <w:pPr>
        <w:spacing w:line="360" w:lineRule="auto"/>
        <w:ind w:firstLine="420"/>
        <w:rPr>
          <w:rFonts w:ascii="宋体" w:hAnsi="宋体" w:cs="宋体"/>
          <w:color w:val="auto"/>
          <w:sz w:val="24"/>
          <w:szCs w:val="24"/>
          <w:highlight w:val="none"/>
        </w:rPr>
      </w:pPr>
      <w:r>
        <w:rPr>
          <w:rFonts w:hint="eastAsia" w:ascii="宋体" w:hAnsi="宋体" w:cs="宋体"/>
          <w:snapToGrid w:val="0"/>
          <w:color w:val="auto"/>
          <w:sz w:val="24"/>
          <w:szCs w:val="24"/>
          <w:highlight w:val="none"/>
        </w:rPr>
        <w:t>本合同及其补充协议、甲乙双方来往文件等均使用中文书写。使用其他文字书写的对双方均不具有法律约束力，但如翻译成中文并经双方法定代表人（或其</w:t>
      </w:r>
      <w:r>
        <w:rPr>
          <w:rFonts w:hint="eastAsia" w:ascii="宋体" w:hAnsi="宋体" w:cs="宋体"/>
          <w:color w:val="auto"/>
          <w:sz w:val="24"/>
          <w:szCs w:val="24"/>
          <w:highlight w:val="none"/>
        </w:rPr>
        <w:t>委托代理人）签字或双方盖章确认的，则对双方均具有法律约束力。</w:t>
      </w:r>
    </w:p>
    <w:p w14:paraId="3016C346">
      <w:pPr>
        <w:widowControl/>
        <w:spacing w:line="360" w:lineRule="auto"/>
        <w:ind w:firstLine="200"/>
        <w:jc w:val="left"/>
        <w:outlineLvl w:val="1"/>
        <w:rPr>
          <w:rFonts w:ascii="宋体" w:hAnsi="宋体" w:cs="宋体"/>
          <w:color w:val="auto"/>
          <w:sz w:val="24"/>
          <w:szCs w:val="24"/>
          <w:highlight w:val="none"/>
        </w:rPr>
      </w:pPr>
      <w:bookmarkStart w:id="14" w:name="_Toc23844"/>
      <w:r>
        <w:rPr>
          <w:rFonts w:hint="eastAsia" w:ascii="宋体" w:hAnsi="宋体" w:cs="宋体"/>
          <w:b/>
          <w:bCs/>
          <w:color w:val="auto"/>
          <w:sz w:val="24"/>
          <w:szCs w:val="24"/>
          <w:highlight w:val="none"/>
        </w:rPr>
        <w:t>四</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内容</w:t>
      </w:r>
      <w:r>
        <w:rPr>
          <w:rFonts w:hint="eastAsia" w:ascii="宋体" w:hAnsi="宋体" w:cs="宋体"/>
          <w:b/>
          <w:bCs/>
          <w:color w:val="auto"/>
          <w:sz w:val="24"/>
          <w:szCs w:val="24"/>
          <w:highlight w:val="none"/>
        </w:rPr>
        <w:t>及相关服务</w:t>
      </w:r>
      <w:r>
        <w:rPr>
          <w:rFonts w:ascii="宋体" w:hAnsi="宋体" w:cs="宋体"/>
          <w:b/>
          <w:bCs/>
          <w:color w:val="auto"/>
          <w:sz w:val="24"/>
          <w:szCs w:val="24"/>
          <w:highlight w:val="none"/>
        </w:rPr>
        <w:t>要求</w:t>
      </w:r>
      <w:bookmarkEnd w:id="14"/>
    </w:p>
    <w:p w14:paraId="63054CC6">
      <w:pPr>
        <w:spacing w:line="360" w:lineRule="auto"/>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4.1本项目</w:t>
      </w:r>
      <w:r>
        <w:rPr>
          <w:rFonts w:ascii="宋体" w:hAnsi="宋体" w:cs="Arial"/>
          <w:color w:val="auto"/>
          <w:sz w:val="24"/>
          <w:szCs w:val="24"/>
          <w:highlight w:val="none"/>
          <w:shd w:val="clear" w:color="auto" w:fill="FFFFFF"/>
        </w:rPr>
        <w:t>工程造价咨询服务的主要内容</w:t>
      </w:r>
      <w:r>
        <w:rPr>
          <w:rFonts w:hint="eastAsia" w:ascii="宋体" w:hAnsi="宋体" w:cs="宋体"/>
          <w:color w:val="auto"/>
          <w:kern w:val="0"/>
          <w:sz w:val="24"/>
          <w:szCs w:val="24"/>
          <w:highlight w:val="none"/>
        </w:rPr>
        <w:t>具体如下：</w:t>
      </w:r>
    </w:p>
    <w:tbl>
      <w:tblPr>
        <w:tblStyle w:val="12"/>
        <w:tblW w:w="88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070"/>
        <w:gridCol w:w="7122"/>
      </w:tblGrid>
      <w:tr w14:paraId="121EA8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9" w:hRule="atLeast"/>
          <w:tblHeader/>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1A41C">
            <w:pPr>
              <w:shd w:val="solid" w:color="FFFFFF" w:fill="auto"/>
              <w:autoSpaceDN w:val="0"/>
              <w:spacing w:line="276" w:lineRule="auto"/>
              <w:contextualSpacing/>
              <w:jc w:val="center"/>
              <w:rPr>
                <w:rFonts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序号</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19286">
            <w:pPr>
              <w:shd w:val="solid" w:color="FFFFFF" w:fill="auto"/>
              <w:autoSpaceDN w:val="0"/>
              <w:spacing w:line="276" w:lineRule="auto"/>
              <w:contextualSpacing/>
              <w:jc w:val="center"/>
              <w:rPr>
                <w:rFonts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7C6B9">
            <w:pPr>
              <w:shd w:val="solid" w:color="FFFFFF" w:fill="auto"/>
              <w:autoSpaceDN w:val="0"/>
              <w:spacing w:line="276" w:lineRule="auto"/>
              <w:contextualSpacing/>
              <w:jc w:val="center"/>
              <w:rPr>
                <w:rFonts w:ascii="宋体" w:hAnsi="宋体" w:eastAsia="宋体" w:cs="宋体"/>
                <w:b/>
                <w:color w:val="auto"/>
                <w:szCs w:val="21"/>
                <w:highlight w:val="none"/>
                <w:shd w:val="clear" w:color="auto" w:fill="FFFFFF"/>
              </w:rPr>
            </w:pPr>
            <w:r>
              <w:rPr>
                <w:rFonts w:hint="eastAsia" w:ascii="宋体" w:hAnsi="宋体" w:eastAsia="宋体" w:cs="宋体"/>
                <w:b/>
                <w:color w:val="auto"/>
                <w:kern w:val="0"/>
                <w:szCs w:val="21"/>
                <w:highlight w:val="none"/>
                <w:shd w:val="clear" w:color="auto" w:fill="FFFFFF"/>
              </w:rPr>
              <w:t>服务内容</w:t>
            </w:r>
          </w:p>
        </w:tc>
      </w:tr>
      <w:tr w14:paraId="3A44AB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18AF8E">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EC9608">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rPr>
              <w:t>概算阶段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C6E75C">
            <w:pPr>
              <w:widowControl/>
              <w:spacing w:line="276"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1.按照项目设计初步方案与相关资料进行相应的估算审核</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根据批准的可研估算提供各专业工程限额设计指标及设计优化建议</w:t>
            </w:r>
            <w:r>
              <w:rPr>
                <w:rFonts w:hint="eastAsia" w:ascii="宋体" w:hAnsi="宋体" w:eastAsia="宋体" w:cs="宋体"/>
                <w:color w:val="auto"/>
                <w:kern w:val="0"/>
                <w:szCs w:val="21"/>
                <w:highlight w:val="none"/>
              </w:rPr>
              <w:t>。</w:t>
            </w:r>
          </w:p>
          <w:p w14:paraId="7886A541">
            <w:pPr>
              <w:widowControl/>
              <w:spacing w:line="276"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负责按招标人要求，独立编制预算深度的概算文件（需提供计量模型及手算稿、计价文件、询价文件、造价指标分析表等资料）</w:t>
            </w:r>
            <w:r>
              <w:rPr>
                <w:rFonts w:hint="eastAsia" w:ascii="宋体" w:hAnsi="宋体" w:eastAsia="宋体" w:cs="宋体"/>
                <w:color w:val="auto"/>
                <w:kern w:val="0"/>
                <w:szCs w:val="21"/>
                <w:highlight w:val="none"/>
              </w:rPr>
              <w:t>。</w:t>
            </w:r>
          </w:p>
          <w:p w14:paraId="659B66BC">
            <w:pPr>
              <w:widowControl/>
              <w:spacing w:line="276"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协助招标人督促勘察设计施工总承包单位按要求报送</w:t>
            </w:r>
            <w:r>
              <w:rPr>
                <w:rFonts w:hint="eastAsia" w:ascii="宋体" w:hAnsi="宋体" w:eastAsia="宋体" w:cs="宋体"/>
                <w:color w:val="auto"/>
                <w:kern w:val="0"/>
                <w:szCs w:val="21"/>
                <w:highlight w:val="none"/>
              </w:rPr>
              <w:t>设计概算,</w:t>
            </w:r>
            <w:r>
              <w:rPr>
                <w:rFonts w:hint="eastAsia" w:ascii="宋体" w:hAnsi="宋体" w:cs="宋体"/>
                <w:color w:val="auto"/>
                <w:kern w:val="0"/>
                <w:szCs w:val="21"/>
                <w:highlight w:val="none"/>
              </w:rPr>
              <w:t>审核对数及评审</w:t>
            </w:r>
            <w:r>
              <w:rPr>
                <w:rFonts w:hint="eastAsia" w:ascii="宋体" w:hAnsi="宋体" w:cs="宋体"/>
                <w:color w:val="auto"/>
                <w:kern w:val="0"/>
                <w:szCs w:val="21"/>
                <w:highlight w:val="none"/>
                <w:lang w:val="en-US" w:eastAsia="zh-CN"/>
              </w:rPr>
              <w:t>报送的</w:t>
            </w:r>
            <w:r>
              <w:rPr>
                <w:rFonts w:hint="eastAsia" w:ascii="宋体" w:hAnsi="宋体" w:cs="宋体"/>
                <w:color w:val="auto"/>
                <w:kern w:val="0"/>
                <w:szCs w:val="21"/>
                <w:highlight w:val="none"/>
              </w:rPr>
              <w:t>概算文件，按招标人要求提交概算审核、评审意见，</w:t>
            </w:r>
            <w:r>
              <w:rPr>
                <w:rFonts w:hint="eastAsia" w:ascii="宋体" w:hAnsi="宋体" w:cs="宋体"/>
                <w:color w:val="auto"/>
                <w:kern w:val="0"/>
                <w:szCs w:val="21"/>
                <w:highlight w:val="none"/>
                <w:lang w:val="en-US" w:eastAsia="zh-CN"/>
              </w:rPr>
              <w:t>并根据</w:t>
            </w:r>
            <w:r>
              <w:rPr>
                <w:rFonts w:hint="eastAsia" w:ascii="宋体" w:hAnsi="宋体" w:eastAsia="宋体" w:cs="宋体"/>
                <w:color w:val="auto"/>
                <w:kern w:val="0"/>
                <w:szCs w:val="21"/>
                <w:highlight w:val="none"/>
              </w:rPr>
              <w:t>批</w:t>
            </w:r>
            <w:r>
              <w:rPr>
                <w:rFonts w:hint="eastAsia" w:ascii="宋体" w:hAnsi="宋体" w:cs="宋体"/>
                <w:color w:val="auto"/>
                <w:kern w:val="0"/>
                <w:szCs w:val="21"/>
                <w:highlight w:val="none"/>
                <w:lang w:val="en-US" w:eastAsia="zh-CN"/>
              </w:rPr>
              <w:t>准</w:t>
            </w:r>
            <w:r>
              <w:rPr>
                <w:rFonts w:hint="eastAsia" w:ascii="宋体" w:hAnsi="宋体" w:eastAsia="宋体" w:cs="宋体"/>
                <w:color w:val="auto"/>
                <w:kern w:val="0"/>
                <w:szCs w:val="21"/>
                <w:highlight w:val="none"/>
              </w:rPr>
              <w:t>的设计概算</w:t>
            </w:r>
            <w:r>
              <w:rPr>
                <w:rFonts w:hint="eastAsia" w:ascii="宋体" w:hAnsi="宋体" w:cs="宋体"/>
                <w:kern w:val="0"/>
                <w:szCs w:val="21"/>
                <w:highlight w:val="none"/>
              </w:rPr>
              <w:t>审核并提出</w:t>
            </w:r>
            <w:r>
              <w:rPr>
                <w:rFonts w:hint="eastAsia" w:ascii="宋体" w:hAnsi="宋体" w:cs="宋体"/>
                <w:color w:val="auto"/>
                <w:kern w:val="0"/>
                <w:szCs w:val="21"/>
                <w:highlight w:val="none"/>
                <w:lang w:val="en-US" w:eastAsia="zh-CN"/>
              </w:rPr>
              <w:t>项目</w:t>
            </w:r>
            <w:r>
              <w:rPr>
                <w:rFonts w:hint="eastAsia" w:ascii="宋体" w:hAnsi="宋体" w:cs="宋体"/>
                <w:kern w:val="0"/>
                <w:szCs w:val="21"/>
                <w:highlight w:val="none"/>
              </w:rPr>
              <w:t>各专业工程</w:t>
            </w:r>
            <w:r>
              <w:rPr>
                <w:rFonts w:hint="eastAsia" w:ascii="宋体" w:hAnsi="宋体" w:cs="宋体"/>
                <w:color w:val="auto"/>
                <w:kern w:val="0"/>
                <w:szCs w:val="21"/>
                <w:highlight w:val="none"/>
              </w:rPr>
              <w:t>造价指标分析表</w:t>
            </w:r>
            <w:r>
              <w:rPr>
                <w:rFonts w:hint="eastAsia" w:ascii="宋体" w:hAnsi="宋体" w:eastAsia="宋体" w:cs="宋体"/>
                <w:color w:val="auto"/>
                <w:kern w:val="0"/>
                <w:szCs w:val="21"/>
                <w:highlight w:val="none"/>
              </w:rPr>
              <w:t>。</w:t>
            </w:r>
          </w:p>
          <w:p w14:paraId="7E2BD840">
            <w:pPr>
              <w:widowControl/>
              <w:spacing w:line="276" w:lineRule="auto"/>
              <w:contextualSpacing/>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cs="宋体"/>
                <w:kern w:val="0"/>
                <w:szCs w:val="21"/>
                <w:highlight w:val="none"/>
              </w:rPr>
              <w:t>跟进概算评审的各阶段工作，及时反馈意见，对评审工作进行分解分析，给出专业意见及合理化建议。</w:t>
            </w:r>
          </w:p>
          <w:p w14:paraId="3C6CD3CD">
            <w:pPr>
              <w:widowControl/>
              <w:spacing w:line="276"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.负责对设计中采用的主材、设备等提供市场信息，进行方案比较，提出优化建议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根据</w:t>
            </w:r>
            <w:r>
              <w:rPr>
                <w:rFonts w:hint="eastAsia" w:ascii="宋体" w:hAnsi="宋体" w:eastAsia="宋体" w:cs="宋体"/>
                <w:color w:val="auto"/>
                <w:kern w:val="0"/>
                <w:szCs w:val="21"/>
                <w:highlight w:val="none"/>
              </w:rPr>
              <w:t>批</w:t>
            </w:r>
            <w:r>
              <w:rPr>
                <w:rFonts w:hint="eastAsia" w:ascii="宋体" w:hAnsi="宋体" w:cs="宋体"/>
                <w:color w:val="auto"/>
                <w:kern w:val="0"/>
                <w:szCs w:val="21"/>
                <w:highlight w:val="none"/>
                <w:lang w:val="en-US" w:eastAsia="zh-CN"/>
              </w:rPr>
              <w:t>准</w:t>
            </w:r>
            <w:r>
              <w:rPr>
                <w:rFonts w:hint="eastAsia" w:ascii="宋体" w:hAnsi="宋体" w:eastAsia="宋体" w:cs="宋体"/>
                <w:color w:val="auto"/>
                <w:kern w:val="0"/>
                <w:szCs w:val="21"/>
                <w:highlight w:val="none"/>
              </w:rPr>
              <w:t>的设计概算</w:t>
            </w:r>
            <w:r>
              <w:rPr>
                <w:rFonts w:hint="eastAsia" w:ascii="宋体" w:hAnsi="宋体" w:cs="宋体"/>
                <w:kern w:val="0"/>
                <w:szCs w:val="21"/>
                <w:highlight w:val="none"/>
              </w:rPr>
              <w:t>审核并</w:t>
            </w:r>
            <w:r>
              <w:rPr>
                <w:rFonts w:hint="eastAsia" w:ascii="宋体" w:hAnsi="宋体" w:cs="宋体"/>
                <w:kern w:val="0"/>
                <w:szCs w:val="21"/>
                <w:highlight w:val="none"/>
                <w:lang w:val="en-US" w:eastAsia="zh-CN"/>
              </w:rPr>
              <w:t>整理</w:t>
            </w:r>
            <w:r>
              <w:rPr>
                <w:rFonts w:hint="eastAsia" w:ascii="宋体" w:hAnsi="宋体" w:cs="宋体"/>
                <w:color w:val="auto"/>
                <w:kern w:val="0"/>
                <w:szCs w:val="21"/>
                <w:highlight w:val="none"/>
                <w:lang w:val="en-US" w:eastAsia="zh-CN"/>
              </w:rPr>
              <w:t>项目材料设备品牌表及询价表</w:t>
            </w:r>
            <w:r>
              <w:rPr>
                <w:rFonts w:hint="eastAsia" w:ascii="宋体" w:hAnsi="宋体" w:eastAsia="宋体" w:cs="宋体"/>
                <w:color w:val="auto"/>
                <w:kern w:val="0"/>
                <w:szCs w:val="21"/>
                <w:highlight w:val="none"/>
              </w:rPr>
              <w:t>。</w:t>
            </w:r>
          </w:p>
          <w:p w14:paraId="408E7291">
            <w:pPr>
              <w:widowControl/>
              <w:spacing w:line="276"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.负责参加设计方案论证、工程图纸会审、变更论证等专题会，提出造价专业意见。</w:t>
            </w:r>
          </w:p>
          <w:p w14:paraId="7622F547">
            <w:pPr>
              <w:widowControl/>
              <w:spacing w:line="276"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.根据确定的设计方案编制详细的工程成本预测和资金流量预测分析，以作为进度和成本控制的目标；随设计的深入定期分析工程成本、定期修正资金流量预测。</w:t>
            </w:r>
          </w:p>
          <w:p w14:paraId="6C2EC819">
            <w:pPr>
              <w:widowControl/>
              <w:spacing w:line="276"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.若初步设计图纸未能达到限额设计时，依据经济数据分析数据对设计内容进行可行的优化方案建议，供</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参考。</w:t>
            </w:r>
          </w:p>
          <w:p w14:paraId="0B20EDA3">
            <w:pPr>
              <w:widowControl/>
              <w:spacing w:line="276"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.负责按发包人要求编制清单计价模式等各类造价管理文件。</w:t>
            </w:r>
          </w:p>
          <w:p w14:paraId="5603ED71">
            <w:pPr>
              <w:widowControl/>
              <w:spacing w:line="276" w:lineRule="auto"/>
              <w:contextualSpacing/>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.负责审核工程建设其他费用的合同价及报价方案。</w:t>
            </w:r>
          </w:p>
          <w:p w14:paraId="1762988E">
            <w:pPr>
              <w:widowControl/>
              <w:spacing w:line="276"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11.参加</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组织召开的造价相关问题协调会或讨论会。</w:t>
            </w:r>
          </w:p>
          <w:p w14:paraId="235FED13">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在该阶段关于概算审核的其他服务需求。</w:t>
            </w:r>
          </w:p>
        </w:tc>
      </w:tr>
      <w:tr w14:paraId="0C71AC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22729">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35F36">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rPr>
              <w:t>施工图预算阶段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1E36D">
            <w:pPr>
              <w:widowControl/>
              <w:numPr>
                <w:ilvl w:val="-1"/>
                <w:numId w:val="0"/>
              </w:numPr>
              <w:spacing w:line="276" w:lineRule="auto"/>
              <w:contextualSpacing/>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负责按招标人要求</w:t>
            </w:r>
            <w:r>
              <w:rPr>
                <w:rFonts w:hint="eastAsia" w:ascii="宋体" w:hAnsi="宋体" w:cs="宋体"/>
                <w:color w:val="auto"/>
                <w:kern w:val="0"/>
                <w:szCs w:val="21"/>
                <w:highlight w:val="none"/>
                <w:lang w:val="en-US" w:eastAsia="zh-CN"/>
              </w:rPr>
              <w:t>，独立编制施工图预算文件，（需提供计量模型及手算稿、计价文件、询价文件、造价指标分析表等资料）。</w:t>
            </w:r>
          </w:p>
          <w:p w14:paraId="6BB22514">
            <w:pPr>
              <w:widowControl/>
              <w:numPr>
                <w:ilvl w:val="-1"/>
                <w:numId w:val="0"/>
              </w:numPr>
              <w:spacing w:line="276" w:lineRule="auto"/>
              <w:contextualSpacing/>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2.协助招标人督促总承包单位按要求报送施工图预</w:t>
            </w:r>
            <w:r>
              <w:rPr>
                <w:rFonts w:hint="eastAsia" w:ascii="宋体" w:hAnsi="宋体" w:eastAsia="宋体" w:cs="宋体"/>
                <w:color w:val="auto"/>
                <w:kern w:val="0"/>
                <w:szCs w:val="21"/>
                <w:highlight w:val="none"/>
              </w:rPr>
              <w:t>算</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审核对数及评审施工图预算（含设计图纸修改后调整相应预算），按招标人要求提交审核报告，整理造价指标分析表</w:t>
            </w:r>
            <w:r>
              <w:rPr>
                <w:rFonts w:hint="eastAsia" w:ascii="宋体" w:hAnsi="宋体" w:cs="宋体"/>
                <w:color w:val="auto"/>
                <w:kern w:val="0"/>
                <w:szCs w:val="21"/>
                <w:highlight w:val="none"/>
                <w:lang w:eastAsia="zh-CN"/>
              </w:rPr>
              <w:t>。</w:t>
            </w:r>
          </w:p>
          <w:p w14:paraId="27CFF927">
            <w:pPr>
              <w:widowControl/>
              <w:spacing w:line="276" w:lineRule="auto"/>
              <w:contextualSpacing/>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负责对设计中采用的主材、设备等提供市场信息，进行方案比较，提出优化建议</w:t>
            </w:r>
            <w:r>
              <w:rPr>
                <w:rFonts w:hint="eastAsia" w:ascii="宋体" w:hAnsi="宋体" w:cs="宋体"/>
                <w:color w:val="auto"/>
                <w:kern w:val="0"/>
                <w:szCs w:val="21"/>
                <w:highlight w:val="none"/>
                <w:lang w:eastAsia="zh-CN"/>
              </w:rPr>
              <w:t>，</w:t>
            </w:r>
            <w:r>
              <w:rPr>
                <w:rFonts w:hint="eastAsia" w:ascii="宋体" w:hAnsi="宋体" w:cs="宋体"/>
                <w:kern w:val="0"/>
                <w:szCs w:val="21"/>
                <w:highlight w:val="none"/>
              </w:rPr>
              <w:t>审核并</w:t>
            </w:r>
            <w:r>
              <w:rPr>
                <w:rFonts w:hint="eastAsia" w:ascii="宋体" w:hAnsi="宋体" w:cs="宋体"/>
                <w:kern w:val="0"/>
                <w:szCs w:val="21"/>
                <w:highlight w:val="none"/>
                <w:lang w:val="en-US" w:eastAsia="zh-CN"/>
              </w:rPr>
              <w:t>整理</w:t>
            </w:r>
            <w:r>
              <w:rPr>
                <w:rFonts w:hint="eastAsia" w:ascii="宋体" w:hAnsi="宋体" w:cs="宋体"/>
                <w:color w:val="auto"/>
                <w:kern w:val="0"/>
                <w:szCs w:val="21"/>
                <w:highlight w:val="none"/>
                <w:lang w:val="en-US" w:eastAsia="zh-CN"/>
              </w:rPr>
              <w:t>项目材料设备品牌表及询价表</w:t>
            </w:r>
            <w:r>
              <w:rPr>
                <w:rFonts w:hint="eastAsia" w:ascii="宋体" w:hAnsi="宋体" w:eastAsia="宋体" w:cs="宋体"/>
                <w:color w:val="auto"/>
                <w:kern w:val="0"/>
                <w:szCs w:val="21"/>
                <w:highlight w:val="none"/>
              </w:rPr>
              <w:t>。</w:t>
            </w:r>
          </w:p>
        </w:tc>
      </w:tr>
      <w:tr w14:paraId="73916C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CE5B9D">
            <w:pPr>
              <w:shd w:val="solid" w:color="FFFFFF" w:fill="auto"/>
              <w:autoSpaceDN w:val="0"/>
              <w:spacing w:line="276" w:lineRule="auto"/>
              <w:contextualSpacing/>
              <w:rPr>
                <w:rFonts w:ascii="宋体" w:hAnsi="宋体" w:eastAsia="宋体" w:cs="宋体"/>
                <w:strike/>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5E600">
            <w:pPr>
              <w:shd w:val="solid" w:color="FFFFFF" w:fill="auto"/>
              <w:autoSpaceDN w:val="0"/>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61E31">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(1)负责按招标人要求编制招标工程量清单及招标控制价，负责进行市场调查、询价，在招标人指定地点进行对数、编制或调整等；</w:t>
            </w:r>
          </w:p>
          <w:p w14:paraId="49F440DE">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(2)负责根据设计单位的图纸及技术规范、用户需求书，编制设备、材料询价或采购清单；</w:t>
            </w:r>
          </w:p>
          <w:p w14:paraId="20688CB2">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(3)负责对中标人提出的造价问题的解答。按广州市建设工程造价管理站招标控制价备案要求提供造价文件(含编制说明、最高投标限价公布 函、招标控制价软件版、EXCEL版、XML(cos)版、指标分析表等), 并完成招标控制价备案工作；</w:t>
            </w:r>
          </w:p>
          <w:p w14:paraId="1F75CD40">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(4)负责对中标人的经济标文件或报价书等进行分析和汇总，提出造价控制建议，并形成清标报告；</w:t>
            </w:r>
          </w:p>
          <w:p w14:paraId="356FF26D">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(5)负责对合同方式和可能存在的风险因素及解决办法等提出合理化建议供招标人参考。</w:t>
            </w:r>
          </w:p>
        </w:tc>
      </w:tr>
      <w:tr w14:paraId="6A3604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A1A9D">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1BD059">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施工阶段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4F81FE">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1.施工过程中，依据合同约定条款对承包方提交的预付款申请进行审核工作。</w:t>
            </w:r>
          </w:p>
          <w:p w14:paraId="776B76EA">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2.负责按</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要求编制各类造价管理文件。</w:t>
            </w:r>
          </w:p>
          <w:p w14:paraId="333A7121">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3.制定项目总体投资进度计划，根据实际进度与每月实际投资和计划投资作分析比较，分析成本偏差的原因和修正项目投资进度计划。</w:t>
            </w:r>
          </w:p>
          <w:p w14:paraId="56B7AAF8">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4.负责施工过程造价控制（含编制方案及实施计划），审核工程量与进度款，</w:t>
            </w: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auto"/>
                <w:szCs w:val="21"/>
                <w:highlight w:val="none"/>
                <w:shd w:val="clear" w:color="auto" w:fill="FFFFFF"/>
              </w:rPr>
              <w:t>个日历天内完成。</w:t>
            </w:r>
          </w:p>
          <w:p w14:paraId="25DD3D1C">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5.根据经验主动地、有预见性地提醒</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节约费用，防范工期索赔，负责协助</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合同索赔处理，参加合同变更谈判，负责处理合同变更，向</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提供专业评估意见及估算书，维护</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的合法权益。</w:t>
            </w:r>
          </w:p>
          <w:p w14:paraId="3F464E97">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6.负责编制或审核每月项目建安费用资金计划，建立合同台账、支付台账、工程</w:t>
            </w:r>
            <w:r>
              <w:rPr>
                <w:rFonts w:hint="eastAsia" w:ascii="宋体" w:hAnsi="宋体" w:cs="宋体"/>
                <w:color w:val="auto"/>
                <w:szCs w:val="21"/>
                <w:highlight w:val="none"/>
                <w:shd w:val="clear" w:color="auto" w:fill="FFFFFF"/>
                <w:lang w:val="en-US" w:eastAsia="zh-CN"/>
              </w:rPr>
              <w:t>签证</w:t>
            </w:r>
            <w:r>
              <w:rPr>
                <w:rFonts w:hint="eastAsia" w:ascii="宋体" w:hAnsi="宋体" w:eastAsia="宋体" w:cs="宋体"/>
                <w:color w:val="auto"/>
                <w:szCs w:val="21"/>
                <w:highlight w:val="none"/>
                <w:shd w:val="clear" w:color="auto" w:fill="FFFFFF"/>
              </w:rPr>
              <w:t>变更管理等相关台账（按变更原因分类）、动态投资台账，负责每个季度月底前提交工程项目整体结算价预估分析、动态成本（须与目标成本对比分析偏差原因及解决方案），统计分析工程投资情况，定期向</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汇报，为投资控制提供依据，确保工程总投资控制在合理范围内。</w:t>
            </w:r>
          </w:p>
          <w:p w14:paraId="60225C3C">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负责定期召开造价控制会议，参与选择技术经济性最佳的方案，控制好技术设计和施工图设计的不合理变更，集中会审现场签证、工程变更的工程量和造价预算，确认变更价款。负责每月提交工程变更（包括：图纸会审、图纸修改、工程洽商等）对造价影响分析，及成本控制报告。</w:t>
            </w:r>
          </w:p>
          <w:p w14:paraId="4CA8BD02">
            <w:pPr>
              <w:widowControl/>
              <w:spacing w:line="276" w:lineRule="auto"/>
              <w:contextualSpacing/>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8.负责定期收集和整理有关设备材料的市场价格动态信息，对施工方案、材料选用提供成本控制建议。每月提交人工机械主材设备价格造价影响分析。</w:t>
            </w:r>
            <w:r>
              <w:rPr>
                <w:rFonts w:hint="eastAsia" w:ascii="宋体" w:hAnsi="宋体" w:cs="宋体"/>
                <w:color w:val="auto"/>
                <w:szCs w:val="21"/>
                <w:highlight w:val="none"/>
                <w:shd w:val="clear" w:color="auto" w:fill="FFFFFF"/>
                <w:lang w:val="en-US" w:eastAsia="zh-CN"/>
              </w:rPr>
              <w:t>对</w:t>
            </w:r>
            <w:r>
              <w:rPr>
                <w:rFonts w:hint="eastAsia" w:ascii="宋体" w:hAnsi="宋体" w:cs="宋体"/>
                <w:kern w:val="0"/>
                <w:szCs w:val="21"/>
                <w:highlight w:val="none"/>
              </w:rPr>
              <w:t>材料设备看样定板会签</w:t>
            </w:r>
            <w:r>
              <w:rPr>
                <w:rFonts w:hint="eastAsia" w:ascii="宋体" w:hAnsi="宋体" w:cs="宋体"/>
                <w:kern w:val="0"/>
                <w:szCs w:val="21"/>
                <w:highlight w:val="none"/>
                <w:lang w:eastAsia="zh-CN"/>
              </w:rPr>
              <w:t>。</w:t>
            </w:r>
          </w:p>
          <w:p w14:paraId="4F767BB8">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9.施工过程中，参与工程量计量及工程进度款支付的复核工作；参与工程变更及现场签证的计量、计价复核工作；及时按</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要求编制工程变更估算、审核工程变更预算、现场签证。</w:t>
            </w:r>
          </w:p>
          <w:p w14:paraId="19ED77A8">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10.根据</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的需要参与合同谈判、合同价款修正及调整的审核。</w:t>
            </w:r>
          </w:p>
          <w:p w14:paraId="6F9B1510">
            <w:pPr>
              <w:widowControl/>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11.工程建设其他费用合同的审核以及报价方案的审核。</w:t>
            </w:r>
          </w:p>
          <w:p w14:paraId="7CD57CA6">
            <w:pPr>
              <w:widowControl/>
              <w:numPr>
                <w:ilvl w:val="0"/>
                <w:numId w:val="0"/>
              </w:numPr>
              <w:spacing w:line="276" w:lineRule="auto"/>
              <w:contextualSpacing/>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2"/>
                <w:sz w:val="21"/>
                <w:szCs w:val="21"/>
                <w:shd w:val="clear" w:fill="FFFFFF"/>
                <w:lang w:val="en-US" w:eastAsia="zh-CN" w:bidi="ar-SA"/>
              </w:rPr>
              <w:t>12.</w:t>
            </w:r>
            <w:r>
              <w:rPr>
                <w:rFonts w:hint="eastAsia" w:ascii="宋体" w:hAnsi="宋体" w:eastAsia="宋体" w:cs="宋体"/>
                <w:color w:val="auto"/>
                <w:szCs w:val="21"/>
                <w:highlight w:val="none"/>
                <w:shd w:val="clear" w:color="auto" w:fill="FFFFFF"/>
              </w:rPr>
              <w:t>按需要与</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一起到工地现场解决有关造价事宜；全过程成本控制，主动、及时地发现并向招标人汇报任何可能影响成本的事项，提出相关改善建议。</w:t>
            </w:r>
          </w:p>
          <w:p w14:paraId="690E2573">
            <w:pPr>
              <w:widowControl/>
              <w:numPr>
                <w:ilvl w:val="-1"/>
                <w:numId w:val="0"/>
              </w:numPr>
              <w:spacing w:line="276" w:lineRule="auto"/>
              <w:contextualSpacing/>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13.</w:t>
            </w:r>
            <w:r>
              <w:rPr>
                <w:rFonts w:hint="eastAsia" w:ascii="宋体" w:hAnsi="宋体" w:cs="宋体"/>
                <w:color w:val="auto"/>
                <w:szCs w:val="21"/>
                <w:highlight w:val="none"/>
                <w:shd w:val="clear" w:color="auto" w:fill="FFFFFF"/>
              </w:rPr>
              <w:t>提供驻场办公服务</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办公地点为招标人办公地或项目现场，具体以招标人要求为准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，协助招标人定期组织项目现场巡检，</w:t>
            </w:r>
            <w:r>
              <w:rPr>
                <w:rFonts w:hint="eastAsia" w:ascii="宋体" w:hAnsi="宋体" w:cs="宋体"/>
                <w:color w:val="auto"/>
                <w:szCs w:val="21"/>
                <w:highlight w:val="none"/>
                <w:shd w:val="clear" w:color="auto" w:fill="FFFFFF"/>
                <w:lang w:val="en-US" w:eastAsia="zh-CN"/>
              </w:rPr>
              <w:t>提供招标人项目施工全过程现场造价巡检要点，</w:t>
            </w:r>
            <w:r>
              <w:rPr>
                <w:rFonts w:hint="eastAsia" w:ascii="宋体" w:hAnsi="宋体" w:cs="宋体"/>
                <w:color w:val="auto"/>
                <w:szCs w:val="21"/>
                <w:highlight w:val="none"/>
                <w:shd w:val="clear" w:color="auto" w:fill="FFFFFF"/>
              </w:rPr>
              <w:t>并按招标人要求按时提交巡检报告</w:t>
            </w:r>
            <w:r>
              <w:rPr>
                <w:rFonts w:hint="eastAsia" w:ascii="宋体" w:hAnsi="宋体" w:cs="宋体"/>
                <w:color w:val="auto"/>
                <w:szCs w:val="21"/>
                <w:highlight w:val="none"/>
                <w:shd w:val="clear" w:color="auto" w:fill="FFFFFF"/>
                <w:lang w:eastAsia="zh-CN"/>
              </w:rPr>
              <w:t>。</w:t>
            </w:r>
          </w:p>
          <w:p w14:paraId="2AF083D4">
            <w:pPr>
              <w:widowControl/>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在该阶段关于工程实施的其他服务需求。</w:t>
            </w:r>
          </w:p>
        </w:tc>
      </w:tr>
      <w:tr w14:paraId="58B230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279D28">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B52BD">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结（决）算阶段</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EE9E35">
            <w:pPr>
              <w:widowControl/>
              <w:spacing w:line="276"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(1)负责编制结算计划，建立结算台账；</w:t>
            </w:r>
          </w:p>
          <w:p w14:paraId="59A17598">
            <w:pPr>
              <w:widowControl/>
              <w:spacing w:line="276" w:lineRule="auto"/>
              <w:contextualSpacing/>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(2)负责收集和整理结算依据资料，负责组织过程结算</w:t>
            </w:r>
            <w:r>
              <w:rPr>
                <w:rFonts w:hint="eastAsia" w:ascii="宋体" w:hAnsi="宋体" w:cs="宋体"/>
                <w:color w:val="auto"/>
                <w:kern w:val="0"/>
                <w:szCs w:val="21"/>
                <w:highlight w:val="none"/>
                <w:lang w:eastAsia="zh-CN"/>
              </w:rPr>
              <w:t>；</w:t>
            </w:r>
          </w:p>
          <w:p w14:paraId="02B9F58E">
            <w:pPr>
              <w:widowControl/>
              <w:spacing w:line="276" w:lineRule="auto"/>
              <w:contextualSpacing/>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(3)负责竣工结算审核、要求收到承建(服务)单位报送的结算文件后按甲方要求的时间内出具结算审核报告</w:t>
            </w:r>
            <w:r>
              <w:rPr>
                <w:rFonts w:hint="eastAsia" w:ascii="宋体" w:hAnsi="宋体" w:cs="宋体"/>
                <w:color w:val="auto"/>
                <w:kern w:val="0"/>
                <w:szCs w:val="21"/>
                <w:highlight w:val="none"/>
                <w:lang w:eastAsia="zh-CN"/>
              </w:rPr>
              <w:t>；</w:t>
            </w:r>
          </w:p>
          <w:p w14:paraId="309F4989">
            <w:pPr>
              <w:widowControl/>
              <w:spacing w:line="276" w:lineRule="auto"/>
              <w:contextualSpacing/>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(4)配合结算定审和决算工作</w:t>
            </w:r>
            <w:r>
              <w:rPr>
                <w:rFonts w:hint="eastAsia" w:ascii="宋体" w:hAnsi="宋体" w:cs="宋体"/>
                <w:color w:val="auto"/>
                <w:kern w:val="0"/>
                <w:szCs w:val="21"/>
                <w:highlight w:val="none"/>
                <w:lang w:eastAsia="zh-CN"/>
              </w:rPr>
              <w:t>。</w:t>
            </w:r>
          </w:p>
        </w:tc>
      </w:tr>
      <w:tr w14:paraId="3531E7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94BFD">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6</w:t>
            </w:r>
          </w:p>
        </w:tc>
        <w:tc>
          <w:tcPr>
            <w:tcW w:w="10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EDCD8F">
            <w:pPr>
              <w:shd w:val="solid" w:color="FFFFFF" w:fill="auto"/>
              <w:autoSpaceDN w:val="0"/>
              <w:spacing w:line="276" w:lineRule="auto"/>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其他</w:t>
            </w:r>
          </w:p>
        </w:tc>
        <w:tc>
          <w:tcPr>
            <w:tcW w:w="7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B9196">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负责按招标人要求编制各类造价管理文件；</w:t>
            </w:r>
          </w:p>
          <w:p w14:paraId="1BD294EF">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负责委托合同价格审核；</w:t>
            </w:r>
          </w:p>
          <w:p w14:paraId="46C7C23D">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参与设计方案论证会议、技术经济方案比选、变更论证等专题会，提出造价专业意见；督促落实各阶段、各专业工程造价限额设计量化指标；</w:t>
            </w:r>
          </w:p>
          <w:p w14:paraId="06AC0BA9">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负责组织相关造价控制评审会议。视情况邀请高级经济顾问</w:t>
            </w:r>
            <w:r>
              <w:rPr>
                <w:rFonts w:hint="eastAsia" w:ascii="Times New Roman" w:hAnsi="Times New Roman" w:cs="Times New Roman"/>
                <w:color w:val="auto"/>
                <w:highlight w:val="none"/>
                <w:lang w:val="en-US" w:eastAsia="zh-CN"/>
              </w:rPr>
              <w:t>及</w:t>
            </w:r>
            <w:r>
              <w:rPr>
                <w:rFonts w:hint="eastAsia" w:ascii="Times New Roman" w:hAnsi="Times New Roman" w:eastAsia="宋体" w:cs="Times New Roman"/>
                <w:color w:val="auto"/>
                <w:highlight w:val="none"/>
              </w:rPr>
              <w:t>邀请相应的经济专家对造价问题进行咨询把关；</w:t>
            </w:r>
          </w:p>
          <w:p w14:paraId="5B2B3FA7">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配合招标人编制详细的工程成本预测和资金流量预测分析，以作为进度和成本控制的目标；随设计的深入</w:t>
            </w:r>
            <w:r>
              <w:rPr>
                <w:rFonts w:hint="eastAsia" w:ascii="Times New Roman" w:hAnsi="Times New Roman" w:eastAsia="宋体" w:cs="Times New Roman"/>
                <w:color w:val="auto"/>
                <w:highlight w:val="none"/>
                <w:lang w:eastAsia="zh-CN"/>
              </w:rPr>
              <w:t>根据甲方要求</w:t>
            </w:r>
            <w:r>
              <w:rPr>
                <w:rFonts w:hint="eastAsia" w:ascii="Times New Roman" w:hAnsi="Times New Roman" w:eastAsia="宋体" w:cs="Times New Roman"/>
                <w:color w:val="auto"/>
                <w:highlight w:val="none"/>
              </w:rPr>
              <w:t>定期</w:t>
            </w:r>
            <w:r>
              <w:rPr>
                <w:rFonts w:hint="eastAsia" w:ascii="Times New Roman" w:hAnsi="Times New Roman" w:eastAsia="宋体" w:cs="Times New Roman"/>
                <w:color w:val="auto"/>
                <w:highlight w:val="none"/>
                <w:lang w:val="en-US" w:eastAsia="zh-CN"/>
              </w:rPr>
              <w:t>一个月一次</w:t>
            </w:r>
            <w:r>
              <w:rPr>
                <w:rFonts w:hint="eastAsia" w:ascii="Times New Roman" w:hAnsi="Times New Roman" w:eastAsia="宋体" w:cs="Times New Roman"/>
                <w:color w:val="auto"/>
                <w:highlight w:val="none"/>
              </w:rPr>
              <w:t>分析工程成本、定期修正资金流量预测；</w:t>
            </w:r>
          </w:p>
          <w:p w14:paraId="52BCF05E">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 招标人安排的其他造价管理工作，如投资匡算、培训等：</w:t>
            </w:r>
          </w:p>
          <w:p w14:paraId="3B22B0FB">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 设计费、监理费和检测监测费等费用审核；</w:t>
            </w:r>
          </w:p>
          <w:p w14:paraId="1BDD3A68">
            <w:pPr>
              <w:widowControl/>
              <w:spacing w:line="240" w:lineRule="auto"/>
              <w:contextualSpacing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 按要求配合项目审计工作；</w:t>
            </w:r>
          </w:p>
          <w:p w14:paraId="09F343F2">
            <w:pPr>
              <w:widowControl/>
              <w:spacing w:line="240" w:lineRule="auto"/>
              <w:contextualSpacing w:val="0"/>
              <w:rPr>
                <w:rFonts w:hint="eastAsia" w:ascii="Times New Roman" w:hAnsi="Times New Roman" w:eastAsia="宋体" w:cs="Times New Roman"/>
                <w:color w:val="auto"/>
                <w:spacing w:val="7"/>
                <w:highlight w:val="none"/>
              </w:rPr>
            </w:pPr>
            <w:r>
              <w:rPr>
                <w:rFonts w:hint="eastAsia" w:ascii="Times New Roman" w:hAnsi="Times New Roman" w:eastAsia="宋体" w:cs="Times New Roman"/>
                <w:color w:val="auto"/>
                <w:highlight w:val="none"/>
              </w:rPr>
              <w:t xml:space="preserve">(9) </w:t>
            </w:r>
            <w:r>
              <w:rPr>
                <w:rFonts w:hint="eastAsia" w:ascii="Times New Roman" w:hAnsi="Times New Roman" w:eastAsia="宋体" w:cs="Times New Roman"/>
                <w:color w:val="auto"/>
                <w:spacing w:val="7"/>
                <w:highlight w:val="none"/>
              </w:rPr>
              <w:t>负责预算、结算与施工单位对数工作。</w:t>
            </w:r>
          </w:p>
          <w:p w14:paraId="5EF10AAF">
            <w:pPr>
              <w:widowControl/>
              <w:jc w:val="left"/>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(10) 对施工图纸进行审核，确保施工图达到设计深度，无减少和变更。</w:t>
            </w:r>
          </w:p>
          <w:p w14:paraId="2D198303">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(11) 提供主要设备及原材料清单。</w:t>
            </w:r>
          </w:p>
          <w:p w14:paraId="1DAF04FC">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(1</w:t>
            </w:r>
            <w:r>
              <w:rPr>
                <w:rFonts w:hint="eastAsia" w:ascii="Times New Roman" w:hAnsi="Times New Roman" w:cs="Times New Roman"/>
                <w:color w:val="auto"/>
                <w:highlight w:val="none"/>
                <w:lang w:val="en-US" w:eastAsia="zh-CN"/>
              </w:rPr>
              <w:t>2</w:t>
            </w:r>
            <w:r>
              <w:rPr>
                <w:rFonts w:hint="eastAsia" w:ascii="Times New Roman" w:hAnsi="Times New Roman" w:eastAsia="宋体" w:cs="Times New Roman"/>
                <w:color w:val="auto"/>
                <w:highlight w:val="none"/>
              </w:rPr>
              <w:t xml:space="preserve">) </w:t>
            </w:r>
            <w:r>
              <w:rPr>
                <w:rFonts w:hint="eastAsia" w:ascii="Times New Roman" w:hAnsi="Times New Roman" w:cs="Times New Roman"/>
                <w:color w:val="auto"/>
                <w:highlight w:val="none"/>
                <w:lang w:val="en-US" w:eastAsia="zh-CN"/>
              </w:rPr>
              <w:t>按照招标人内部造价管理相关文件进行项目全过程成本控制</w:t>
            </w:r>
            <w:r>
              <w:rPr>
                <w:rFonts w:hint="eastAsia" w:ascii="Times New Roman" w:hAnsi="Times New Roman" w:eastAsia="宋体" w:cs="Times New Roman"/>
                <w:color w:val="auto"/>
                <w:highlight w:val="none"/>
              </w:rPr>
              <w:t>。</w:t>
            </w:r>
          </w:p>
        </w:tc>
      </w:tr>
    </w:tbl>
    <w:p w14:paraId="3F3C9B97">
      <w:pPr>
        <w:ind w:left="420" w:leftChars="200"/>
        <w:rPr>
          <w:rFonts w:hint="eastAsia" w:ascii="宋体" w:hAnsi="宋体" w:cs="宋体"/>
          <w:color w:val="auto"/>
          <w:kern w:val="0"/>
          <w:sz w:val="24"/>
          <w:szCs w:val="24"/>
          <w:highlight w:val="none"/>
        </w:rPr>
      </w:pPr>
    </w:p>
    <w:p w14:paraId="70CD7201">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4.2服务质量要求</w:t>
      </w:r>
    </w:p>
    <w:p w14:paraId="61156C05">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乙方应熟悉并严格按照国家、省、市有关财政、基建、工程造价方面的法律、法规，以及甲方工程造价管理业务制度要求，依据合同相关约定，本着有依有据、合法合规的原则，科学、客观、公正地开展造价咨询工作，乙方提供的</w:t>
      </w:r>
      <w:r>
        <w:rPr>
          <w:rFonts w:hint="eastAsia" w:ascii="宋体" w:hAnsi="宋体" w:cs="宋体"/>
          <w:color w:val="auto"/>
          <w:sz w:val="24"/>
          <w:szCs w:val="24"/>
          <w:highlight w:val="none"/>
        </w:rPr>
        <w:t>工程造价咨询成果文件</w:t>
      </w:r>
      <w:r>
        <w:rPr>
          <w:rFonts w:hint="eastAsia" w:ascii="宋体" w:hAnsi="宋体" w:cs="宋体"/>
          <w:color w:val="auto"/>
          <w:kern w:val="0"/>
          <w:sz w:val="24"/>
          <w:szCs w:val="24"/>
          <w:highlight w:val="none"/>
        </w:rPr>
        <w:t>应合理体现甲方控制项目投资的要求。</w:t>
      </w:r>
    </w:p>
    <w:p w14:paraId="07BF589B">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w:t>
      </w:r>
      <w:r>
        <w:rPr>
          <w:rFonts w:ascii="宋体" w:hAnsi="宋体" w:cs="宋体"/>
          <w:color w:val="auto"/>
          <w:kern w:val="0"/>
          <w:sz w:val="24"/>
          <w:szCs w:val="24"/>
          <w:highlight w:val="none"/>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w:t>
      </w:r>
      <w:r>
        <w:rPr>
          <w:rFonts w:hint="eastAsia" w:ascii="宋体" w:hAnsi="宋体" w:cs="宋体"/>
          <w:color w:val="auto"/>
          <w:kern w:val="0"/>
          <w:sz w:val="24"/>
          <w:szCs w:val="24"/>
          <w:highlight w:val="none"/>
        </w:rPr>
        <w:t>竣工结算总金额不得超出实际实施范围所对应的批复概算金额。</w:t>
      </w:r>
    </w:p>
    <w:p w14:paraId="54AC4CCE">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应确保本工程概算文件、施工图预算文件、招标工程量清单、招标控制价等的编制（审核）工作质量，开项必须齐全、工程量必须准确、造价必须合理，并满足工程投资控制和合同的约定。</w:t>
      </w:r>
    </w:p>
    <w:p w14:paraId="527D09BC">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4.2.4.乙方</w:t>
      </w:r>
      <w:r>
        <w:rPr>
          <w:rFonts w:ascii="宋体" w:hAnsi="宋体" w:cs="宋体"/>
          <w:color w:val="auto"/>
          <w:kern w:val="0"/>
          <w:sz w:val="24"/>
          <w:szCs w:val="24"/>
          <w:highlight w:val="none"/>
        </w:rPr>
        <w:t>提供的</w:t>
      </w:r>
      <w:r>
        <w:rPr>
          <w:rFonts w:hint="eastAsia" w:ascii="宋体" w:hAnsi="宋体" w:cs="宋体"/>
          <w:color w:val="auto"/>
          <w:kern w:val="0"/>
          <w:sz w:val="24"/>
          <w:szCs w:val="24"/>
          <w:highlight w:val="none"/>
        </w:rPr>
        <w:t>造价成果</w:t>
      </w:r>
      <w:r>
        <w:rPr>
          <w:rFonts w:ascii="宋体" w:hAnsi="宋体" w:cs="宋体"/>
          <w:color w:val="auto"/>
          <w:kern w:val="0"/>
          <w:sz w:val="24"/>
          <w:szCs w:val="24"/>
          <w:highlight w:val="none"/>
        </w:rPr>
        <w:t>文件应包括并不限于：编制说明、造</w:t>
      </w:r>
      <w:r>
        <w:rPr>
          <w:rFonts w:hint="eastAsia" w:ascii="宋体" w:hAnsi="宋体" w:cs="宋体"/>
          <w:color w:val="auto"/>
          <w:kern w:val="0"/>
          <w:sz w:val="24"/>
          <w:szCs w:val="24"/>
          <w:highlight w:val="none"/>
        </w:rPr>
        <w:t>价</w:t>
      </w:r>
      <w:r>
        <w:rPr>
          <w:rFonts w:ascii="宋体" w:hAnsi="宋体" w:cs="宋体"/>
          <w:color w:val="auto"/>
          <w:kern w:val="0"/>
          <w:sz w:val="24"/>
          <w:szCs w:val="24"/>
          <w:highlight w:val="none"/>
        </w:rPr>
        <w:t>文件（含软件版）、工程量计算书、经济指标分析表、</w:t>
      </w:r>
      <w:r>
        <w:rPr>
          <w:rFonts w:hint="eastAsia" w:ascii="宋体" w:hAnsi="宋体" w:cs="宋体"/>
          <w:color w:val="auto"/>
          <w:kern w:val="0"/>
          <w:sz w:val="24"/>
          <w:szCs w:val="24"/>
          <w:highlight w:val="none"/>
        </w:rPr>
        <w:t>主要设备材料价格表、</w:t>
      </w:r>
      <w:r>
        <w:rPr>
          <w:rFonts w:ascii="宋体" w:hAnsi="宋体" w:cs="宋体"/>
          <w:color w:val="auto"/>
          <w:kern w:val="0"/>
          <w:sz w:val="24"/>
          <w:szCs w:val="24"/>
          <w:highlight w:val="none"/>
        </w:rPr>
        <w:t>主要材料设备定价依据文件（含询价文件等）、审核意见落实情况说明和修改对比表等。</w:t>
      </w:r>
    </w:p>
    <w:p w14:paraId="2435A900">
      <w:pPr>
        <w:spacing w:line="360" w:lineRule="auto"/>
        <w:ind w:firstLine="420"/>
        <w:rPr>
          <w:rFonts w:ascii="宋体" w:hAnsi="宋体" w:cs="宋体"/>
          <w:color w:val="auto"/>
          <w:kern w:val="0"/>
          <w:sz w:val="24"/>
          <w:szCs w:val="24"/>
          <w:highlight w:val="none"/>
        </w:rPr>
      </w:pPr>
      <w:r>
        <w:rPr>
          <w:rFonts w:ascii="宋体" w:hAnsi="宋体" w:cs="宋体"/>
          <w:color w:val="auto"/>
          <w:kern w:val="0"/>
          <w:sz w:val="24"/>
          <w:szCs w:val="24"/>
          <w:highlight w:val="none"/>
        </w:rPr>
        <w:t>4.2.5乙方至少要提供3个同类项目的技术经济指标供甲方做决策参考。乙方负责对造价成果（含估算</w:t>
      </w:r>
      <w:r>
        <w:rPr>
          <w:rFonts w:hint="eastAsia" w:ascii="宋体" w:hAnsi="宋体" w:cs="宋体"/>
          <w:color w:val="auto"/>
          <w:kern w:val="0"/>
          <w:sz w:val="24"/>
          <w:szCs w:val="24"/>
          <w:highlight w:val="none"/>
        </w:rPr>
        <w:t>（如有）</w:t>
      </w:r>
      <w:r>
        <w:rPr>
          <w:rFonts w:ascii="宋体" w:hAnsi="宋体" w:cs="宋体"/>
          <w:color w:val="auto"/>
          <w:kern w:val="0"/>
          <w:sz w:val="24"/>
          <w:szCs w:val="24"/>
          <w:highlight w:val="none"/>
        </w:rPr>
        <w:t>及概算</w:t>
      </w:r>
      <w:r>
        <w:rPr>
          <w:rFonts w:hint="eastAsia" w:ascii="宋体" w:hAnsi="宋体" w:cs="宋体"/>
          <w:color w:val="auto"/>
          <w:kern w:val="0"/>
          <w:sz w:val="24"/>
          <w:szCs w:val="24"/>
          <w:highlight w:val="none"/>
        </w:rPr>
        <w:t>、施工图预算</w:t>
      </w:r>
      <w:r>
        <w:rPr>
          <w:rFonts w:ascii="宋体" w:hAnsi="宋体" w:cs="宋体"/>
          <w:color w:val="auto"/>
          <w:kern w:val="0"/>
          <w:sz w:val="24"/>
          <w:szCs w:val="24"/>
          <w:highlight w:val="none"/>
        </w:rPr>
        <w:t>审核结果、招标工程量清单及控制价编制成果、设计变更及合同变更等）进行分析，对比同类项目，找出技术经济指标偏离内容及原因，及时修正，并提出合理化建议。</w:t>
      </w:r>
    </w:p>
    <w:p w14:paraId="3C7F654F">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应建立健全内部控制制度、质量保证体系和档案管理制度，保证工程造价咨询成果文件的质量，对其完整性、真实性、准确性、有效性负责，并负有保密责任。</w:t>
      </w:r>
    </w:p>
    <w:p w14:paraId="69C57527">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确保工程造价咨询成果文件文字表达清晰、装订整齐。</w:t>
      </w:r>
    </w:p>
    <w:p w14:paraId="2B320C30">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确保工程造价咨询成果文件均由专业造价师（造价员）编制，由技术负责人（包括</w:t>
      </w:r>
      <w:r>
        <w:rPr>
          <w:rFonts w:hint="eastAsia" w:ascii="宋体" w:hAnsi="宋体" w:cs="宋体"/>
          <w:color w:val="auto"/>
          <w:sz w:val="24"/>
          <w:szCs w:val="24"/>
          <w:highlight w:val="none"/>
          <w:lang w:eastAsia="zh-CN"/>
        </w:rPr>
        <w:t>造价</w:t>
      </w:r>
      <w:r>
        <w:rPr>
          <w:rFonts w:hint="eastAsia" w:ascii="宋体" w:hAnsi="宋体" w:cs="宋体"/>
          <w:color w:val="auto"/>
          <w:kern w:val="0"/>
          <w:sz w:val="24"/>
          <w:szCs w:val="24"/>
          <w:highlight w:val="none"/>
        </w:rPr>
        <w:t>技术负责人、土建</w:t>
      </w:r>
      <w:r>
        <w:rPr>
          <w:rFonts w:hint="eastAsia" w:ascii="宋体" w:hAnsi="宋体" w:cs="宋体"/>
          <w:color w:val="auto"/>
          <w:sz w:val="24"/>
          <w:szCs w:val="24"/>
          <w:highlight w:val="none"/>
          <w:lang w:eastAsia="zh-CN"/>
        </w:rPr>
        <w:t>专业造价负责人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安装专业造价负责人</w:t>
      </w:r>
      <w:r>
        <w:rPr>
          <w:rFonts w:hint="eastAsia" w:ascii="宋体" w:hAnsi="宋体" w:cs="宋体"/>
          <w:color w:val="auto"/>
          <w:kern w:val="0"/>
          <w:sz w:val="24"/>
          <w:szCs w:val="24"/>
          <w:highlight w:val="none"/>
        </w:rPr>
        <w:t>）审核，由项目负责人或指挥长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定代表人签字并加盖公章。</w:t>
      </w:r>
    </w:p>
    <w:p w14:paraId="27427E70">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编制人</w:t>
      </w:r>
      <w:r>
        <w:rPr>
          <w:rFonts w:hint="eastAsia" w:ascii="宋体" w:hAnsi="宋体"/>
          <w:snapToGrid w:val="0"/>
          <w:color w:val="auto"/>
          <w:kern w:val="0"/>
          <w:sz w:val="24"/>
          <w:szCs w:val="24"/>
          <w:highlight w:val="none"/>
        </w:rPr>
        <w:t>应认真阅读、复核甲方提供书面资料的有效性、合规性，</w:t>
      </w:r>
      <w:r>
        <w:rPr>
          <w:rFonts w:hint="eastAsia" w:ascii="宋体" w:hAnsi="宋体" w:cs="宋体"/>
          <w:color w:val="auto"/>
          <w:kern w:val="0"/>
          <w:sz w:val="24"/>
          <w:szCs w:val="24"/>
          <w:highlight w:val="none"/>
        </w:rPr>
        <w:t>并应对自身所收集的工程计价基础资料和编制依据的全面性、真实性和适用性负责，全面进行工程的计量与计价，按工程造价咨询服务合同的要求编制工程造价咨询成果文件，并整理好工作过程文件。</w:t>
      </w:r>
    </w:p>
    <w:p w14:paraId="612E258A">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20B9E937">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53D24724">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乙方应建立工程造价咨询项目档案，保证项目资料的完整，不得损坏、遗失项目资料。加强项目档案管理，及时做好已完成项目的资料移交和归档工作，妥善保管至报告出具之日起十年后。</w:t>
      </w:r>
    </w:p>
    <w:p w14:paraId="1A8E1FDE">
      <w:pPr>
        <w:widowControl/>
        <w:numPr>
          <w:ilvl w:val="3"/>
          <w:numId w:val="2"/>
        </w:numPr>
        <w:spacing w:line="360" w:lineRule="auto"/>
        <w:ind w:left="0" w:firstLine="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加强信息系统管理，及时建立电子信息台账；保证在甲方信息系统中录入或审核的工程造价相关信息及时、完整。</w:t>
      </w:r>
    </w:p>
    <w:p w14:paraId="6CE6F9BD">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4.2.7审核工程量与进度款（即计量支付审核）；计量支付与进度相符，不得超付、借项支付等。</w:t>
      </w:r>
    </w:p>
    <w:p w14:paraId="71835B67">
      <w:pPr>
        <w:widowControl/>
        <w:tabs>
          <w:tab w:val="left" w:pos="0"/>
          <w:tab w:val="left" w:pos="1146"/>
        </w:tabs>
        <w:spacing w:line="360" w:lineRule="auto"/>
        <w:ind w:left="315" w:leftChars="150"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4.2.8概算审核偏差应控制在±</w:t>
      </w:r>
      <w:r>
        <w:rPr>
          <w:rFonts w:hint="default" w:ascii="宋体" w:hAnsi="宋体" w:cs="宋体"/>
          <w:color w:val="auto"/>
          <w:kern w:val="0"/>
          <w:sz w:val="24"/>
          <w:szCs w:val="24"/>
          <w:highlight w:val="none"/>
          <w:lang w:val="en-US"/>
        </w:rPr>
        <w:t>3</w:t>
      </w:r>
      <w:r>
        <w:rPr>
          <w:rFonts w:hint="eastAsia" w:ascii="宋体" w:hAnsi="宋体" w:cs="宋体"/>
          <w:color w:val="auto"/>
          <w:kern w:val="0"/>
          <w:sz w:val="24"/>
          <w:szCs w:val="24"/>
          <w:highlight w:val="none"/>
        </w:rPr>
        <w:t>%以内（概算审核偏差=（乙方审核金额-第三方或甲方复审金额）/乙方审核金额）；预算及招标控制价审核偏差应控制在±</w:t>
      </w:r>
      <w:r>
        <w:rPr>
          <w:rFonts w:hint="default" w:ascii="宋体" w:hAnsi="宋体" w:cs="宋体"/>
          <w:color w:val="auto"/>
          <w:kern w:val="0"/>
          <w:sz w:val="24"/>
          <w:szCs w:val="24"/>
          <w:highlight w:val="none"/>
          <w:lang w:val="en-US"/>
        </w:rPr>
        <w:t>2</w:t>
      </w:r>
      <w:r>
        <w:rPr>
          <w:rFonts w:hint="eastAsia" w:ascii="宋体" w:hAnsi="宋体" w:cs="宋体"/>
          <w:color w:val="auto"/>
          <w:kern w:val="0"/>
          <w:sz w:val="24"/>
          <w:szCs w:val="24"/>
          <w:highlight w:val="none"/>
        </w:rPr>
        <w:t>%以内（预算/招标控制价审核偏差=（乙方审核金额-第三方或甲方复审金额）/乙方审核金额）；竣工结算审核偏差应控制在±</w:t>
      </w:r>
      <w:r>
        <w:rPr>
          <w:rFonts w:hint="default" w:ascii="宋体" w:hAnsi="宋体" w:cs="宋体"/>
          <w:color w:val="auto"/>
          <w:kern w:val="0"/>
          <w:sz w:val="24"/>
          <w:szCs w:val="24"/>
          <w:highlight w:val="none"/>
          <w:lang w:val="en-US"/>
        </w:rPr>
        <w:t>1</w:t>
      </w:r>
      <w:r>
        <w:rPr>
          <w:rFonts w:hint="eastAsia" w:ascii="宋体" w:hAnsi="宋体" w:cs="宋体"/>
          <w:color w:val="auto"/>
          <w:kern w:val="0"/>
          <w:sz w:val="24"/>
          <w:szCs w:val="24"/>
          <w:highlight w:val="none"/>
        </w:rPr>
        <w:t>%以内（竣工结算审核偏差=（乙方审核金额-第三方或甲方复审金额）/乙方审核金额））；单项费用审核偏差应控制在±3%以内（单项费用审核偏差=（乙方审核金额-第三方或甲方复审金额）/乙方审核金额））；单项工程量审核偏差应控制在±3%以内（单项工程量审核偏差=（乙方审核工程量-第三方或甲方复审工程量）/乙方审核工程量）；新增主材价格审核偏差应控制在±5%以内（新增主材价格审核偏差=（乙方审核价格-第三方或甲方复审价格）/乙方审核价格）。</w:t>
      </w:r>
    </w:p>
    <w:p w14:paraId="3F8BC7A7">
      <w:pPr>
        <w:spacing w:line="360" w:lineRule="auto"/>
        <w:ind w:firstLine="420"/>
        <w:rPr>
          <w:rFonts w:ascii="宋体" w:hAnsi="宋体"/>
          <w:color w:val="auto"/>
          <w:sz w:val="24"/>
          <w:szCs w:val="24"/>
          <w:highlight w:val="none"/>
        </w:rPr>
      </w:pPr>
      <w:r>
        <w:rPr>
          <w:rFonts w:hint="eastAsia" w:ascii="宋体" w:hAnsi="宋体"/>
          <w:color w:val="auto"/>
          <w:sz w:val="24"/>
          <w:szCs w:val="24"/>
          <w:highlight w:val="none"/>
        </w:rPr>
        <w:t>4.3服务进度要求</w:t>
      </w:r>
    </w:p>
    <w:p w14:paraId="30A90543">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4.3.1.</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应对甲方提供资料的完整性、严谨性把关，对因范围不清晰、图纸不详导致基本工程量难以计算等情况，应在收到资料后2个工作日内向甲方提出资料补充要求。</w:t>
      </w:r>
      <w:r>
        <w:rPr>
          <w:rFonts w:hint="eastAsia" w:ascii="宋体" w:hAnsi="宋体"/>
          <w:snapToGrid w:val="0"/>
          <w:color w:val="auto"/>
          <w:kern w:val="0"/>
          <w:sz w:val="24"/>
          <w:szCs w:val="20"/>
          <w:highlight w:val="none"/>
        </w:rPr>
        <w:t>因乙方未能在上述时间内提出要求而</w:t>
      </w:r>
      <w:r>
        <w:rPr>
          <w:rFonts w:hint="eastAsia" w:ascii="宋体" w:hAnsi="宋体" w:cs="宋体"/>
          <w:color w:val="auto"/>
          <w:kern w:val="0"/>
          <w:sz w:val="24"/>
          <w:szCs w:val="24"/>
          <w:highlight w:val="none"/>
        </w:rPr>
        <w:t>造成编审进度延误或</w:t>
      </w:r>
      <w:r>
        <w:rPr>
          <w:rFonts w:hint="eastAsia" w:ascii="宋体" w:hAnsi="宋体"/>
          <w:snapToGrid w:val="0"/>
          <w:color w:val="auto"/>
          <w:kern w:val="0"/>
          <w:sz w:val="24"/>
          <w:szCs w:val="20"/>
          <w:highlight w:val="none"/>
        </w:rPr>
        <w:t>其他损失的均由乙方自行承担全部责任。</w:t>
      </w:r>
    </w:p>
    <w:p w14:paraId="7519D850">
      <w:pPr>
        <w:spacing w:line="360" w:lineRule="auto"/>
        <w:ind w:firstLine="420"/>
        <w:rPr>
          <w:rFonts w:ascii="宋体" w:hAnsi="宋体" w:cs="宋体"/>
          <w:color w:val="auto"/>
          <w:sz w:val="24"/>
          <w:szCs w:val="24"/>
          <w:highlight w:val="none"/>
        </w:rPr>
      </w:pPr>
      <w:r>
        <w:rPr>
          <w:rFonts w:hint="eastAsia" w:ascii="宋体" w:hAnsi="宋体"/>
          <w:bCs/>
          <w:snapToGrid w:val="0"/>
          <w:color w:val="auto"/>
          <w:sz w:val="24"/>
          <w:szCs w:val="24"/>
          <w:highlight w:val="none"/>
        </w:rPr>
        <w:t>4.3.2.各项服务内容的</w:t>
      </w:r>
      <w:r>
        <w:rPr>
          <w:rFonts w:hint="eastAsia" w:ascii="宋体" w:hAnsi="宋体" w:cs="宋体"/>
          <w:color w:val="auto"/>
          <w:kern w:val="0"/>
          <w:sz w:val="24"/>
          <w:szCs w:val="24"/>
          <w:highlight w:val="none"/>
        </w:rPr>
        <w:t>工作时间</w:t>
      </w:r>
      <w:r>
        <w:rPr>
          <w:rFonts w:hint="eastAsia" w:ascii="宋体" w:hAnsi="宋体"/>
          <w:bCs/>
          <w:snapToGrid w:val="0"/>
          <w:color w:val="auto"/>
          <w:sz w:val="24"/>
          <w:szCs w:val="24"/>
          <w:highlight w:val="none"/>
        </w:rPr>
        <w:t>要求（如有）（以下天数指日历天数）</w:t>
      </w:r>
    </w:p>
    <w:p w14:paraId="0939AAAF">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设计概算、施工图预算评审：自收到完整资料起，出具评审初步意见时间为：送审金额3000万元以内（含本数，下同）的内审15天，送审金额3000万元-2亿元（含本数，下同）的内审20天，送审金额2亿元以上的内审25天，特殊情况经批准后内审延长时间不超过10天；对数时间不超过内审时间，争议问题由</w:t>
      </w:r>
      <w:r>
        <w:rPr>
          <w:rFonts w:hint="eastAsia" w:ascii="宋体" w:hAnsi="宋体"/>
          <w:color w:val="auto"/>
          <w:kern w:val="0"/>
          <w:sz w:val="24"/>
          <w:szCs w:val="24"/>
          <w:highlight w:val="none"/>
        </w:rPr>
        <w:t>乙方</w:t>
      </w:r>
      <w:r>
        <w:rPr>
          <w:rFonts w:hint="eastAsia" w:ascii="宋体" w:hAnsi="宋体" w:cs="宋体"/>
          <w:color w:val="auto"/>
          <w:kern w:val="0"/>
          <w:sz w:val="24"/>
          <w:szCs w:val="24"/>
          <w:highlight w:val="none"/>
        </w:rPr>
        <w:t>项目指挥长或法定代表人主持专题会议解决；对数完成后5天内出具最终评审报告。</w:t>
      </w:r>
    </w:p>
    <w:p w14:paraId="5A231543">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（2）审核合同价格清单：自收到完整资料起5天内出具电子版审核说明。</w:t>
      </w:r>
    </w:p>
    <w:p w14:paraId="274F0A8C">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招标工程量清单、招标控制价编制：公告中招标工程量清单、招标控制价自收到甲方通知起10日内出具，终版招标工程量清单、招标控制价自收到完整资料起完成时间为：招标控制价在3000万元以内的20天，3000万元-2亿元的25天，2亿元以上的30天，特殊情况经批准后延长时间不超过10天。</w:t>
      </w:r>
    </w:p>
    <w:p w14:paraId="50B68B34">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（4）招标文件（含澄清答疑）审核：自收到资料起2天内出具电子版审核说明。</w:t>
      </w:r>
    </w:p>
    <w:p w14:paraId="2464DCCE">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（5）清标报告：自收到中标人投标文件5天内出具电子版审核说明。开标后90天内完成与中标人的对数并出具清标报告。</w:t>
      </w:r>
    </w:p>
    <w:p w14:paraId="184ACE6E">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主材单价、综合单价审核：自收到资料起完成时间为：主材3个以内5天，4-15个10天，16-30个15天，30个以上20天；综合单价3个以内3天，4-15个5天，16个以上10天；特殊情况经批准后延长时间不超过10天；争议问题由乙方项目指挥长或法定代表人主持专题会议解决。</w:t>
      </w:r>
    </w:p>
    <w:p w14:paraId="3A1EFB6F">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变更签证合同费用（含委托合同、检测费用）编制或审核：30万元以内的5天，30万元以上的10天，特殊情况经批准后延长时间不超过10天，电子版审核说明应在审核期限届满或出具正式纸质版审核说明（以时间靠前的为准）前2天出具，争议问题由乙方项目指挥长或法定代表人主持专题会议解决。</w:t>
      </w:r>
    </w:p>
    <w:p w14:paraId="324B6D93">
      <w:pPr>
        <w:widowControl/>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（8）图纸设计变更会签、材料设备看样定板会签：自收到资料起5天内完成。</w:t>
      </w:r>
    </w:p>
    <w:p w14:paraId="384CB680">
      <w:pPr>
        <w:widowControl/>
        <w:spacing w:line="360" w:lineRule="auto"/>
        <w:ind w:left="48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（9）工程进度款审核：自接受完整资料起5日完成。</w:t>
      </w:r>
    </w:p>
    <w:p w14:paraId="0BAC832E">
      <w:pPr>
        <w:widowControl/>
        <w:spacing w:line="360" w:lineRule="auto"/>
        <w:ind w:firstLine="480" w:firstLineChars="200"/>
        <w:contextualSpacing/>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（10）结算文件：</w:t>
      </w:r>
      <w:r>
        <w:rPr>
          <w:rFonts w:hint="eastAsia" w:cs="Calibri"/>
          <w:color w:val="auto"/>
          <w:sz w:val="24"/>
          <w:szCs w:val="24"/>
          <w:highlight w:val="none"/>
        </w:rPr>
        <w:t>自收到结算文件起出具结算审核报告时间为：施工类合同30日内，非施工类合同1</w:t>
      </w:r>
      <w:r>
        <w:rPr>
          <w:rFonts w:cs="Calibri"/>
          <w:color w:val="auto"/>
          <w:sz w:val="24"/>
          <w:szCs w:val="24"/>
          <w:highlight w:val="none"/>
        </w:rPr>
        <w:t>0</w:t>
      </w:r>
      <w:r>
        <w:rPr>
          <w:rFonts w:hint="eastAsia" w:cs="Calibri"/>
          <w:color w:val="auto"/>
          <w:sz w:val="24"/>
          <w:szCs w:val="24"/>
          <w:highlight w:val="none"/>
        </w:rPr>
        <w:t>日内。</w:t>
      </w:r>
    </w:p>
    <w:p w14:paraId="59EECDB3">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4.3.3.以上工作期限为正常的工作期限，特急项目的工作期限由甲方根据实际情况确定，但最短不少于1天；其他咨询服务工作由甲方视具体情况确定；对于甲方提出的疑问，乙方应在24小时内给予答复。</w:t>
      </w:r>
    </w:p>
    <w:p w14:paraId="0AB29FE7">
      <w:pPr>
        <w:spacing w:line="360" w:lineRule="auto"/>
        <w:ind w:firstLine="420"/>
        <w:rPr>
          <w:rFonts w:ascii="宋体" w:hAnsi="宋体"/>
          <w:color w:val="auto"/>
          <w:sz w:val="24"/>
          <w:szCs w:val="20"/>
          <w:highlight w:val="none"/>
        </w:rPr>
      </w:pPr>
      <w:r>
        <w:rPr>
          <w:rFonts w:hint="eastAsia" w:ascii="宋体" w:hAnsi="宋体"/>
          <w:color w:val="auto"/>
          <w:sz w:val="24"/>
          <w:szCs w:val="24"/>
          <w:highlight w:val="none"/>
        </w:rPr>
        <w:t>4.4服务人员要求</w:t>
      </w:r>
    </w:p>
    <w:p w14:paraId="0BC9BFA6">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4.4.1</w:t>
      </w:r>
      <w:r>
        <w:rPr>
          <w:rFonts w:hint="eastAsia" w:ascii="宋体" w:hAnsi="宋体"/>
          <w:color w:val="auto"/>
          <w:sz w:val="24"/>
          <w:szCs w:val="24"/>
          <w:highlight w:val="none"/>
          <w:lang w:val="zh-CN"/>
        </w:rPr>
        <w:t>为本项目提供工程</w:t>
      </w:r>
      <w:r>
        <w:rPr>
          <w:rFonts w:hint="eastAsia" w:ascii="宋体" w:hAnsi="宋体"/>
          <w:color w:val="auto"/>
          <w:sz w:val="24"/>
          <w:szCs w:val="24"/>
          <w:highlight w:val="none"/>
        </w:rPr>
        <w:t>造价咨询服务的具体人员详见</w:t>
      </w:r>
      <w:r>
        <w:rPr>
          <w:rFonts w:hint="eastAsia" w:ascii="宋体" w:hAnsi="宋体"/>
          <w:color w:val="auto"/>
          <w:sz w:val="24"/>
          <w:szCs w:val="24"/>
          <w:highlight w:val="none"/>
          <w:lang w:val="zh-CN"/>
        </w:rPr>
        <w:t>附件</w:t>
      </w:r>
      <w:r>
        <w:rPr>
          <w:rFonts w:hint="eastAsia" w:ascii="宋体" w:hAnsi="宋体"/>
          <w:color w:val="auto"/>
          <w:sz w:val="24"/>
          <w:szCs w:val="24"/>
          <w:highlight w:val="none"/>
        </w:rPr>
        <w:t>3</w:t>
      </w:r>
      <w:r>
        <w:rPr>
          <w:rFonts w:hint="eastAsia" w:ascii="宋体" w:hAnsi="宋体"/>
          <w:color w:val="auto"/>
          <w:szCs w:val="20"/>
          <w:highlight w:val="none"/>
          <w:lang w:val="zh-CN"/>
        </w:rPr>
        <w:t>。</w:t>
      </w:r>
    </w:p>
    <w:p w14:paraId="29E250D4">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4.4.2乙方在投标文件《拟投入本项目造价人员一览表》中配备的人员在通过甲方的面试考核后方可确定为本项目的工程造价咨询服务人员，乙方不得擅自更换已确定为本项目的造价咨询服务人员。确因特殊情况需要更换时，应提前书面提出更换人员的原因及更换人员的名单，更换人员的资质、资历、职称、实际工作能力等应不低于投标文件中所承诺人员的素质，同时乙方应按合同约定承担违约责任，但乙方有合法理由（如服务人员因死亡、重大疾病等原因导致不能履行职责）提出申请并经甲方批准更换相关人员的，乙方可不承担违约责任。 </w:t>
      </w:r>
    </w:p>
    <w:p w14:paraId="535709BD">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4.4.3本项目造价咨询工作必须由上述人员完成。当乙方工作进度不满足甲方要求时，甲方有权要求乙方上述人员驻场办公，必要时，乙方应按甲方要求增加或更换相关人员，直至整改完毕，增加人员的驻场办公费用已包含在服务报酬中，甲方不再另行支付。</w:t>
      </w:r>
    </w:p>
    <w:p w14:paraId="6242ACAB">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4.4.4项目负责人应全面熟悉项目情况，乙方应安排</w:t>
      </w:r>
      <w:r>
        <w:rPr>
          <w:rFonts w:hint="eastAsia" w:ascii="宋体" w:hAnsi="宋体" w:cs="宋体"/>
          <w:kern w:val="0"/>
          <w:sz w:val="24"/>
          <w:szCs w:val="24"/>
        </w:rPr>
        <w:t>部门经理以上人员（</w:t>
      </w:r>
      <w:r>
        <w:rPr>
          <w:rFonts w:hint="eastAsia" w:ascii="宋体" w:hAnsi="宋体" w:cs="宋体"/>
          <w:color w:val="auto"/>
          <w:kern w:val="0"/>
          <w:sz w:val="24"/>
          <w:szCs w:val="24"/>
          <w:highlight w:val="none"/>
        </w:rPr>
        <w:t>项目</w:t>
      </w:r>
      <w:r>
        <w:rPr>
          <w:rFonts w:hint="eastAsia" w:ascii="宋体" w:hAnsi="宋体" w:cs="宋体"/>
          <w:kern w:val="0"/>
          <w:sz w:val="24"/>
          <w:szCs w:val="24"/>
        </w:rPr>
        <w:t>指挥长、项目</w:t>
      </w:r>
      <w:r>
        <w:rPr>
          <w:rFonts w:hint="eastAsia" w:ascii="宋体" w:hAnsi="宋体" w:cs="宋体"/>
          <w:color w:val="auto"/>
          <w:kern w:val="0"/>
          <w:sz w:val="24"/>
          <w:szCs w:val="24"/>
          <w:highlight w:val="none"/>
        </w:rPr>
        <w:t>负责人</w:t>
      </w:r>
      <w:r>
        <w:rPr>
          <w:rFonts w:hint="eastAsia" w:ascii="宋体" w:hAnsi="宋体" w:cs="宋体"/>
          <w:kern w:val="0"/>
          <w:sz w:val="24"/>
          <w:szCs w:val="24"/>
        </w:rPr>
        <w:t>、技术负责人）中的至少1位带队</w:t>
      </w:r>
      <w:r>
        <w:rPr>
          <w:rFonts w:hint="eastAsia" w:ascii="宋体" w:hAnsi="宋体" w:cs="宋体"/>
          <w:color w:val="auto"/>
          <w:kern w:val="0"/>
          <w:sz w:val="24"/>
          <w:szCs w:val="24"/>
          <w:highlight w:val="none"/>
          <w:lang w:eastAsia="zh-CN"/>
        </w:rPr>
        <w:t>参加各类评审并汇报工作，</w:t>
      </w:r>
      <w:r>
        <w:rPr>
          <w:rFonts w:hint="eastAsia" w:ascii="宋体" w:hAnsi="宋体" w:cs="宋体"/>
          <w:color w:val="auto"/>
          <w:kern w:val="0"/>
          <w:sz w:val="24"/>
          <w:szCs w:val="24"/>
          <w:highlight w:val="none"/>
        </w:rPr>
        <w:t>带</w:t>
      </w:r>
      <w:r>
        <w:rPr>
          <w:rFonts w:hint="eastAsia" w:ascii="宋体" w:hAnsi="宋体" w:cs="宋体"/>
          <w:color w:val="auto"/>
          <w:kern w:val="0"/>
          <w:sz w:val="24"/>
          <w:szCs w:val="24"/>
          <w:highlight w:val="none"/>
          <w:lang w:val="en-US" w:eastAsia="zh-CN"/>
        </w:rPr>
        <w:t>团队成员</w:t>
      </w:r>
      <w:r>
        <w:rPr>
          <w:rFonts w:hint="eastAsia" w:ascii="宋体" w:hAnsi="宋体" w:cs="宋体"/>
          <w:color w:val="auto"/>
          <w:kern w:val="0"/>
          <w:sz w:val="24"/>
          <w:szCs w:val="24"/>
          <w:highlight w:val="none"/>
        </w:rPr>
        <w:t>参加会议、完成对数工作。</w:t>
      </w:r>
    </w:p>
    <w:p w14:paraId="37119C16">
      <w:pPr>
        <w:spacing w:line="360" w:lineRule="auto"/>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4.4.5乙方所派出的服务本项目的造价咨询专业人员必须勤勉尽责，恪守职业道德，本着热情服务、秉公办事、廉洁自律的原则开展工作。如出现服务人员未按照合同履行职责，或与第三方串通造成经济损失，或不服从工作安排，不满足工作要求，不遵守管理制度，服务态度恶劣，不胜任工作等情形的，乙方应在接到甲方通知后3天内予以撤换，所调换人员</w:t>
      </w:r>
      <w:r>
        <w:rPr>
          <w:rFonts w:hint="eastAsia" w:ascii="宋体" w:hAnsi="宋体" w:cs="宋体"/>
          <w:kern w:val="0"/>
          <w:sz w:val="24"/>
          <w:szCs w:val="24"/>
          <w:lang w:val="en-US" w:eastAsia="zh-CN"/>
        </w:rPr>
        <w:t>需经甲方审核通过，其</w:t>
      </w:r>
      <w:r>
        <w:rPr>
          <w:rFonts w:hint="eastAsia" w:ascii="宋体" w:hAnsi="宋体" w:cs="宋体"/>
          <w:color w:val="auto"/>
          <w:kern w:val="0"/>
          <w:sz w:val="24"/>
          <w:szCs w:val="24"/>
          <w:highlight w:val="none"/>
        </w:rPr>
        <w:t>资质、资历、职称、实际工作能力等应不低于投标文件中所承诺人员的素质且</w:t>
      </w:r>
      <w:r>
        <w:rPr>
          <w:rFonts w:hint="eastAsia" w:ascii="宋体" w:hAnsi="宋体" w:cs="宋体"/>
          <w:kern w:val="0"/>
          <w:sz w:val="24"/>
          <w:szCs w:val="24"/>
          <w:lang w:val="en-US" w:eastAsia="zh-CN"/>
        </w:rPr>
        <w:t>乙方</w:t>
      </w:r>
      <w:r>
        <w:rPr>
          <w:rFonts w:hint="eastAsia" w:ascii="宋体" w:hAnsi="宋体" w:cs="宋体"/>
          <w:color w:val="auto"/>
          <w:kern w:val="0"/>
          <w:sz w:val="24"/>
          <w:szCs w:val="24"/>
          <w:highlight w:val="none"/>
        </w:rPr>
        <w:t>需按合同约定承担违约责任。</w:t>
      </w:r>
    </w:p>
    <w:p w14:paraId="69C491E3">
      <w:pPr>
        <w:spacing w:line="360" w:lineRule="auto"/>
        <w:ind w:firstLine="480" w:firstLineChars="200"/>
        <w:rPr>
          <w:color w:val="auto"/>
          <w:highlight w:val="none"/>
        </w:rPr>
      </w:pPr>
      <w:r>
        <w:rPr>
          <w:rFonts w:hint="eastAsia" w:ascii="宋体" w:hAnsi="宋体" w:cs="宋体"/>
          <w:color w:val="auto"/>
          <w:kern w:val="0"/>
          <w:sz w:val="24"/>
          <w:szCs w:val="24"/>
          <w:highlight w:val="none"/>
        </w:rPr>
        <w:t>4.4.6</w:t>
      </w:r>
      <w:r>
        <w:rPr>
          <w:rFonts w:hint="default" w:ascii="宋体" w:hAnsi="宋体" w:cs="宋体"/>
          <w:color w:val="auto"/>
          <w:kern w:val="0"/>
          <w:sz w:val="24"/>
          <w:highlight w:val="none"/>
          <w:lang w:val="en-US"/>
        </w:rPr>
        <w:t>土建与安装专业</w:t>
      </w:r>
      <w:r>
        <w:rPr>
          <w:rFonts w:hint="eastAsia" w:ascii="宋体" w:hAnsi="宋体" w:cs="宋体"/>
          <w:color w:val="auto"/>
          <w:kern w:val="0"/>
          <w:sz w:val="24"/>
          <w:highlight w:val="none"/>
        </w:rPr>
        <w:t>需各专业至少安排</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名造价人员，合计不少于</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名造价人员，按甲方要求驻场办公。驻场服务期限以甲方通知为准，不超过本项目所有合同结算定审之日。驻场人员应服从甲方的工作安排和管理，由甲方负责考勤，未经同意不得离开；驻场人员的相关费用已包含在服务报酬中，其薪资福利费用由乙方自行承担。乙方委派的所有驻场人员必须严格执行甲方考勤制度。</w:t>
      </w:r>
    </w:p>
    <w:p w14:paraId="2DBD5A72">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4.5其它服务要求</w:t>
      </w:r>
    </w:p>
    <w:p w14:paraId="3FEF8B2A">
      <w:pPr>
        <w:spacing w:line="360" w:lineRule="auto"/>
        <w:ind w:firstLine="42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4.5.1乙方须遵守甲方各项规章制度和廉政纪律要求，无条件配合甲方的复核、复审和考核等工作。</w:t>
      </w:r>
    </w:p>
    <w:p w14:paraId="41A031CC">
      <w:pPr>
        <w:spacing w:line="360" w:lineRule="auto"/>
        <w:ind w:firstLine="42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4.5.2乙方须具备保障开展工作所需要的交通工具、办公设备和造价审核管理软件等。</w:t>
      </w:r>
    </w:p>
    <w:p w14:paraId="149822B1">
      <w:pPr>
        <w:spacing w:line="360" w:lineRule="auto"/>
        <w:ind w:firstLine="42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4.5.3乙方应独立完成合同约定的造价咨询服务，未经甲方同意不得将工作内容另行委托第三方实施；对有特殊技术要求的咨询服务项目，需聘请相关专家共同完成咨询服务的，应事先征得甲方同意。未经甲方同意，乙方不得以任何形式向任何单位或个人披露审核项目的相关信息，不得对外提供、泄露相关审核情况。</w:t>
      </w:r>
    </w:p>
    <w:p w14:paraId="4C3D5A34">
      <w:pPr>
        <w:widowControl/>
        <w:spacing w:line="360" w:lineRule="auto"/>
        <w:ind w:firstLine="200"/>
        <w:jc w:val="left"/>
        <w:outlineLvl w:val="1"/>
        <w:rPr>
          <w:rFonts w:ascii="宋体" w:hAnsi="宋体" w:cs="宋体"/>
          <w:b/>
          <w:snapToGrid w:val="0"/>
          <w:color w:val="auto"/>
          <w:sz w:val="24"/>
          <w:szCs w:val="24"/>
          <w:highlight w:val="none"/>
        </w:rPr>
      </w:pPr>
      <w:bookmarkStart w:id="15" w:name="_Toc4676"/>
      <w:r>
        <w:rPr>
          <w:rFonts w:hint="eastAsia" w:ascii="宋体" w:hAnsi="宋体" w:cs="宋体"/>
          <w:b/>
          <w:snapToGrid w:val="0"/>
          <w:color w:val="auto"/>
          <w:sz w:val="24"/>
          <w:szCs w:val="24"/>
          <w:highlight w:val="none"/>
        </w:rPr>
        <w:t>五、甲方的权利和义务</w:t>
      </w:r>
      <w:bookmarkEnd w:id="15"/>
    </w:p>
    <w:p w14:paraId="6AC64576">
      <w:pPr>
        <w:widowControl/>
        <w:spacing w:line="360" w:lineRule="auto"/>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5.1甲方的权利</w:t>
      </w:r>
    </w:p>
    <w:p w14:paraId="4FBCBDB5">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5.1.1甲方有权向乙方询问工作进展情况及相关的内容，并要求乙方提交造价咨询服务业务范围内的专项报告。</w:t>
      </w:r>
    </w:p>
    <w:p w14:paraId="49497A17">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5.1.2甲方有权阐述对具体问题的意见和建议。</w:t>
      </w:r>
    </w:p>
    <w:p w14:paraId="303B03C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14:paraId="7ACFAEA2">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5.1.4当</w:t>
      </w:r>
      <w:r>
        <w:rPr>
          <w:rFonts w:hint="eastAsia" w:ascii="宋体" w:hAnsi="宋体" w:cs="宋体"/>
          <w:sz w:val="24"/>
          <w:szCs w:val="24"/>
        </w:rPr>
        <w:t>甲方认定</w:t>
      </w:r>
      <w:r>
        <w:rPr>
          <w:rFonts w:hint="eastAsia" w:ascii="宋体" w:hAnsi="宋体" w:cs="宋体"/>
          <w:color w:val="auto"/>
          <w:sz w:val="24"/>
          <w:szCs w:val="24"/>
          <w:highlight w:val="none"/>
        </w:rPr>
        <w:t>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14:paraId="54B2F160">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5.1.5如因甲方内部管理架构等发生重大变化(包括但不限于股权结构、操盘主体发生变化)的，则甲方有权提前解除本合同且无需承担任何违约责任，乙方不得因此提出任何相关的索赔。但甲方应当根据乙方实际提供服务，据实向乙方支付服务费。在此情况下合同提前解除的，双方同意服务费按以下方式计算:根据乙方提交给甲方且经甲方认可的成果文件，按照《广东省建设工程造价咨询服务收费项目和收费标准表》 (价函[2011]742号)对应的计费标准下浮20%后结合中标下浮率，据实计算乙方的服务费。</w:t>
      </w:r>
    </w:p>
    <w:p w14:paraId="1C66F336">
      <w:pPr>
        <w:widowControl/>
        <w:spacing w:line="360" w:lineRule="auto"/>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5.2甲方的义务</w:t>
      </w:r>
    </w:p>
    <w:p w14:paraId="5B59D2D2">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5.2.1甲方应负责与本合同约定项目造价咨询服务有关的第三人的协调。</w:t>
      </w:r>
    </w:p>
    <w:p w14:paraId="3E73F3D6">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5.2.2</w:t>
      </w:r>
      <w:r>
        <w:rPr>
          <w:rFonts w:hint="eastAsia" w:ascii="宋体" w:hAnsi="宋体" w:cs="宋体"/>
          <w:snapToGrid w:val="0"/>
          <w:color w:val="auto"/>
          <w:sz w:val="24"/>
          <w:szCs w:val="24"/>
          <w:highlight w:val="none"/>
        </w:rPr>
        <w:t>甲方</w:t>
      </w:r>
      <w:r>
        <w:rPr>
          <w:rFonts w:hint="eastAsia" w:ascii="宋体" w:hAnsi="宋体" w:cs="宋体"/>
          <w:color w:val="auto"/>
          <w:sz w:val="24"/>
          <w:szCs w:val="24"/>
          <w:highlight w:val="none"/>
        </w:rPr>
        <w:t>应及时将所拥有的且是乙方</w:t>
      </w:r>
      <w:r>
        <w:rPr>
          <w:rFonts w:hint="eastAsia" w:ascii="宋体" w:hAnsi="宋体" w:cs="宋体"/>
          <w:snapToGrid w:val="0"/>
          <w:color w:val="auto"/>
          <w:sz w:val="24"/>
          <w:szCs w:val="24"/>
          <w:highlight w:val="none"/>
        </w:rPr>
        <w:t>实施本合同约定项目造价咨询服务所必需的有关资料提供给乙方。</w:t>
      </w:r>
    </w:p>
    <w:p w14:paraId="70E16C8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5.2.3甲方应在</w:t>
      </w:r>
      <w:r>
        <w:rPr>
          <w:rFonts w:hint="eastAsia" w:ascii="宋体" w:hAnsi="宋体" w:cs="宋体"/>
          <w:sz w:val="24"/>
          <w:szCs w:val="24"/>
          <w:lang w:val="en-US" w:eastAsia="zh-CN"/>
        </w:rPr>
        <w:t>5</w:t>
      </w:r>
      <w:r>
        <w:rPr>
          <w:rFonts w:hint="eastAsia" w:ascii="宋体" w:hAnsi="宋体" w:cs="宋体"/>
          <w:color w:val="auto"/>
          <w:sz w:val="24"/>
          <w:szCs w:val="24"/>
          <w:highlight w:val="none"/>
        </w:rPr>
        <w:t>个工作日内对乙方书面提交并要求做出答复的事宜做出书面答复。乙方要求第三人提供有关资料时，甲方应负责转达及资料转送。</w:t>
      </w:r>
    </w:p>
    <w:p w14:paraId="349BBEF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5.2.4甲方指定</w:t>
      </w:r>
      <w:r>
        <w:rPr>
          <w:rFonts w:hint="eastAsia" w:ascii="宋体" w:hAnsi="宋体" w:cs="宋体"/>
          <w:color w:val="auto"/>
          <w:sz w:val="24"/>
          <w:szCs w:val="24"/>
          <w:highlight w:val="none"/>
          <w:u w:val="single"/>
        </w:rPr>
        <w:t xml:space="preserve">        </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t>（联系电话：         ）</w:t>
      </w:r>
      <w:r>
        <w:rPr>
          <w:rFonts w:hint="eastAsia" w:ascii="宋体" w:hAnsi="宋体" w:cs="宋体"/>
          <w:color w:val="auto"/>
          <w:sz w:val="24"/>
          <w:szCs w:val="24"/>
          <w:highlight w:val="none"/>
        </w:rPr>
        <w:t>为联系人，负责与乙方联系。</w:t>
      </w:r>
    </w:p>
    <w:p w14:paraId="4187846C">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5.3甲</w:t>
      </w:r>
      <w:r>
        <w:rPr>
          <w:rFonts w:hint="eastAsia" w:ascii="宋体" w:hAnsi="宋体" w:cs="宋体"/>
          <w:snapToGrid w:val="0"/>
          <w:color w:val="auto"/>
          <w:sz w:val="24"/>
          <w:szCs w:val="24"/>
          <w:highlight w:val="none"/>
        </w:rPr>
        <w:t>方其它权利和义务详见甲方造价管理制度及项目管理要求。</w:t>
      </w:r>
    </w:p>
    <w:p w14:paraId="7A9ACB13">
      <w:pPr>
        <w:widowControl/>
        <w:spacing w:line="360" w:lineRule="auto"/>
        <w:ind w:firstLine="200"/>
        <w:jc w:val="left"/>
        <w:outlineLvl w:val="1"/>
        <w:rPr>
          <w:rFonts w:ascii="宋体" w:hAnsi="宋体" w:cs="宋体"/>
          <w:b/>
          <w:snapToGrid w:val="0"/>
          <w:color w:val="auto"/>
          <w:sz w:val="24"/>
          <w:szCs w:val="24"/>
          <w:highlight w:val="none"/>
        </w:rPr>
      </w:pPr>
      <w:bookmarkStart w:id="16" w:name="_Toc13148"/>
      <w:r>
        <w:rPr>
          <w:rFonts w:hint="eastAsia" w:ascii="宋体" w:hAnsi="宋体" w:cs="宋体"/>
          <w:b/>
          <w:snapToGrid w:val="0"/>
          <w:color w:val="auto"/>
          <w:sz w:val="24"/>
          <w:szCs w:val="24"/>
          <w:highlight w:val="none"/>
        </w:rPr>
        <w:t>六、乙方的权利和义务</w:t>
      </w:r>
      <w:bookmarkEnd w:id="16"/>
    </w:p>
    <w:p w14:paraId="6C79B763">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6.1乙方的权利</w:t>
      </w:r>
    </w:p>
    <w:p w14:paraId="6046B70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6.1.1服务期限内，乙方有到工程现场勘察的权利。</w:t>
      </w:r>
    </w:p>
    <w:p w14:paraId="793F8C23">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6.1.2乙方有权按照本合同约定获得服务报酬。</w:t>
      </w:r>
    </w:p>
    <w:p w14:paraId="61429FB5">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6.2乙方的义务</w:t>
      </w:r>
    </w:p>
    <w:p w14:paraId="4E37AAF5">
      <w:pPr>
        <w:spacing w:line="360" w:lineRule="auto"/>
        <w:ind w:firstLine="420"/>
        <w:rPr>
          <w:rFonts w:ascii="宋体" w:hAnsi="宋体"/>
          <w:color w:val="auto"/>
          <w:kern w:val="0"/>
          <w:sz w:val="24"/>
          <w:szCs w:val="20"/>
          <w:highlight w:val="none"/>
        </w:rPr>
      </w:pPr>
      <w:r>
        <w:rPr>
          <w:rFonts w:hint="eastAsia" w:ascii="宋体" w:hAnsi="宋体"/>
          <w:color w:val="auto"/>
          <w:kern w:val="0"/>
          <w:sz w:val="24"/>
          <w:szCs w:val="20"/>
          <w:highlight w:val="none"/>
        </w:rPr>
        <w:t>6.2.1乙方应依据《工程造价咨询单位管理办法》</w:t>
      </w:r>
      <w:r>
        <w:rPr>
          <w:rFonts w:hint="eastAsia" w:ascii="宋体" w:hAnsi="宋体"/>
          <w:color w:val="auto"/>
          <w:kern w:val="0"/>
          <w:sz w:val="24"/>
          <w:highlight w:val="none"/>
        </w:rPr>
        <w:t>（中华人民共和国建设部令第149号、中华人民共和国住房和城乡建设部令第50号）、《注册造价工程师管理办法》（中华人民共和国建设部令第150号、中华人民共和国住房和城乡建设部令第50号）等国家、广东省、广州市相关规定与本合同约定以及</w:t>
      </w:r>
      <w:r>
        <w:rPr>
          <w:rFonts w:hint="eastAsia" w:ascii="宋体" w:hAnsi="宋体"/>
          <w:color w:val="auto"/>
          <w:kern w:val="0"/>
          <w:sz w:val="24"/>
          <w:szCs w:val="20"/>
          <w:highlight w:val="none"/>
        </w:rPr>
        <w:t>甲方要求实施本合同项下的咨询服务工作、提交工作成果。</w:t>
      </w:r>
    </w:p>
    <w:p w14:paraId="3AF024B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14:paraId="2668550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6.2.3服务期限内，乙方发现甲方提供的资料有缺陷、不明确或存在相互矛盾的，应及时书面通知甲方。</w:t>
      </w:r>
    </w:p>
    <w:p w14:paraId="3A8C4EC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6.2.4乙方在履行合同过程中接触到的甲方的文件、资料、信息，</w:t>
      </w:r>
      <w:r>
        <w:rPr>
          <w:rFonts w:hint="eastAsia" w:ascii="宋体" w:hAnsi="宋体" w:cs="宋体"/>
          <w:snapToGrid w:val="0"/>
          <w:color w:val="auto"/>
          <w:sz w:val="24"/>
          <w:szCs w:val="24"/>
          <w:highlight w:val="none"/>
        </w:rPr>
        <w:t>均应以绝密件对待；</w:t>
      </w:r>
      <w:r>
        <w:rPr>
          <w:rFonts w:hint="eastAsia" w:ascii="宋体" w:hAnsi="宋体" w:cs="宋体"/>
          <w:color w:val="auto"/>
          <w:sz w:val="24"/>
          <w:szCs w:val="24"/>
          <w:highlight w:val="none"/>
        </w:rPr>
        <w:t>未经甲方书面同意，不得提供给第三人，不得用于本合同以外的其他目的。</w:t>
      </w:r>
    </w:p>
    <w:p w14:paraId="2A2E7E9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6.2.5未经甲方的书面同意，乙方不得转让本合同约定的权利和义务。</w:t>
      </w:r>
    </w:p>
    <w:p w14:paraId="492EE96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6.2.6乙方不得从事或参与可能损害甲方利益的任何活动。</w:t>
      </w:r>
    </w:p>
    <w:p w14:paraId="2094349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6.2.7未经甲方书面同意，乙方不得更换其派出技术负责人、专业造价工作人员及驻场服务人员。</w:t>
      </w:r>
    </w:p>
    <w:p w14:paraId="1F2E505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6.2.8乙方应当在3个工作日内对甲方或甲方指定的第三人书面提出并要求做出答复的事宜做出书面答复。</w:t>
      </w:r>
    </w:p>
    <w:p w14:paraId="21AD75B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6.2.9乙方应严格按照合同约定及甲方相关管理办法的规定从事咨询服务工作。</w:t>
      </w:r>
    </w:p>
    <w:p w14:paraId="16C73BC4">
      <w:pPr>
        <w:spacing w:line="360" w:lineRule="auto"/>
        <w:ind w:firstLine="420"/>
        <w:rPr>
          <w:rFonts w:ascii="宋体" w:hAnsi="宋体" w:cs="宋体"/>
          <w:snapToGrid w:val="0"/>
          <w:color w:val="auto"/>
          <w:sz w:val="24"/>
          <w:szCs w:val="24"/>
          <w:highlight w:val="none"/>
        </w:rPr>
      </w:pPr>
      <w:r>
        <w:rPr>
          <w:rFonts w:hint="eastAsia" w:ascii="宋体" w:hAnsi="宋体" w:cs="宋体"/>
          <w:color w:val="auto"/>
          <w:sz w:val="24"/>
          <w:szCs w:val="24"/>
          <w:highlight w:val="none"/>
        </w:rPr>
        <w:t>6.2.10</w:t>
      </w:r>
      <w:r>
        <w:rPr>
          <w:rFonts w:ascii="宋体" w:hAnsi="宋体" w:cs="宋体"/>
          <w:color w:val="auto"/>
          <w:sz w:val="24"/>
          <w:szCs w:val="24"/>
          <w:highlight w:val="none"/>
        </w:rPr>
        <w:t>乙方应确保造价咨询工作质量，工程量准确、造价合理，满足工程投资控制的要求</w:t>
      </w:r>
      <w:r>
        <w:rPr>
          <w:rFonts w:hint="eastAsia" w:ascii="宋体" w:hAnsi="宋体" w:cs="宋体"/>
          <w:color w:val="auto"/>
          <w:sz w:val="24"/>
          <w:szCs w:val="24"/>
          <w:highlight w:val="none"/>
        </w:rPr>
        <w:t>。</w:t>
      </w:r>
      <w:r>
        <w:rPr>
          <w:rFonts w:hint="eastAsia" w:ascii="宋体" w:hAnsi="宋体" w:cs="宋体"/>
          <w:bCs/>
          <w:snapToGrid w:val="0"/>
          <w:color w:val="auto"/>
          <w:sz w:val="24"/>
          <w:szCs w:val="24"/>
          <w:highlight w:val="none"/>
        </w:rPr>
        <w:t>否则应按本合同条款第8.2款的约定承担</w:t>
      </w:r>
      <w:r>
        <w:rPr>
          <w:rFonts w:hint="eastAsia" w:ascii="宋体" w:hAnsi="宋体" w:cs="宋体"/>
          <w:snapToGrid w:val="0"/>
          <w:color w:val="auto"/>
          <w:sz w:val="24"/>
          <w:szCs w:val="24"/>
          <w:highlight w:val="none"/>
        </w:rPr>
        <w:t>违约责任。</w:t>
      </w:r>
    </w:p>
    <w:p w14:paraId="6FEF8AB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6.2.11乙方指定</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（联系电话：      ）</w:t>
      </w:r>
      <w:r>
        <w:rPr>
          <w:rFonts w:hint="eastAsia" w:ascii="宋体" w:hAnsi="宋体" w:cs="宋体"/>
          <w:color w:val="auto"/>
          <w:sz w:val="24"/>
          <w:szCs w:val="24"/>
          <w:highlight w:val="none"/>
        </w:rPr>
        <w:t>为联系人，负责与甲方联系。</w:t>
      </w:r>
    </w:p>
    <w:p w14:paraId="084B8947">
      <w:pPr>
        <w:rPr>
          <w:color w:val="auto"/>
          <w:highlight w:val="none"/>
        </w:rPr>
      </w:pPr>
    </w:p>
    <w:p w14:paraId="1D2788C1">
      <w:pPr>
        <w:widowControl/>
        <w:spacing w:line="360" w:lineRule="auto"/>
        <w:ind w:firstLine="200"/>
        <w:jc w:val="left"/>
        <w:outlineLvl w:val="1"/>
        <w:rPr>
          <w:rFonts w:ascii="宋体" w:hAnsi="宋体" w:cs="宋体"/>
          <w:b/>
          <w:color w:val="auto"/>
          <w:sz w:val="24"/>
          <w:szCs w:val="24"/>
          <w:highlight w:val="none"/>
        </w:rPr>
      </w:pPr>
      <w:bookmarkStart w:id="17" w:name="_Toc22842"/>
      <w:r>
        <w:rPr>
          <w:rFonts w:hint="eastAsia" w:ascii="宋体" w:hAnsi="宋体" w:cs="宋体"/>
          <w:b/>
          <w:color w:val="auto"/>
          <w:sz w:val="24"/>
          <w:szCs w:val="24"/>
          <w:highlight w:val="none"/>
        </w:rPr>
        <w:t>七、服务报酬及其支付方式</w:t>
      </w:r>
      <w:bookmarkEnd w:id="17"/>
    </w:p>
    <w:p w14:paraId="5EDC488E">
      <w:pPr>
        <w:spacing w:line="360" w:lineRule="auto"/>
        <w:ind w:right="144" w:firstLine="602" w:firstLineChars="250"/>
        <w:contextualSpacing/>
        <w:jc w:val="left"/>
        <w:rPr>
          <w:rFonts w:ascii="宋体" w:hAnsi="宋体"/>
          <w:b/>
          <w:color w:val="auto"/>
          <w:sz w:val="24"/>
          <w:szCs w:val="24"/>
          <w:highlight w:val="none"/>
        </w:rPr>
      </w:pPr>
      <w:r>
        <w:rPr>
          <w:rFonts w:hint="eastAsia" w:ascii="宋体" w:hAnsi="宋体"/>
          <w:b/>
          <w:color w:val="auto"/>
          <w:sz w:val="24"/>
          <w:szCs w:val="24"/>
          <w:highlight w:val="none"/>
        </w:rPr>
        <w:t>7.1服务报酬</w:t>
      </w:r>
    </w:p>
    <w:p w14:paraId="728EFD86">
      <w:pPr>
        <w:spacing w:line="360" w:lineRule="auto"/>
        <w:ind w:left="57" w:leftChars="27" w:right="144"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7.1.1甲乙双方约定：本合同造价咨询服务报酬</w:t>
      </w:r>
      <w:r>
        <w:rPr>
          <w:rFonts w:hint="eastAsia" w:ascii="宋体" w:hAnsi="宋体"/>
          <w:color w:val="auto"/>
          <w:sz w:val="24"/>
          <w:szCs w:val="24"/>
          <w:highlight w:val="none"/>
          <w:lang w:val="en-US" w:eastAsia="zh-CN"/>
        </w:rPr>
        <w:t>含税总价</w:t>
      </w:r>
      <w:r>
        <w:rPr>
          <w:rFonts w:hint="eastAsia" w:ascii="宋体" w:hAnsi="宋体"/>
          <w:color w:val="auto"/>
          <w:sz w:val="24"/>
          <w:szCs w:val="24"/>
          <w:highlight w:val="none"/>
        </w:rPr>
        <w:t>为人民币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大写</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w:t>
      </w:r>
      <w:r>
        <w:rPr>
          <w:rFonts w:hint="eastAsia"/>
          <w:color w:val="auto"/>
          <w:lang w:val="en-US" w:eastAsia="zh-CN"/>
        </w:rPr>
        <w:t>¥</w:t>
      </w:r>
      <w:r>
        <w:rPr>
          <w:rFonts w:hint="eastAsia"/>
          <w:color w:val="auto"/>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元），其中，不含税</w:t>
      </w:r>
      <w:r>
        <w:rPr>
          <w:rFonts w:hint="eastAsia" w:ascii="宋体" w:hAnsi="宋体"/>
          <w:color w:val="auto"/>
          <w:sz w:val="24"/>
          <w:szCs w:val="24"/>
          <w:highlight w:val="none"/>
          <w:lang w:val="en-US" w:eastAsia="zh-CN"/>
        </w:rPr>
        <w:t>价</w:t>
      </w:r>
      <w:r>
        <w:rPr>
          <w:rFonts w:hint="eastAsia" w:ascii="宋体" w:hAnsi="宋体"/>
          <w:color w:val="auto"/>
          <w:sz w:val="24"/>
          <w:szCs w:val="24"/>
          <w:highlight w:val="none"/>
        </w:rPr>
        <w:t>为</w:t>
      </w:r>
      <w:r>
        <w:rPr>
          <w:rFonts w:hint="eastAsia"/>
          <w:color w:val="auto"/>
          <w:lang w:val="en-US" w:eastAsia="zh-CN"/>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元，税金为</w:t>
      </w:r>
      <w:r>
        <w:rPr>
          <w:rFonts w:hint="eastAsia"/>
          <w:color w:val="auto"/>
          <w:lang w:val="en-US" w:eastAsia="zh-CN"/>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元，增值税率为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42A2AE43">
      <w:pPr>
        <w:spacing w:line="360" w:lineRule="auto"/>
        <w:ind w:right="144"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7.1.2甲乙双方一致同意按以下约定进行结算：</w:t>
      </w:r>
    </w:p>
    <w:p w14:paraId="066B8FE9">
      <w:pPr>
        <w:spacing w:after="120" w:line="360" w:lineRule="auto"/>
        <w:ind w:firstLine="480" w:firstLineChars="200"/>
        <w:rPr>
          <w:color w:val="auto"/>
          <w:kern w:val="0"/>
          <w:sz w:val="20"/>
          <w:szCs w:val="20"/>
          <w:highlight w:val="none"/>
        </w:rPr>
      </w:pPr>
      <w:r>
        <w:rPr>
          <w:rFonts w:hint="eastAsia" w:ascii="宋体" w:hAnsi="宋体"/>
          <w:color w:val="auto"/>
          <w:kern w:val="0"/>
          <w:sz w:val="24"/>
          <w:szCs w:val="24"/>
          <w:highlight w:val="none"/>
        </w:rPr>
        <w:t>本合同造价咨询服务酬金</w:t>
      </w:r>
      <w:r>
        <w:rPr>
          <w:rFonts w:hint="eastAsia" w:ascii="宋体" w:hAnsi="宋体"/>
          <w:color w:val="auto"/>
          <w:kern w:val="0"/>
          <w:sz w:val="24"/>
          <w:szCs w:val="24"/>
          <w:highlight w:val="none"/>
          <w:lang w:eastAsia="zh-CN"/>
        </w:rPr>
        <w:t>按协议书约定的价格总价包干，合同总价不予调整</w:t>
      </w:r>
      <w:r>
        <w:rPr>
          <w:rFonts w:hint="eastAsia" w:ascii="宋体" w:hAnsi="宋体"/>
          <w:color w:val="auto"/>
          <w:kern w:val="0"/>
          <w:sz w:val="24"/>
          <w:szCs w:val="24"/>
          <w:highlight w:val="none"/>
        </w:rPr>
        <w:t>。结算合同价不得高于本合同金额。</w:t>
      </w:r>
    </w:p>
    <w:p w14:paraId="3A1FE0C1">
      <w:pPr>
        <w:widowControl/>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按上述约定计取的本合同服务报酬结算金额不得超过估算批复的全过程造价咨询服务费。</w:t>
      </w:r>
    </w:p>
    <w:p w14:paraId="34575F21">
      <w:pPr>
        <w:widowControl/>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造价咨询服务报酬最终按照：</w:t>
      </w:r>
      <w:r>
        <w:rPr>
          <w:rFonts w:hint="eastAsia" w:ascii="宋体" w:hAnsi="宋体"/>
          <w:color w:val="auto"/>
          <w:kern w:val="0"/>
          <w:sz w:val="24"/>
          <w:szCs w:val="24"/>
          <w:highlight w:val="none"/>
          <w:lang w:eastAsia="zh-CN"/>
        </w:rPr>
        <w:t>按协议书约定的价格总价包干，合同总价不予调整。</w:t>
      </w:r>
    </w:p>
    <w:p w14:paraId="14B18CA6">
      <w:pPr>
        <w:spacing w:line="360" w:lineRule="auto"/>
        <w:ind w:right="144" w:firstLine="480" w:firstLineChars="200"/>
        <w:contextualSpacing/>
        <w:jc w:val="center"/>
        <w:rPr>
          <w:rFonts w:ascii="宋体" w:hAnsi="宋体"/>
          <w:color w:val="auto"/>
          <w:sz w:val="24"/>
          <w:szCs w:val="24"/>
          <w:highlight w:val="none"/>
        </w:rPr>
      </w:pPr>
      <w:r>
        <w:rPr>
          <w:rFonts w:hint="eastAsia" w:ascii="宋体" w:hAnsi="宋体"/>
          <w:color w:val="auto"/>
          <w:sz w:val="24"/>
          <w:szCs w:val="24"/>
          <w:highlight w:val="none"/>
        </w:rPr>
        <w:t>7.1.3服务报酬</w:t>
      </w:r>
      <w:r>
        <w:rPr>
          <w:rFonts w:hint="eastAsia" w:ascii="宋体" w:hAnsi="宋体"/>
          <w:color w:val="auto"/>
          <w:sz w:val="24"/>
          <w:szCs w:val="24"/>
          <w:highlight w:val="none"/>
          <w:lang w:val="zh-CN"/>
        </w:rPr>
        <w:t>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14:paraId="0AD77E56">
      <w:pPr>
        <w:spacing w:after="120" w:line="360" w:lineRule="auto"/>
        <w:ind w:firstLine="482" w:firstLineChars="200"/>
        <w:contextualSpacing/>
        <w:rPr>
          <w:rFonts w:ascii="宋体" w:hAnsi="宋体"/>
          <w:b/>
          <w:color w:val="auto"/>
          <w:kern w:val="0"/>
          <w:sz w:val="24"/>
          <w:szCs w:val="24"/>
          <w:highlight w:val="none"/>
          <w:lang w:val="zh-CN"/>
        </w:rPr>
      </w:pPr>
      <w:r>
        <w:rPr>
          <w:rFonts w:ascii="宋体" w:hAnsi="宋体"/>
          <w:b/>
          <w:color w:val="auto"/>
          <w:kern w:val="0"/>
          <w:sz w:val="24"/>
          <w:szCs w:val="24"/>
          <w:highlight w:val="none"/>
          <w:lang w:val="zh-CN"/>
        </w:rPr>
        <w:t>7.2服务报酬支付方式</w:t>
      </w:r>
    </w:p>
    <w:p w14:paraId="14400AC8">
      <w:pPr>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rPr>
        <w:t>预付款：合同签订生效且乙方已按要求向甲方提交履约担保，甲方收到乙方提出的支付申请</w:t>
      </w:r>
      <w:r>
        <w:rPr>
          <w:rFonts w:hint="eastAsia" w:ascii="宋体" w:hAnsi="宋体"/>
          <w:b w:val="0"/>
          <w:bCs w:val="0"/>
          <w:sz w:val="24"/>
          <w:szCs w:val="24"/>
        </w:rPr>
        <w:t>并审核完成后15个工作日内</w:t>
      </w:r>
      <w:r>
        <w:rPr>
          <w:rFonts w:hint="eastAsia" w:ascii="宋体" w:hAnsi="宋体"/>
          <w:b w:val="0"/>
          <w:bCs w:val="0"/>
          <w:color w:val="auto"/>
          <w:sz w:val="24"/>
          <w:szCs w:val="24"/>
          <w:highlight w:val="none"/>
        </w:rPr>
        <w:t>，</w:t>
      </w:r>
      <w:r>
        <w:rPr>
          <w:rFonts w:hint="eastAsia" w:ascii="宋体" w:hAnsi="宋体"/>
          <w:b w:val="0"/>
          <w:bCs w:val="0"/>
          <w:sz w:val="24"/>
          <w:szCs w:val="24"/>
        </w:rPr>
        <w:t>支付</w:t>
      </w:r>
      <w:r>
        <w:rPr>
          <w:rFonts w:hint="eastAsia" w:ascii="宋体" w:hAnsi="宋体"/>
          <w:color w:val="auto"/>
          <w:sz w:val="24"/>
          <w:szCs w:val="24"/>
          <w:highlight w:val="none"/>
          <w:lang w:val="zh-CN"/>
        </w:rPr>
        <w:t>本合同</w:t>
      </w:r>
      <w:r>
        <w:rPr>
          <w:rFonts w:hint="eastAsia" w:ascii="宋体" w:hAnsi="宋体"/>
          <w:color w:val="auto"/>
          <w:sz w:val="24"/>
          <w:szCs w:val="24"/>
          <w:highlight w:val="none"/>
        </w:rPr>
        <w:t>价的10%；</w:t>
      </w:r>
    </w:p>
    <w:p w14:paraId="1FE9783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概算阶段：概算批复后，甲方收到乙方提出的支付申请</w:t>
      </w:r>
      <w:r>
        <w:rPr>
          <w:rFonts w:hint="eastAsia" w:ascii="宋体" w:hAnsi="宋体"/>
          <w:b w:val="0"/>
          <w:bCs w:val="0"/>
          <w:sz w:val="24"/>
          <w:szCs w:val="24"/>
        </w:rPr>
        <w:t>并审核完成后15个工作日内</w:t>
      </w:r>
      <w:r>
        <w:rPr>
          <w:rFonts w:hint="eastAsia" w:ascii="宋体" w:hAnsi="宋体"/>
          <w:color w:val="auto"/>
          <w:sz w:val="24"/>
          <w:szCs w:val="24"/>
          <w:highlight w:val="none"/>
        </w:rPr>
        <w:t>，支付</w:t>
      </w:r>
      <w:r>
        <w:rPr>
          <w:rFonts w:hint="eastAsia" w:ascii="宋体" w:hAnsi="宋体"/>
          <w:color w:val="auto"/>
          <w:sz w:val="24"/>
          <w:szCs w:val="24"/>
          <w:highlight w:val="none"/>
          <w:lang w:val="zh-CN"/>
        </w:rPr>
        <w:t>本合同</w:t>
      </w:r>
      <w:r>
        <w:rPr>
          <w:rFonts w:hint="eastAsia" w:ascii="宋体" w:hAnsi="宋体"/>
          <w:color w:val="auto"/>
          <w:sz w:val="24"/>
          <w:szCs w:val="24"/>
          <w:highlight w:val="none"/>
        </w:rPr>
        <w:t>价的</w:t>
      </w:r>
      <w:r>
        <w:rPr>
          <w:rFonts w:ascii="宋体" w:hAnsi="宋体"/>
          <w:color w:val="auto"/>
          <w:sz w:val="24"/>
          <w:szCs w:val="24"/>
          <w:highlight w:val="none"/>
        </w:rPr>
        <w:t>1</w:t>
      </w:r>
      <w:r>
        <w:rPr>
          <w:rFonts w:hint="eastAsia" w:ascii="宋体" w:hAnsi="宋体"/>
          <w:color w:val="auto"/>
          <w:sz w:val="24"/>
          <w:szCs w:val="24"/>
          <w:highlight w:val="none"/>
        </w:rPr>
        <w:t>0%；</w:t>
      </w:r>
    </w:p>
    <w:p w14:paraId="2F6C719F">
      <w:pPr>
        <w:spacing w:line="360" w:lineRule="auto"/>
        <w:ind w:firstLine="480" w:firstLineChars="200"/>
        <w:rPr>
          <w:rFonts w:hint="eastAsia" w:ascii="宋体" w:hAnsi="宋体" w:eastAsia="宋体"/>
          <w:color w:val="auto"/>
          <w:sz w:val="24"/>
          <w:szCs w:val="24"/>
          <w:highlight w:val="none"/>
          <w:lang w:val="zh-CN" w:eastAsia="zh-CN"/>
        </w:rPr>
      </w:pPr>
      <w:r>
        <w:rPr>
          <w:rFonts w:hint="eastAsia" w:ascii="宋体" w:hAnsi="宋体"/>
          <w:color w:val="auto"/>
          <w:sz w:val="24"/>
          <w:szCs w:val="24"/>
          <w:highlight w:val="none"/>
        </w:rPr>
        <w:t>施工图预算阶段或招标阶段：确定施工合同价格清单后乙方提出支付申请，甲方收到乙方提交的支付申请</w:t>
      </w:r>
      <w:r>
        <w:rPr>
          <w:rFonts w:hint="eastAsia" w:ascii="宋体" w:hAnsi="宋体"/>
          <w:b w:val="0"/>
          <w:bCs w:val="0"/>
          <w:sz w:val="24"/>
          <w:szCs w:val="24"/>
        </w:rPr>
        <w:t>并审核完成后15个工作日内</w:t>
      </w:r>
      <w:r>
        <w:rPr>
          <w:rFonts w:hint="eastAsia" w:ascii="宋体" w:hAnsi="宋体"/>
          <w:color w:val="auto"/>
          <w:sz w:val="24"/>
          <w:szCs w:val="24"/>
          <w:highlight w:val="none"/>
        </w:rPr>
        <w:t>，支付</w:t>
      </w:r>
      <w:r>
        <w:rPr>
          <w:rFonts w:hint="eastAsia" w:ascii="宋体" w:hAnsi="宋体"/>
          <w:color w:val="auto"/>
          <w:sz w:val="24"/>
          <w:szCs w:val="24"/>
          <w:highlight w:val="none"/>
          <w:lang w:val="zh-CN"/>
        </w:rPr>
        <w:t>本合同</w:t>
      </w:r>
      <w:r>
        <w:rPr>
          <w:rFonts w:hint="eastAsia" w:ascii="宋体" w:hAnsi="宋体"/>
          <w:color w:val="auto"/>
          <w:sz w:val="24"/>
          <w:szCs w:val="24"/>
          <w:highlight w:val="none"/>
        </w:rPr>
        <w:t>价的</w:t>
      </w:r>
      <w:r>
        <w:rPr>
          <w:rFonts w:ascii="宋体" w:hAnsi="宋体"/>
          <w:color w:val="auto"/>
          <w:sz w:val="24"/>
          <w:szCs w:val="24"/>
          <w:highlight w:val="none"/>
        </w:rPr>
        <w:t>1</w:t>
      </w:r>
      <w:r>
        <w:rPr>
          <w:rFonts w:hint="eastAsia" w:ascii="宋体" w:hAnsi="宋体"/>
          <w:color w:val="auto"/>
          <w:sz w:val="24"/>
          <w:szCs w:val="24"/>
          <w:highlight w:val="none"/>
        </w:rPr>
        <w:t>5%，（如出现多批次施工招标，则本阶段每批次支付金额=调整合同金额的15%×（施工标段招标金额/总招标金额））</w:t>
      </w:r>
      <w:r>
        <w:rPr>
          <w:rFonts w:hint="eastAsia" w:ascii="宋体" w:hAnsi="宋体"/>
          <w:color w:val="auto"/>
          <w:sz w:val="24"/>
          <w:szCs w:val="24"/>
          <w:highlight w:val="none"/>
          <w:lang w:eastAsia="zh-CN"/>
        </w:rPr>
        <w:t>；</w:t>
      </w:r>
    </w:p>
    <w:p w14:paraId="5E9F824A">
      <w:pPr>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rPr>
        <w:t>施工阶段及其他工作：按工期分季度支付进度款，每季度结束后乙方提出支付申请，甲方收到乙方提交的支付申请并审核完成后的</w:t>
      </w:r>
      <w:r>
        <w:rPr>
          <w:rFonts w:hint="eastAsia"/>
          <w:color w:val="auto"/>
          <w:highlight w:val="none"/>
          <w:lang w:val="en-US" w:eastAsia="zh-CN"/>
        </w:rPr>
        <w:t>30</w:t>
      </w:r>
      <w:r>
        <w:rPr>
          <w:rFonts w:hint="eastAsia" w:ascii="宋体" w:hAnsi="宋体"/>
          <w:color w:val="auto"/>
          <w:sz w:val="24"/>
          <w:szCs w:val="24"/>
          <w:highlight w:val="none"/>
        </w:rPr>
        <w:t>个工作日内支付上季度进度款，支付的进度款以</w:t>
      </w:r>
      <w:r>
        <w:rPr>
          <w:rFonts w:hint="eastAsia" w:ascii="宋体" w:hAnsi="宋体"/>
          <w:color w:val="auto"/>
          <w:sz w:val="24"/>
          <w:szCs w:val="24"/>
          <w:highlight w:val="none"/>
          <w:lang w:val="zh-CN"/>
        </w:rPr>
        <w:t>本合同</w:t>
      </w:r>
      <w:r>
        <w:rPr>
          <w:rFonts w:hint="eastAsia" w:ascii="宋体" w:hAnsi="宋体"/>
          <w:color w:val="auto"/>
          <w:sz w:val="24"/>
          <w:szCs w:val="24"/>
          <w:highlight w:val="none"/>
        </w:rPr>
        <w:t>价的45%为基数，乘以本季度已施工工期占项目暂定总工期的比值；本阶段累计支付满</w:t>
      </w:r>
      <w:r>
        <w:rPr>
          <w:rFonts w:hint="eastAsia" w:ascii="宋体" w:hAnsi="宋体"/>
          <w:color w:val="auto"/>
          <w:sz w:val="24"/>
          <w:szCs w:val="24"/>
          <w:highlight w:val="none"/>
          <w:lang w:val="zh-CN"/>
        </w:rPr>
        <w:t>本合同</w:t>
      </w:r>
      <w:r>
        <w:rPr>
          <w:rFonts w:hint="eastAsia" w:ascii="宋体" w:hAnsi="宋体"/>
          <w:color w:val="auto"/>
          <w:sz w:val="24"/>
          <w:szCs w:val="24"/>
          <w:highlight w:val="none"/>
        </w:rPr>
        <w:t>价的45%后停止支付。如本项目停工，则自甲方发出停工函之日起，停工期间不计入已施工工期；</w:t>
      </w:r>
    </w:p>
    <w:p w14:paraId="5651AADA">
      <w:pPr>
        <w:widowControl/>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结（决）算阶段：工程项目竣工结算报送给有权限进行结算终审的部门终审至该项目的结算终审，并获得结算批复文件，且完成本合同约定的所有工作内容后，乙方提出支付申请，甲方收到乙方提出的支付申请并审核完成后</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个工作日内，累计支付至结算（全过程造价咨询）费的95%。如项目需上级主管部门委托审核单位审定的，结算价与上级主管部门委托审核单位（如有）最终审定价相差幅度超过</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%（含本数）的，扣除结算（全过程造价咨询）费的</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%作为违约金；相差幅度超过</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%（含本数）的，扣除结算（全过程造价咨询）费的</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%作为违约金。</w:t>
      </w:r>
    </w:p>
    <w:p w14:paraId="6D4CCA75">
      <w:pPr>
        <w:widowControl/>
        <w:spacing w:line="360" w:lineRule="auto"/>
        <w:ind w:firstLine="480"/>
        <w:jc w:val="left"/>
        <w:rPr>
          <w:rFonts w:hint="eastAsia"/>
          <w:color w:val="auto"/>
          <w:highlight w:val="none"/>
        </w:rPr>
      </w:pPr>
      <w:r>
        <w:rPr>
          <w:rFonts w:ascii="宋体" w:hAnsi="宋体"/>
          <w:color w:val="auto"/>
          <w:sz w:val="24"/>
          <w:szCs w:val="24"/>
          <w:highlight w:val="none"/>
        </w:rPr>
        <w:t>服务费结算阶段</w:t>
      </w:r>
      <w:r>
        <w:rPr>
          <w:rFonts w:hint="eastAsia" w:ascii="宋体" w:hAnsi="宋体"/>
          <w:color w:val="auto"/>
          <w:sz w:val="24"/>
          <w:szCs w:val="24"/>
          <w:highlight w:val="none"/>
        </w:rPr>
        <w:t>：在完成全部服务内容后，由甲方对乙方造价咨询服务工作质量情况进行考评（具体考核标准详见附件《造价咨询服务考核评分表》）视考评情况予以支付。乙方在考评中得分90分或以上的，按结算金额的5%正常支付；85分≤考评得分＜90分，按结算金额的4%支付；75分≤考评得分＜85分，按结算金额的2.5%支付；65分≤考评得分＜75分，按结算金额的1%支付；考评得分＜65分，则考评情况服务酬金不予结算支付。</w:t>
      </w:r>
    </w:p>
    <w:p w14:paraId="01BF1D49">
      <w:pPr>
        <w:widowControl/>
        <w:spacing w:line="360" w:lineRule="auto"/>
        <w:jc w:val="left"/>
        <w:rPr>
          <w:rFonts w:ascii="宋体" w:hAnsi="宋体"/>
          <w:color w:val="auto"/>
          <w:sz w:val="22"/>
          <w:highlight w:val="none"/>
        </w:rPr>
      </w:pPr>
      <w:r>
        <w:rPr>
          <w:rFonts w:hint="eastAsia" w:ascii="宋体" w:hAnsi="宋体"/>
          <w:color w:val="auto"/>
          <w:sz w:val="22"/>
          <w:highlight w:val="none"/>
        </w:rPr>
        <w:t>注：1.每次付款，乙方均需按甲方财务管理制度办理支付申请手续，并提供合法有效增值税一般纳税人服务类专用发票的正式发票。乙方延迟提供合法有效的增值税发票的，甲方有权相应顺延服务费支付时间，乙方不得据此停止履行合同义务。</w:t>
      </w:r>
    </w:p>
    <w:p w14:paraId="318118FB">
      <w:pPr>
        <w:spacing w:after="120"/>
        <w:ind w:firstLine="440"/>
        <w:rPr>
          <w:rFonts w:hint="eastAsia" w:ascii="宋体" w:hAnsi="宋体"/>
          <w:color w:val="auto"/>
          <w:kern w:val="0"/>
          <w:sz w:val="22"/>
          <w:highlight w:val="none"/>
        </w:rPr>
      </w:pPr>
      <w:r>
        <w:rPr>
          <w:rFonts w:hint="eastAsia" w:ascii="宋体" w:hAnsi="宋体"/>
          <w:color w:val="auto"/>
          <w:kern w:val="0"/>
          <w:sz w:val="22"/>
          <w:highlight w:val="none"/>
        </w:rPr>
        <w:t>2.实际支付可视项目进展情况分次支付。</w:t>
      </w:r>
    </w:p>
    <w:p w14:paraId="602F831F">
      <w:pPr>
        <w:spacing w:line="360" w:lineRule="auto"/>
        <w:ind w:firstLine="482" w:firstLineChars="200"/>
        <w:rPr>
          <w:rFonts w:hint="eastAsia" w:ascii="宋体" w:hAnsi="宋体"/>
          <w:snapToGrid w:val="0"/>
          <w:color w:val="auto"/>
          <w:sz w:val="24"/>
          <w:highlight w:val="none"/>
        </w:rPr>
      </w:pPr>
      <w:r>
        <w:rPr>
          <w:rFonts w:ascii="宋体" w:hAnsi="宋体"/>
          <w:b/>
          <w:color w:val="auto"/>
          <w:kern w:val="0"/>
          <w:sz w:val="24"/>
          <w:szCs w:val="24"/>
          <w:highlight w:val="none"/>
          <w:lang w:val="zh-CN"/>
        </w:rPr>
        <w:t>7.3双方一致同意，如本合同工程审计机关对结算评审提出修正意见的，双方应当本着实事求是的原则，按审计机关意见予以纠正。</w:t>
      </w:r>
    </w:p>
    <w:p w14:paraId="7C4B6EC8">
      <w:pPr>
        <w:widowControl/>
        <w:spacing w:line="360" w:lineRule="auto"/>
        <w:ind w:firstLine="200"/>
        <w:jc w:val="left"/>
        <w:outlineLvl w:val="1"/>
        <w:rPr>
          <w:rFonts w:ascii="宋体" w:hAnsi="宋体" w:cs="宋体"/>
          <w:b/>
          <w:color w:val="auto"/>
          <w:sz w:val="24"/>
          <w:szCs w:val="24"/>
          <w:highlight w:val="none"/>
        </w:rPr>
      </w:pPr>
      <w:bookmarkStart w:id="18" w:name="_Toc29849"/>
      <w:r>
        <w:rPr>
          <w:rFonts w:hint="eastAsia" w:ascii="宋体" w:hAnsi="宋体" w:cs="宋体"/>
          <w:b/>
          <w:color w:val="auto"/>
          <w:sz w:val="24"/>
          <w:szCs w:val="24"/>
          <w:highlight w:val="none"/>
        </w:rPr>
        <w:t>八、违约责任</w:t>
      </w:r>
      <w:bookmarkEnd w:id="18"/>
    </w:p>
    <w:p w14:paraId="605C720D">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8.1甲方违约责任</w:t>
      </w:r>
    </w:p>
    <w:p w14:paraId="09292295">
      <w:pPr>
        <w:spacing w:line="360" w:lineRule="auto"/>
        <w:ind w:firstLine="42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若由于甲方原因造成未在本合同约定的支付期限内支付服务报酬，甲方除应继续支付服务报酬外，</w:t>
      </w:r>
      <w:r>
        <w:rPr>
          <w:rFonts w:hint="eastAsia" w:ascii="宋体" w:hAnsi="宋体" w:cs="宋体"/>
          <w:snapToGrid w:val="0"/>
          <w:color w:val="auto"/>
          <w:sz w:val="24"/>
          <w:szCs w:val="24"/>
          <w:highlight w:val="none"/>
        </w:rPr>
        <w:t>还应按同期央行公布的基准活期存款利率给乙方计付款项拖欠期间的利息。</w:t>
      </w:r>
    </w:p>
    <w:p w14:paraId="3C7A275C">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8.2乙方违约责任</w:t>
      </w:r>
    </w:p>
    <w:p w14:paraId="232560B6">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8.2.1乙方承担违约责任的方式包括但不限于：</w:t>
      </w:r>
    </w:p>
    <w:p w14:paraId="73A289D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14:paraId="0F4D2505">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（2）一般违约责任。乙方违反本合同的约定须承担一般违约责任时，必须向甲方交纳违约金人民币3000元/次。</w:t>
      </w:r>
    </w:p>
    <w:p w14:paraId="76C5510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（3）严重违约责任。乙方违反本合同的约定须承担严重违约责任时，必须向甲方交纳违约金人民币10000元/次。</w:t>
      </w:r>
    </w:p>
    <w:p w14:paraId="545B5634">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（4）下浮支付服务报酬。乙方的违约情节特别严重时，甲方有权在合同约定基础上再下浮支付服务报酬，累计下浮金额不超过服务报酬总额的50%。</w:t>
      </w:r>
    </w:p>
    <w:p w14:paraId="4F893DFD">
      <w:pPr>
        <w:spacing w:line="360" w:lineRule="auto"/>
        <w:ind w:firstLine="420"/>
        <w:rPr>
          <w:rFonts w:ascii="宋体" w:hAnsi="宋体" w:cs="宋体"/>
          <w:strike/>
          <w:color w:val="auto"/>
          <w:sz w:val="24"/>
          <w:szCs w:val="24"/>
          <w:highlight w:val="none"/>
        </w:rPr>
      </w:pPr>
      <w:r>
        <w:rPr>
          <w:rFonts w:hint="eastAsia" w:ascii="宋体" w:hAnsi="宋体" w:cs="宋体"/>
          <w:color w:val="auto"/>
          <w:sz w:val="24"/>
          <w:szCs w:val="24"/>
          <w:highlight w:val="none"/>
        </w:rPr>
        <w:t>（5）部分解除合同或解除合同。乙方累计三次以上（含三次）严重违约或甲方认为其违约情节特别恶劣的，甲方有权单方面部分解除合同或解除合同。</w:t>
      </w:r>
    </w:p>
    <w:p w14:paraId="693DC666">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（6）赔偿损失。</w:t>
      </w:r>
      <w:r>
        <w:rPr>
          <w:rFonts w:ascii="宋体" w:hAnsi="宋体" w:cs="宋体"/>
          <w:color w:val="auto"/>
          <w:sz w:val="24"/>
          <w:szCs w:val="24"/>
          <w:highlight w:val="none"/>
        </w:rPr>
        <w:t>因</w:t>
      </w:r>
      <w:r>
        <w:rPr>
          <w:rFonts w:hint="eastAsia" w:ascii="宋体" w:hAnsi="宋体" w:cs="宋体"/>
          <w:color w:val="auto"/>
          <w:sz w:val="24"/>
          <w:szCs w:val="24"/>
          <w:highlight w:val="none"/>
        </w:rPr>
        <w:t>乙方违约或工作失误给甲方造成</w:t>
      </w:r>
      <w:r>
        <w:rPr>
          <w:rFonts w:ascii="宋体" w:hAnsi="宋体" w:cs="宋体"/>
          <w:color w:val="auto"/>
          <w:sz w:val="24"/>
          <w:szCs w:val="24"/>
          <w:highlight w:val="none"/>
        </w:rPr>
        <w:t>损失</w:t>
      </w:r>
      <w:r>
        <w:rPr>
          <w:rFonts w:hint="eastAsia" w:ascii="宋体" w:hAnsi="宋体" w:cs="宋体"/>
          <w:color w:val="auto"/>
          <w:sz w:val="24"/>
          <w:szCs w:val="24"/>
          <w:highlight w:val="none"/>
        </w:rPr>
        <w:t>的</w:t>
      </w:r>
      <w:r>
        <w:rPr>
          <w:rFonts w:ascii="宋体" w:hAnsi="宋体" w:cs="宋体"/>
          <w:color w:val="auto"/>
          <w:sz w:val="24"/>
          <w:szCs w:val="24"/>
          <w:highlight w:val="none"/>
        </w:rPr>
        <w:t>，</w:t>
      </w:r>
      <w:r>
        <w:rPr>
          <w:rFonts w:hint="eastAsia" w:ascii="宋体" w:hAnsi="宋体" w:cs="宋体"/>
          <w:color w:val="auto"/>
          <w:sz w:val="24"/>
          <w:szCs w:val="24"/>
          <w:highlight w:val="none"/>
        </w:rPr>
        <w:t>乙方应向甲方赔偿与违约有直接或间接因果关系的所有损失</w:t>
      </w:r>
      <w:r>
        <w:rPr>
          <w:rFonts w:hint="eastAsia" w:ascii="宋体" w:hAnsi="宋体" w:cs="宋体"/>
          <w:sz w:val="24"/>
          <w:szCs w:val="24"/>
          <w:lang w:eastAsia="zh-CN"/>
        </w:rPr>
        <w:t>（</w:t>
      </w:r>
      <w:r>
        <w:rPr>
          <w:rFonts w:hint="eastAsia" w:ascii="宋体" w:hAnsi="宋体" w:cs="宋体"/>
          <w:sz w:val="24"/>
          <w:szCs w:val="24"/>
          <w:lang w:val="en-US" w:eastAsia="zh-CN"/>
        </w:rPr>
        <w:t>包括但不限于处罚、第三方索赔及诉讼费、律师费、保全费、担保费、鉴定费等</w:t>
      </w:r>
      <w:r>
        <w:rPr>
          <w:rFonts w:hint="eastAsia" w:ascii="宋体" w:hAnsi="宋体" w:cs="宋体"/>
          <w:sz w:val="24"/>
          <w:szCs w:val="24"/>
          <w:lang w:eastAsia="zh-CN"/>
        </w:rPr>
        <w:t>）</w:t>
      </w:r>
      <w:r>
        <w:rPr>
          <w:rFonts w:hint="eastAsia" w:ascii="宋体" w:hAnsi="宋体" w:cs="宋体"/>
          <w:color w:val="auto"/>
          <w:sz w:val="24"/>
          <w:szCs w:val="24"/>
          <w:highlight w:val="none"/>
        </w:rPr>
        <w:t>，但</w:t>
      </w:r>
      <w:r>
        <w:rPr>
          <w:rFonts w:ascii="宋体" w:hAnsi="宋体" w:cs="宋体"/>
          <w:color w:val="auto"/>
          <w:sz w:val="24"/>
          <w:szCs w:val="24"/>
          <w:highlight w:val="none"/>
        </w:rPr>
        <w:t>赔偿总额不应超过</w:t>
      </w:r>
      <w:r>
        <w:rPr>
          <w:rFonts w:hint="eastAsia" w:ascii="宋体" w:hAnsi="宋体" w:cs="宋体"/>
          <w:color w:val="auto"/>
          <w:sz w:val="24"/>
          <w:szCs w:val="24"/>
          <w:highlight w:val="none"/>
        </w:rPr>
        <w:t>服务报酬总额。如果损失是由于乙方故意或严重渎职造成的，乙方应全额赔偿由此给甲方所造成的损失。</w:t>
      </w:r>
    </w:p>
    <w:p w14:paraId="414027AC">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14:paraId="7011AA5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14:paraId="34616940">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8.2.4组织管理方面的违约责任</w:t>
      </w:r>
    </w:p>
    <w:p w14:paraId="5933ADB5">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14:paraId="1D2A2890">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14:paraId="71459C6B">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14:paraId="6267004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同时甲方有权视情况单方面部分解除合同或解除合同。</w:t>
      </w:r>
    </w:p>
    <w:p w14:paraId="7035266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14:paraId="0A0438F5">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14:paraId="06D28AB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（7）甲方要求乙方有关人员必须参加的会议（含对数等），有关人员必须到会，未经甲方同意不到会或不按期到会的，甲方有权给予书面警告。</w:t>
      </w:r>
    </w:p>
    <w:p w14:paraId="3CCCAA56">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8.2.5工作进度方面的违约责任</w:t>
      </w:r>
    </w:p>
    <w:p w14:paraId="02695D7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14:paraId="330BBD3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14:paraId="19744AB0">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（3）乙方不按本合同约定的时间向甲方提交造价咨询工作报告和符合归档要求的造价咨询成果文件的，业主单位支付服务报酬的时间相应顺延，且乙方须承担一次严重违约责任。</w:t>
      </w:r>
    </w:p>
    <w:p w14:paraId="5B025212">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8.2.6服务质量方面的违约责任</w:t>
      </w:r>
    </w:p>
    <w:p w14:paraId="09042CC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（1）乙方提交的工作成果存在单项漏项或偏差金额（经核实，确属于乙方责任造成的漏项或偏差金额，下同）＜100万元的，按以下约定处理：</w:t>
      </w:r>
    </w:p>
    <w:p w14:paraId="49215EC5">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14:paraId="521918D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（2）乙方提交的工作成果存在单项漏项或偏差金额≥100万元的，每发现一次，甲方有权要求乙方承担一次严重违约责任。</w:t>
      </w:r>
    </w:p>
    <w:p w14:paraId="026A0697">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经查实乙方违反本合同约定或者由于乙方的其它原因，致使甲方被投诉的，甲方视情节严重程度有权要求乙方承担一次一般违约或以上的违约责任并下浮10%支付服务报酬。因此致使中标无效需要重新组织招标的，重新组织招标所需要的费用全部由乙方承担。同时，甲方有权单方面部分解除合同或解除合同。</w:t>
      </w:r>
    </w:p>
    <w:p w14:paraId="08A16FD9">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甲方有权下浮10%支付服务报酬；延误30天以上，甲方有权单方面部分解除合同或解除合同。</w:t>
      </w:r>
    </w:p>
    <w:p w14:paraId="1E82694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14:paraId="0066430A">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（6）由于乙方原因，致使本合同项目在施工阶段中发生三类变更的，甲方有权要求乙方承担一次一般违约责任；发生二类变更的，乙方除应承担一次严重违约责任外</w:t>
      </w:r>
      <w:r>
        <w:rPr>
          <w:rFonts w:hint="eastAsia" w:ascii="宋体" w:hAnsi="宋体" w:cs="宋体"/>
          <w:bCs/>
          <w:snapToGrid w:val="0"/>
          <w:color w:val="auto"/>
          <w:kern w:val="0"/>
          <w:sz w:val="24"/>
          <w:szCs w:val="28"/>
          <w:highlight w:val="none"/>
        </w:rPr>
        <w:t>，还应向甲方赔偿相应的损失</w:t>
      </w:r>
      <w:r>
        <w:rPr>
          <w:rFonts w:hint="eastAsia" w:ascii="宋体" w:hAnsi="宋体" w:cs="宋体"/>
          <w:color w:val="auto"/>
          <w:sz w:val="24"/>
          <w:szCs w:val="24"/>
          <w:highlight w:val="none"/>
        </w:rPr>
        <w:t>；发生一类变更的，甲方有权下浮10%支付服务报酬，且乙方应向甲方赔偿相应的损失，同时，甲方有权单方面部分解除合同或解除合同。</w:t>
      </w:r>
    </w:p>
    <w:p w14:paraId="6E5F1A44">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（7）竣工结算总金额超出实际实施范围所对应的批复概算金额，甲方有权下浮10%支付服务报酬，同时，甲方有权单方面部分解除合同或解除合同。</w:t>
      </w:r>
    </w:p>
    <w:p w14:paraId="03776E6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8.2.7工作纪律方面的违约责任</w:t>
      </w:r>
    </w:p>
    <w:p w14:paraId="38E0B57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14:paraId="59E8EF24">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乙方违反本合同约定，接受了与本合同工程建设项目有关的咨询业务，甲方有权单方面部分解除合同或解除合同；同时，甲方将如实通报政府有关部门，由政府有关部门对其进行处罚。若因此给甲方造成损失，乙方应赔偿甲方的全部损失。</w:t>
      </w:r>
    </w:p>
    <w:p w14:paraId="38B39F6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14:paraId="10625C6F">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cs="宋体"/>
          <w:bCs/>
          <w:snapToGrid w:val="0"/>
          <w:color w:val="auto"/>
          <w:sz w:val="24"/>
          <w:szCs w:val="24"/>
          <w:highlight w:val="none"/>
        </w:rPr>
        <w:t>本合同条款第</w:t>
      </w:r>
      <w:r>
        <w:rPr>
          <w:rFonts w:hint="eastAsia" w:ascii="宋体" w:hAnsi="宋体" w:cs="宋体"/>
          <w:color w:val="auto"/>
          <w:sz w:val="24"/>
          <w:szCs w:val="24"/>
          <w:highlight w:val="none"/>
        </w:rPr>
        <w:t>8.2.6－（3）款执行。</w:t>
      </w:r>
    </w:p>
    <w:p w14:paraId="696B5189">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14:paraId="7FB6081C">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（6）乙方违反回避制度的；乙方拒绝接受甲方跟踪核查的；乙方不按要求保管甲方提供的相关资料的，每次均须承担一般违约责任一次。</w:t>
      </w:r>
    </w:p>
    <w:p w14:paraId="4E659A0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（7）乙方违反保密义务，每次均须承担严重违约责任一次，并承担其它相应的法律责任。</w:t>
      </w:r>
    </w:p>
    <w:p w14:paraId="6B73B8E6">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8.2.8乙方在项目工作质量考评中合格，但分数低于65分且有单项得分低于合格基准分的，甲方有权下浮10%支付造价咨询服务报酬，并要求乙方对相应单项进行整改，乙方必须无条件接受。</w:t>
      </w:r>
    </w:p>
    <w:p w14:paraId="4F3FBBDE">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8.2.9乙方向甲方提出的赔偿要求不能成立时，则应补偿由于该赔偿或其他要求所导致甲方的各种费用的支出。</w:t>
      </w:r>
    </w:p>
    <w:p w14:paraId="4FCF8CF1">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8.2.10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14:paraId="1063B28B">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14:paraId="0B300B03">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8.2.12乙方违约责任的认定方式：以甲方发出的通知、通报、会议纪要等书面文件确定的内容为准。</w:t>
      </w:r>
    </w:p>
    <w:p w14:paraId="49C9D956">
      <w:pPr>
        <w:widowControl/>
        <w:spacing w:line="360" w:lineRule="auto"/>
        <w:ind w:firstLine="200"/>
        <w:jc w:val="left"/>
        <w:outlineLvl w:val="1"/>
        <w:rPr>
          <w:rFonts w:ascii="宋体" w:hAnsi="宋体" w:cs="宋体"/>
          <w:color w:val="auto"/>
          <w:sz w:val="24"/>
          <w:szCs w:val="24"/>
          <w:highlight w:val="none"/>
        </w:rPr>
      </w:pPr>
      <w:bookmarkStart w:id="19" w:name="_Toc25909"/>
      <w:r>
        <w:rPr>
          <w:rFonts w:hint="eastAsia" w:ascii="宋体" w:hAnsi="宋体" w:cs="宋体"/>
          <w:b/>
          <w:bCs/>
          <w:color w:val="auto"/>
          <w:sz w:val="24"/>
          <w:szCs w:val="24"/>
          <w:highlight w:val="none"/>
        </w:rPr>
        <w:t>九、合同变更与终止</w:t>
      </w:r>
      <w:bookmarkEnd w:id="19"/>
    </w:p>
    <w:p w14:paraId="46F876F8">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9.1由于甲方或</w:t>
      </w:r>
      <w:r>
        <w:rPr>
          <w:rFonts w:hint="eastAsia" w:ascii="宋体" w:hAnsi="宋体" w:cs="宋体"/>
          <w:sz w:val="24"/>
          <w:szCs w:val="24"/>
          <w:lang w:val="en-US" w:eastAsia="zh-CN"/>
        </w:rPr>
        <w:t>不可归咎乙方</w:t>
      </w:r>
      <w:r>
        <w:rPr>
          <w:rFonts w:hint="eastAsia" w:ascii="宋体" w:hAnsi="宋体" w:cs="宋体"/>
          <w:color w:val="auto"/>
          <w:sz w:val="24"/>
          <w:szCs w:val="24"/>
          <w:highlight w:val="none"/>
        </w:rPr>
        <w:t>的原因使乙方工作受到阻碍或延误以致增加了工作量或持续时间，则乙方应当将此情况与可能产生的影响及时书面通知甲方，经甲方书面同意完成建设工程造价咨询工作的时间可以相应延长</w:t>
      </w:r>
      <w:r>
        <w:rPr>
          <w:rFonts w:hint="eastAsia" w:ascii="宋体" w:hAnsi="宋体" w:cs="宋体"/>
          <w:sz w:val="24"/>
          <w:szCs w:val="24"/>
          <w:lang w:eastAsia="zh-CN"/>
        </w:rPr>
        <w:t>，</w:t>
      </w:r>
      <w:r>
        <w:rPr>
          <w:rFonts w:hint="eastAsia" w:ascii="宋体" w:hAnsi="宋体" w:cs="宋体"/>
          <w:sz w:val="24"/>
          <w:szCs w:val="24"/>
          <w:lang w:val="en-US" w:eastAsia="zh-CN"/>
        </w:rPr>
        <w:t>不作其他费用补偿</w:t>
      </w:r>
      <w:r>
        <w:rPr>
          <w:rFonts w:hint="eastAsia" w:ascii="宋体" w:hAnsi="宋体" w:cs="宋体"/>
          <w:color w:val="auto"/>
          <w:sz w:val="24"/>
          <w:szCs w:val="24"/>
          <w:highlight w:val="none"/>
        </w:rPr>
        <w:t>。</w:t>
      </w:r>
    </w:p>
    <w:p w14:paraId="40311019">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9.2</w:t>
      </w:r>
      <w:r>
        <w:rPr>
          <w:rFonts w:hint="eastAsia" w:ascii="宋体" w:hAnsi="宋体" w:cs="宋体"/>
          <w:sz w:val="24"/>
          <w:szCs w:val="24"/>
          <w:lang w:val="en-US" w:eastAsia="zh-CN"/>
        </w:rPr>
        <w:t>除合同另有约定，</w:t>
      </w:r>
      <w:r>
        <w:rPr>
          <w:rFonts w:hint="eastAsia" w:ascii="宋体" w:hAnsi="宋体" w:cs="宋体"/>
          <w:color w:val="auto"/>
          <w:sz w:val="24"/>
          <w:szCs w:val="24"/>
          <w:highlight w:val="none"/>
        </w:rPr>
        <w:t>当事人一方要求变更或解除合同时，应当至少提前14天</w:t>
      </w:r>
      <w:r>
        <w:rPr>
          <w:rFonts w:hint="eastAsia" w:ascii="宋体" w:hAnsi="宋体" w:cs="宋体"/>
          <w:sz w:val="24"/>
          <w:szCs w:val="24"/>
          <w:lang w:val="en-US" w:eastAsia="zh-CN"/>
        </w:rPr>
        <w:t>书面</w:t>
      </w:r>
      <w:r>
        <w:rPr>
          <w:rFonts w:hint="eastAsia" w:ascii="宋体" w:hAnsi="宋体" w:cs="宋体"/>
          <w:color w:val="auto"/>
          <w:sz w:val="24"/>
          <w:szCs w:val="24"/>
          <w:highlight w:val="none"/>
        </w:rPr>
        <w:t>通知对方</w:t>
      </w:r>
      <w:r>
        <w:rPr>
          <w:rFonts w:hint="eastAsia" w:ascii="宋体" w:hAnsi="宋体" w:cs="宋体"/>
          <w:sz w:val="24"/>
          <w:szCs w:val="24"/>
          <w:lang w:val="en-US" w:eastAsia="zh-CN"/>
        </w:rPr>
        <w:t>并取得对方书面同意</w:t>
      </w:r>
      <w:r>
        <w:rPr>
          <w:rFonts w:hint="eastAsia" w:ascii="宋体" w:hAnsi="宋体" w:cs="宋体"/>
          <w:color w:val="auto"/>
          <w:sz w:val="24"/>
          <w:szCs w:val="24"/>
          <w:highlight w:val="none"/>
        </w:rPr>
        <w:t>；因变更或解除合同使一方遭受损失的，应由责任方负责赔偿。</w:t>
      </w:r>
    </w:p>
    <w:p w14:paraId="5F54DD27">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9.3本合同履行期间，如遇不可抗力，致使合同无法履行的，双方应按有关法律规定及时协商处理。</w:t>
      </w:r>
    </w:p>
    <w:p w14:paraId="3FE1109C">
      <w:pPr>
        <w:spacing w:line="360" w:lineRule="auto"/>
        <w:ind w:firstLine="420"/>
        <w:rPr>
          <w:rFonts w:ascii="宋体" w:hAnsi="宋体" w:cs="宋体"/>
          <w:color w:val="auto"/>
          <w:sz w:val="24"/>
          <w:szCs w:val="24"/>
          <w:highlight w:val="none"/>
        </w:rPr>
      </w:pPr>
      <w:r>
        <w:rPr>
          <w:rFonts w:hint="eastAsia" w:ascii="宋体" w:hAnsi="宋体" w:cs="宋体"/>
          <w:bCs/>
          <w:snapToGrid w:val="0"/>
          <w:color w:val="auto"/>
          <w:kern w:val="0"/>
          <w:sz w:val="24"/>
          <w:szCs w:val="28"/>
          <w:highlight w:val="none"/>
        </w:rPr>
        <w:t>不可抗力，是指不能预见、不能避免并不能克服、对本合同的约定工作造成实质性影响的自然灾害和战争、动乱（不包括乙方内部的任何纠纷和纷争）等社会事件。</w:t>
      </w:r>
      <w:r>
        <w:rPr>
          <w:rFonts w:hint="eastAsia" w:ascii="宋体" w:hAnsi="宋体" w:cs="宋体"/>
          <w:bCs/>
          <w:snapToGrid w:val="0"/>
          <w:color w:val="auto"/>
          <w:kern w:val="0"/>
          <w:sz w:val="24"/>
          <w:szCs w:val="24"/>
          <w:highlight w:val="none"/>
        </w:rPr>
        <w:t>政府关于本项目政策的重大调整或本项目建设规划方案重大功能性调整，也属不可抗力。</w:t>
      </w:r>
    </w:p>
    <w:p w14:paraId="70ACE3AB">
      <w:pPr>
        <w:spacing w:line="360" w:lineRule="auto"/>
        <w:ind w:firstLine="42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9.4变更或解除合同的通知或协议应当采取书面形式，新的协议未达成之前，原合同仍然有效。</w:t>
      </w:r>
    </w:p>
    <w:p w14:paraId="34EFBF69">
      <w:pPr>
        <w:widowControl/>
        <w:spacing w:line="360" w:lineRule="auto"/>
        <w:ind w:firstLine="200"/>
        <w:jc w:val="left"/>
        <w:outlineLvl w:val="1"/>
        <w:rPr>
          <w:rFonts w:ascii="宋体" w:hAnsi="宋体" w:cs="宋体"/>
          <w:b/>
          <w:bCs/>
          <w:color w:val="auto"/>
          <w:sz w:val="24"/>
          <w:szCs w:val="24"/>
          <w:highlight w:val="none"/>
        </w:rPr>
      </w:pPr>
      <w:bookmarkStart w:id="20" w:name="_Toc25126"/>
      <w:r>
        <w:rPr>
          <w:rFonts w:hint="eastAsia" w:ascii="宋体" w:hAnsi="宋体" w:cs="宋体"/>
          <w:b/>
          <w:bCs/>
          <w:color w:val="auto"/>
          <w:sz w:val="24"/>
          <w:szCs w:val="24"/>
          <w:highlight w:val="none"/>
        </w:rPr>
        <w:t>十、履约担保及索赔</w:t>
      </w:r>
      <w:bookmarkEnd w:id="20"/>
    </w:p>
    <w:p w14:paraId="5B7D47BA">
      <w:pPr>
        <w:widowControl/>
        <w:spacing w:line="360" w:lineRule="auto"/>
        <w:ind w:firstLine="200"/>
        <w:jc w:val="left"/>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10.1 乙方应在本合同签订后14天内按招标文件规定向甲方提交担保金额为合同价款的10%,即人民币______元的履约担保，</w:t>
      </w:r>
      <w:r>
        <w:rPr>
          <w:rFonts w:hint="eastAsia" w:ascii="宋体" w:hAnsi="宋体" w:cs="宋体"/>
          <w:b w:val="0"/>
          <w:bCs/>
          <w:sz w:val="24"/>
          <w:szCs w:val="24"/>
          <w:lang w:val="en-US" w:eastAsia="zh-CN"/>
        </w:rPr>
        <w:t>履约担保形式包含担保保函、银行（</w:t>
      </w:r>
      <w:r>
        <w:rPr>
          <w:rFonts w:hint="eastAsia" w:ascii="宋体" w:hAnsi="宋体"/>
          <w:color w:val="000000"/>
          <w:spacing w:val="4"/>
          <w:kern w:val="0"/>
          <w:sz w:val="24"/>
          <w:szCs w:val="24"/>
          <w:highlight w:val="none"/>
        </w:rPr>
        <w:t>在中国注册</w:t>
      </w:r>
      <w:r>
        <w:rPr>
          <w:rFonts w:hint="eastAsia" w:ascii="宋体" w:hAnsi="宋体" w:cs="宋体"/>
          <w:b w:val="0"/>
          <w:bCs/>
          <w:sz w:val="24"/>
          <w:szCs w:val="24"/>
          <w:lang w:val="en-US" w:eastAsia="zh-CN"/>
        </w:rPr>
        <w:t>）保函（</w:t>
      </w:r>
      <w:r>
        <w:rPr>
          <w:rFonts w:hint="eastAsia" w:ascii="宋体" w:hAnsi="宋体" w:cs="宋体"/>
          <w:b w:val="0"/>
          <w:bCs/>
          <w:sz w:val="24"/>
          <w:szCs w:val="24"/>
        </w:rPr>
        <w:t>须为在中国境内开具的无条件、不可撤销、见索即付的保函</w:t>
      </w:r>
      <w:r>
        <w:rPr>
          <w:rFonts w:hint="eastAsia" w:ascii="宋体" w:hAnsi="宋体" w:cs="宋体"/>
          <w:b w:val="0"/>
          <w:bCs/>
          <w:sz w:val="24"/>
          <w:szCs w:val="24"/>
          <w:lang w:val="en-US" w:eastAsia="zh-CN"/>
        </w:rPr>
        <w:t>）</w:t>
      </w:r>
      <w:r>
        <w:rPr>
          <w:rFonts w:hint="eastAsia" w:ascii="宋体" w:hAnsi="宋体" w:cs="宋体"/>
          <w:b w:val="0"/>
          <w:bCs/>
          <w:sz w:val="24"/>
          <w:szCs w:val="24"/>
        </w:rPr>
        <w:t>，</w:t>
      </w:r>
      <w:r>
        <w:rPr>
          <w:rFonts w:hint="eastAsia" w:ascii="宋体" w:hAnsi="宋体" w:cs="宋体"/>
          <w:b w:val="0"/>
          <w:bCs/>
          <w:sz w:val="24"/>
          <w:szCs w:val="24"/>
          <w:lang w:val="en-US" w:eastAsia="zh-CN"/>
        </w:rPr>
        <w:t>乙方</w:t>
      </w:r>
      <w:r>
        <w:rPr>
          <w:rFonts w:hint="eastAsia" w:ascii="宋体" w:hAnsi="宋体" w:cs="宋体"/>
          <w:b w:val="0"/>
          <w:bCs/>
          <w:sz w:val="24"/>
          <w:szCs w:val="24"/>
        </w:rPr>
        <w:t>开具的履约担保应经甲方审核通过</w:t>
      </w:r>
      <w:r>
        <w:rPr>
          <w:rFonts w:hint="eastAsia" w:ascii="宋体" w:hAnsi="宋体" w:cs="宋体"/>
          <w:bCs/>
          <w:color w:val="auto"/>
          <w:sz w:val="24"/>
          <w:szCs w:val="24"/>
          <w:highlight w:val="none"/>
        </w:rPr>
        <w:t>。</w:t>
      </w:r>
    </w:p>
    <w:p w14:paraId="5562B8D4">
      <w:pPr>
        <w:widowControl/>
        <w:spacing w:line="360" w:lineRule="auto"/>
        <w:ind w:firstLine="200"/>
        <w:jc w:val="left"/>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10.2乙方如未能在上述约定的时间内提交履约担保的，视为自动放弃中标资格，乙方应赔偿由此给甲方造成的全部损失（包括但不限于工程进度延误、重新招标支出等）。</w:t>
      </w:r>
    </w:p>
    <w:p w14:paraId="14349F20">
      <w:pPr>
        <w:widowControl/>
        <w:spacing w:line="360" w:lineRule="auto"/>
        <w:ind w:firstLine="200"/>
        <w:jc w:val="left"/>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10.3乙方提交的履约担保是对本合同约定的乙方的全部义务(包括但不限于乙方违约后应支付的违约金和赔偿金)的担保，乙方的任何一次不履行或不完全履行合同义务的行为，甲方均有权提出索赔。</w:t>
      </w:r>
    </w:p>
    <w:p w14:paraId="3DEB5F8B">
      <w:pPr>
        <w:widowControl/>
        <w:spacing w:line="360" w:lineRule="auto"/>
        <w:ind w:firstLine="200"/>
        <w:jc w:val="left"/>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10.4乙方不履行或不完全履行合同义务的行为导致甲方依据履约担保索赔担保金额的一部分或者全部的，乙方必须在甲方规定的时间内补充提交履约担保，使得本合同履行期间有效的履约担保金额等于乙方按本合同约定第一次提交的履约担保金额。</w:t>
      </w:r>
    </w:p>
    <w:p w14:paraId="6A96B4DE">
      <w:pPr>
        <w:widowControl/>
        <w:spacing w:line="360" w:lineRule="auto"/>
        <w:ind w:firstLine="200"/>
        <w:jc w:val="left"/>
        <w:outlineLvl w:val="1"/>
        <w:rPr>
          <w:rFonts w:hint="default" w:ascii="宋体" w:hAnsi="宋体" w:eastAsia="宋体" w:cs="宋体"/>
          <w:b w:val="0"/>
          <w:bCs/>
          <w:sz w:val="24"/>
          <w:szCs w:val="24"/>
          <w:lang w:val="en-US" w:eastAsia="zh-CN"/>
        </w:rPr>
      </w:pPr>
      <w:r>
        <w:rPr>
          <w:rFonts w:hint="eastAsia" w:ascii="宋体" w:hAnsi="宋体" w:cs="宋体"/>
          <w:bCs/>
          <w:color w:val="auto"/>
          <w:sz w:val="24"/>
          <w:szCs w:val="24"/>
          <w:highlight w:val="none"/>
        </w:rPr>
        <w:t>10.5</w:t>
      </w:r>
      <w:r>
        <w:rPr>
          <w:rFonts w:hint="eastAsia" w:ascii="宋体" w:hAnsi="宋体" w:cs="宋体"/>
          <w:b w:val="0"/>
          <w:bCs/>
          <w:sz w:val="24"/>
          <w:szCs w:val="24"/>
          <w:lang w:val="en-US" w:eastAsia="zh-CN"/>
        </w:rPr>
        <w:t>乙方提交的履约保函期限应与合同履行期限一致，如履约保函到期时本项目还未达到退保函的条件，乙方应于保函有效期前30日内无条件完成续保手续，否则甲方有权不支付进度款，续保费用由乙方承担。</w:t>
      </w:r>
    </w:p>
    <w:p w14:paraId="06C06E02">
      <w:pPr>
        <w:widowControl/>
        <w:spacing w:line="360" w:lineRule="auto"/>
        <w:ind w:firstLine="200"/>
        <w:jc w:val="left"/>
        <w:outlineLvl w:val="1"/>
        <w:rPr>
          <w:rFonts w:hint="eastAsia" w:ascii="宋体" w:hAnsi="宋体" w:cs="宋体"/>
          <w:bCs/>
          <w:color w:val="auto"/>
          <w:sz w:val="24"/>
          <w:szCs w:val="24"/>
          <w:highlight w:val="none"/>
        </w:rPr>
      </w:pPr>
      <w:r>
        <w:rPr>
          <w:rFonts w:hint="eastAsia" w:ascii="宋体" w:hAnsi="宋体" w:cs="宋体"/>
          <w:b w:val="0"/>
          <w:bCs/>
          <w:sz w:val="24"/>
          <w:szCs w:val="24"/>
        </w:rPr>
        <w:t>10.</w:t>
      </w:r>
      <w:r>
        <w:rPr>
          <w:rFonts w:hint="eastAsia" w:ascii="宋体" w:hAnsi="宋体" w:cs="宋体"/>
          <w:b w:val="0"/>
          <w:bCs/>
          <w:sz w:val="24"/>
          <w:szCs w:val="24"/>
          <w:lang w:val="en-US" w:eastAsia="zh-CN"/>
        </w:rPr>
        <w:t>6</w:t>
      </w:r>
      <w:r>
        <w:rPr>
          <w:rFonts w:hint="eastAsia" w:ascii="宋体" w:hAnsi="宋体" w:cs="宋体"/>
          <w:bCs/>
          <w:color w:val="auto"/>
          <w:sz w:val="24"/>
          <w:szCs w:val="24"/>
          <w:highlight w:val="none"/>
        </w:rPr>
        <w:t>如果乙方不按甲方的要求及时补充提交履约担保，则甲方有权单方面部分解除或解除本合同</w:t>
      </w:r>
      <w:r>
        <w:rPr>
          <w:rFonts w:hint="eastAsia" w:ascii="宋体" w:hAnsi="宋体" w:cs="宋体"/>
          <w:b w:val="0"/>
          <w:bCs/>
          <w:sz w:val="24"/>
          <w:szCs w:val="24"/>
          <w:lang w:val="en-US" w:eastAsia="zh-CN"/>
        </w:rPr>
        <w:t>或停止支付酬金</w:t>
      </w:r>
      <w:r>
        <w:rPr>
          <w:rFonts w:hint="eastAsia" w:ascii="宋体" w:hAnsi="宋体" w:cs="宋体"/>
          <w:bCs/>
          <w:color w:val="auto"/>
          <w:sz w:val="24"/>
          <w:szCs w:val="24"/>
          <w:highlight w:val="none"/>
        </w:rPr>
        <w:t>，并按合同条款第8.2.1款的有关约定执行。</w:t>
      </w:r>
    </w:p>
    <w:p w14:paraId="731469D3">
      <w:pPr>
        <w:widowControl/>
        <w:spacing w:line="360" w:lineRule="auto"/>
        <w:ind w:firstLine="200"/>
        <w:jc w:val="left"/>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10.</w:t>
      </w:r>
      <w:r>
        <w:rPr>
          <w:rFonts w:hint="eastAsia" w:ascii="宋体" w:hAnsi="宋体" w:cs="宋体"/>
          <w:b w:val="0"/>
          <w:bCs/>
          <w:sz w:val="24"/>
          <w:szCs w:val="24"/>
          <w:lang w:val="en-US" w:eastAsia="zh-CN"/>
        </w:rPr>
        <w:t>7</w:t>
      </w:r>
      <w:r>
        <w:rPr>
          <w:rFonts w:hint="eastAsia" w:ascii="宋体" w:hAnsi="宋体" w:cs="宋体"/>
          <w:bCs/>
          <w:color w:val="auto"/>
          <w:sz w:val="24"/>
          <w:szCs w:val="24"/>
          <w:highlight w:val="none"/>
        </w:rPr>
        <w:t>工程结算最终定审后，乙方可以向甲方申请退还履约担保。</w:t>
      </w:r>
    </w:p>
    <w:p w14:paraId="58EC6B32">
      <w:pPr>
        <w:widowControl/>
        <w:spacing w:line="360" w:lineRule="auto"/>
        <w:ind w:firstLine="200"/>
        <w:jc w:val="left"/>
        <w:outlineLvl w:val="1"/>
        <w:rPr>
          <w:rFonts w:ascii="宋体" w:hAnsi="宋体" w:cs="宋体"/>
          <w:color w:val="auto"/>
          <w:sz w:val="24"/>
          <w:szCs w:val="24"/>
          <w:highlight w:val="none"/>
        </w:rPr>
      </w:pPr>
      <w:bookmarkStart w:id="21" w:name="_Toc31284"/>
      <w:r>
        <w:rPr>
          <w:rFonts w:hint="eastAsia" w:ascii="宋体" w:hAnsi="宋体" w:cs="宋体"/>
          <w:b/>
          <w:bCs/>
          <w:color w:val="auto"/>
          <w:sz w:val="24"/>
          <w:szCs w:val="24"/>
          <w:highlight w:val="none"/>
        </w:rPr>
        <w:t>十一、合同争议的解决</w:t>
      </w:r>
      <w:bookmarkEnd w:id="21"/>
    </w:p>
    <w:p w14:paraId="168D81E4">
      <w:pPr>
        <w:spacing w:line="360" w:lineRule="auto"/>
        <w:ind w:firstLine="42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11.1凡因履行本合同而引起的一切争议或与本合同有关的争议，应由甲乙双方通过友好协商解决。协商不成时，任何一方均有权向甲方住所地人民法院提起诉讼。</w:t>
      </w:r>
    </w:p>
    <w:p w14:paraId="6FACF841">
      <w:pPr>
        <w:spacing w:line="360" w:lineRule="auto"/>
        <w:ind w:firstLine="42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11.2乙方承诺：在争议解决期间，仍将尽职尽责继续完成甲方所委托的工作，否则甲方有权先行单方面解除本合同；如甲方决定先行单方面解除本合同的，乙方立即无条件服从并将有关资料无偿移交甲方。</w:t>
      </w:r>
    </w:p>
    <w:p w14:paraId="3609ECC4">
      <w:pPr>
        <w:widowControl/>
        <w:spacing w:line="360" w:lineRule="auto"/>
        <w:ind w:firstLine="200"/>
        <w:jc w:val="left"/>
        <w:outlineLvl w:val="1"/>
        <w:rPr>
          <w:rFonts w:ascii="宋体" w:hAnsi="宋体" w:cs="宋体"/>
          <w:b/>
          <w:color w:val="auto"/>
          <w:sz w:val="24"/>
          <w:szCs w:val="24"/>
          <w:highlight w:val="none"/>
        </w:rPr>
      </w:pPr>
      <w:bookmarkStart w:id="22" w:name="_Toc21465"/>
      <w:r>
        <w:rPr>
          <w:rFonts w:hint="eastAsia" w:ascii="宋体" w:hAnsi="宋体" w:cs="宋体"/>
          <w:b/>
          <w:color w:val="auto"/>
          <w:sz w:val="24"/>
          <w:szCs w:val="24"/>
          <w:highlight w:val="none"/>
        </w:rPr>
        <w:t>十二、其它</w:t>
      </w:r>
      <w:bookmarkEnd w:id="22"/>
    </w:p>
    <w:p w14:paraId="267F246F">
      <w:pPr>
        <w:spacing w:line="360" w:lineRule="auto"/>
        <w:ind w:firstLine="420"/>
        <w:rPr>
          <w:rFonts w:ascii="宋体" w:hAnsi="宋体"/>
          <w:b/>
          <w:snapToGrid w:val="0"/>
          <w:color w:val="auto"/>
          <w:sz w:val="24"/>
          <w:szCs w:val="24"/>
          <w:highlight w:val="none"/>
        </w:rPr>
      </w:pPr>
      <w:r>
        <w:rPr>
          <w:rFonts w:hint="eastAsia" w:ascii="宋体" w:hAnsi="宋体"/>
          <w:b/>
          <w:bCs/>
          <w:color w:val="auto"/>
          <w:sz w:val="24"/>
          <w:szCs w:val="24"/>
          <w:highlight w:val="none"/>
        </w:rPr>
        <w:t>12.1</w:t>
      </w:r>
      <w:r>
        <w:rPr>
          <w:rFonts w:hint="eastAsia" w:ascii="宋体" w:hAnsi="宋体"/>
          <w:b/>
          <w:snapToGrid w:val="0"/>
          <w:color w:val="auto"/>
          <w:sz w:val="24"/>
          <w:szCs w:val="24"/>
          <w:highlight w:val="none"/>
        </w:rPr>
        <w:t>补充条款</w:t>
      </w:r>
    </w:p>
    <w:p w14:paraId="5EFC5617">
      <w:pPr>
        <w:spacing w:line="360" w:lineRule="auto"/>
        <w:ind w:firstLine="420"/>
        <w:rPr>
          <w:rFonts w:ascii="宋体" w:hAnsi="宋体"/>
          <w:snapToGrid w:val="0"/>
          <w:color w:val="auto"/>
          <w:sz w:val="24"/>
          <w:szCs w:val="24"/>
          <w:highlight w:val="none"/>
        </w:rPr>
      </w:pPr>
      <w:r>
        <w:rPr>
          <w:rFonts w:hint="eastAsia"/>
          <w:color w:val="auto"/>
          <w:sz w:val="24"/>
          <w:szCs w:val="24"/>
          <w:highlight w:val="none"/>
        </w:rPr>
        <w:t>乙方承诺严格按照合同约定履行义务，并同意甲方将其履行合同、招投标文件义务的履约情况和不诚信行为（包括但不限于由甲方组织的考核、考评通报、作出的违约责任处理决定等）在甲方网站和建设项目业主网站及其他媒体上公开披露，由此造成的一切损失和不利后果均由乙方自行承担。</w:t>
      </w:r>
    </w:p>
    <w:p w14:paraId="14F3DFB7">
      <w:pPr>
        <w:spacing w:line="360" w:lineRule="auto"/>
        <w:ind w:firstLine="420"/>
        <w:rPr>
          <w:rFonts w:ascii="宋体" w:hAnsi="宋体"/>
          <w:b/>
          <w:bCs/>
          <w:color w:val="auto"/>
          <w:sz w:val="24"/>
          <w:szCs w:val="24"/>
          <w:highlight w:val="none"/>
        </w:rPr>
      </w:pPr>
      <w:r>
        <w:rPr>
          <w:rFonts w:hint="eastAsia" w:ascii="宋体" w:hAnsi="宋体"/>
          <w:b/>
          <w:bCs/>
          <w:color w:val="auto"/>
          <w:sz w:val="24"/>
          <w:szCs w:val="24"/>
          <w:highlight w:val="none"/>
        </w:rPr>
        <w:t>12.2知识产权</w:t>
      </w:r>
    </w:p>
    <w:p w14:paraId="25AD7273">
      <w:pPr>
        <w:spacing w:line="360" w:lineRule="auto"/>
        <w:ind w:firstLine="420"/>
        <w:rPr>
          <w:rFonts w:ascii="宋体" w:hAnsi="宋体"/>
          <w:snapToGrid w:val="0"/>
          <w:color w:val="auto"/>
          <w:sz w:val="24"/>
          <w:szCs w:val="24"/>
          <w:highlight w:val="none"/>
        </w:rPr>
      </w:pPr>
      <w:r>
        <w:rPr>
          <w:rFonts w:hint="eastAsia" w:ascii="宋体" w:hAnsi="宋体"/>
          <w:snapToGrid w:val="0"/>
          <w:color w:val="auto"/>
          <w:sz w:val="24"/>
          <w:szCs w:val="24"/>
          <w:highlight w:val="none"/>
        </w:rPr>
        <w:t>乙方应保证在造价咨询服务中所编制的文件不侵犯他人合法权益。乙方为本合同约定项目提供造价咨询服务编制的所有文件的知识产权应属甲方专有。</w:t>
      </w:r>
    </w:p>
    <w:p w14:paraId="25987D1C">
      <w:pPr>
        <w:spacing w:line="360" w:lineRule="auto"/>
        <w:ind w:firstLine="420"/>
        <w:rPr>
          <w:rFonts w:ascii="宋体" w:hAnsi="宋体"/>
          <w:b/>
          <w:bCs/>
          <w:color w:val="auto"/>
          <w:sz w:val="24"/>
          <w:szCs w:val="24"/>
          <w:highlight w:val="none"/>
        </w:rPr>
      </w:pPr>
      <w:r>
        <w:rPr>
          <w:rFonts w:hint="eastAsia" w:ascii="宋体" w:hAnsi="宋体"/>
          <w:b/>
          <w:bCs/>
          <w:color w:val="auto"/>
          <w:sz w:val="24"/>
          <w:szCs w:val="24"/>
          <w:highlight w:val="none"/>
        </w:rPr>
        <w:t>12.3回避</w:t>
      </w:r>
    </w:p>
    <w:p w14:paraId="5A9302B5">
      <w:pPr>
        <w:spacing w:line="360" w:lineRule="auto"/>
        <w:ind w:firstLine="420"/>
        <w:rPr>
          <w:rFonts w:ascii="宋体" w:hAnsi="宋体"/>
          <w:snapToGrid w:val="0"/>
          <w:color w:val="auto"/>
          <w:sz w:val="24"/>
          <w:szCs w:val="24"/>
          <w:highlight w:val="none"/>
        </w:rPr>
      </w:pPr>
      <w:r>
        <w:rPr>
          <w:rFonts w:hint="eastAsia" w:ascii="宋体" w:hAnsi="宋体"/>
          <w:color w:val="auto"/>
          <w:sz w:val="24"/>
          <w:szCs w:val="24"/>
          <w:highlight w:val="none"/>
        </w:rPr>
        <w:t>乙方</w:t>
      </w:r>
      <w:r>
        <w:rPr>
          <w:rFonts w:ascii="宋体" w:hAnsi="宋体"/>
          <w:color w:val="auto"/>
          <w:sz w:val="24"/>
          <w:szCs w:val="24"/>
          <w:highlight w:val="none"/>
        </w:rPr>
        <w:t>不得再接受除</w:t>
      </w:r>
      <w:r>
        <w:rPr>
          <w:rFonts w:hint="eastAsia" w:ascii="宋体" w:hAnsi="宋体"/>
          <w:color w:val="auto"/>
          <w:sz w:val="24"/>
          <w:szCs w:val="24"/>
          <w:highlight w:val="none"/>
        </w:rPr>
        <w:t>甲方</w:t>
      </w:r>
      <w:r>
        <w:rPr>
          <w:rFonts w:ascii="宋体" w:hAnsi="宋体"/>
          <w:color w:val="auto"/>
          <w:sz w:val="24"/>
          <w:szCs w:val="24"/>
          <w:highlight w:val="none"/>
        </w:rPr>
        <w:t>外的其他委托人对</w:t>
      </w:r>
      <w:r>
        <w:rPr>
          <w:rFonts w:hint="eastAsia" w:ascii="宋体" w:hAnsi="宋体"/>
          <w:color w:val="auto"/>
          <w:sz w:val="24"/>
          <w:szCs w:val="24"/>
          <w:highlight w:val="none"/>
        </w:rPr>
        <w:t>本</w:t>
      </w:r>
      <w:r>
        <w:rPr>
          <w:rFonts w:ascii="宋体" w:hAnsi="宋体"/>
          <w:color w:val="auto"/>
          <w:sz w:val="24"/>
          <w:szCs w:val="24"/>
          <w:highlight w:val="none"/>
        </w:rPr>
        <w:t>项目的服务委托，即不能就</w:t>
      </w:r>
      <w:r>
        <w:rPr>
          <w:rFonts w:hint="eastAsia" w:ascii="宋体" w:hAnsi="宋体"/>
          <w:color w:val="auto"/>
          <w:sz w:val="24"/>
          <w:szCs w:val="24"/>
          <w:highlight w:val="none"/>
        </w:rPr>
        <w:t>本</w:t>
      </w:r>
      <w:r>
        <w:rPr>
          <w:rFonts w:ascii="宋体" w:hAnsi="宋体"/>
          <w:color w:val="auto"/>
          <w:sz w:val="24"/>
          <w:szCs w:val="24"/>
          <w:highlight w:val="none"/>
        </w:rPr>
        <w:t>项目既接受</w:t>
      </w:r>
      <w:r>
        <w:rPr>
          <w:rFonts w:hint="eastAsia" w:ascii="宋体" w:hAnsi="宋体"/>
          <w:color w:val="auto"/>
          <w:sz w:val="24"/>
          <w:szCs w:val="24"/>
          <w:highlight w:val="none"/>
        </w:rPr>
        <w:t>甲方</w:t>
      </w:r>
      <w:r>
        <w:rPr>
          <w:rFonts w:ascii="宋体" w:hAnsi="宋体"/>
          <w:color w:val="auto"/>
          <w:sz w:val="24"/>
          <w:szCs w:val="24"/>
          <w:highlight w:val="none"/>
        </w:rPr>
        <w:t>的委托，又接受项目投标供应商、</w:t>
      </w:r>
      <w:r>
        <w:rPr>
          <w:rFonts w:hint="eastAsia" w:ascii="宋体" w:hAnsi="宋体"/>
          <w:color w:val="auto"/>
          <w:sz w:val="24"/>
          <w:szCs w:val="24"/>
          <w:highlight w:val="none"/>
        </w:rPr>
        <w:t>施工</w:t>
      </w:r>
      <w:r>
        <w:rPr>
          <w:rFonts w:ascii="宋体" w:hAnsi="宋体"/>
          <w:color w:val="auto"/>
          <w:sz w:val="24"/>
          <w:szCs w:val="24"/>
          <w:highlight w:val="none"/>
        </w:rPr>
        <w:t>承包单位等相对利益关系人的委托</w:t>
      </w:r>
      <w:r>
        <w:rPr>
          <w:rFonts w:hint="eastAsia" w:ascii="宋体" w:hAnsi="宋体"/>
          <w:color w:val="auto"/>
          <w:sz w:val="24"/>
          <w:szCs w:val="24"/>
          <w:highlight w:val="none"/>
        </w:rPr>
        <w:t>，否则甲方有权解除本合同并按合同条款第8.2款的约定追究乙方的违约责任。</w:t>
      </w:r>
    </w:p>
    <w:p w14:paraId="409E48AE">
      <w:pPr>
        <w:widowControl/>
        <w:spacing w:line="360" w:lineRule="auto"/>
        <w:ind w:firstLine="200"/>
        <w:jc w:val="left"/>
        <w:outlineLvl w:val="1"/>
        <w:rPr>
          <w:rFonts w:ascii="宋体" w:hAnsi="宋体" w:cs="宋体"/>
          <w:b/>
          <w:color w:val="auto"/>
          <w:sz w:val="24"/>
          <w:szCs w:val="24"/>
          <w:highlight w:val="none"/>
        </w:rPr>
      </w:pPr>
      <w:bookmarkStart w:id="23" w:name="_Toc13873"/>
      <w:r>
        <w:rPr>
          <w:rFonts w:hint="eastAsia" w:ascii="宋体" w:hAnsi="宋体" w:cs="宋体"/>
          <w:b/>
          <w:color w:val="auto"/>
          <w:sz w:val="24"/>
          <w:szCs w:val="24"/>
          <w:highlight w:val="none"/>
        </w:rPr>
        <w:t>十三、附件</w:t>
      </w:r>
      <w:bookmarkEnd w:id="23"/>
    </w:p>
    <w:p w14:paraId="0E5633E8">
      <w:pPr>
        <w:spacing w:line="360" w:lineRule="auto"/>
        <w:ind w:firstLine="42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附件1：工程建设廉洁协议书</w:t>
      </w:r>
    </w:p>
    <w:p w14:paraId="1EE8B4F7">
      <w:pPr>
        <w:spacing w:line="360" w:lineRule="auto"/>
        <w:ind w:firstLine="420"/>
        <w:rPr>
          <w:rFonts w:ascii="宋体" w:hAnsi="宋体" w:cs="宋体"/>
          <w:snapToGrid w:val="0"/>
          <w:color w:val="auto"/>
          <w:sz w:val="24"/>
          <w:szCs w:val="24"/>
          <w:highlight w:val="none"/>
        </w:rPr>
      </w:pPr>
      <w:r>
        <w:rPr>
          <w:rFonts w:hint="eastAsia" w:ascii="宋体" w:hAnsi="宋体" w:cs="宋体"/>
          <w:color w:val="auto"/>
          <w:kern w:val="0"/>
          <w:sz w:val="24"/>
          <w:szCs w:val="24"/>
          <w:highlight w:val="none"/>
        </w:rPr>
        <w:t>附件2：</w:t>
      </w:r>
      <w:r>
        <w:rPr>
          <w:rFonts w:hint="eastAsia" w:ascii="宋体" w:hAnsi="宋体" w:cs="宋体"/>
          <w:snapToGrid w:val="0"/>
          <w:color w:val="auto"/>
          <w:sz w:val="24"/>
          <w:szCs w:val="24"/>
          <w:highlight w:val="none"/>
        </w:rPr>
        <w:t>中标通知书</w:t>
      </w:r>
    </w:p>
    <w:p w14:paraId="089CEA6B">
      <w:pPr>
        <w:spacing w:line="360" w:lineRule="auto"/>
        <w:ind w:firstLine="420"/>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附件3：</w:t>
      </w:r>
      <w:r>
        <w:rPr>
          <w:rFonts w:hint="eastAsia" w:ascii="宋体" w:hAnsi="宋体" w:cs="宋体"/>
          <w:color w:val="auto"/>
          <w:kern w:val="0"/>
          <w:sz w:val="24"/>
          <w:szCs w:val="24"/>
          <w:highlight w:val="none"/>
        </w:rPr>
        <w:t>拟投入本项目造价人员一览表</w:t>
      </w:r>
    </w:p>
    <w:p w14:paraId="477DF79F">
      <w:pPr>
        <w:spacing w:line="360" w:lineRule="auto"/>
        <w:ind w:firstLine="42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附件4：投标函及投标函附录</w:t>
      </w:r>
    </w:p>
    <w:p w14:paraId="470DAD9F">
      <w:pPr>
        <w:widowControl/>
        <w:spacing w:line="360" w:lineRule="auto"/>
        <w:ind w:firstLine="420" w:firstLineChars="175"/>
        <w:contextualSpacing/>
        <w:jc w:val="left"/>
        <w:rPr>
          <w:color w:val="auto"/>
          <w:highlight w:val="none"/>
        </w:rPr>
      </w:pPr>
      <w:r>
        <w:rPr>
          <w:rFonts w:hint="eastAsia" w:ascii="宋体" w:hAnsi="宋体" w:cs="宋体"/>
          <w:snapToGrid w:val="0"/>
          <w:color w:val="auto"/>
          <w:kern w:val="0"/>
          <w:sz w:val="24"/>
          <w:szCs w:val="24"/>
          <w:highlight w:val="none"/>
        </w:rPr>
        <w:t>附件5：乙方营业执照</w:t>
      </w:r>
    </w:p>
    <w:p w14:paraId="13953092">
      <w:pPr>
        <w:widowControl/>
        <w:spacing w:line="360" w:lineRule="auto"/>
        <w:ind w:firstLine="420" w:firstLineChars="175"/>
        <w:contextualSpacing/>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附件6：</w:t>
      </w:r>
      <w:r>
        <w:rPr>
          <w:rFonts w:hint="eastAsia" w:ascii="宋体" w:hAnsi="宋体" w:cs="宋体"/>
          <w:color w:val="auto"/>
          <w:kern w:val="0"/>
          <w:sz w:val="24"/>
          <w:szCs w:val="24"/>
          <w:highlight w:val="none"/>
        </w:rPr>
        <w:t>造价咨询服务考核评分表</w:t>
      </w:r>
    </w:p>
    <w:p w14:paraId="3AF0E83C">
      <w:pPr>
        <w:widowControl/>
        <w:spacing w:line="360" w:lineRule="auto"/>
        <w:contextualSpacing/>
        <w:jc w:val="left"/>
        <w:outlineLvl w:val="0"/>
        <w:rPr>
          <w:rFonts w:ascii="宋体" w:hAnsi="宋体" w:cs="宋体"/>
          <w:snapToGrid w:val="0"/>
          <w:color w:val="auto"/>
          <w:sz w:val="24"/>
          <w:szCs w:val="24"/>
          <w:highlight w:val="none"/>
        </w:rPr>
      </w:pPr>
      <w:bookmarkStart w:id="24" w:name="_Toc834"/>
      <w:r>
        <w:rPr>
          <w:rFonts w:hint="eastAsia" w:ascii="宋体" w:hAnsi="宋体" w:cs="宋体"/>
          <w:snapToGrid w:val="0"/>
          <w:color w:val="auto"/>
          <w:sz w:val="24"/>
          <w:szCs w:val="24"/>
          <w:highlight w:val="none"/>
        </w:rPr>
        <w:t>（本页以下无正文）</w:t>
      </w:r>
      <w:r>
        <w:rPr>
          <w:rFonts w:ascii="宋体" w:hAnsi="宋体" w:cs="宋体"/>
          <w:snapToGrid w:val="0"/>
          <w:color w:val="auto"/>
          <w:sz w:val="24"/>
          <w:szCs w:val="24"/>
          <w:highlight w:val="none"/>
        </w:rPr>
        <w:br w:type="page"/>
      </w:r>
      <w:r>
        <w:rPr>
          <w:rFonts w:hint="eastAsia" w:ascii="宋体" w:hAnsi="宋体" w:cs="宋体"/>
          <w:snapToGrid w:val="0"/>
          <w:color w:val="auto"/>
          <w:sz w:val="24"/>
          <w:szCs w:val="24"/>
          <w:highlight w:val="none"/>
        </w:rPr>
        <w:t>附件1：</w:t>
      </w:r>
      <w:bookmarkEnd w:id="24"/>
    </w:p>
    <w:p w14:paraId="298F712C">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工程建设廉洁协议书</w:t>
      </w:r>
    </w:p>
    <w:p w14:paraId="1E42ACA1">
      <w:pPr>
        <w:widowControl/>
        <w:adjustRightInd w:val="0"/>
        <w:snapToGrid w:val="0"/>
        <w:spacing w:line="360" w:lineRule="auto"/>
        <w:jc w:val="left"/>
        <w:rPr>
          <w:rFonts w:ascii="宋体" w:hAnsi="宋体"/>
          <w:snapToGrid w:val="0"/>
          <w:color w:val="auto"/>
          <w:kern w:val="0"/>
          <w:szCs w:val="32"/>
          <w:highlight w:val="none"/>
        </w:rPr>
      </w:pPr>
    </w:p>
    <w:p w14:paraId="32960CA4">
      <w:pPr>
        <w:widowControl/>
        <w:adjustRightInd w:val="0"/>
        <w:snapToGrid w:val="0"/>
        <w:spacing w:line="360" w:lineRule="auto"/>
        <w:jc w:val="left"/>
        <w:rPr>
          <w:rFonts w:hint="eastAsia" w:ascii="宋体" w:hAnsi="宋体" w:eastAsia="宋体"/>
          <w:snapToGrid w:val="0"/>
          <w:color w:val="auto"/>
          <w:kern w:val="0"/>
          <w:sz w:val="24"/>
          <w:szCs w:val="24"/>
          <w:highlight w:val="none"/>
          <w:u w:val="single"/>
          <w:lang w:eastAsia="zh-CN"/>
        </w:rPr>
      </w:pPr>
      <w:r>
        <w:rPr>
          <w:rFonts w:hint="eastAsia" w:ascii="宋体" w:hAnsi="宋体"/>
          <w:snapToGrid w:val="0"/>
          <w:color w:val="auto"/>
          <w:kern w:val="0"/>
          <w:sz w:val="24"/>
          <w:szCs w:val="24"/>
          <w:highlight w:val="none"/>
        </w:rPr>
        <w:t>工程项目名称：</w:t>
      </w:r>
      <w:r>
        <w:rPr>
          <w:rFonts w:hint="eastAsia" w:ascii="宋体" w:hAnsi="宋体"/>
          <w:color w:val="auto"/>
          <w:sz w:val="24"/>
          <w:szCs w:val="24"/>
          <w:highlight w:val="none"/>
          <w:u w:val="single"/>
          <w:lang w:eastAsia="zh-CN"/>
        </w:rPr>
        <w:t>万田智创园全过程造价咨询</w:t>
      </w:r>
    </w:p>
    <w:p w14:paraId="11986F1C">
      <w:pPr>
        <w:widowControl/>
        <w:adjustRightInd w:val="0"/>
        <w:snapToGrid w:val="0"/>
        <w:spacing w:line="360" w:lineRule="auto"/>
        <w:jc w:val="left"/>
        <w:rPr>
          <w:rFonts w:ascii="宋体" w:hAnsi="宋体"/>
          <w:snapToGrid w:val="0"/>
          <w:color w:val="auto"/>
          <w:kern w:val="0"/>
          <w:sz w:val="24"/>
          <w:szCs w:val="24"/>
          <w:highlight w:val="none"/>
          <w:u w:val="single"/>
        </w:rPr>
      </w:pPr>
      <w:r>
        <w:rPr>
          <w:rFonts w:hint="eastAsia" w:ascii="宋体" w:hAnsi="宋体"/>
          <w:snapToGrid w:val="0"/>
          <w:color w:val="auto"/>
          <w:kern w:val="0"/>
          <w:sz w:val="24"/>
          <w:szCs w:val="24"/>
          <w:highlight w:val="none"/>
        </w:rPr>
        <w:t>工程项目地址：</w:t>
      </w:r>
      <w:r>
        <w:rPr>
          <w:rFonts w:hint="eastAsia" w:ascii="宋体" w:hAnsi="宋体"/>
          <w:color w:val="auto"/>
          <w:sz w:val="24"/>
          <w:szCs w:val="24"/>
          <w:highlight w:val="none"/>
          <w:u w:val="single"/>
          <w:lang w:eastAsia="zh-CN"/>
        </w:rPr>
        <w:t>广州市增城区新塘镇</w:t>
      </w:r>
      <w:r>
        <w:rPr>
          <w:rFonts w:hint="eastAsia" w:ascii="宋体" w:hAnsi="宋体"/>
          <w:color w:val="auto"/>
          <w:sz w:val="24"/>
          <w:szCs w:val="24"/>
          <w:highlight w:val="none"/>
          <w:u w:val="single"/>
          <w:lang w:val="en-US" w:eastAsia="zh-CN"/>
        </w:rPr>
        <w:t>长巷村</w:t>
      </w:r>
      <w:r>
        <w:rPr>
          <w:rFonts w:hint="eastAsia" w:ascii="宋体" w:hAnsi="宋体"/>
          <w:snapToGrid w:val="0"/>
          <w:color w:val="auto"/>
          <w:kern w:val="0"/>
          <w:sz w:val="24"/>
          <w:szCs w:val="24"/>
          <w:highlight w:val="none"/>
        </w:rPr>
        <w:t xml:space="preserve">             </w:t>
      </w:r>
    </w:p>
    <w:p w14:paraId="143E66B4">
      <w:pPr>
        <w:widowControl/>
        <w:adjustRightInd w:val="0"/>
        <w:snapToGrid w:val="0"/>
        <w:spacing w:line="360" w:lineRule="auto"/>
        <w:jc w:val="left"/>
        <w:rPr>
          <w:rFonts w:hint="eastAsia" w:ascii="宋体" w:hAnsi="宋体" w:eastAsia="宋体"/>
          <w:snapToGrid w:val="0"/>
          <w:color w:val="auto"/>
          <w:kern w:val="0"/>
          <w:sz w:val="24"/>
          <w:szCs w:val="24"/>
          <w:highlight w:val="none"/>
          <w:lang w:eastAsia="zh-CN"/>
        </w:rPr>
      </w:pPr>
      <w:r>
        <w:rPr>
          <w:rFonts w:hint="eastAsia" w:ascii="宋体" w:hAnsi="宋体"/>
          <w:snapToGrid w:val="0"/>
          <w:color w:val="auto"/>
          <w:kern w:val="0"/>
          <w:sz w:val="24"/>
          <w:szCs w:val="24"/>
          <w:highlight w:val="none"/>
        </w:rPr>
        <w:t>甲方（委托人）：</w:t>
      </w:r>
      <w:r>
        <w:rPr>
          <w:rFonts w:hint="eastAsia" w:ascii="宋体" w:hAnsi="宋体"/>
          <w:snapToGrid w:val="0"/>
          <w:color w:val="auto"/>
          <w:kern w:val="0"/>
          <w:sz w:val="24"/>
          <w:szCs w:val="24"/>
          <w:highlight w:val="none"/>
          <w:lang w:eastAsia="zh-CN"/>
        </w:rPr>
        <w:t>广州增城科新产业园开发管理有限公司</w:t>
      </w:r>
    </w:p>
    <w:p w14:paraId="5E344129">
      <w:pPr>
        <w:widowControl/>
        <w:adjustRightInd w:val="0"/>
        <w:snapToGrid w:val="0"/>
        <w:spacing w:line="360" w:lineRule="auto"/>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乙方（受托人）：</w:t>
      </w:r>
      <w:r>
        <w:rPr>
          <w:rFonts w:hint="eastAsia" w:ascii="宋体" w:hAnsi="宋体"/>
          <w:snapToGrid w:val="0"/>
          <w:color w:val="auto"/>
          <w:spacing w:val="-20"/>
          <w:kern w:val="0"/>
          <w:sz w:val="24"/>
          <w:szCs w:val="24"/>
          <w:highlight w:val="none"/>
        </w:rPr>
        <w:t xml:space="preserve"> </w:t>
      </w:r>
    </w:p>
    <w:p w14:paraId="683A8A71">
      <w:pPr>
        <w:widowControl/>
        <w:adjustRightInd w:val="0"/>
        <w:snapToGrid w:val="0"/>
        <w:spacing w:line="360" w:lineRule="auto"/>
        <w:jc w:val="left"/>
        <w:rPr>
          <w:rFonts w:ascii="宋体" w:hAnsi="宋体"/>
          <w:snapToGrid w:val="0"/>
          <w:color w:val="auto"/>
          <w:kern w:val="0"/>
          <w:sz w:val="24"/>
          <w:szCs w:val="24"/>
          <w:highlight w:val="none"/>
        </w:rPr>
      </w:pPr>
    </w:p>
    <w:p w14:paraId="52E768D7">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为切实规范甲乙双方的各项建筑活动，预防本工程违法违纪等腐败现象的发生，保障工程建设优质、安全和廉洁，根据《广州市建筑市场廉洁准入规定》及相关法律法规的规定，特订立本协议书。</w:t>
      </w:r>
    </w:p>
    <w:p w14:paraId="12A68FD5">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第一条 甲乙双方责任</w:t>
      </w:r>
    </w:p>
    <w:p w14:paraId="1AA91464">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（一）严格遵守国家和省、市关于市场准入、项目招标投标、工程施工、工程验收、结算和市场活动等有关法律、法规，相关政策，以及廉政建设的各项约定。</w:t>
      </w:r>
    </w:p>
    <w:p w14:paraId="4CA64723">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（二）严格执行建设工程项目承发包合同文件，自觉按合同办事。</w:t>
      </w:r>
    </w:p>
    <w:p w14:paraId="3FCD9296">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26787BF2">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（四）发现对方在建筑活动中存在违规、违纪、违法行为的，有权向其上级主管部门或纪检监察、检察等有关机关举报。</w:t>
      </w:r>
    </w:p>
    <w:p w14:paraId="39EDE646">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（五）甲乙双方单位监督部门应充分发挥各自职能作用，积极互动形成纵向监督合力，依照本协议书规定，对本工程廉洁从业情况实施监督，及时制止不廉洁行为的发生。</w:t>
      </w:r>
    </w:p>
    <w:p w14:paraId="376C17A0">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第二条 甲方责任</w:t>
      </w:r>
    </w:p>
    <w:p w14:paraId="1F84B68F">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（一）甲方领导干部和从事该工程建设的管理人员，在建筑活动中须严格遵守以下廉洁从业规定：</w:t>
      </w:r>
    </w:p>
    <w:p w14:paraId="048201BD">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1.不准向乙方和相关单位或个人索取钱物或接受回扣、礼金、各种有价证券、信用卡和好处费、感谢费以及其它支付凭证等。</w:t>
      </w:r>
    </w:p>
    <w:p w14:paraId="368F6D98">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2.不准接受可能影响公正执行公务的乙方和相关单位或个人的礼物馈赠、宴请、各种形式俱乐部会员资格、高消费娱乐活动。</w:t>
      </w:r>
    </w:p>
    <w:p w14:paraId="14F94620">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3.不准在乙方和相关单位报销任何应由甲方或个人负担的费用。</w:t>
      </w:r>
    </w:p>
    <w:p w14:paraId="77293909">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14:paraId="6D32F225">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5.不准向乙方介绍配偶、子女、其他亲属朋友及身边工作人员参与同甲方项目工程合同有关的设备、材料、工程分包、劳务等经济活动。</w:t>
      </w:r>
    </w:p>
    <w:p w14:paraId="3F5AE3EB">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6.不得以任何理由向乙方和相关单位推荐分包单位和要求或暗示乙方购买项目工程合同规定外的材料、设备等。</w:t>
      </w:r>
    </w:p>
    <w:p w14:paraId="38E66313">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（二）正式开工前组织与乙方廉洁责任人见面会，进行廉洁工程建设交底，明确廉洁工程建设责任和目标任务、举报方式。</w:t>
      </w:r>
    </w:p>
    <w:p w14:paraId="22A1C302">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（三）加强对质量安全、计量支付、工程变更以及工程结算等建设管理环节的监督管理，特别是各业务审批效能方面的监察检查，提高建设管理服务水平。</w:t>
      </w:r>
    </w:p>
    <w:p w14:paraId="48B058A7">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（四）在工地现场设置反腐倡廉举报箱和公开举报电话，并组织开展廉政座谈、法制讲座、参观监狱等活动，加强廉洁自律教育，营造廉洁工地文化氛围，筑牢文化防腐第一道防线。</w:t>
      </w:r>
    </w:p>
    <w:p w14:paraId="77B3F51E">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（五）成立现场监督工作机构，不定期对工地建设管理及监督工作情况开展巡查，对发现的有关问题，及时协调给予现场解决。</w:t>
      </w:r>
    </w:p>
    <w:p w14:paraId="13D3FC41">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第三条 乙方责任</w:t>
      </w:r>
    </w:p>
    <w:p w14:paraId="6152FB25">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（一）与甲方保持正常的业务交往，遵守以下规定：</w:t>
      </w:r>
    </w:p>
    <w:p w14:paraId="566466C8">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1.不准以任何理由向甲方人员行贿或赠送回扣、礼金、各种有价证券、信用卡和好处费、感谢费及其它支付凭证等。</w:t>
      </w:r>
    </w:p>
    <w:p w14:paraId="5182D66B">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2.不准以任何理由为甲方人员组织有可能影响公正执行公务的宴请、各种形式俱乐部及高消费娱乐等活动。</w:t>
      </w:r>
    </w:p>
    <w:p w14:paraId="4A176919">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3.不准以任何理由为甲方或个人报销应由对方或个人支付的费用。</w:t>
      </w:r>
    </w:p>
    <w:p w14:paraId="07484356">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4.不准暗示或要求为甲方人员及其配偶、子女、其他亲属朋友及身边工作人员的装修住房、婚丧嫁娶、工作安排、学习培训、经商办企业以及出国（境）、旅游、度假提供方便和支付费用。</w:t>
      </w:r>
    </w:p>
    <w:p w14:paraId="7525D71D">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5.不准介绍和安排甲方人员及其配偶、子女、其他亲属朋友及身边工作人员参与同甲方工程项目有关的设备、材料、工程分包、劳务等经济活动。</w:t>
      </w:r>
    </w:p>
    <w:p w14:paraId="760F6B79">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（二）细化内部廉洁工程建设任务，分解责任，明确落实到项目部管理人员，层层签订廉洁从业责任状，形成有效的管理机制。</w:t>
      </w:r>
    </w:p>
    <w:p w14:paraId="74F21CD1">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（三）成立现场施工监督工作组，负责项目部廉政责任组织落实，工地廉洁文化建设以及对现场实施进行监督管理，并接受甲方监督工作机构的再监督。</w:t>
      </w:r>
    </w:p>
    <w:p w14:paraId="1826E031">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（四）按甲方要求在工地项目部设置廉洁文化教育专区，开展观看警示教育片、图片展览等教育活动，加强对员工的法律法规、廉洁和职业道德教育。</w:t>
      </w:r>
    </w:p>
    <w:p w14:paraId="416FB728">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第四条 违约责任</w:t>
      </w:r>
    </w:p>
    <w:p w14:paraId="06CB41C6">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（一）甲方违约责任</w:t>
      </w:r>
    </w:p>
    <w:p w14:paraId="7C955884">
      <w:pPr>
        <w:widowControl/>
        <w:adjustRightInd w:val="0"/>
        <w:snapToGrid w:val="0"/>
        <w:spacing w:line="360" w:lineRule="auto"/>
        <w:ind w:firstLine="480" w:firstLineChars="200"/>
        <w:jc w:val="left"/>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1.甲方</w:t>
      </w:r>
      <w:r>
        <w:rPr>
          <w:rFonts w:hint="eastAsia" w:ascii="宋体" w:hAnsi="宋体"/>
          <w:bCs/>
          <w:snapToGrid w:val="0"/>
          <w:color w:val="auto"/>
          <w:kern w:val="0"/>
          <w:sz w:val="24"/>
          <w:szCs w:val="24"/>
          <w:highlight w:val="none"/>
        </w:rPr>
        <w:t>不履行或不完全履行本协议书有关责任义务给乙方造成损失的，在乙方提交足够证据并经查证属实的情况下，甲方赔偿其直接经济损失。</w:t>
      </w:r>
    </w:p>
    <w:p w14:paraId="4B109057">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2.甲方人员出现受贿等严重违法违纪违规行为的，按照管理权限，依据有关法律法规和规定给予党纪、政纪处分或组织处理；涉嫌犯罪的，移交司法机关追究刑事责任。</w:t>
      </w:r>
    </w:p>
    <w:p w14:paraId="52D6075E">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（二）乙方违约责任</w:t>
      </w:r>
    </w:p>
    <w:p w14:paraId="5AB1DB2D">
      <w:pPr>
        <w:widowControl/>
        <w:adjustRightInd w:val="0"/>
        <w:snapToGrid w:val="0"/>
        <w:spacing w:line="360" w:lineRule="auto"/>
        <w:ind w:firstLine="480" w:firstLineChars="200"/>
        <w:jc w:val="left"/>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bCs/>
          <w:snapToGrid w:val="0"/>
          <w:color w:val="auto"/>
          <w:kern w:val="0"/>
          <w:sz w:val="24"/>
          <w:szCs w:val="24"/>
          <w:highlight w:val="none"/>
        </w:rPr>
        <w:t>乙方不履行或不完全履行本协议书有关责任义务的，</w:t>
      </w:r>
      <w:r>
        <w:rPr>
          <w:rFonts w:hint="eastAsia" w:ascii="宋体" w:hAnsi="宋体"/>
          <w:snapToGrid w:val="0"/>
          <w:color w:val="auto"/>
          <w:kern w:val="0"/>
          <w:sz w:val="24"/>
          <w:szCs w:val="24"/>
          <w:highlight w:val="none"/>
        </w:rPr>
        <w:t>按本工程合同</w:t>
      </w:r>
      <w:r>
        <w:rPr>
          <w:rFonts w:hint="eastAsia" w:ascii="宋体" w:hAnsi="宋体"/>
          <w:bCs/>
          <w:snapToGrid w:val="0"/>
          <w:color w:val="auto"/>
          <w:kern w:val="0"/>
          <w:sz w:val="24"/>
          <w:szCs w:val="24"/>
          <w:highlight w:val="none"/>
        </w:rPr>
        <w:t>规定须承担一次一般违约责任。情节较轻的，可给予书面警告；情节较重的，须承担一次严重违约责任。</w:t>
      </w:r>
    </w:p>
    <w:p w14:paraId="79F4D326">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bCs/>
          <w:snapToGrid w:val="0"/>
          <w:color w:val="auto"/>
          <w:kern w:val="0"/>
          <w:sz w:val="24"/>
          <w:szCs w:val="24"/>
          <w:highlight w:val="none"/>
        </w:rPr>
        <w:t>2.乙方</w:t>
      </w:r>
      <w:r>
        <w:rPr>
          <w:rFonts w:hint="eastAsia" w:ascii="宋体" w:hAnsi="宋体"/>
          <w:snapToGrid w:val="0"/>
          <w:color w:val="auto"/>
          <w:kern w:val="0"/>
          <w:sz w:val="24"/>
          <w:szCs w:val="24"/>
          <w:highlight w:val="none"/>
        </w:rPr>
        <w:t>出现严重违法违纪违规行为的，甲方将上报市检察院或监察机关依法查处，并提请建设行政主管部门根据《广州市建筑市场廉洁准入规定》给予限制或者取消其进入广州市建筑市场从事建筑活动的资格等处罚。</w:t>
      </w:r>
    </w:p>
    <w:p w14:paraId="51E927E7">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第五条 甲乙双方监管部门</w:t>
      </w:r>
    </w:p>
    <w:p w14:paraId="49351F43">
      <w:pPr>
        <w:widowControl/>
        <w:adjustRightInd w:val="0"/>
        <w:snapToGrid w:val="0"/>
        <w:spacing w:line="400" w:lineRule="exact"/>
        <w:ind w:firstLine="480" w:firstLineChars="200"/>
        <w:jc w:val="left"/>
        <w:rPr>
          <w:rFonts w:hint="eastAsia" w:ascii="宋体" w:hAnsi="宋体" w:eastAsia="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rPr>
        <w:t>1.甲方监督部门：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，举报电话：</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625E76F0">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2.乙方监督部门：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，举报电话：</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38350522">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廉政责任人：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，职务：</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，上级主管部门：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4035C66F">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第六条 本协议书作为合同的附件，与合同具有同等法律效力。经双方签字盖章后生效。</w:t>
      </w:r>
    </w:p>
    <w:p w14:paraId="3E2BF911">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第七条 本协议书有效期为双方签字盖章之日起至所属工程项目合同履行完毕时止。</w:t>
      </w:r>
    </w:p>
    <w:p w14:paraId="7A8937BC">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第八条 未尽事宜，由双方协商解决。</w:t>
      </w:r>
    </w:p>
    <w:p w14:paraId="506C0F44">
      <w:pPr>
        <w:widowControl/>
        <w:adjustRightInd w:val="0"/>
        <w:snapToGrid w:val="0"/>
        <w:spacing w:line="360" w:lineRule="auto"/>
        <w:jc w:val="left"/>
        <w:rPr>
          <w:rFonts w:ascii="宋体" w:hAnsi="宋体"/>
          <w:snapToGrid w:val="0"/>
          <w:color w:val="auto"/>
          <w:kern w:val="0"/>
          <w:sz w:val="24"/>
          <w:szCs w:val="24"/>
          <w:highlight w:val="none"/>
        </w:rPr>
      </w:pPr>
    </w:p>
    <w:p w14:paraId="316E4EE6">
      <w:pPr>
        <w:widowControl/>
        <w:adjustRightInd w:val="0"/>
        <w:snapToGrid w:val="0"/>
        <w:spacing w:line="360" w:lineRule="auto"/>
        <w:ind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甲方：</w:t>
      </w:r>
      <w:r>
        <w:rPr>
          <w:rFonts w:hint="eastAsia" w:ascii="宋体" w:hAnsi="宋体"/>
          <w:snapToGrid w:val="0"/>
          <w:color w:val="auto"/>
          <w:kern w:val="0"/>
          <w:sz w:val="24"/>
          <w:szCs w:val="24"/>
          <w:highlight w:val="none"/>
          <w:lang w:eastAsia="zh-CN"/>
        </w:rPr>
        <w:t>广州增城科新产业园开发管理有限公司</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 xml:space="preserve">乙方：   </w:t>
      </w:r>
    </w:p>
    <w:p w14:paraId="0C85B422">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（盖章）</w:t>
      </w:r>
    </w:p>
    <w:p w14:paraId="529B9859">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14:paraId="11F046BD">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1C5A24D1">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14:paraId="30F299A8">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委托代理人：                            委托代理人：</w:t>
      </w:r>
    </w:p>
    <w:p w14:paraId="6DBE532F">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p>
    <w:p w14:paraId="682A617B">
      <w:pPr>
        <w:widowControl/>
        <w:adjustRightInd w:val="0"/>
        <w:snapToGrid w:val="0"/>
        <w:spacing w:line="360" w:lineRule="auto"/>
        <w:ind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日期：    年  月  日                    日期：    年  月  日</w:t>
      </w:r>
    </w:p>
    <w:p w14:paraId="6C99158D">
      <w:pPr>
        <w:widowControl/>
        <w:spacing w:line="360" w:lineRule="auto"/>
        <w:contextualSpacing/>
        <w:jc w:val="left"/>
        <w:rPr>
          <w:rFonts w:ascii="宋体" w:hAnsi="宋体" w:cs="宋体"/>
          <w:snapToGrid w:val="0"/>
          <w:color w:val="auto"/>
          <w:sz w:val="24"/>
          <w:szCs w:val="24"/>
          <w:highlight w:val="none"/>
        </w:rPr>
      </w:pPr>
    </w:p>
    <w:p w14:paraId="6665BB21">
      <w:pPr>
        <w:widowControl/>
        <w:spacing w:line="360" w:lineRule="auto"/>
        <w:contextualSpacing/>
        <w:jc w:val="left"/>
        <w:outlineLvl w:val="0"/>
        <w:rPr>
          <w:rFonts w:ascii="宋体" w:hAnsi="宋体" w:cs="宋体"/>
          <w:snapToGrid w:val="0"/>
          <w:color w:val="auto"/>
          <w:sz w:val="24"/>
          <w:szCs w:val="24"/>
          <w:highlight w:val="none"/>
        </w:rPr>
      </w:pPr>
      <w:r>
        <w:rPr>
          <w:rFonts w:ascii="宋体" w:hAnsi="宋体" w:cs="宋体"/>
          <w:snapToGrid w:val="0"/>
          <w:color w:val="auto"/>
          <w:sz w:val="24"/>
          <w:szCs w:val="24"/>
          <w:highlight w:val="none"/>
        </w:rPr>
        <w:br w:type="page"/>
      </w:r>
      <w:bookmarkStart w:id="25" w:name="_Toc14835"/>
      <w:r>
        <w:rPr>
          <w:rFonts w:hint="eastAsia" w:ascii="宋体" w:hAnsi="宋体" w:cs="宋体"/>
          <w:snapToGrid w:val="0"/>
          <w:color w:val="auto"/>
          <w:sz w:val="24"/>
          <w:szCs w:val="24"/>
          <w:highlight w:val="none"/>
        </w:rPr>
        <w:t>附件2：</w:t>
      </w:r>
      <w:bookmarkEnd w:id="25"/>
    </w:p>
    <w:p w14:paraId="17BCE092">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中标通知书</w:t>
      </w:r>
    </w:p>
    <w:p w14:paraId="5725A854">
      <w:pPr>
        <w:widowControl/>
        <w:spacing w:line="360" w:lineRule="auto"/>
        <w:contextualSpacing/>
        <w:jc w:val="left"/>
        <w:outlineLvl w:val="0"/>
        <w:rPr>
          <w:rFonts w:ascii="宋体" w:hAnsi="宋体" w:cs="宋体"/>
          <w:b/>
          <w:snapToGrid w:val="0"/>
          <w:color w:val="auto"/>
          <w:kern w:val="0"/>
          <w:sz w:val="32"/>
          <w:szCs w:val="32"/>
          <w:highlight w:val="none"/>
        </w:rPr>
      </w:pPr>
      <w:r>
        <w:rPr>
          <w:rFonts w:ascii="宋体" w:hAnsi="宋体" w:cs="宋体"/>
          <w:snapToGrid w:val="0"/>
          <w:color w:val="auto"/>
          <w:sz w:val="24"/>
          <w:szCs w:val="24"/>
          <w:highlight w:val="none"/>
        </w:rPr>
        <w:br w:type="page"/>
      </w:r>
      <w:bookmarkStart w:id="26" w:name="_Toc3488"/>
      <w:r>
        <w:rPr>
          <w:rFonts w:hint="eastAsia" w:ascii="宋体" w:hAnsi="宋体" w:cs="宋体"/>
          <w:snapToGrid w:val="0"/>
          <w:color w:val="auto"/>
          <w:sz w:val="24"/>
          <w:szCs w:val="24"/>
          <w:highlight w:val="none"/>
        </w:rPr>
        <w:t>附件3：</w:t>
      </w:r>
    </w:p>
    <w:p w14:paraId="2A002246">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拟投入本项目造价人员一览表</w:t>
      </w:r>
    </w:p>
    <w:p w14:paraId="4094C2AC">
      <w:pPr>
        <w:widowControl/>
        <w:jc w:val="left"/>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br w:type="page"/>
      </w:r>
      <w:bookmarkEnd w:id="26"/>
    </w:p>
    <w:p w14:paraId="3F3E5528">
      <w:pPr>
        <w:rPr>
          <w:rFonts w:hint="eastAsia"/>
          <w:color w:val="auto"/>
          <w:sz w:val="24"/>
          <w:szCs w:val="24"/>
          <w:highlight w:val="none"/>
        </w:rPr>
      </w:pPr>
      <w:r>
        <w:rPr>
          <w:rFonts w:hint="eastAsia"/>
          <w:color w:val="auto"/>
          <w:sz w:val="24"/>
          <w:szCs w:val="24"/>
          <w:highlight w:val="none"/>
        </w:rPr>
        <w:t>附件4：投标函及投标函附录</w:t>
      </w:r>
    </w:p>
    <w:p w14:paraId="5A7E9E3A">
      <w:pPr>
        <w:rPr>
          <w:rFonts w:hint="eastAsia"/>
          <w:color w:val="auto"/>
          <w:sz w:val="24"/>
          <w:szCs w:val="24"/>
          <w:highlight w:val="none"/>
        </w:rPr>
      </w:pPr>
      <w:r>
        <w:rPr>
          <w:rFonts w:hint="eastAsia"/>
          <w:color w:val="auto"/>
          <w:sz w:val="24"/>
          <w:szCs w:val="24"/>
          <w:highlight w:val="none"/>
        </w:rPr>
        <w:br w:type="page"/>
      </w:r>
    </w:p>
    <w:p w14:paraId="47C7456E">
      <w:pPr>
        <w:widowControl/>
        <w:jc w:val="left"/>
        <w:rPr>
          <w:rFonts w:ascii="宋体" w:hAnsi="宋体" w:cs="宋体"/>
          <w:color w:val="auto"/>
          <w:kern w:val="0"/>
          <w:sz w:val="24"/>
          <w:szCs w:val="24"/>
          <w:highlight w:val="none"/>
        </w:rPr>
      </w:pPr>
      <w:r>
        <w:rPr>
          <w:rFonts w:hint="eastAsia" w:ascii="宋体" w:hAnsi="宋体" w:cs="宋体"/>
          <w:snapToGrid w:val="0"/>
          <w:color w:val="auto"/>
          <w:sz w:val="24"/>
          <w:szCs w:val="24"/>
          <w:highlight w:val="none"/>
        </w:rPr>
        <w:t>附件5：</w:t>
      </w:r>
      <w:r>
        <w:rPr>
          <w:rFonts w:hint="eastAsia"/>
          <w:color w:val="auto"/>
          <w:sz w:val="24"/>
          <w:szCs w:val="24"/>
          <w:highlight w:val="none"/>
        </w:rPr>
        <w:t>乙方营业执照</w:t>
      </w:r>
    </w:p>
    <w:p w14:paraId="3F852AB8">
      <w:pPr>
        <w:widowControl/>
        <w:spacing w:line="360" w:lineRule="auto"/>
        <w:contextualSpacing/>
        <w:jc w:val="left"/>
        <w:outlineLvl w:val="0"/>
        <w:rPr>
          <w:color w:val="auto"/>
          <w:highlight w:val="none"/>
        </w:rPr>
      </w:pPr>
      <w:r>
        <w:rPr>
          <w:rFonts w:ascii="宋体" w:hAnsi="宋体" w:cs="宋体"/>
          <w:snapToGrid w:val="0"/>
          <w:color w:val="auto"/>
          <w:sz w:val="24"/>
          <w:szCs w:val="24"/>
          <w:highlight w:val="none"/>
        </w:rPr>
        <w:br w:type="page"/>
      </w:r>
    </w:p>
    <w:p w14:paraId="280A158B">
      <w:pPr>
        <w:pStyle w:val="17"/>
        <w:rPr>
          <w:rFonts w:hint="eastAsia"/>
        </w:rPr>
      </w:pPr>
    </w:p>
    <w:p w14:paraId="70109743">
      <w:pPr>
        <w:widowControl/>
        <w:jc w:val="left"/>
        <w:rPr>
          <w:rFonts w:hint="eastAsia"/>
          <w:color w:val="auto"/>
          <w:sz w:val="24"/>
          <w:szCs w:val="24"/>
          <w:highlight w:val="none"/>
        </w:rPr>
      </w:pPr>
      <w:r>
        <w:rPr>
          <w:rFonts w:hint="eastAsia"/>
          <w:color w:val="auto"/>
          <w:sz w:val="24"/>
          <w:szCs w:val="24"/>
          <w:highlight w:val="none"/>
        </w:rPr>
        <w:t>附件</w:t>
      </w:r>
      <w:r>
        <w:rPr>
          <w:rFonts w:hint="eastAsia" w:ascii="Times New Roman" w:hAnsi="Times New Roman" w:eastAsia="宋体"/>
          <w:b w:val="0"/>
          <w:snapToGrid/>
          <w:color w:val="auto"/>
          <w:kern w:val="2"/>
          <w:sz w:val="24"/>
          <w:szCs w:val="24"/>
          <w:highlight w:val="none"/>
          <w:lang w:val="en-US" w:eastAsia="zh-CN"/>
        </w:rPr>
        <w:t>6</w:t>
      </w:r>
      <w:r>
        <w:rPr>
          <w:rFonts w:hint="eastAsia"/>
          <w:color w:val="auto"/>
          <w:sz w:val="24"/>
          <w:szCs w:val="24"/>
          <w:highlight w:val="none"/>
        </w:rPr>
        <w:t>：</w:t>
      </w:r>
    </w:p>
    <w:p w14:paraId="44B6A1A6">
      <w:pPr>
        <w:widowControl/>
        <w:adjustRightInd w:val="0"/>
        <w:snapToGrid w:val="0"/>
        <w:spacing w:line="360" w:lineRule="auto"/>
        <w:jc w:val="center"/>
        <w:rPr>
          <w:rFonts w:ascii="仿宋" w:hAnsi="仿宋" w:eastAsia="仿宋"/>
          <w:b/>
          <w:snapToGrid w:val="0"/>
          <w:color w:val="auto"/>
          <w:kern w:val="0"/>
          <w:sz w:val="32"/>
          <w:szCs w:val="32"/>
          <w:highlight w:val="none"/>
        </w:rPr>
      </w:pPr>
      <w:r>
        <w:rPr>
          <w:rFonts w:hint="eastAsia" w:ascii="仿宋" w:hAnsi="仿宋" w:eastAsia="仿宋"/>
          <w:b/>
          <w:snapToGrid w:val="0"/>
          <w:color w:val="auto"/>
          <w:kern w:val="0"/>
          <w:sz w:val="32"/>
          <w:szCs w:val="32"/>
          <w:highlight w:val="none"/>
        </w:rPr>
        <w:t>造价咨询服务考核评分表</w:t>
      </w:r>
    </w:p>
    <w:tbl>
      <w:tblPr>
        <w:tblStyle w:val="12"/>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05"/>
        <w:gridCol w:w="722"/>
        <w:gridCol w:w="573"/>
        <w:gridCol w:w="4936"/>
        <w:gridCol w:w="955"/>
        <w:gridCol w:w="575"/>
      </w:tblGrid>
      <w:tr w14:paraId="5F2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7" w:type="dxa"/>
            <w:noWrap w:val="0"/>
            <w:vAlign w:val="center"/>
          </w:tcPr>
          <w:p w14:paraId="2D10C7A8">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序号</w:t>
            </w:r>
          </w:p>
        </w:tc>
        <w:tc>
          <w:tcPr>
            <w:tcW w:w="1105" w:type="dxa"/>
            <w:noWrap w:val="0"/>
            <w:vAlign w:val="center"/>
          </w:tcPr>
          <w:p w14:paraId="11DA8365">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检查项目</w:t>
            </w:r>
          </w:p>
        </w:tc>
        <w:tc>
          <w:tcPr>
            <w:tcW w:w="722" w:type="dxa"/>
            <w:noWrap w:val="0"/>
            <w:vAlign w:val="center"/>
          </w:tcPr>
          <w:p w14:paraId="10E0D263">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基本分</w:t>
            </w:r>
          </w:p>
        </w:tc>
        <w:tc>
          <w:tcPr>
            <w:tcW w:w="573" w:type="dxa"/>
            <w:noWrap w:val="0"/>
            <w:vAlign w:val="center"/>
          </w:tcPr>
          <w:p w14:paraId="0F50AD98">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权重</w:t>
            </w:r>
          </w:p>
        </w:tc>
        <w:tc>
          <w:tcPr>
            <w:tcW w:w="4936" w:type="dxa"/>
            <w:noWrap w:val="0"/>
            <w:vAlign w:val="center"/>
          </w:tcPr>
          <w:p w14:paraId="018FB0B6">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检查扣分标准</w:t>
            </w:r>
          </w:p>
        </w:tc>
        <w:tc>
          <w:tcPr>
            <w:tcW w:w="955" w:type="dxa"/>
            <w:noWrap w:val="0"/>
            <w:vAlign w:val="center"/>
          </w:tcPr>
          <w:p w14:paraId="2204FA48">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扣分/加分理由</w:t>
            </w:r>
          </w:p>
        </w:tc>
        <w:tc>
          <w:tcPr>
            <w:tcW w:w="575" w:type="dxa"/>
            <w:noWrap w:val="0"/>
            <w:vAlign w:val="center"/>
          </w:tcPr>
          <w:p w14:paraId="06BED1B3">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得分</w:t>
            </w:r>
          </w:p>
        </w:tc>
      </w:tr>
      <w:tr w14:paraId="27E7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17" w:type="dxa"/>
            <w:noWrap w:val="0"/>
            <w:vAlign w:val="center"/>
          </w:tcPr>
          <w:p w14:paraId="6EF6BEC8">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一</w:t>
            </w:r>
          </w:p>
        </w:tc>
        <w:tc>
          <w:tcPr>
            <w:tcW w:w="1105" w:type="dxa"/>
            <w:noWrap w:val="0"/>
            <w:vAlign w:val="center"/>
          </w:tcPr>
          <w:p w14:paraId="4BA9B3B5">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造价控制</w:t>
            </w:r>
          </w:p>
        </w:tc>
        <w:tc>
          <w:tcPr>
            <w:tcW w:w="722" w:type="dxa"/>
            <w:noWrap w:val="0"/>
            <w:vAlign w:val="center"/>
          </w:tcPr>
          <w:p w14:paraId="3BB6EEBE">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14:paraId="0DBDE72D">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936" w:type="dxa"/>
            <w:noWrap w:val="0"/>
            <w:vAlign w:val="center"/>
          </w:tcPr>
          <w:p w14:paraId="04B4EC21">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1.本项目结算总金额超出概算对应批复总金额的，本项不得分。</w:t>
            </w:r>
          </w:p>
          <w:p w14:paraId="2B91AE52">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2.未按合同要求提出限额设计量化指标，扣10分。</w:t>
            </w:r>
          </w:p>
          <w:p w14:paraId="76A9CC5B">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未按合同要求提交投资控制报告的，每次扣1分。</w:t>
            </w:r>
          </w:p>
        </w:tc>
        <w:tc>
          <w:tcPr>
            <w:tcW w:w="955" w:type="dxa"/>
            <w:noWrap w:val="0"/>
            <w:vAlign w:val="center"/>
          </w:tcPr>
          <w:p w14:paraId="733BF130">
            <w:pPr>
              <w:widowControl/>
              <w:jc w:val="left"/>
              <w:rPr>
                <w:rFonts w:ascii="仿宋" w:hAnsi="仿宋" w:eastAsia="仿宋" w:cs="宋体"/>
                <w:color w:val="auto"/>
                <w:kern w:val="0"/>
                <w:szCs w:val="21"/>
                <w:highlight w:val="none"/>
              </w:rPr>
            </w:pPr>
          </w:p>
        </w:tc>
        <w:tc>
          <w:tcPr>
            <w:tcW w:w="575" w:type="dxa"/>
            <w:noWrap w:val="0"/>
            <w:vAlign w:val="center"/>
          </w:tcPr>
          <w:p w14:paraId="200F1F57">
            <w:pPr>
              <w:widowControl/>
              <w:jc w:val="left"/>
              <w:rPr>
                <w:rFonts w:ascii="仿宋" w:hAnsi="仿宋" w:eastAsia="仿宋" w:cs="宋体"/>
                <w:color w:val="auto"/>
                <w:kern w:val="0"/>
                <w:szCs w:val="21"/>
                <w:highlight w:val="none"/>
              </w:rPr>
            </w:pPr>
          </w:p>
        </w:tc>
      </w:tr>
      <w:tr w14:paraId="0DBA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17" w:type="dxa"/>
            <w:noWrap w:val="0"/>
            <w:vAlign w:val="center"/>
          </w:tcPr>
          <w:p w14:paraId="41151A9A">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二</w:t>
            </w:r>
          </w:p>
        </w:tc>
        <w:tc>
          <w:tcPr>
            <w:tcW w:w="1105" w:type="dxa"/>
            <w:noWrap w:val="0"/>
            <w:vAlign w:val="center"/>
          </w:tcPr>
          <w:p w14:paraId="58540264">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人员驻场情况</w:t>
            </w:r>
          </w:p>
        </w:tc>
        <w:tc>
          <w:tcPr>
            <w:tcW w:w="722" w:type="dxa"/>
            <w:noWrap w:val="0"/>
            <w:vAlign w:val="center"/>
          </w:tcPr>
          <w:p w14:paraId="0945618E">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14:paraId="02C5F927">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936" w:type="dxa"/>
            <w:noWrap w:val="0"/>
            <w:vAlign w:val="center"/>
          </w:tcPr>
          <w:p w14:paraId="454F8EB8">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乙方未按合同要求投入人员（含驻场人员）的，或甲方提出驻场要求时乙方未及时安排人员进行驻场服务的，或甲方要求更换驻场人员时乙方未及时更换的，每出现一次扣</w:t>
            </w:r>
            <w:r>
              <w:rPr>
                <w:rFonts w:ascii="仿宋" w:hAnsi="仿宋" w:eastAsia="仿宋" w:cs="宋体"/>
                <w:color w:val="auto"/>
                <w:kern w:val="0"/>
                <w:szCs w:val="21"/>
                <w:highlight w:val="none"/>
              </w:rPr>
              <w:t>10</w:t>
            </w:r>
            <w:r>
              <w:rPr>
                <w:rFonts w:hint="eastAsia" w:ascii="仿宋" w:hAnsi="仿宋" w:eastAsia="仿宋" w:cs="宋体"/>
                <w:color w:val="auto"/>
                <w:kern w:val="0"/>
                <w:szCs w:val="21"/>
                <w:highlight w:val="none"/>
              </w:rPr>
              <w:t>分</w:t>
            </w:r>
            <w:r>
              <w:rPr>
                <w:rFonts w:ascii="仿宋" w:hAnsi="仿宋" w:eastAsia="仿宋" w:cs="宋体"/>
                <w:color w:val="auto"/>
                <w:kern w:val="0"/>
                <w:szCs w:val="21"/>
                <w:highlight w:val="none"/>
              </w:rPr>
              <w:t>/次.人</w:t>
            </w:r>
            <w:r>
              <w:rPr>
                <w:rFonts w:hint="eastAsia" w:ascii="仿宋" w:hAnsi="仿宋" w:eastAsia="仿宋" w:cs="宋体"/>
                <w:color w:val="auto"/>
                <w:kern w:val="0"/>
                <w:szCs w:val="21"/>
                <w:highlight w:val="none"/>
              </w:rPr>
              <w:t>。（以甲方发出的书面文件认定）</w:t>
            </w:r>
          </w:p>
        </w:tc>
        <w:tc>
          <w:tcPr>
            <w:tcW w:w="955" w:type="dxa"/>
            <w:noWrap w:val="0"/>
            <w:vAlign w:val="center"/>
          </w:tcPr>
          <w:p w14:paraId="48D84B23">
            <w:pPr>
              <w:widowControl/>
              <w:jc w:val="left"/>
              <w:rPr>
                <w:rFonts w:ascii="仿宋" w:hAnsi="仿宋" w:eastAsia="仿宋" w:cs="宋体"/>
                <w:color w:val="auto"/>
                <w:kern w:val="0"/>
                <w:szCs w:val="21"/>
                <w:highlight w:val="none"/>
              </w:rPr>
            </w:pPr>
          </w:p>
        </w:tc>
        <w:tc>
          <w:tcPr>
            <w:tcW w:w="575" w:type="dxa"/>
            <w:noWrap w:val="0"/>
            <w:vAlign w:val="center"/>
          </w:tcPr>
          <w:p w14:paraId="625E93EF">
            <w:pPr>
              <w:widowControl/>
              <w:jc w:val="left"/>
              <w:rPr>
                <w:rFonts w:ascii="仿宋" w:hAnsi="仿宋" w:eastAsia="仿宋" w:cs="宋体"/>
                <w:color w:val="auto"/>
                <w:kern w:val="0"/>
                <w:szCs w:val="21"/>
                <w:highlight w:val="none"/>
              </w:rPr>
            </w:pPr>
          </w:p>
        </w:tc>
      </w:tr>
      <w:tr w14:paraId="37F9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17" w:type="dxa"/>
            <w:noWrap w:val="0"/>
            <w:vAlign w:val="center"/>
          </w:tcPr>
          <w:p w14:paraId="29977CAD">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三</w:t>
            </w:r>
          </w:p>
        </w:tc>
        <w:tc>
          <w:tcPr>
            <w:tcW w:w="1105" w:type="dxa"/>
            <w:noWrap w:val="0"/>
            <w:vAlign w:val="center"/>
          </w:tcPr>
          <w:p w14:paraId="604B6FAD">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工作效率</w:t>
            </w:r>
          </w:p>
        </w:tc>
        <w:tc>
          <w:tcPr>
            <w:tcW w:w="722" w:type="dxa"/>
            <w:noWrap w:val="0"/>
            <w:vAlign w:val="center"/>
          </w:tcPr>
          <w:p w14:paraId="5F373CF2">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14:paraId="4689A242">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936" w:type="dxa"/>
            <w:noWrap w:val="0"/>
            <w:vAlign w:val="center"/>
          </w:tcPr>
          <w:p w14:paraId="415ED865">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未在合同约定期限内完成工作的，每超出1天，扣2分。</w:t>
            </w:r>
          </w:p>
        </w:tc>
        <w:tc>
          <w:tcPr>
            <w:tcW w:w="955" w:type="dxa"/>
            <w:noWrap w:val="0"/>
            <w:vAlign w:val="center"/>
          </w:tcPr>
          <w:p w14:paraId="23869E71">
            <w:pPr>
              <w:widowControl/>
              <w:jc w:val="left"/>
              <w:rPr>
                <w:rFonts w:ascii="仿宋" w:hAnsi="仿宋" w:eastAsia="仿宋" w:cs="宋体"/>
                <w:color w:val="auto"/>
                <w:kern w:val="0"/>
                <w:szCs w:val="21"/>
                <w:highlight w:val="none"/>
              </w:rPr>
            </w:pPr>
          </w:p>
        </w:tc>
        <w:tc>
          <w:tcPr>
            <w:tcW w:w="575" w:type="dxa"/>
            <w:noWrap w:val="0"/>
            <w:vAlign w:val="center"/>
          </w:tcPr>
          <w:p w14:paraId="234BBE06">
            <w:pPr>
              <w:widowControl/>
              <w:jc w:val="center"/>
              <w:rPr>
                <w:rFonts w:ascii="仿宋" w:hAnsi="仿宋" w:eastAsia="仿宋" w:cs="宋体"/>
                <w:color w:val="auto"/>
                <w:kern w:val="0"/>
                <w:szCs w:val="21"/>
                <w:highlight w:val="none"/>
              </w:rPr>
            </w:pPr>
          </w:p>
        </w:tc>
      </w:tr>
      <w:tr w14:paraId="683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17" w:type="dxa"/>
            <w:noWrap w:val="0"/>
            <w:vAlign w:val="center"/>
          </w:tcPr>
          <w:p w14:paraId="3C1876EE">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四</w:t>
            </w:r>
          </w:p>
        </w:tc>
        <w:tc>
          <w:tcPr>
            <w:tcW w:w="1105" w:type="dxa"/>
            <w:noWrap w:val="0"/>
            <w:vAlign w:val="center"/>
          </w:tcPr>
          <w:p w14:paraId="32C80504">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造价文件审核质量</w:t>
            </w:r>
          </w:p>
        </w:tc>
        <w:tc>
          <w:tcPr>
            <w:tcW w:w="722" w:type="dxa"/>
            <w:noWrap w:val="0"/>
            <w:vAlign w:val="center"/>
          </w:tcPr>
          <w:p w14:paraId="18BD3065">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573" w:type="dxa"/>
            <w:noWrap w:val="0"/>
            <w:vAlign w:val="center"/>
          </w:tcPr>
          <w:p w14:paraId="04F29587">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936" w:type="dxa"/>
            <w:noWrap w:val="0"/>
            <w:vAlign w:val="center"/>
          </w:tcPr>
          <w:p w14:paraId="18BE0D3F">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经核实审核质量确属造价咨询单位责任的，按以下标准扣分：</w:t>
            </w:r>
          </w:p>
          <w:p w14:paraId="22279C3A">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1、招标工程量清单及控制价计算错误、列项错误、描述错误，出现缺项漏项等引起合同增减额超过1%的，每次扣10分；</w:t>
            </w:r>
          </w:p>
          <w:p w14:paraId="7A574FF0">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2、合同支付审核出现差错或资料不齐，每单扣2分；</w:t>
            </w:r>
          </w:p>
          <w:p w14:paraId="4FE5807C">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hint="eastAsia" w:ascii="仿宋" w:hAnsi="仿宋" w:eastAsia="仿宋"/>
                <w:color w:val="auto"/>
                <w:szCs w:val="20"/>
                <w:highlight w:val="none"/>
              </w:rPr>
              <w:t>主材单价有综合价不执行、主材单价质量偏差率超过20 %、统计错误5万元以上、文件执行错误的，</w:t>
            </w:r>
            <w:r>
              <w:rPr>
                <w:rFonts w:hint="eastAsia" w:ascii="仿宋" w:hAnsi="仿宋" w:eastAsia="仿宋" w:cs="宋体"/>
                <w:color w:val="auto"/>
                <w:kern w:val="0"/>
                <w:szCs w:val="21"/>
                <w:highlight w:val="none"/>
              </w:rPr>
              <w:t>每次扣2分。</w:t>
            </w:r>
          </w:p>
          <w:p w14:paraId="3723FA03">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4、合同结算审核与经第三方结算审计结果0.3%≤偏差率＜0.5%，每次扣1分；0.5%≤偏差率≤1%，每次扣2分；</w:t>
            </w:r>
          </w:p>
          <w:p w14:paraId="1239EFBB">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5、工程造价文件质量（含预算、招标控制价、结算）偏差率超过合同规定的，本项不得分。</w:t>
            </w:r>
          </w:p>
        </w:tc>
        <w:tc>
          <w:tcPr>
            <w:tcW w:w="955" w:type="dxa"/>
            <w:noWrap w:val="0"/>
            <w:vAlign w:val="center"/>
          </w:tcPr>
          <w:p w14:paraId="08C46CE8">
            <w:pPr>
              <w:widowControl/>
              <w:jc w:val="left"/>
              <w:rPr>
                <w:rFonts w:ascii="仿宋" w:hAnsi="仿宋" w:eastAsia="仿宋" w:cs="宋体"/>
                <w:color w:val="auto"/>
                <w:kern w:val="0"/>
                <w:szCs w:val="21"/>
                <w:highlight w:val="none"/>
              </w:rPr>
            </w:pPr>
          </w:p>
        </w:tc>
        <w:tc>
          <w:tcPr>
            <w:tcW w:w="575" w:type="dxa"/>
            <w:noWrap w:val="0"/>
            <w:vAlign w:val="center"/>
          </w:tcPr>
          <w:p w14:paraId="7EF78A52">
            <w:pPr>
              <w:widowControl/>
              <w:jc w:val="center"/>
              <w:rPr>
                <w:rFonts w:ascii="仿宋" w:hAnsi="仿宋" w:eastAsia="仿宋" w:cs="宋体"/>
                <w:color w:val="auto"/>
                <w:kern w:val="0"/>
                <w:szCs w:val="21"/>
                <w:highlight w:val="none"/>
              </w:rPr>
            </w:pPr>
          </w:p>
        </w:tc>
      </w:tr>
      <w:tr w14:paraId="5A17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17" w:type="dxa"/>
            <w:noWrap w:val="0"/>
            <w:vAlign w:val="center"/>
          </w:tcPr>
          <w:p w14:paraId="5AEE844B">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五</w:t>
            </w:r>
          </w:p>
        </w:tc>
        <w:tc>
          <w:tcPr>
            <w:tcW w:w="1105" w:type="dxa"/>
            <w:noWrap w:val="0"/>
            <w:vAlign w:val="center"/>
          </w:tcPr>
          <w:p w14:paraId="7E417300">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增值服务（如有）</w:t>
            </w:r>
          </w:p>
        </w:tc>
        <w:tc>
          <w:tcPr>
            <w:tcW w:w="722" w:type="dxa"/>
            <w:noWrap w:val="0"/>
            <w:vAlign w:val="center"/>
          </w:tcPr>
          <w:p w14:paraId="732D23AB">
            <w:pPr>
              <w:widowControl/>
              <w:jc w:val="center"/>
              <w:rPr>
                <w:rFonts w:ascii="仿宋" w:hAnsi="仿宋" w:eastAsia="仿宋" w:cs="宋体"/>
                <w:color w:val="auto"/>
                <w:kern w:val="0"/>
                <w:szCs w:val="21"/>
                <w:highlight w:val="none"/>
              </w:rPr>
            </w:pPr>
          </w:p>
        </w:tc>
        <w:tc>
          <w:tcPr>
            <w:tcW w:w="573" w:type="dxa"/>
            <w:noWrap w:val="0"/>
            <w:vAlign w:val="center"/>
          </w:tcPr>
          <w:p w14:paraId="1C3453A3">
            <w:pPr>
              <w:widowControl/>
              <w:jc w:val="center"/>
              <w:rPr>
                <w:rFonts w:ascii="仿宋" w:hAnsi="仿宋" w:eastAsia="仿宋" w:cs="宋体"/>
                <w:color w:val="auto"/>
                <w:kern w:val="0"/>
                <w:szCs w:val="21"/>
                <w:highlight w:val="none"/>
              </w:rPr>
            </w:pPr>
          </w:p>
        </w:tc>
        <w:tc>
          <w:tcPr>
            <w:tcW w:w="4936" w:type="dxa"/>
            <w:noWrap w:val="0"/>
            <w:vAlign w:val="center"/>
          </w:tcPr>
          <w:p w14:paraId="0778E775">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积极主动配合甲方的工作需求，提供合同约定范围外的造价咨询服务工作的，包括但不限于提供咨询服务、专业培训等，根据增值服务工作的重要性及完成质量，每提供一次增值服务加分1-2分；如增值服务获得甲方表扬信，再加3分。</w:t>
            </w:r>
          </w:p>
        </w:tc>
        <w:tc>
          <w:tcPr>
            <w:tcW w:w="955" w:type="dxa"/>
            <w:noWrap w:val="0"/>
            <w:vAlign w:val="center"/>
          </w:tcPr>
          <w:p w14:paraId="560689A9">
            <w:pPr>
              <w:widowControl/>
              <w:jc w:val="left"/>
              <w:rPr>
                <w:rFonts w:ascii="仿宋" w:hAnsi="仿宋" w:eastAsia="仿宋" w:cs="宋体"/>
                <w:color w:val="auto"/>
                <w:kern w:val="0"/>
                <w:szCs w:val="21"/>
                <w:highlight w:val="none"/>
              </w:rPr>
            </w:pPr>
          </w:p>
        </w:tc>
        <w:tc>
          <w:tcPr>
            <w:tcW w:w="575" w:type="dxa"/>
            <w:noWrap w:val="0"/>
            <w:vAlign w:val="center"/>
          </w:tcPr>
          <w:p w14:paraId="732B923D">
            <w:pPr>
              <w:widowControl/>
              <w:jc w:val="center"/>
              <w:rPr>
                <w:rFonts w:ascii="仿宋" w:hAnsi="仿宋" w:eastAsia="仿宋" w:cs="宋体"/>
                <w:color w:val="auto"/>
                <w:kern w:val="0"/>
                <w:szCs w:val="21"/>
                <w:highlight w:val="none"/>
              </w:rPr>
            </w:pPr>
          </w:p>
        </w:tc>
      </w:tr>
      <w:tr w14:paraId="1D38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7" w:type="dxa"/>
            <w:noWrap w:val="0"/>
            <w:vAlign w:val="center"/>
          </w:tcPr>
          <w:p w14:paraId="73FDBDC0">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分值汇总</w:t>
            </w:r>
          </w:p>
        </w:tc>
        <w:tc>
          <w:tcPr>
            <w:tcW w:w="1105" w:type="dxa"/>
            <w:noWrap w:val="0"/>
            <w:vAlign w:val="center"/>
          </w:tcPr>
          <w:p w14:paraId="51DB6A07">
            <w:pPr>
              <w:widowControl/>
              <w:jc w:val="center"/>
              <w:rPr>
                <w:rFonts w:ascii="仿宋" w:hAnsi="仿宋" w:eastAsia="仿宋" w:cs="宋体"/>
                <w:color w:val="auto"/>
                <w:kern w:val="0"/>
                <w:szCs w:val="21"/>
                <w:highlight w:val="none"/>
              </w:rPr>
            </w:pPr>
          </w:p>
        </w:tc>
        <w:tc>
          <w:tcPr>
            <w:tcW w:w="722" w:type="dxa"/>
            <w:noWrap w:val="0"/>
            <w:vAlign w:val="top"/>
          </w:tcPr>
          <w:p w14:paraId="68EB8CCF">
            <w:pPr>
              <w:widowControl/>
              <w:jc w:val="center"/>
              <w:rPr>
                <w:rFonts w:ascii="仿宋" w:hAnsi="仿宋" w:eastAsia="仿宋" w:cs="宋体"/>
                <w:color w:val="auto"/>
                <w:kern w:val="0"/>
                <w:szCs w:val="21"/>
                <w:highlight w:val="none"/>
              </w:rPr>
            </w:pPr>
          </w:p>
        </w:tc>
        <w:tc>
          <w:tcPr>
            <w:tcW w:w="573" w:type="dxa"/>
            <w:noWrap w:val="0"/>
            <w:vAlign w:val="center"/>
          </w:tcPr>
          <w:p w14:paraId="495D071C">
            <w:pPr>
              <w:widowControl/>
              <w:jc w:val="center"/>
              <w:rPr>
                <w:rFonts w:ascii="仿宋" w:hAnsi="仿宋" w:eastAsia="仿宋" w:cs="宋体"/>
                <w:color w:val="auto"/>
                <w:kern w:val="0"/>
                <w:szCs w:val="21"/>
                <w:highlight w:val="none"/>
              </w:rPr>
            </w:pPr>
          </w:p>
        </w:tc>
        <w:tc>
          <w:tcPr>
            <w:tcW w:w="6466" w:type="dxa"/>
            <w:gridSpan w:val="3"/>
            <w:noWrap w:val="0"/>
            <w:vAlign w:val="center"/>
          </w:tcPr>
          <w:p w14:paraId="7323BDB4">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　</w:t>
            </w:r>
            <w:r>
              <w:rPr>
                <w:rFonts w:hint="eastAsia" w:ascii="仿宋" w:hAnsi="仿宋" w:eastAsia="仿宋" w:cs="宋体"/>
                <w:color w:val="auto"/>
                <w:kern w:val="0"/>
                <w:szCs w:val="21"/>
                <w:highlight w:val="none"/>
              </w:rPr>
              <w:t>　</w:t>
            </w:r>
          </w:p>
        </w:tc>
      </w:tr>
    </w:tbl>
    <w:p w14:paraId="38420BC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注：1、单项基本分为100分，单项合格基准分为60分。</w:t>
      </w:r>
    </w:p>
    <w:p w14:paraId="1B03AD8C">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    2、第一～四项考核项目满分合计为100分，各项扣分=∑子项扣分*相应权重，扣分总额以该检查项目对应的分值为限，如同一行为符合两项或以上的扣分标准，则累加扣分；</w:t>
      </w:r>
    </w:p>
    <w:p w14:paraId="26035A58">
      <w:pPr>
        <w:widowControl/>
        <w:ind w:firstLine="400" w:firstLineChars="200"/>
        <w:jc w:val="left"/>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3、第五项</w:t>
      </w:r>
      <w:r>
        <w:rPr>
          <w:rFonts w:hint="eastAsia" w:ascii="仿宋" w:hAnsi="仿宋" w:eastAsia="仿宋" w:cs="宋体"/>
          <w:color w:val="auto"/>
          <w:kern w:val="0"/>
          <w:sz w:val="20"/>
          <w:szCs w:val="20"/>
          <w:highlight w:val="none"/>
        </w:rPr>
        <w:t>为加分条件，在第一～四项考核分数的基础上直接加分。</w:t>
      </w:r>
    </w:p>
    <w:p w14:paraId="188C2515">
      <w:pPr>
        <w:widowControl/>
        <w:ind w:firstLine="400" w:firstLineChars="200"/>
        <w:jc w:val="left"/>
        <w:rPr>
          <w:color w:val="auto"/>
          <w:highlight w:val="none"/>
        </w:rPr>
      </w:pPr>
      <w:r>
        <w:rPr>
          <w:rFonts w:ascii="仿宋" w:hAnsi="仿宋" w:eastAsia="仿宋" w:cs="宋体"/>
          <w:color w:val="auto"/>
          <w:kern w:val="0"/>
          <w:sz w:val="20"/>
          <w:szCs w:val="20"/>
          <w:highlight w:val="none"/>
        </w:rPr>
        <w:t>4、最终</w:t>
      </w:r>
      <w:r>
        <w:rPr>
          <w:rFonts w:hint="eastAsia" w:ascii="仿宋" w:hAnsi="仿宋" w:eastAsia="仿宋" w:cs="宋体"/>
          <w:color w:val="auto"/>
          <w:kern w:val="0"/>
          <w:sz w:val="20"/>
          <w:szCs w:val="20"/>
          <w:highlight w:val="none"/>
        </w:rPr>
        <w:t>考核得分</w:t>
      </w:r>
      <w:r>
        <w:rPr>
          <w:rFonts w:ascii="仿宋" w:hAnsi="仿宋" w:eastAsia="仿宋" w:cs="宋体"/>
          <w:color w:val="auto"/>
          <w:kern w:val="0"/>
          <w:sz w:val="20"/>
          <w:szCs w:val="20"/>
          <w:highlight w:val="none"/>
        </w:rPr>
        <w:t>=造价控制</w:t>
      </w:r>
      <w:r>
        <w:rPr>
          <w:rFonts w:hint="eastAsia" w:ascii="仿宋" w:hAnsi="仿宋" w:eastAsia="仿宋" w:cs="宋体"/>
          <w:color w:val="auto"/>
          <w:kern w:val="0"/>
          <w:sz w:val="20"/>
          <w:szCs w:val="20"/>
          <w:highlight w:val="none"/>
        </w:rPr>
        <w:t>得分</w:t>
      </w:r>
      <w:r>
        <w:rPr>
          <w:rFonts w:ascii="仿宋" w:hAnsi="仿宋" w:eastAsia="仿宋" w:cs="宋体"/>
          <w:color w:val="auto"/>
          <w:kern w:val="0"/>
          <w:sz w:val="20"/>
          <w:szCs w:val="20"/>
          <w:highlight w:val="none"/>
        </w:rPr>
        <w:t>*30%权重+人员驻场情况得分*20%权重+工作效率得分*20%权重+</w:t>
      </w:r>
      <w:r>
        <w:rPr>
          <w:rFonts w:hint="eastAsia" w:ascii="仿宋" w:hAnsi="仿宋" w:eastAsia="仿宋" w:cs="宋体"/>
          <w:color w:val="auto"/>
          <w:kern w:val="0"/>
          <w:sz w:val="20"/>
          <w:szCs w:val="20"/>
          <w:highlight w:val="none"/>
        </w:rPr>
        <w:t>造价文件审核质量得分</w:t>
      </w:r>
      <w:r>
        <w:rPr>
          <w:rFonts w:ascii="仿宋" w:hAnsi="仿宋" w:eastAsia="仿宋" w:cs="宋体"/>
          <w:color w:val="auto"/>
          <w:kern w:val="0"/>
          <w:sz w:val="20"/>
          <w:szCs w:val="20"/>
          <w:highlight w:val="none"/>
        </w:rPr>
        <w:t>*30%权重+增值服务得分</w:t>
      </w:r>
      <w:r>
        <w:rPr>
          <w:rFonts w:hint="eastAsia" w:ascii="仿宋" w:hAnsi="仿宋" w:eastAsia="仿宋" w:cs="宋体"/>
          <w:color w:val="auto"/>
          <w:kern w:val="0"/>
          <w:sz w:val="20"/>
          <w:szCs w:val="20"/>
          <w:highlight w:val="none"/>
        </w:rPr>
        <w:t>。最终考核合格分为60分。</w:t>
      </w:r>
    </w:p>
    <w:p w14:paraId="2B9ABF84">
      <w:pPr>
        <w:rPr>
          <w:color w:val="auto"/>
          <w:highlight w:val="none"/>
        </w:rPr>
        <w:sectPr>
          <w:footerReference r:id="rId4" w:type="default"/>
          <w:pgSz w:w="11905" w:h="16838"/>
          <w:pgMar w:top="1440" w:right="1080" w:bottom="1440" w:left="1080" w:header="720" w:footer="720" w:gutter="0"/>
          <w:pgNumType w:fmt="decimal" w:start="1"/>
          <w:cols w:space="720" w:num="1"/>
          <w:rtlGutter w:val="1"/>
          <w:docGrid w:linePitch="286" w:charSpace="0"/>
        </w:sectPr>
      </w:pPr>
    </w:p>
    <w:p w14:paraId="4AFFAB6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366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B49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8D85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78D85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73CC7"/>
    <w:multiLevelType w:val="multilevel"/>
    <w:tmpl w:val="A6773CC7"/>
    <w:lvl w:ilvl="0" w:tentative="0">
      <w:start w:val="1"/>
      <w:numFmt w:val="none"/>
      <w:isLgl/>
      <w:suff w:val="nothing"/>
      <w:lvlText w:val=""/>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671078"/>
    <w:multiLevelType w:val="multilevel"/>
    <w:tmpl w:val="0067107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704"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MmM1NzAyMDI4MGNjNDAzNGY1NWRmOGE2OWJlMjcifQ=="/>
  </w:docVars>
  <w:rsids>
    <w:rsidRoot w:val="43591D58"/>
    <w:rsid w:val="006B31C3"/>
    <w:rsid w:val="00D13D59"/>
    <w:rsid w:val="019B53E2"/>
    <w:rsid w:val="02B63EF1"/>
    <w:rsid w:val="03261624"/>
    <w:rsid w:val="03B804CE"/>
    <w:rsid w:val="05850883"/>
    <w:rsid w:val="061E14C0"/>
    <w:rsid w:val="064450D6"/>
    <w:rsid w:val="06935338"/>
    <w:rsid w:val="06E87C05"/>
    <w:rsid w:val="07503EBD"/>
    <w:rsid w:val="07A35294"/>
    <w:rsid w:val="07BA7D28"/>
    <w:rsid w:val="08397703"/>
    <w:rsid w:val="09864399"/>
    <w:rsid w:val="0A232419"/>
    <w:rsid w:val="0A2C53BE"/>
    <w:rsid w:val="0A93759F"/>
    <w:rsid w:val="0B50723E"/>
    <w:rsid w:val="0BB04180"/>
    <w:rsid w:val="0C0472EA"/>
    <w:rsid w:val="0C193689"/>
    <w:rsid w:val="0DB83F46"/>
    <w:rsid w:val="0EBD108E"/>
    <w:rsid w:val="109559C7"/>
    <w:rsid w:val="10C83D1A"/>
    <w:rsid w:val="114E182F"/>
    <w:rsid w:val="11DF131B"/>
    <w:rsid w:val="149208C7"/>
    <w:rsid w:val="153B0F5F"/>
    <w:rsid w:val="173D7D53"/>
    <w:rsid w:val="174A5489"/>
    <w:rsid w:val="177B2407"/>
    <w:rsid w:val="17C246A6"/>
    <w:rsid w:val="187F3D26"/>
    <w:rsid w:val="18D41A96"/>
    <w:rsid w:val="1AB570BD"/>
    <w:rsid w:val="1AC3335E"/>
    <w:rsid w:val="1D4A3669"/>
    <w:rsid w:val="1D9531D6"/>
    <w:rsid w:val="1EFD1033"/>
    <w:rsid w:val="1F094F0E"/>
    <w:rsid w:val="1F412230"/>
    <w:rsid w:val="201E3957"/>
    <w:rsid w:val="209634ED"/>
    <w:rsid w:val="21A34113"/>
    <w:rsid w:val="21F975DA"/>
    <w:rsid w:val="22EA7B20"/>
    <w:rsid w:val="23C34812"/>
    <w:rsid w:val="243A033E"/>
    <w:rsid w:val="2446347C"/>
    <w:rsid w:val="25302162"/>
    <w:rsid w:val="25564F1A"/>
    <w:rsid w:val="26D42FC1"/>
    <w:rsid w:val="281A0BFA"/>
    <w:rsid w:val="28AB7D51"/>
    <w:rsid w:val="29EC79F1"/>
    <w:rsid w:val="2A247DBB"/>
    <w:rsid w:val="2CB76CC5"/>
    <w:rsid w:val="2CD5539D"/>
    <w:rsid w:val="2D173C07"/>
    <w:rsid w:val="2E9F3EB4"/>
    <w:rsid w:val="2F300FB0"/>
    <w:rsid w:val="2FE514FD"/>
    <w:rsid w:val="30E07312"/>
    <w:rsid w:val="30FF6E8C"/>
    <w:rsid w:val="31C679AA"/>
    <w:rsid w:val="31F75DB5"/>
    <w:rsid w:val="350607E9"/>
    <w:rsid w:val="37060F75"/>
    <w:rsid w:val="375546D0"/>
    <w:rsid w:val="37EF1A09"/>
    <w:rsid w:val="38433B03"/>
    <w:rsid w:val="3890394B"/>
    <w:rsid w:val="38AA1933"/>
    <w:rsid w:val="3D803103"/>
    <w:rsid w:val="3DED3BFE"/>
    <w:rsid w:val="3E614CE2"/>
    <w:rsid w:val="402B55A8"/>
    <w:rsid w:val="420419EC"/>
    <w:rsid w:val="43525542"/>
    <w:rsid w:val="43591D58"/>
    <w:rsid w:val="44E77E48"/>
    <w:rsid w:val="46E75FA1"/>
    <w:rsid w:val="47AC2559"/>
    <w:rsid w:val="47E15F12"/>
    <w:rsid w:val="48D108B6"/>
    <w:rsid w:val="49AB775A"/>
    <w:rsid w:val="49B94E22"/>
    <w:rsid w:val="49CE1619"/>
    <w:rsid w:val="4B0A4113"/>
    <w:rsid w:val="4B2C6678"/>
    <w:rsid w:val="4BBC18BE"/>
    <w:rsid w:val="4BD765E4"/>
    <w:rsid w:val="4CC63D58"/>
    <w:rsid w:val="4CC72AFC"/>
    <w:rsid w:val="4D423F31"/>
    <w:rsid w:val="4D8D78A2"/>
    <w:rsid w:val="50067498"/>
    <w:rsid w:val="519A6E05"/>
    <w:rsid w:val="537D0DC0"/>
    <w:rsid w:val="53CB1124"/>
    <w:rsid w:val="541D74A6"/>
    <w:rsid w:val="545C1D7C"/>
    <w:rsid w:val="5563713A"/>
    <w:rsid w:val="55A73A6B"/>
    <w:rsid w:val="55E02539"/>
    <w:rsid w:val="55F66200"/>
    <w:rsid w:val="56730E64"/>
    <w:rsid w:val="578A4E52"/>
    <w:rsid w:val="581826B2"/>
    <w:rsid w:val="58332729"/>
    <w:rsid w:val="58A9755A"/>
    <w:rsid w:val="592171A5"/>
    <w:rsid w:val="5A1F04CE"/>
    <w:rsid w:val="5ACC12DE"/>
    <w:rsid w:val="5B0B1E06"/>
    <w:rsid w:val="5B33132C"/>
    <w:rsid w:val="5B4D5106"/>
    <w:rsid w:val="5BDB7A2A"/>
    <w:rsid w:val="5C544627"/>
    <w:rsid w:val="5C8E2CEF"/>
    <w:rsid w:val="5D637A40"/>
    <w:rsid w:val="5DE05A00"/>
    <w:rsid w:val="5E440D64"/>
    <w:rsid w:val="5E5E2B95"/>
    <w:rsid w:val="5EEA61D6"/>
    <w:rsid w:val="61B96A60"/>
    <w:rsid w:val="61E82EA1"/>
    <w:rsid w:val="61ED04B8"/>
    <w:rsid w:val="62BD60DC"/>
    <w:rsid w:val="62CA6A4B"/>
    <w:rsid w:val="64610CE9"/>
    <w:rsid w:val="66611474"/>
    <w:rsid w:val="66E14363"/>
    <w:rsid w:val="674F5770"/>
    <w:rsid w:val="676254A4"/>
    <w:rsid w:val="6817628E"/>
    <w:rsid w:val="690F3409"/>
    <w:rsid w:val="6A0665BA"/>
    <w:rsid w:val="6A876FCF"/>
    <w:rsid w:val="6ABE50E7"/>
    <w:rsid w:val="6FE56C72"/>
    <w:rsid w:val="70952446"/>
    <w:rsid w:val="72897D89"/>
    <w:rsid w:val="72B017B9"/>
    <w:rsid w:val="72FC67AC"/>
    <w:rsid w:val="734343DB"/>
    <w:rsid w:val="74116287"/>
    <w:rsid w:val="742F670E"/>
    <w:rsid w:val="74933140"/>
    <w:rsid w:val="74E03EAC"/>
    <w:rsid w:val="78114217"/>
    <w:rsid w:val="79DA45C8"/>
    <w:rsid w:val="7AA42467"/>
    <w:rsid w:val="7AC878BC"/>
    <w:rsid w:val="7B2B1DAF"/>
    <w:rsid w:val="7C4371FA"/>
    <w:rsid w:val="7C613B24"/>
    <w:rsid w:val="7C857813"/>
    <w:rsid w:val="7F144E7E"/>
    <w:rsid w:val="7F1502F1"/>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0"/>
    <w:pPr>
      <w:spacing w:after="120"/>
    </w:pPr>
    <w:rPr>
      <w:kern w:val="0"/>
      <w:sz w:val="20"/>
      <w:szCs w:val="20"/>
    </w:rPr>
  </w:style>
  <w:style w:type="paragraph" w:styleId="5">
    <w:name w:val="Body Text Indent"/>
    <w:basedOn w:val="1"/>
    <w:next w:val="6"/>
    <w:qFormat/>
    <w:uiPriority w:val="0"/>
    <w:pPr>
      <w:spacing w:after="120"/>
      <w:ind w:left="420" w:leftChars="200"/>
    </w:pPr>
    <w:rPr>
      <w:rFonts w:ascii="Times New Roman" w:hAnsi="Times New Roman"/>
      <w:kern w:val="0"/>
      <w:sz w:val="20"/>
      <w:szCs w:val="20"/>
    </w:r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39"/>
    <w:pPr>
      <w:ind w:left="200" w:leftChars="200"/>
    </w:pPr>
  </w:style>
  <w:style w:type="paragraph" w:styleId="10">
    <w:name w:val="Body Text First Indent"/>
    <w:basedOn w:val="4"/>
    <w:qFormat/>
    <w:uiPriority w:val="0"/>
    <w:pPr>
      <w:spacing w:line="312" w:lineRule="auto"/>
      <w:ind w:firstLine="420"/>
    </w:pPr>
    <w:rPr>
      <w:szCs w:val="24"/>
    </w:rPr>
  </w:style>
  <w:style w:type="paragraph" w:styleId="11">
    <w:name w:val="Body Text First Indent 2"/>
    <w:basedOn w:val="5"/>
    <w:unhideWhenUsed/>
    <w:qFormat/>
    <w:uiPriority w:val="0"/>
    <w:pPr>
      <w:ind w:firstLine="420" w:firstLineChars="200"/>
    </w:pPr>
    <w:rPr>
      <w:szCs w:val="22"/>
    </w:rPr>
  </w:style>
  <w:style w:type="table" w:styleId="13">
    <w:name w:val="Table Grid"/>
    <w:basedOn w:val="12"/>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标题 2 +"/>
    <w:basedOn w:val="3"/>
    <w:qFormat/>
    <w:uiPriority w:val="0"/>
    <w:pPr>
      <w:tabs>
        <w:tab w:val="left" w:pos="0"/>
        <w:tab w:val="left" w:pos="567"/>
      </w:tabs>
      <w:spacing w:line="416" w:lineRule="auto"/>
      <w:ind w:left="420" w:hanging="420"/>
    </w:pPr>
    <w:rPr>
      <w:bCs/>
      <w:szCs w:val="32"/>
    </w:rPr>
  </w:style>
  <w:style w:type="paragraph" w:styleId="16">
    <w:name w:val="List Paragraph"/>
    <w:basedOn w:val="1"/>
    <w:qFormat/>
    <w:uiPriority w:val="34"/>
    <w:pPr>
      <w:ind w:firstLine="420" w:firstLineChars="200"/>
    </w:pPr>
  </w:style>
  <w:style w:type="paragraph" w:customStyle="1" w:styleId="17">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19937</Words>
  <Characters>20705</Characters>
  <Lines>0</Lines>
  <Paragraphs>0</Paragraphs>
  <TotalTime>0</TotalTime>
  <ScaleCrop>false</ScaleCrop>
  <LinksUpToDate>false</LinksUpToDate>
  <CharactersWithSpaces>21045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2024-12-06T03:15:00Z</dcterms:created>
  <dc:creator>Administrator</dc:creator>
  <cp:lastModifiedBy>LFXIE</cp:lastModifiedBy>
  <dcterms:modified xsi:type="dcterms:W3CDTF">2024-12-25T03:50:45Z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0EA6B2E744F7461588DBD3D2F840DE0F_11</vt:lpwstr>
  </property>
</Properties>
</file>