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240" w:line="360" w:lineRule="auto"/>
        <w:jc w:val="center"/>
        <w:rPr>
          <w:rFonts w:hint="eastAsia" w:ascii="宋体" w:hAnsi="宋体" w:eastAsia="宋体"/>
          <w:b/>
          <w:color w:val="auto"/>
          <w:sz w:val="52"/>
          <w:szCs w:val="52"/>
          <w:lang w:eastAsia="zh-CN"/>
        </w:rPr>
      </w:pPr>
      <w:r>
        <w:rPr>
          <w:rFonts w:hint="eastAsia"/>
          <w:b/>
          <w:color w:val="auto"/>
          <w:sz w:val="52"/>
          <w:szCs w:val="52"/>
          <w:lang w:eastAsia="zh-CN"/>
        </w:rPr>
        <w:t>广东省中医院国家中医药传承创新中心项目管理与监理服务</w:t>
      </w: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snapToGrid w:val="0"/>
        <w:jc w:val="center"/>
        <w:rPr>
          <w:rFonts w:ascii="宋体" w:hAnsi="宋体"/>
          <w:b/>
          <w:color w:val="auto"/>
          <w:sz w:val="96"/>
          <w:szCs w:val="56"/>
        </w:rPr>
      </w:pPr>
      <w:r>
        <w:rPr>
          <w:rFonts w:hint="eastAsia" w:ascii="宋体" w:hAnsi="宋体"/>
          <w:b/>
          <w:color w:val="auto"/>
          <w:sz w:val="96"/>
          <w:szCs w:val="56"/>
        </w:rPr>
        <w:t>招标文件</w:t>
      </w: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snapToGrid w:val="0"/>
        <w:spacing w:line="360" w:lineRule="auto"/>
        <w:jc w:val="center"/>
        <w:rPr>
          <w:rFonts w:ascii="宋体" w:hAnsi="宋体"/>
          <w:color w:val="auto"/>
          <w:sz w:val="28"/>
          <w:szCs w:val="28"/>
        </w:rPr>
      </w:pPr>
    </w:p>
    <w:p>
      <w:pPr>
        <w:wordWrap w:val="0"/>
        <w:snapToGrid w:val="0"/>
        <w:spacing w:line="360" w:lineRule="auto"/>
        <w:ind w:firstLine="1687" w:firstLineChars="525"/>
        <w:rPr>
          <w:rFonts w:hint="eastAsia" w:ascii="宋体" w:hAnsi="宋体" w:eastAsia="宋体" w:cs="宋体"/>
          <w:b/>
          <w:bCs/>
          <w:color w:val="auto"/>
          <w:sz w:val="32"/>
          <w:szCs w:val="36"/>
          <w:lang w:eastAsia="zh-CN"/>
        </w:rPr>
      </w:pPr>
      <w:r>
        <w:rPr>
          <w:rFonts w:hint="eastAsia" w:ascii="宋体" w:hAnsi="宋体" w:cs="宋体"/>
          <w:b/>
          <w:bCs/>
          <w:color w:val="auto"/>
          <w:sz w:val="32"/>
          <w:szCs w:val="36"/>
        </w:rPr>
        <w:t>招   标   人：</w:t>
      </w:r>
      <w:r>
        <w:rPr>
          <w:rFonts w:hint="eastAsia" w:ascii="宋体" w:hAnsi="宋体" w:cs="宋体"/>
          <w:b/>
          <w:bCs/>
          <w:color w:val="auto"/>
          <w:sz w:val="32"/>
          <w:szCs w:val="36"/>
          <w:lang w:eastAsia="zh-CN"/>
        </w:rPr>
        <w:t>广东省中医院</w:t>
      </w:r>
    </w:p>
    <w:p>
      <w:pPr>
        <w:wordWrap w:val="0"/>
        <w:snapToGrid w:val="0"/>
        <w:spacing w:line="360" w:lineRule="auto"/>
        <w:ind w:firstLine="1687" w:firstLineChars="525"/>
        <w:rPr>
          <w:rFonts w:ascii="宋体" w:hAnsi="宋体" w:cs="宋体"/>
          <w:b/>
          <w:bCs/>
          <w:color w:val="auto"/>
          <w:sz w:val="32"/>
          <w:szCs w:val="36"/>
        </w:rPr>
      </w:pPr>
      <w:r>
        <w:rPr>
          <w:rFonts w:hint="eastAsia" w:ascii="宋体" w:hAnsi="宋体" w:cs="宋体"/>
          <w:b/>
          <w:bCs/>
          <w:color w:val="auto"/>
          <w:sz w:val="32"/>
          <w:szCs w:val="36"/>
        </w:rPr>
        <w:t>招标代理机构：国义招标股份有限公司</w:t>
      </w:r>
    </w:p>
    <w:p>
      <w:pPr>
        <w:wordWrap w:val="0"/>
        <w:snapToGrid w:val="0"/>
        <w:spacing w:line="360" w:lineRule="auto"/>
        <w:ind w:firstLine="1687" w:firstLineChars="525"/>
        <w:rPr>
          <w:rFonts w:ascii="宋体" w:hAnsi="宋体" w:cs="宋体"/>
          <w:b/>
          <w:bCs/>
          <w:color w:val="auto"/>
          <w:sz w:val="32"/>
          <w:szCs w:val="36"/>
        </w:rPr>
      </w:pPr>
      <w:r>
        <w:rPr>
          <w:rFonts w:hint="eastAsia" w:ascii="宋体" w:hAnsi="宋体" w:cs="宋体"/>
          <w:b/>
          <w:bCs/>
          <w:color w:val="auto"/>
          <w:sz w:val="32"/>
          <w:szCs w:val="36"/>
        </w:rPr>
        <w:t>日        期：2024年12月</w:t>
      </w:r>
      <w:bookmarkStart w:id="0" w:name="_Toc144974479"/>
      <w:bookmarkStart w:id="1" w:name="_Toc152045511"/>
      <w:bookmarkStart w:id="2" w:name="_Toc152042287"/>
    </w:p>
    <w:p>
      <w:pPr>
        <w:pStyle w:val="2"/>
        <w:ind w:firstLine="210"/>
        <w:rPr>
          <w:color w:val="auto"/>
        </w:rPr>
      </w:pPr>
    </w:p>
    <w:p>
      <w:pPr>
        <w:snapToGrid w:val="0"/>
        <w:jc w:val="center"/>
        <w:rPr>
          <w:rFonts w:ascii="宋体" w:hAnsi="宋体"/>
          <w:b/>
          <w:color w:val="auto"/>
          <w:sz w:val="28"/>
          <w:szCs w:val="24"/>
        </w:rPr>
        <w:sectPr>
          <w:headerReference r:id="rId3" w:type="default"/>
          <w:footerReference r:id="rId4" w:type="default"/>
          <w:pgSz w:w="11905" w:h="16838"/>
          <w:pgMar w:top="1440" w:right="1083" w:bottom="1440" w:left="1083" w:header="851" w:footer="992" w:gutter="0"/>
          <w:cols w:space="425" w:num="1"/>
          <w:rtlGutter w:val="1"/>
          <w:docGrid w:type="lines" w:linePitch="312" w:charSpace="0"/>
        </w:sectPr>
      </w:pPr>
    </w:p>
    <w:p>
      <w:pPr>
        <w:snapToGrid w:val="0"/>
        <w:spacing w:before="480" w:line="276" w:lineRule="auto"/>
        <w:jc w:val="center"/>
        <w:rPr>
          <w:rFonts w:ascii="宋体" w:hAnsi="宋体" w:cs="Calibri"/>
          <w:b/>
          <w:color w:val="auto"/>
          <w:kern w:val="0"/>
          <w:sz w:val="32"/>
          <w:szCs w:val="21"/>
          <w:lang w:val="zh-CN"/>
        </w:rPr>
      </w:pPr>
      <w:r>
        <w:rPr>
          <w:rFonts w:hint="eastAsia" w:ascii="宋体" w:hAnsi="宋体" w:cs="Calibri"/>
          <w:b/>
          <w:color w:val="auto"/>
          <w:kern w:val="0"/>
          <w:sz w:val="32"/>
          <w:szCs w:val="21"/>
          <w:lang w:val="zh-CN"/>
        </w:rPr>
        <w:t>目录</w:t>
      </w:r>
    </w:p>
    <w:p>
      <w:pPr>
        <w:snapToGrid w:val="0"/>
        <w:jc w:val="center"/>
        <w:rPr>
          <w:color w:val="auto"/>
          <w:lang w:val="zh-CN"/>
        </w:rPr>
      </w:pPr>
    </w:p>
    <w:p>
      <w:pPr>
        <w:pStyle w:val="19"/>
        <w:tabs>
          <w:tab w:val="right" w:leader="dot" w:pos="10080"/>
        </w:tabs>
        <w:snapToGrid w:val="0"/>
        <w:spacing w:line="360" w:lineRule="auto"/>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TOC \o "1-3" \h \u </w:instrText>
      </w:r>
      <w:r>
        <w:rPr>
          <w:rFonts w:hint="eastAsia" w:ascii="宋体" w:hAnsi="宋体" w:cs="宋体"/>
          <w:color w:val="auto"/>
          <w:szCs w:val="21"/>
        </w:rPr>
        <w:fldChar w:fldCharType="separate"/>
      </w:r>
      <w:r>
        <w:rPr>
          <w:color w:val="auto"/>
        </w:rPr>
        <w:fldChar w:fldCharType="begin"/>
      </w:r>
      <w:r>
        <w:rPr>
          <w:color w:val="auto"/>
        </w:rPr>
        <w:instrText xml:space="preserve"> HYPERLINK \l "_Toc5479" </w:instrText>
      </w:r>
      <w:r>
        <w:rPr>
          <w:color w:val="auto"/>
        </w:rPr>
        <w:fldChar w:fldCharType="separate"/>
      </w:r>
      <w:r>
        <w:rPr>
          <w:rFonts w:hint="eastAsia" w:ascii="宋体" w:hAnsi="宋体" w:cs="宋体"/>
          <w:color w:val="auto"/>
          <w:szCs w:val="21"/>
        </w:rPr>
        <w:t>第一卷</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_Toc5479 \h </w:instrText>
      </w:r>
      <w:r>
        <w:rPr>
          <w:rFonts w:hint="eastAsia" w:ascii="宋体" w:hAnsi="宋体" w:cs="宋体"/>
          <w:color w:val="auto"/>
          <w:szCs w:val="21"/>
        </w:rPr>
        <w:fldChar w:fldCharType="separate"/>
      </w:r>
      <w:r>
        <w:rPr>
          <w:rFonts w:hint="eastAsia" w:ascii="宋体" w:hAnsi="宋体" w:cs="宋体"/>
          <w:color w:val="auto"/>
          <w:szCs w:val="21"/>
        </w:rPr>
        <w:t>3</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9"/>
        <w:tabs>
          <w:tab w:val="right" w:leader="dot" w:pos="10080"/>
        </w:tabs>
        <w:snapToGrid w:val="0"/>
        <w:spacing w:line="360" w:lineRule="auto"/>
        <w:rPr>
          <w:rFonts w:ascii="宋体" w:hAnsi="宋体" w:cs="宋体"/>
          <w:color w:val="auto"/>
          <w:szCs w:val="21"/>
        </w:rPr>
      </w:pPr>
      <w:r>
        <w:rPr>
          <w:color w:val="auto"/>
        </w:rPr>
        <w:fldChar w:fldCharType="begin"/>
      </w:r>
      <w:r>
        <w:rPr>
          <w:color w:val="auto"/>
        </w:rPr>
        <w:instrText xml:space="preserve"> HYPERLINK \l "_Toc21484" </w:instrText>
      </w:r>
      <w:r>
        <w:rPr>
          <w:color w:val="auto"/>
        </w:rPr>
        <w:fldChar w:fldCharType="separate"/>
      </w:r>
      <w:r>
        <w:rPr>
          <w:rFonts w:hint="eastAsia" w:ascii="宋体" w:hAnsi="宋体" w:cs="宋体"/>
          <w:color w:val="auto"/>
          <w:kern w:val="44"/>
          <w:szCs w:val="21"/>
        </w:rPr>
        <w:t>第一章 招标公告</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_Toc21484 \h </w:instrText>
      </w:r>
      <w:r>
        <w:rPr>
          <w:rFonts w:hint="eastAsia" w:ascii="宋体" w:hAnsi="宋体" w:cs="宋体"/>
          <w:color w:val="auto"/>
          <w:szCs w:val="21"/>
        </w:rPr>
        <w:fldChar w:fldCharType="separate"/>
      </w:r>
      <w:r>
        <w:rPr>
          <w:rFonts w:hint="eastAsia" w:ascii="宋体" w:hAnsi="宋体" w:cs="宋体"/>
          <w:color w:val="auto"/>
          <w:szCs w:val="21"/>
        </w:rPr>
        <w:t>4</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9"/>
        <w:tabs>
          <w:tab w:val="right" w:leader="dot" w:pos="10080"/>
        </w:tabs>
        <w:snapToGrid w:val="0"/>
        <w:spacing w:line="360" w:lineRule="auto"/>
        <w:rPr>
          <w:rFonts w:ascii="宋体" w:hAnsi="宋体" w:cs="宋体"/>
          <w:color w:val="auto"/>
          <w:szCs w:val="21"/>
        </w:rPr>
      </w:pPr>
      <w:r>
        <w:rPr>
          <w:color w:val="auto"/>
        </w:rPr>
        <w:fldChar w:fldCharType="begin"/>
      </w:r>
      <w:r>
        <w:rPr>
          <w:color w:val="auto"/>
        </w:rPr>
        <w:instrText xml:space="preserve"> HYPERLINK \l "_Toc20925" </w:instrText>
      </w:r>
      <w:r>
        <w:rPr>
          <w:color w:val="auto"/>
        </w:rPr>
        <w:fldChar w:fldCharType="separate"/>
      </w:r>
      <w:r>
        <w:rPr>
          <w:rFonts w:hint="eastAsia" w:ascii="宋体" w:hAnsi="宋体" w:cs="宋体"/>
          <w:color w:val="auto"/>
          <w:kern w:val="44"/>
          <w:szCs w:val="21"/>
        </w:rPr>
        <w:t>第二章 投标人须知</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_Toc20925 \h </w:instrText>
      </w:r>
      <w:r>
        <w:rPr>
          <w:rFonts w:hint="eastAsia" w:ascii="宋体" w:hAnsi="宋体" w:cs="宋体"/>
          <w:color w:val="auto"/>
          <w:szCs w:val="21"/>
        </w:rPr>
        <w:fldChar w:fldCharType="separate"/>
      </w:r>
      <w:r>
        <w:rPr>
          <w:rFonts w:hint="eastAsia" w:ascii="宋体" w:hAnsi="宋体" w:cs="宋体"/>
          <w:color w:val="auto"/>
          <w:szCs w:val="21"/>
        </w:rPr>
        <w:t>5</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21"/>
        <w:tabs>
          <w:tab w:val="right" w:leader="dot" w:pos="10080"/>
          <w:tab w:val="clear" w:pos="9060"/>
        </w:tabs>
        <w:ind w:left="0" w:leftChars="0"/>
        <w:rPr>
          <w:rFonts w:ascii="宋体" w:hAnsi="宋体" w:cs="宋体"/>
          <w:color w:val="auto"/>
          <w:sz w:val="21"/>
          <w:szCs w:val="21"/>
        </w:rPr>
      </w:pPr>
      <w:r>
        <w:rPr>
          <w:color w:val="auto"/>
        </w:rPr>
        <w:fldChar w:fldCharType="begin"/>
      </w:r>
      <w:r>
        <w:rPr>
          <w:color w:val="auto"/>
        </w:rPr>
        <w:instrText xml:space="preserve"> HYPERLINK \l "_Toc27355" </w:instrText>
      </w:r>
      <w:r>
        <w:rPr>
          <w:color w:val="auto"/>
        </w:rPr>
        <w:fldChar w:fldCharType="separate"/>
      </w:r>
      <w:r>
        <w:rPr>
          <w:rFonts w:hint="eastAsia" w:ascii="宋体" w:hAnsi="宋体" w:cs="宋体"/>
          <w:bCs/>
          <w:color w:val="auto"/>
          <w:kern w:val="0"/>
          <w:sz w:val="21"/>
          <w:szCs w:val="21"/>
        </w:rPr>
        <w:t>投标人须知前附表</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_Toc27355 \h </w:instrText>
      </w:r>
      <w:r>
        <w:rPr>
          <w:rFonts w:hint="eastAsia" w:ascii="宋体" w:hAnsi="宋体" w:cs="宋体"/>
          <w:color w:val="auto"/>
          <w:sz w:val="21"/>
          <w:szCs w:val="21"/>
        </w:rPr>
        <w:fldChar w:fldCharType="separate"/>
      </w:r>
      <w:r>
        <w:rPr>
          <w:rFonts w:hint="eastAsia" w:ascii="宋体" w:hAnsi="宋体" w:cs="宋体"/>
          <w:color w:val="auto"/>
          <w:sz w:val="21"/>
          <w:szCs w:val="21"/>
        </w:rPr>
        <w:t>5</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21"/>
        <w:tabs>
          <w:tab w:val="right" w:leader="dot" w:pos="10080"/>
          <w:tab w:val="clear" w:pos="9060"/>
        </w:tabs>
        <w:ind w:left="0" w:leftChars="0"/>
        <w:rPr>
          <w:rFonts w:ascii="宋体" w:hAnsi="宋体" w:cs="宋体"/>
          <w:color w:val="auto"/>
          <w:sz w:val="21"/>
          <w:szCs w:val="21"/>
        </w:rPr>
      </w:pPr>
      <w:r>
        <w:rPr>
          <w:color w:val="auto"/>
        </w:rPr>
        <w:fldChar w:fldCharType="begin"/>
      </w:r>
      <w:r>
        <w:rPr>
          <w:color w:val="auto"/>
        </w:rPr>
        <w:instrText xml:space="preserve"> HYPERLINK \l "_Toc20833" </w:instrText>
      </w:r>
      <w:r>
        <w:rPr>
          <w:color w:val="auto"/>
        </w:rPr>
        <w:fldChar w:fldCharType="separate"/>
      </w:r>
      <w:r>
        <w:rPr>
          <w:rFonts w:hint="eastAsia" w:ascii="宋体" w:hAnsi="宋体" w:cs="宋体"/>
          <w:bCs/>
          <w:color w:val="auto"/>
          <w:sz w:val="21"/>
          <w:szCs w:val="21"/>
        </w:rPr>
        <w:t>第二章 正文详见《中华人民共和国标准监理招标文件》（2017年版）</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_Toc20833 \h </w:instrText>
      </w:r>
      <w:r>
        <w:rPr>
          <w:rFonts w:hint="eastAsia" w:ascii="宋体" w:hAnsi="宋体" w:cs="宋体"/>
          <w:color w:val="auto"/>
          <w:sz w:val="21"/>
          <w:szCs w:val="21"/>
        </w:rPr>
        <w:fldChar w:fldCharType="separate"/>
      </w:r>
      <w:r>
        <w:rPr>
          <w:rFonts w:hint="eastAsia" w:ascii="宋体" w:hAnsi="宋体" w:cs="宋体"/>
          <w:color w:val="auto"/>
          <w:sz w:val="21"/>
          <w:szCs w:val="21"/>
        </w:rPr>
        <w:t>14</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19"/>
        <w:tabs>
          <w:tab w:val="right" w:leader="dot" w:pos="10080"/>
        </w:tabs>
        <w:snapToGrid w:val="0"/>
        <w:spacing w:line="360" w:lineRule="auto"/>
        <w:rPr>
          <w:rFonts w:ascii="宋体" w:hAnsi="宋体" w:cs="宋体"/>
          <w:color w:val="auto"/>
          <w:szCs w:val="21"/>
        </w:rPr>
      </w:pPr>
      <w:r>
        <w:rPr>
          <w:color w:val="auto"/>
        </w:rPr>
        <w:fldChar w:fldCharType="begin"/>
      </w:r>
      <w:r>
        <w:rPr>
          <w:color w:val="auto"/>
        </w:rPr>
        <w:instrText xml:space="preserve"> HYPERLINK \l "_Toc31752" </w:instrText>
      </w:r>
      <w:r>
        <w:rPr>
          <w:color w:val="auto"/>
        </w:rPr>
        <w:fldChar w:fldCharType="separate"/>
      </w:r>
      <w:r>
        <w:rPr>
          <w:rFonts w:hint="eastAsia" w:ascii="宋体" w:hAnsi="宋体" w:cs="宋体"/>
          <w:color w:val="auto"/>
          <w:kern w:val="44"/>
          <w:szCs w:val="21"/>
        </w:rPr>
        <w:t>第三章 评标办法（综合评估法）</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_Toc31752 \h </w:instrText>
      </w:r>
      <w:r>
        <w:rPr>
          <w:rFonts w:hint="eastAsia" w:ascii="宋体" w:hAnsi="宋体" w:cs="宋体"/>
          <w:color w:val="auto"/>
          <w:szCs w:val="21"/>
        </w:rPr>
        <w:fldChar w:fldCharType="separate"/>
      </w:r>
      <w:r>
        <w:rPr>
          <w:rFonts w:hint="eastAsia" w:ascii="宋体" w:hAnsi="宋体" w:cs="宋体"/>
          <w:color w:val="auto"/>
          <w:szCs w:val="21"/>
        </w:rPr>
        <w:t>27</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21"/>
        <w:tabs>
          <w:tab w:val="right" w:leader="dot" w:pos="10080"/>
          <w:tab w:val="clear" w:pos="9060"/>
        </w:tabs>
        <w:ind w:left="0" w:leftChars="0"/>
        <w:rPr>
          <w:rFonts w:ascii="宋体" w:hAnsi="宋体" w:cs="宋体"/>
          <w:color w:val="auto"/>
          <w:sz w:val="21"/>
          <w:szCs w:val="21"/>
        </w:rPr>
      </w:pPr>
      <w:r>
        <w:rPr>
          <w:color w:val="auto"/>
        </w:rPr>
        <w:fldChar w:fldCharType="begin"/>
      </w:r>
      <w:r>
        <w:rPr>
          <w:color w:val="auto"/>
        </w:rPr>
        <w:instrText xml:space="preserve"> HYPERLINK \l "_Toc7223" </w:instrText>
      </w:r>
      <w:r>
        <w:rPr>
          <w:color w:val="auto"/>
        </w:rPr>
        <w:fldChar w:fldCharType="separate"/>
      </w:r>
      <w:r>
        <w:rPr>
          <w:rFonts w:hint="eastAsia" w:ascii="宋体" w:hAnsi="宋体" w:cs="宋体"/>
          <w:bCs/>
          <w:color w:val="auto"/>
          <w:kern w:val="0"/>
          <w:sz w:val="21"/>
          <w:szCs w:val="21"/>
        </w:rPr>
        <w:t>评标办法前附表</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_Toc7223 \h </w:instrText>
      </w:r>
      <w:r>
        <w:rPr>
          <w:rFonts w:hint="eastAsia" w:ascii="宋体" w:hAnsi="宋体" w:cs="宋体"/>
          <w:color w:val="auto"/>
          <w:sz w:val="21"/>
          <w:szCs w:val="21"/>
        </w:rPr>
        <w:fldChar w:fldCharType="separate"/>
      </w:r>
      <w:r>
        <w:rPr>
          <w:rFonts w:hint="eastAsia" w:ascii="宋体" w:hAnsi="宋体" w:cs="宋体"/>
          <w:color w:val="auto"/>
          <w:sz w:val="21"/>
          <w:szCs w:val="21"/>
        </w:rPr>
        <w:t>27</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21"/>
        <w:tabs>
          <w:tab w:val="right" w:leader="dot" w:pos="10080"/>
          <w:tab w:val="clear" w:pos="9060"/>
        </w:tabs>
        <w:ind w:left="0" w:leftChars="0"/>
        <w:rPr>
          <w:rFonts w:ascii="宋体" w:hAnsi="宋体" w:cs="宋体"/>
          <w:color w:val="auto"/>
          <w:sz w:val="21"/>
          <w:szCs w:val="21"/>
        </w:rPr>
      </w:pPr>
      <w:r>
        <w:rPr>
          <w:color w:val="auto"/>
        </w:rPr>
        <w:fldChar w:fldCharType="begin"/>
      </w:r>
      <w:r>
        <w:rPr>
          <w:color w:val="auto"/>
        </w:rPr>
        <w:instrText xml:space="preserve"> HYPERLINK \l "_Toc38" </w:instrText>
      </w:r>
      <w:r>
        <w:rPr>
          <w:color w:val="auto"/>
        </w:rPr>
        <w:fldChar w:fldCharType="separate"/>
      </w:r>
      <w:r>
        <w:rPr>
          <w:rFonts w:hint="eastAsia" w:ascii="宋体" w:hAnsi="宋体" w:cs="宋体"/>
          <w:bCs/>
          <w:color w:val="auto"/>
          <w:sz w:val="21"/>
          <w:szCs w:val="21"/>
        </w:rPr>
        <w:t>第三章 正文详见《中华人民共和国标准监理招标文件》（2017版）</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_Toc38 \h </w:instrText>
      </w:r>
      <w:r>
        <w:rPr>
          <w:rFonts w:hint="eastAsia" w:ascii="宋体" w:hAnsi="宋体" w:cs="宋体"/>
          <w:color w:val="auto"/>
          <w:sz w:val="21"/>
          <w:szCs w:val="21"/>
        </w:rPr>
        <w:fldChar w:fldCharType="separate"/>
      </w:r>
      <w:r>
        <w:rPr>
          <w:rFonts w:hint="eastAsia" w:ascii="宋体" w:hAnsi="宋体" w:cs="宋体"/>
          <w:color w:val="auto"/>
          <w:sz w:val="21"/>
          <w:szCs w:val="21"/>
        </w:rPr>
        <w:t>32</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pStyle w:val="19"/>
        <w:tabs>
          <w:tab w:val="right" w:leader="dot" w:pos="10080"/>
        </w:tabs>
        <w:snapToGrid w:val="0"/>
        <w:spacing w:line="360" w:lineRule="auto"/>
        <w:rPr>
          <w:rFonts w:ascii="宋体" w:hAnsi="宋体" w:cs="宋体"/>
          <w:color w:val="auto"/>
          <w:szCs w:val="21"/>
        </w:rPr>
      </w:pPr>
      <w:r>
        <w:rPr>
          <w:color w:val="auto"/>
        </w:rPr>
        <w:fldChar w:fldCharType="begin"/>
      </w:r>
      <w:r>
        <w:rPr>
          <w:color w:val="auto"/>
        </w:rPr>
        <w:instrText xml:space="preserve"> HYPERLINK \l "_Toc12348" </w:instrText>
      </w:r>
      <w:r>
        <w:rPr>
          <w:color w:val="auto"/>
        </w:rPr>
        <w:fldChar w:fldCharType="separate"/>
      </w:r>
      <w:r>
        <w:rPr>
          <w:rFonts w:hint="eastAsia" w:ascii="宋体" w:hAnsi="宋体" w:cs="宋体"/>
          <w:color w:val="auto"/>
          <w:kern w:val="44"/>
          <w:szCs w:val="21"/>
        </w:rPr>
        <w:t>第四章 合同条款及格式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_Toc12348 \h </w:instrText>
      </w:r>
      <w:r>
        <w:rPr>
          <w:rFonts w:hint="eastAsia" w:ascii="宋体" w:hAnsi="宋体" w:cs="宋体"/>
          <w:color w:val="auto"/>
          <w:szCs w:val="21"/>
        </w:rPr>
        <w:fldChar w:fldCharType="separate"/>
      </w:r>
      <w:r>
        <w:rPr>
          <w:rFonts w:hint="eastAsia" w:ascii="宋体" w:hAnsi="宋体" w:cs="宋体"/>
          <w:color w:val="auto"/>
          <w:szCs w:val="21"/>
        </w:rPr>
        <w:t>35</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9"/>
        <w:tabs>
          <w:tab w:val="right" w:leader="dot" w:pos="10080"/>
        </w:tabs>
        <w:snapToGrid w:val="0"/>
        <w:spacing w:line="360" w:lineRule="auto"/>
        <w:rPr>
          <w:rFonts w:ascii="宋体" w:hAnsi="宋体" w:cs="宋体"/>
          <w:color w:val="auto"/>
          <w:szCs w:val="21"/>
        </w:rPr>
      </w:pPr>
      <w:r>
        <w:rPr>
          <w:color w:val="auto"/>
        </w:rPr>
        <w:fldChar w:fldCharType="begin"/>
      </w:r>
      <w:r>
        <w:rPr>
          <w:color w:val="auto"/>
        </w:rPr>
        <w:instrText xml:space="preserve"> HYPERLINK \l "_Toc2872" </w:instrText>
      </w:r>
      <w:r>
        <w:rPr>
          <w:color w:val="auto"/>
        </w:rPr>
        <w:fldChar w:fldCharType="separate"/>
      </w:r>
      <w:r>
        <w:rPr>
          <w:rFonts w:hint="eastAsia" w:ascii="宋体" w:hAnsi="宋体" w:cs="宋体"/>
          <w:color w:val="auto"/>
          <w:szCs w:val="21"/>
        </w:rPr>
        <w:t>第二卷</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_Toc2872 \h </w:instrText>
      </w:r>
      <w:r>
        <w:rPr>
          <w:rFonts w:hint="eastAsia" w:ascii="宋体" w:hAnsi="宋体" w:cs="宋体"/>
          <w:color w:val="auto"/>
          <w:szCs w:val="21"/>
        </w:rPr>
        <w:fldChar w:fldCharType="separate"/>
      </w:r>
      <w:r>
        <w:rPr>
          <w:rFonts w:hint="eastAsia" w:ascii="宋体" w:hAnsi="宋体" w:cs="宋体"/>
          <w:color w:val="auto"/>
          <w:szCs w:val="21"/>
        </w:rPr>
        <w:t>36</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9"/>
        <w:tabs>
          <w:tab w:val="right" w:leader="dot" w:pos="10080"/>
        </w:tabs>
        <w:snapToGrid w:val="0"/>
        <w:spacing w:line="360" w:lineRule="auto"/>
        <w:rPr>
          <w:rFonts w:ascii="宋体" w:hAnsi="宋体" w:cs="宋体"/>
          <w:color w:val="auto"/>
          <w:szCs w:val="21"/>
        </w:rPr>
      </w:pPr>
      <w:r>
        <w:rPr>
          <w:color w:val="auto"/>
        </w:rPr>
        <w:fldChar w:fldCharType="begin"/>
      </w:r>
      <w:r>
        <w:rPr>
          <w:color w:val="auto"/>
        </w:rPr>
        <w:instrText xml:space="preserve"> HYPERLINK \l "_Toc22185" </w:instrText>
      </w:r>
      <w:r>
        <w:rPr>
          <w:color w:val="auto"/>
        </w:rPr>
        <w:fldChar w:fldCharType="separate"/>
      </w:r>
      <w:r>
        <w:rPr>
          <w:rFonts w:hint="eastAsia" w:ascii="宋体" w:hAnsi="宋体" w:cs="宋体"/>
          <w:color w:val="auto"/>
          <w:kern w:val="44"/>
          <w:szCs w:val="21"/>
        </w:rPr>
        <w:t>第五章 委托人要求</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_Toc22185 \h </w:instrText>
      </w:r>
      <w:r>
        <w:rPr>
          <w:rFonts w:hint="eastAsia" w:ascii="宋体" w:hAnsi="宋体" w:cs="宋体"/>
          <w:color w:val="auto"/>
          <w:szCs w:val="21"/>
        </w:rPr>
        <w:fldChar w:fldCharType="separate"/>
      </w:r>
      <w:r>
        <w:rPr>
          <w:rFonts w:hint="eastAsia" w:ascii="宋体" w:hAnsi="宋体" w:cs="宋体"/>
          <w:color w:val="auto"/>
          <w:szCs w:val="21"/>
        </w:rPr>
        <w:t>37</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9"/>
        <w:tabs>
          <w:tab w:val="right" w:leader="dot" w:pos="10080"/>
        </w:tabs>
        <w:snapToGrid w:val="0"/>
        <w:spacing w:line="360" w:lineRule="auto"/>
        <w:rPr>
          <w:rFonts w:ascii="宋体" w:hAnsi="宋体" w:cs="宋体"/>
          <w:color w:val="auto"/>
          <w:szCs w:val="21"/>
        </w:rPr>
      </w:pPr>
      <w:r>
        <w:rPr>
          <w:color w:val="auto"/>
        </w:rPr>
        <w:fldChar w:fldCharType="begin"/>
      </w:r>
      <w:r>
        <w:rPr>
          <w:color w:val="auto"/>
        </w:rPr>
        <w:instrText xml:space="preserve"> HYPERLINK \l "_Toc19173" </w:instrText>
      </w:r>
      <w:r>
        <w:rPr>
          <w:color w:val="auto"/>
        </w:rPr>
        <w:fldChar w:fldCharType="separate"/>
      </w:r>
      <w:r>
        <w:rPr>
          <w:rFonts w:hint="eastAsia" w:ascii="宋体" w:hAnsi="宋体" w:cs="宋体"/>
          <w:color w:val="auto"/>
          <w:szCs w:val="21"/>
        </w:rPr>
        <w:t>第三卷</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_Toc19173 \h </w:instrText>
      </w:r>
      <w:r>
        <w:rPr>
          <w:rFonts w:hint="eastAsia" w:ascii="宋体" w:hAnsi="宋体" w:cs="宋体"/>
          <w:color w:val="auto"/>
          <w:szCs w:val="21"/>
        </w:rPr>
        <w:fldChar w:fldCharType="separate"/>
      </w:r>
      <w:r>
        <w:rPr>
          <w:rFonts w:hint="eastAsia" w:ascii="宋体" w:hAnsi="宋体" w:cs="宋体"/>
          <w:color w:val="auto"/>
          <w:szCs w:val="21"/>
        </w:rPr>
        <w:t>45</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21"/>
        <w:tabs>
          <w:tab w:val="right" w:leader="dot" w:pos="10080"/>
          <w:tab w:val="clear" w:pos="9060"/>
        </w:tabs>
        <w:ind w:left="0" w:leftChars="0"/>
        <w:rPr>
          <w:rFonts w:ascii="宋体" w:hAnsi="宋体" w:cs="宋体"/>
          <w:color w:val="auto"/>
          <w:sz w:val="21"/>
          <w:szCs w:val="21"/>
        </w:rPr>
      </w:pPr>
      <w:r>
        <w:rPr>
          <w:color w:val="auto"/>
        </w:rPr>
        <w:fldChar w:fldCharType="begin"/>
      </w:r>
      <w:r>
        <w:rPr>
          <w:color w:val="auto"/>
        </w:rPr>
        <w:instrText xml:space="preserve"> HYPERLINK \l "_Toc21421" </w:instrText>
      </w:r>
      <w:r>
        <w:rPr>
          <w:color w:val="auto"/>
        </w:rPr>
        <w:fldChar w:fldCharType="separate"/>
      </w:r>
      <w:r>
        <w:rPr>
          <w:rFonts w:hint="eastAsia" w:ascii="宋体" w:hAnsi="宋体" w:cs="宋体"/>
          <w:bCs/>
          <w:color w:val="auto"/>
          <w:kern w:val="0"/>
          <w:sz w:val="21"/>
          <w:szCs w:val="21"/>
        </w:rPr>
        <w:t>第六章 投标文件格式</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_Toc21421 \h </w:instrText>
      </w:r>
      <w:r>
        <w:rPr>
          <w:rFonts w:hint="eastAsia" w:ascii="宋体" w:hAnsi="宋体" w:cs="宋体"/>
          <w:color w:val="auto"/>
          <w:sz w:val="21"/>
          <w:szCs w:val="21"/>
        </w:rPr>
        <w:fldChar w:fldCharType="separate"/>
      </w:r>
      <w:r>
        <w:rPr>
          <w:rFonts w:hint="eastAsia" w:ascii="宋体" w:hAnsi="宋体" w:cs="宋体"/>
          <w:color w:val="auto"/>
          <w:sz w:val="21"/>
          <w:szCs w:val="21"/>
        </w:rPr>
        <w:t>46</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pPr>
        <w:snapToGrid w:val="0"/>
        <w:spacing w:line="360" w:lineRule="auto"/>
        <w:rPr>
          <w:rFonts w:ascii="宋体" w:hAnsi="宋体"/>
          <w:color w:val="auto"/>
        </w:rPr>
      </w:pPr>
      <w:r>
        <w:rPr>
          <w:rFonts w:hint="eastAsia" w:ascii="宋体" w:hAnsi="宋体" w:cs="宋体"/>
          <w:color w:val="auto"/>
          <w:szCs w:val="21"/>
        </w:rPr>
        <w:fldChar w:fldCharType="end"/>
      </w:r>
    </w:p>
    <w:p>
      <w:pPr>
        <w:widowControl/>
        <w:snapToGrid w:val="0"/>
        <w:spacing w:line="480" w:lineRule="auto"/>
        <w:jc w:val="left"/>
        <w:rPr>
          <w:rFonts w:ascii="宋体" w:hAnsi="宋体"/>
          <w:color w:val="auto"/>
        </w:rPr>
        <w:sectPr>
          <w:footerReference r:id="rId5" w:type="default"/>
          <w:pgSz w:w="11905" w:h="16838"/>
          <w:pgMar w:top="1440" w:right="1083" w:bottom="1440" w:left="1083" w:header="720" w:footer="720" w:gutter="0"/>
          <w:cols w:space="720" w:num="1"/>
          <w:rtlGutter w:val="1"/>
        </w:sectPr>
      </w:pPr>
    </w:p>
    <w:bookmarkEnd w:id="0"/>
    <w:bookmarkEnd w:id="1"/>
    <w:bookmarkEnd w:id="2"/>
    <w:p>
      <w:pPr>
        <w:snapToGrid w:val="0"/>
        <w:rPr>
          <w:color w:val="auto"/>
        </w:rPr>
      </w:pPr>
      <w:bookmarkStart w:id="3" w:name="_Toc511557024"/>
    </w:p>
    <w:p>
      <w:pPr>
        <w:snapToGrid w:val="0"/>
        <w:jc w:val="center"/>
        <w:outlineLvl w:val="0"/>
        <w:rPr>
          <w:b/>
          <w:color w:val="auto"/>
          <w:sz w:val="36"/>
          <w:szCs w:val="36"/>
        </w:rPr>
      </w:pPr>
      <w:bookmarkStart w:id="4" w:name="_Toc5479"/>
      <w:bookmarkStart w:id="5" w:name="_Toc19543"/>
      <w:bookmarkStart w:id="6" w:name="_Toc63769812"/>
      <w:bookmarkStart w:id="7" w:name="_Toc17931"/>
      <w:bookmarkStart w:id="8" w:name="_Toc21395"/>
      <w:bookmarkStart w:id="9" w:name="_Toc26129"/>
      <w:bookmarkStart w:id="10" w:name="_Toc7911"/>
      <w:r>
        <w:rPr>
          <w:rFonts w:hint="eastAsia"/>
          <w:b/>
          <w:color w:val="auto"/>
          <w:sz w:val="36"/>
          <w:szCs w:val="36"/>
        </w:rPr>
        <w:t>第</w:t>
      </w:r>
      <w:bookmarkEnd w:id="3"/>
      <w:r>
        <w:rPr>
          <w:rFonts w:hint="eastAsia"/>
          <w:b/>
          <w:color w:val="auto"/>
          <w:sz w:val="36"/>
          <w:szCs w:val="36"/>
        </w:rPr>
        <w:t>一卷</w:t>
      </w:r>
      <w:bookmarkEnd w:id="4"/>
      <w:bookmarkEnd w:id="5"/>
      <w:bookmarkEnd w:id="6"/>
      <w:bookmarkEnd w:id="7"/>
      <w:bookmarkEnd w:id="8"/>
      <w:bookmarkEnd w:id="9"/>
      <w:bookmarkEnd w:id="10"/>
    </w:p>
    <w:p>
      <w:pPr>
        <w:snapToGrid w:val="0"/>
        <w:spacing w:before="120"/>
        <w:jc w:val="center"/>
        <w:rPr>
          <w:rFonts w:ascii="宋体" w:hAnsi="宋体"/>
          <w:color w:val="auto"/>
        </w:rPr>
      </w:pPr>
      <w:bookmarkStart w:id="11" w:name="_Toc63769813"/>
      <w:r>
        <w:rPr>
          <w:rFonts w:hint="eastAsia" w:ascii="宋体" w:hAnsi="宋体"/>
          <w:color w:val="auto"/>
        </w:rPr>
        <w:br w:type="page"/>
      </w:r>
    </w:p>
    <w:p>
      <w:pPr>
        <w:snapToGrid w:val="0"/>
        <w:spacing w:line="360" w:lineRule="auto"/>
        <w:jc w:val="center"/>
        <w:outlineLvl w:val="0"/>
        <w:rPr>
          <w:rFonts w:ascii="宋体" w:hAnsi="宋体"/>
          <w:b/>
          <w:color w:val="auto"/>
          <w:kern w:val="44"/>
          <w:sz w:val="32"/>
          <w:szCs w:val="32"/>
        </w:rPr>
      </w:pPr>
      <w:bookmarkStart w:id="12" w:name="_Toc21255"/>
      <w:bookmarkStart w:id="13" w:name="_Toc12832"/>
      <w:bookmarkStart w:id="14" w:name="_Toc19208"/>
      <w:bookmarkStart w:id="15" w:name="_Toc22964"/>
      <w:bookmarkStart w:id="16" w:name="_Toc21484"/>
      <w:bookmarkStart w:id="17" w:name="_Toc14876"/>
      <w:r>
        <w:rPr>
          <w:rFonts w:hint="eastAsia" w:ascii="宋体" w:hAnsi="宋体"/>
          <w:b/>
          <w:color w:val="auto"/>
          <w:kern w:val="44"/>
          <w:sz w:val="32"/>
          <w:szCs w:val="32"/>
        </w:rPr>
        <w:t>第一章 招标公告</w:t>
      </w:r>
      <w:bookmarkEnd w:id="11"/>
      <w:bookmarkEnd w:id="12"/>
      <w:bookmarkEnd w:id="13"/>
      <w:bookmarkEnd w:id="14"/>
      <w:bookmarkEnd w:id="15"/>
      <w:bookmarkEnd w:id="16"/>
      <w:bookmarkEnd w:id="17"/>
    </w:p>
    <w:p>
      <w:pPr>
        <w:widowControl/>
        <w:snapToGrid w:val="0"/>
        <w:jc w:val="center"/>
        <w:rPr>
          <w:rFonts w:ascii="宋体" w:hAnsi="宋体"/>
          <w:b/>
          <w:color w:val="auto"/>
          <w:sz w:val="28"/>
          <w:szCs w:val="28"/>
        </w:rPr>
      </w:pPr>
      <w:bookmarkStart w:id="18" w:name="_Toc535938694"/>
      <w:r>
        <w:rPr>
          <w:rFonts w:hint="eastAsia" w:ascii="宋体" w:hAnsi="宋体"/>
          <w:b/>
          <w:color w:val="auto"/>
          <w:sz w:val="28"/>
          <w:szCs w:val="28"/>
        </w:rPr>
        <w:t>（另册）</w:t>
      </w:r>
    </w:p>
    <w:p>
      <w:pPr>
        <w:pStyle w:val="2"/>
        <w:snapToGrid w:val="0"/>
        <w:ind w:firstLine="281"/>
        <w:rPr>
          <w:rFonts w:ascii="宋体" w:hAnsi="宋体"/>
          <w:b/>
          <w:color w:val="auto"/>
          <w:sz w:val="28"/>
          <w:szCs w:val="28"/>
        </w:rPr>
      </w:pPr>
    </w:p>
    <w:p>
      <w:pPr>
        <w:pStyle w:val="4"/>
        <w:snapToGrid w:val="0"/>
        <w:ind w:firstLine="0" w:firstLineChars="0"/>
        <w:rPr>
          <w:color w:val="auto"/>
        </w:rPr>
        <w:sectPr>
          <w:pgSz w:w="11905" w:h="16838"/>
          <w:pgMar w:top="1440" w:right="1083" w:bottom="1440" w:left="1083" w:header="851" w:footer="992" w:gutter="0"/>
          <w:cols w:space="720" w:num="1"/>
          <w:rtlGutter w:val="1"/>
          <w:docGrid w:type="lines" w:linePitch="312" w:charSpace="0"/>
        </w:sectPr>
      </w:pPr>
    </w:p>
    <w:bookmarkEnd w:id="18"/>
    <w:p>
      <w:pPr>
        <w:snapToGrid w:val="0"/>
        <w:spacing w:line="360" w:lineRule="auto"/>
        <w:jc w:val="center"/>
        <w:outlineLvl w:val="0"/>
        <w:rPr>
          <w:rFonts w:ascii="宋体" w:hAnsi="宋体"/>
          <w:b/>
          <w:color w:val="auto"/>
          <w:kern w:val="44"/>
          <w:sz w:val="32"/>
          <w:szCs w:val="32"/>
        </w:rPr>
      </w:pPr>
      <w:bookmarkStart w:id="19" w:name="_Toc20925"/>
      <w:bookmarkStart w:id="20" w:name="_Toc30668"/>
      <w:bookmarkStart w:id="21" w:name="_Toc4316"/>
      <w:bookmarkStart w:id="22" w:name="_Toc11720"/>
      <w:bookmarkStart w:id="23" w:name="_Toc63769814"/>
      <w:bookmarkStart w:id="24" w:name="_Toc8522"/>
      <w:bookmarkStart w:id="25" w:name="_Toc4882"/>
      <w:r>
        <w:rPr>
          <w:rFonts w:hint="eastAsia" w:ascii="宋体" w:hAnsi="宋体"/>
          <w:b/>
          <w:color w:val="auto"/>
          <w:kern w:val="44"/>
          <w:sz w:val="32"/>
          <w:szCs w:val="32"/>
        </w:rPr>
        <w:t>第二章 投标人须知</w:t>
      </w:r>
      <w:bookmarkEnd w:id="19"/>
      <w:bookmarkEnd w:id="20"/>
      <w:bookmarkEnd w:id="21"/>
      <w:bookmarkEnd w:id="22"/>
      <w:bookmarkEnd w:id="23"/>
      <w:bookmarkEnd w:id="24"/>
      <w:bookmarkEnd w:id="25"/>
    </w:p>
    <w:p>
      <w:pPr>
        <w:snapToGrid w:val="0"/>
        <w:spacing w:line="360" w:lineRule="auto"/>
        <w:jc w:val="center"/>
        <w:outlineLvl w:val="1"/>
        <w:rPr>
          <w:rFonts w:ascii="宋体" w:hAnsi="宋体"/>
          <w:b/>
          <w:bCs/>
          <w:color w:val="auto"/>
          <w:kern w:val="0"/>
          <w:sz w:val="30"/>
          <w:szCs w:val="30"/>
        </w:rPr>
      </w:pPr>
      <w:bookmarkStart w:id="26" w:name="_Toc27355"/>
      <w:bookmarkStart w:id="27" w:name="_Toc4062"/>
      <w:bookmarkStart w:id="28" w:name="_Toc214"/>
      <w:bookmarkStart w:id="29" w:name="_Toc530470621"/>
      <w:bookmarkStart w:id="30" w:name="_Toc535938711"/>
      <w:bookmarkStart w:id="31" w:name="_Toc529196512"/>
      <w:r>
        <w:rPr>
          <w:rFonts w:hint="eastAsia" w:ascii="宋体" w:hAnsi="宋体"/>
          <w:b/>
          <w:bCs/>
          <w:color w:val="auto"/>
          <w:kern w:val="0"/>
          <w:sz w:val="30"/>
          <w:szCs w:val="30"/>
        </w:rPr>
        <w:t>投标人须知前附表</w:t>
      </w:r>
      <w:bookmarkEnd w:id="26"/>
      <w:bookmarkEnd w:id="27"/>
      <w:bookmarkEnd w:id="28"/>
    </w:p>
    <w:tbl>
      <w:tblPr>
        <w:tblStyle w:val="24"/>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8"/>
        <w:gridCol w:w="2161"/>
        <w:gridCol w:w="69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958" w:type="dxa"/>
            <w:tcBorders>
              <w:top w:val="single" w:color="auto" w:sz="4"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b/>
                <w:color w:val="auto"/>
                <w:szCs w:val="21"/>
              </w:rPr>
            </w:pPr>
            <w:r>
              <w:rPr>
                <w:rFonts w:hint="eastAsia" w:ascii="宋体" w:hAnsi="宋体" w:cs="宋体"/>
                <w:b/>
                <w:color w:val="auto"/>
                <w:szCs w:val="21"/>
              </w:rPr>
              <w:t>条款号</w:t>
            </w:r>
          </w:p>
        </w:tc>
        <w:tc>
          <w:tcPr>
            <w:tcW w:w="2161" w:type="dxa"/>
            <w:tcBorders>
              <w:top w:val="single" w:color="auto" w:sz="4"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b/>
                <w:color w:val="auto"/>
                <w:szCs w:val="21"/>
              </w:rPr>
            </w:pPr>
            <w:r>
              <w:rPr>
                <w:rFonts w:hint="eastAsia" w:ascii="宋体" w:hAnsi="宋体" w:cs="宋体"/>
                <w:b/>
                <w:color w:val="auto"/>
                <w:szCs w:val="21"/>
              </w:rPr>
              <w:t>条款名称</w:t>
            </w:r>
          </w:p>
        </w:tc>
        <w:tc>
          <w:tcPr>
            <w:tcW w:w="6946" w:type="dxa"/>
            <w:tcBorders>
              <w:top w:val="single" w:color="auto" w:sz="4"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jc w:val="center"/>
              <w:rPr>
                <w:rFonts w:ascii="宋体" w:hAnsi="宋体" w:cs="宋体"/>
                <w:b/>
                <w:color w:val="auto"/>
                <w:szCs w:val="21"/>
              </w:rPr>
            </w:pPr>
            <w:r>
              <w:rPr>
                <w:rFonts w:hint="eastAsia" w:ascii="宋体" w:hAnsi="宋体" w:cs="宋体"/>
                <w:b/>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1.1.2</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招标人</w:t>
            </w:r>
          </w:p>
        </w:tc>
        <w:tc>
          <w:tcPr>
            <w:tcW w:w="6946" w:type="dxa"/>
            <w:tcBorders>
              <w:top w:val="single" w:color="auto" w:sz="6" w:space="0"/>
              <w:left w:val="single" w:color="auto" w:sz="6" w:space="0"/>
              <w:bottom w:val="single" w:color="auto" w:sz="6" w:space="0"/>
              <w:right w:val="single" w:color="auto" w:sz="4" w:space="0"/>
            </w:tcBorders>
            <w:noWrap/>
            <w:vAlign w:val="center"/>
          </w:tcPr>
          <w:p>
            <w:pPr>
              <w:wordWrap w:val="0"/>
              <w:snapToGrid w:val="0"/>
              <w:spacing w:before="48" w:beforeLines="20" w:after="48" w:afterLines="20" w:line="300" w:lineRule="auto"/>
              <w:rPr>
                <w:rFonts w:hint="eastAsia" w:ascii="宋体" w:hAnsi="宋体" w:eastAsia="宋体" w:cs="宋体"/>
                <w:color w:val="auto"/>
                <w:szCs w:val="21"/>
                <w:u w:val="single"/>
                <w:lang w:eastAsia="zh-CN"/>
              </w:rPr>
            </w:pPr>
            <w:r>
              <w:rPr>
                <w:rFonts w:hint="eastAsia" w:ascii="宋体" w:hAnsi="宋体" w:cs="宋体"/>
                <w:color w:val="auto"/>
                <w:szCs w:val="21"/>
              </w:rPr>
              <w:t>名称：</w:t>
            </w:r>
            <w:r>
              <w:rPr>
                <w:rFonts w:hint="eastAsia" w:ascii="宋体" w:hAnsi="宋体" w:cs="宋体"/>
                <w:color w:val="auto"/>
                <w:szCs w:val="21"/>
                <w:u w:val="single"/>
                <w:lang w:eastAsia="zh-CN"/>
              </w:rPr>
              <w:t>广东省中医院</w:t>
            </w:r>
          </w:p>
          <w:p>
            <w:pPr>
              <w:wordWrap w:val="0"/>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rPr>
              <w:t>地址：广州市越秀区大德路111号</w:t>
            </w:r>
          </w:p>
          <w:p>
            <w:pPr>
              <w:wordWrap w:val="0"/>
              <w:snapToGrid w:val="0"/>
              <w:spacing w:before="48" w:beforeLines="20" w:after="48" w:afterLines="20" w:line="300" w:lineRule="auto"/>
              <w:rPr>
                <w:rFonts w:hint="eastAsia" w:ascii="宋体" w:hAnsi="宋体" w:eastAsia="宋体" w:cs="宋体"/>
                <w:color w:val="auto"/>
                <w:szCs w:val="21"/>
                <w:u w:val="single"/>
                <w:lang w:val="en-US" w:eastAsia="zh-CN"/>
              </w:rPr>
            </w:pPr>
            <w:r>
              <w:rPr>
                <w:rFonts w:hint="eastAsia" w:ascii="宋体" w:hAnsi="宋体" w:cs="宋体"/>
                <w:color w:val="auto"/>
                <w:szCs w:val="21"/>
              </w:rPr>
              <w:t>联系人：蓝工</w:t>
            </w:r>
          </w:p>
          <w:p>
            <w:pPr>
              <w:snapToGrid w:val="0"/>
              <w:spacing w:before="48" w:beforeLines="20" w:after="48" w:afterLines="20" w:line="300" w:lineRule="auto"/>
              <w:rPr>
                <w:rFonts w:hint="default" w:ascii="宋体" w:hAnsi="宋体" w:eastAsia="宋体" w:cs="宋体"/>
                <w:color w:val="auto"/>
                <w:szCs w:val="21"/>
                <w:lang w:val="en-US" w:eastAsia="zh-CN"/>
              </w:rPr>
            </w:pPr>
            <w:r>
              <w:rPr>
                <w:rFonts w:hint="eastAsia" w:ascii="宋体" w:hAnsi="宋体" w:cs="宋体"/>
                <w:color w:val="auto"/>
                <w:szCs w:val="21"/>
              </w:rPr>
              <w:t>电话：020-81887233-31239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1.1.3</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招标代理机构</w:t>
            </w:r>
          </w:p>
        </w:tc>
        <w:tc>
          <w:tcPr>
            <w:tcW w:w="6946" w:type="dxa"/>
            <w:tcBorders>
              <w:top w:val="single" w:color="auto" w:sz="6" w:space="0"/>
              <w:left w:val="single" w:color="auto" w:sz="6" w:space="0"/>
              <w:bottom w:val="single" w:color="auto" w:sz="6" w:space="0"/>
              <w:right w:val="single" w:color="auto" w:sz="4" w:space="0"/>
            </w:tcBorders>
            <w:noWrap/>
            <w:vAlign w:val="center"/>
          </w:tcPr>
          <w:p>
            <w:pPr>
              <w:wordWrap w:val="0"/>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名称：</w:t>
            </w:r>
            <w:r>
              <w:rPr>
                <w:rFonts w:hint="eastAsia" w:ascii="宋体" w:hAnsi="宋体" w:cs="宋体"/>
                <w:color w:val="auto"/>
                <w:kern w:val="0"/>
                <w:szCs w:val="21"/>
                <w:u w:val="single"/>
              </w:rPr>
              <w:t>国义招标股份有限公司</w:t>
            </w:r>
          </w:p>
          <w:p>
            <w:pPr>
              <w:wordWrap w:val="0"/>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地址：广州市越秀区东风东路726号19楼</w:t>
            </w:r>
          </w:p>
          <w:p>
            <w:pPr>
              <w:wordWrap w:val="0"/>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rPr>
              <w:t>联系人：林工、黄工</w:t>
            </w:r>
          </w:p>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u w:val="single"/>
              </w:rPr>
              <w:t>020-37861059、37860562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1.1.4</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招标项目名称</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firstLine="29" w:firstLineChars="14"/>
              <w:rPr>
                <w:rFonts w:ascii="宋体" w:hAnsi="宋体" w:cs="宋体"/>
                <w:color w:val="auto"/>
                <w:szCs w:val="21"/>
              </w:rPr>
            </w:pPr>
            <w:r>
              <w:rPr>
                <w:rFonts w:hint="eastAsia" w:ascii="宋体" w:hAnsi="宋体" w:cs="宋体"/>
                <w:color w:val="auto"/>
                <w:szCs w:val="21"/>
                <w:u w:val="single"/>
                <w:lang w:eastAsia="zh-CN"/>
              </w:rPr>
              <w:t>广东省中医院国家中医药传承创新中心项目管理与监理服务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1.1.5</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项目建设地点</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1.1.6</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项目建设规模</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right="106"/>
              <w:rPr>
                <w:rFonts w:ascii="宋体" w:hAnsi="宋体" w:cs="宋体"/>
                <w:color w:val="auto"/>
                <w:szCs w:val="21"/>
                <w:u w:val="single"/>
              </w:rPr>
            </w:pPr>
            <w:r>
              <w:rPr>
                <w:rFonts w:hint="eastAsia" w:ascii="宋体" w:hAnsi="宋体" w:cs="宋体"/>
                <w:color w:val="auto"/>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1.1.7</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工程项目施工预计开工日期和建设周期</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right="107" w:rightChars="51"/>
              <w:rPr>
                <w:rFonts w:ascii="宋体" w:hAnsi="宋体" w:cs="宋体"/>
                <w:color w:val="auto"/>
                <w:szCs w:val="21"/>
                <w:u w:val="single"/>
              </w:rPr>
            </w:pPr>
            <w:r>
              <w:rPr>
                <w:rFonts w:hint="eastAsia" w:ascii="宋体" w:hAnsi="宋体" w:cs="宋体"/>
                <w:color w:val="auto"/>
                <w:szCs w:val="21"/>
                <w:u w:val="single"/>
              </w:rPr>
              <w:t>项目计划</w:t>
            </w:r>
            <w:r>
              <w:rPr>
                <w:rFonts w:hint="eastAsia" w:ascii="宋体" w:hAnsi="宋体" w:cs="宋体"/>
                <w:color w:val="auto"/>
                <w:szCs w:val="21"/>
                <w:u w:val="single"/>
                <w:lang w:val="en-US" w:eastAsia="zh-CN"/>
              </w:rPr>
              <w:t>暂定</w:t>
            </w:r>
            <w:r>
              <w:rPr>
                <w:rFonts w:hint="eastAsia" w:ascii="宋体" w:hAnsi="宋体" w:cs="宋体"/>
                <w:color w:val="auto"/>
                <w:szCs w:val="21"/>
                <w:u w:val="single"/>
              </w:rPr>
              <w:t>于</w:t>
            </w:r>
            <w:r>
              <w:rPr>
                <w:rFonts w:hint="eastAsia" w:ascii="宋体" w:hAnsi="宋体" w:cs="宋体"/>
                <w:color w:val="auto"/>
                <w:szCs w:val="21"/>
                <w:u w:val="single"/>
                <w:lang w:val="en-US" w:eastAsia="zh-CN"/>
              </w:rPr>
              <w:t>2024</w:t>
            </w:r>
            <w:r>
              <w:rPr>
                <w:rFonts w:hint="eastAsia" w:ascii="宋体" w:hAnsi="宋体" w:cs="宋体"/>
                <w:color w:val="auto"/>
                <w:szCs w:val="21"/>
                <w:u w:val="single"/>
              </w:rPr>
              <w:t>年</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16日</w:t>
            </w:r>
            <w:r>
              <w:rPr>
                <w:rFonts w:hint="eastAsia" w:ascii="宋体" w:hAnsi="宋体" w:cs="宋体"/>
                <w:color w:val="auto"/>
                <w:szCs w:val="21"/>
                <w:u w:val="single"/>
              </w:rPr>
              <w:t>开工（具体开工日期以总监理工程师发出的开工令为准）；施工总工期:暂定</w:t>
            </w:r>
            <w:r>
              <w:rPr>
                <w:rFonts w:hint="eastAsia" w:ascii="宋体" w:hAnsi="宋体" w:cs="宋体"/>
                <w:color w:val="auto"/>
                <w:szCs w:val="21"/>
                <w:u w:val="single"/>
                <w:lang w:val="en-US" w:eastAsia="zh-CN"/>
              </w:rPr>
              <w:t>304</w:t>
            </w:r>
            <w:r>
              <w:rPr>
                <w:rFonts w:hint="eastAsia" w:ascii="宋体" w:hAnsi="宋体" w:cs="宋体"/>
                <w:color w:val="auto"/>
                <w:szCs w:val="21"/>
                <w:u w:val="single"/>
              </w:rPr>
              <w:t>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1.1.8</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建筑安装工程费/工程概算</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1.2.1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资金来源及比例</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right="107" w:rightChars="51"/>
              <w:rPr>
                <w:rFonts w:ascii="宋体" w:hAnsi="宋体" w:cs="宋体"/>
                <w:color w:val="auto"/>
                <w:szCs w:val="21"/>
              </w:rPr>
            </w:pPr>
            <w:r>
              <w:rPr>
                <w:rFonts w:hint="eastAsia" w:ascii="宋体" w:hAnsi="宋体" w:cs="宋体"/>
                <w:color w:val="auto"/>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1.2.2</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资金落实情况</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u w:val="single"/>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1.3.1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招标范围</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right="106"/>
              <w:rPr>
                <w:rFonts w:ascii="宋体" w:hAnsi="宋体" w:cs="宋体"/>
                <w:color w:val="auto"/>
                <w:szCs w:val="21"/>
              </w:rPr>
            </w:pPr>
            <w:r>
              <w:rPr>
                <w:rFonts w:hint="eastAsia" w:ascii="宋体" w:hAnsi="宋体" w:cs="宋体"/>
                <w:color w:val="auto"/>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1.3.2</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监理服务期限</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left="40" w:leftChars="19" w:right="107" w:rightChars="51"/>
              <w:rPr>
                <w:rFonts w:ascii="宋体" w:hAnsi="宋体" w:cs="宋体"/>
                <w:color w:val="auto"/>
                <w:szCs w:val="21"/>
              </w:rPr>
            </w:pPr>
            <w:r>
              <w:rPr>
                <w:rFonts w:hint="eastAsia" w:ascii="宋体" w:hAnsi="宋体" w:cs="宋体"/>
                <w:color w:val="auto"/>
                <w:szCs w:val="21"/>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1.3.3</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质量标准</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pacing w:val="4"/>
                <w:kern w:val="0"/>
                <w:szCs w:val="21"/>
                <w:u w:val="single"/>
              </w:rPr>
              <w:t>按照国家最新颁布《建筑工程施工质量验收统一标准》及相应配套的各专业验收规范，一次竣工验收合格。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1.4.1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投标人资质条件、能力、信誉</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right="106"/>
              <w:rPr>
                <w:rFonts w:ascii="宋体" w:hAnsi="宋体" w:cs="宋体"/>
                <w:color w:val="auto"/>
                <w:szCs w:val="21"/>
              </w:rPr>
            </w:pPr>
            <w:r>
              <w:rPr>
                <w:rFonts w:hint="eastAsia" w:ascii="宋体" w:hAnsi="宋体" w:cs="宋体"/>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1.4.2</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是否接受联合体投标</w:t>
            </w:r>
          </w:p>
        </w:tc>
        <w:tc>
          <w:tcPr>
            <w:tcW w:w="6946" w:type="dxa"/>
            <w:tcBorders>
              <w:top w:val="single" w:color="auto" w:sz="6" w:space="0"/>
              <w:left w:val="single" w:color="auto" w:sz="6" w:space="0"/>
              <w:bottom w:val="single" w:color="auto" w:sz="6" w:space="0"/>
              <w:right w:val="single" w:color="auto" w:sz="4" w:space="0"/>
            </w:tcBorders>
            <w:noWrap/>
            <w:vAlign w:val="center"/>
          </w:tcPr>
          <w:p>
            <w:pPr>
              <w:spacing w:beforeLines="0" w:afterLines="0" w:line="360" w:lineRule="auto"/>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是否接受联合体投标：□不接受      </w:t>
            </w:r>
          </w:p>
          <w:p>
            <w:pPr>
              <w:snapToGrid w:val="0"/>
              <w:spacing w:before="48" w:beforeLines="20" w:after="48" w:afterLines="20" w:line="300" w:lineRule="auto"/>
              <w:ind w:firstLine="105" w:firstLineChars="50"/>
              <w:rPr>
                <w:rFonts w:ascii="宋体" w:hAnsi="宋体" w:cs="宋体"/>
                <w:color w:val="auto"/>
                <w:szCs w:val="21"/>
              </w:rPr>
            </w:pPr>
            <w:r>
              <w:rPr>
                <w:rFonts w:hint="eastAsia" w:asciiTheme="minorEastAsia" w:hAnsiTheme="minorEastAsia" w:eastAsiaTheme="minorEastAsia" w:cstheme="minorEastAsia"/>
                <w:color w:val="auto"/>
                <w:szCs w:val="21"/>
                <w:highlight w:val="none"/>
                <w:lang w:val="en-US" w:eastAsia="zh-CN"/>
              </w:rPr>
              <w:t>■接受，应满足下列要求：见招标公告要求。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1.4.3</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投标人不得存在的其他情形</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jc w:val="left"/>
              <w:rPr>
                <w:rFonts w:ascii="宋体" w:hAnsi="宋体" w:cs="宋体"/>
                <w:color w:val="auto"/>
                <w:kern w:val="0"/>
                <w:szCs w:val="21"/>
              </w:rPr>
            </w:pP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jc w:val="center"/>
              <w:rPr>
                <w:rFonts w:ascii="宋体" w:hAnsi="宋体" w:cs="宋体"/>
                <w:color w:val="auto"/>
                <w:szCs w:val="21"/>
              </w:rPr>
            </w:pPr>
            <w:r>
              <w:rPr>
                <w:rFonts w:ascii="宋体" w:hAnsi="宋体"/>
                <w:color w:val="auto"/>
                <w:szCs w:val="21"/>
              </w:rPr>
              <w:t>1.5</w:t>
            </w:r>
          </w:p>
        </w:tc>
        <w:tc>
          <w:tcPr>
            <w:tcW w:w="216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color w:val="auto"/>
                <w:szCs w:val="21"/>
              </w:rPr>
            </w:pPr>
            <w:r>
              <w:rPr>
                <w:rFonts w:hint="eastAsia" w:ascii="宋体" w:hAnsi="宋体"/>
                <w:color w:val="auto"/>
                <w:szCs w:val="21"/>
              </w:rPr>
              <w:t>费用承担</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jc w:val="left"/>
              <w:rPr>
                <w:rFonts w:ascii="宋体" w:hAnsi="宋体" w:cs="宋体"/>
                <w:color w:val="auto"/>
                <w:szCs w:val="21"/>
                <w:u w:val="single"/>
                <w:lang w:bidi="ar"/>
              </w:rPr>
            </w:pPr>
            <w:r>
              <w:rPr>
                <w:rFonts w:hint="eastAsia" w:ascii="宋体" w:hAnsi="宋体" w:cs="宋体"/>
                <w:color w:val="auto"/>
                <w:szCs w:val="21"/>
                <w:u w:val="single"/>
                <w:lang w:bidi="ar"/>
              </w:rPr>
              <w:t>1、投标人准备和参加投标活动发生的费用自理；</w:t>
            </w:r>
          </w:p>
          <w:p>
            <w:pPr>
              <w:topLinePunct/>
              <w:snapToGrid w:val="0"/>
              <w:spacing w:before="48" w:beforeLines="20" w:after="48" w:afterLines="20" w:line="300" w:lineRule="auto"/>
              <w:jc w:val="left"/>
              <w:rPr>
                <w:rFonts w:ascii="宋体" w:hAnsi="宋体" w:cs="宋体"/>
                <w:color w:val="auto"/>
                <w:szCs w:val="21"/>
                <w:u w:val="single"/>
                <w:lang w:bidi="ar"/>
              </w:rPr>
            </w:pPr>
            <w:r>
              <w:rPr>
                <w:rFonts w:hint="eastAsia" w:ascii="宋体" w:hAnsi="宋体" w:cs="宋体"/>
                <w:color w:val="auto"/>
                <w:szCs w:val="21"/>
                <w:u w:val="single"/>
                <w:lang w:bidi="ar"/>
              </w:rPr>
              <w:t>2、中标人按《广州市发展改革委转发省发展改革委关于规范公共资源交易服务收费及有关问题的通知》（穗发改〔2017〕811号）文件的规定，向广州交易集团有限公司（广州公共资源交易中心）缴纳交易服务费，其费用包含在中标人投标报价中，招标人不另行支付。</w:t>
            </w:r>
          </w:p>
          <w:p>
            <w:pPr>
              <w:topLinePunct/>
              <w:snapToGrid w:val="0"/>
              <w:spacing w:before="48" w:beforeLines="20" w:after="48" w:afterLines="20" w:line="300" w:lineRule="auto"/>
              <w:jc w:val="left"/>
              <w:rPr>
                <w:rFonts w:ascii="宋体" w:hAnsi="宋体" w:cs="宋体"/>
                <w:color w:val="auto"/>
                <w:szCs w:val="21"/>
                <w:u w:val="single"/>
                <w:lang w:bidi="ar"/>
              </w:rPr>
            </w:pPr>
            <w:r>
              <w:rPr>
                <w:rFonts w:hint="eastAsia" w:ascii="宋体" w:hAnsi="宋体" w:cs="宋体"/>
                <w:color w:val="auto"/>
                <w:szCs w:val="21"/>
                <w:u w:val="single"/>
                <w:lang w:bidi="ar"/>
              </w:rPr>
              <w:t>3、招标代理费由中标人在领取中标通知书之前一次性支付给招标代理机构</w:t>
            </w:r>
            <w:r>
              <w:rPr>
                <w:rFonts w:hint="eastAsia" w:ascii="宋体" w:hAnsi="宋体" w:cs="宋体"/>
                <w:color w:val="auto"/>
                <w:szCs w:val="21"/>
                <w:u w:val="single"/>
                <w:lang w:eastAsia="zh-CN" w:bidi="ar"/>
              </w:rPr>
              <w:t>，</w:t>
            </w:r>
            <w:r>
              <w:rPr>
                <w:rFonts w:hint="eastAsia" w:ascii="宋体" w:hAnsi="宋体" w:cs="宋体"/>
                <w:color w:val="auto"/>
                <w:szCs w:val="21"/>
                <w:u w:val="single"/>
                <w:lang w:bidi="ar"/>
              </w:rPr>
              <w:t>按照招标人与招标代理签订的招标代理合同约定的内容执行。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1.9.1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踏勘现场</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rPr>
                <w:rFonts w:ascii="宋体" w:hAnsi="宋体" w:cs="宋体"/>
                <w:color w:val="auto"/>
                <w:szCs w:val="21"/>
              </w:rPr>
            </w:pPr>
            <w:r>
              <w:rPr>
                <w:rFonts w:hint="eastAsia" w:ascii="宋体" w:hAnsi="宋体" w:cs="宋体"/>
                <w:color w:val="auto"/>
                <w:spacing w:val="-1"/>
                <w:szCs w:val="21"/>
              </w:rPr>
              <w:t>■</w:t>
            </w:r>
            <w:r>
              <w:rPr>
                <w:rFonts w:hint="eastAsia" w:ascii="宋体" w:hAnsi="宋体" w:cs="宋体"/>
                <w:color w:val="auto"/>
                <w:szCs w:val="21"/>
              </w:rPr>
              <w:t>不组织。由投标人自行踏勘</w:t>
            </w:r>
          </w:p>
          <w:p>
            <w:pPr>
              <w:topLinePunct/>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□组织，踏勘时间：</w:t>
            </w:r>
            <w:r>
              <w:rPr>
                <w:rFonts w:hint="eastAsia" w:ascii="宋体" w:hAnsi="宋体" w:cs="宋体"/>
                <w:color w:val="auto"/>
                <w:kern w:val="0"/>
                <w:szCs w:val="21"/>
                <w:u w:val="single"/>
              </w:rPr>
              <w:t>/</w:t>
            </w:r>
          </w:p>
          <w:p>
            <w:pPr>
              <w:topLinePunct/>
              <w:snapToGrid w:val="0"/>
              <w:spacing w:before="48" w:beforeLines="20" w:after="48" w:afterLines="20" w:line="300" w:lineRule="auto"/>
              <w:ind w:firstLine="884" w:firstLineChars="421"/>
              <w:rPr>
                <w:rFonts w:ascii="宋体" w:hAnsi="宋体" w:cs="宋体"/>
                <w:color w:val="auto"/>
                <w:szCs w:val="21"/>
              </w:rPr>
            </w:pPr>
            <w:r>
              <w:rPr>
                <w:rFonts w:hint="eastAsia" w:ascii="宋体" w:hAnsi="宋体" w:cs="宋体"/>
                <w:color w:val="auto"/>
                <w:szCs w:val="21"/>
              </w:rPr>
              <w:t>踏勘集中地点：</w:t>
            </w:r>
            <w:r>
              <w:rPr>
                <w:rFonts w:hint="eastAsia" w:ascii="宋体" w:hAnsi="宋体" w:cs="宋体"/>
                <w:color w:val="auto"/>
                <w:kern w:val="0"/>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1.10.1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投标预备会</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ind w:left="40" w:leftChars="19" w:right="107" w:rightChars="51"/>
              <w:rPr>
                <w:rFonts w:ascii="宋体" w:hAnsi="宋体" w:cs="宋体"/>
                <w:color w:val="auto"/>
                <w:kern w:val="0"/>
                <w:szCs w:val="21"/>
              </w:rPr>
            </w:pPr>
            <w:r>
              <w:rPr>
                <w:rFonts w:hint="eastAsia" w:ascii="宋体" w:hAnsi="宋体" w:cs="宋体"/>
                <w:color w:val="auto"/>
                <w:kern w:val="0"/>
                <w:szCs w:val="21"/>
              </w:rPr>
              <w:t>■不召开</w:t>
            </w:r>
          </w:p>
          <w:p>
            <w:pPr>
              <w:snapToGrid w:val="0"/>
              <w:spacing w:before="48" w:beforeLines="20" w:after="48" w:afterLines="20" w:line="300" w:lineRule="auto"/>
              <w:ind w:left="40" w:leftChars="19" w:right="107" w:rightChars="51"/>
              <w:rPr>
                <w:rFonts w:ascii="宋体" w:hAnsi="宋体" w:cs="宋体"/>
                <w:color w:val="auto"/>
                <w:szCs w:val="21"/>
              </w:rPr>
            </w:pPr>
            <w:r>
              <w:rPr>
                <w:rFonts w:hint="eastAsia" w:ascii="宋体" w:hAnsi="宋体" w:cs="宋体"/>
                <w:color w:val="auto"/>
                <w:szCs w:val="21"/>
              </w:rPr>
              <w:t>□召开，召开时间：</w:t>
            </w:r>
            <w:r>
              <w:rPr>
                <w:rFonts w:hint="eastAsia" w:ascii="宋体" w:hAnsi="宋体" w:cs="宋体"/>
                <w:color w:val="auto"/>
                <w:szCs w:val="21"/>
                <w:u w:val="single"/>
              </w:rPr>
              <w:t>/</w:t>
            </w:r>
          </w:p>
          <w:p>
            <w:pPr>
              <w:snapToGrid w:val="0"/>
              <w:spacing w:before="48" w:beforeLines="20" w:after="48" w:afterLines="20" w:line="300" w:lineRule="auto"/>
              <w:ind w:firstLine="884" w:firstLineChars="421"/>
              <w:rPr>
                <w:rFonts w:ascii="宋体" w:hAnsi="宋体" w:cs="宋体"/>
                <w:color w:val="auto"/>
                <w:szCs w:val="21"/>
              </w:rPr>
            </w:pPr>
            <w:r>
              <w:rPr>
                <w:rFonts w:hint="eastAsia" w:ascii="宋体" w:hAnsi="宋体" w:cs="宋体"/>
                <w:color w:val="auto"/>
                <w:szCs w:val="21"/>
              </w:rPr>
              <w:t>召开地点：</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1.10.2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投标人在投标预备会前提出问题</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形式：</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1.10.3</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1.12.1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实质性要求和条件</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rPr>
                <w:rFonts w:ascii="宋体" w:hAnsi="宋体" w:cs="宋体"/>
                <w:color w:val="auto"/>
                <w:szCs w:val="21"/>
              </w:rPr>
            </w:pPr>
            <w:r>
              <w:rPr>
                <w:rFonts w:hint="eastAsia" w:ascii="宋体" w:hAnsi="宋体" w:cs="宋体"/>
                <w:color w:val="auto"/>
                <w:kern w:val="0"/>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1.12.3</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偏差</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left="40" w:leftChars="19" w:right="107" w:rightChars="51"/>
              <w:rPr>
                <w:rFonts w:ascii="宋体" w:hAnsi="宋体" w:cs="宋体"/>
                <w:color w:val="auto"/>
                <w:szCs w:val="21"/>
              </w:rPr>
            </w:pPr>
            <w:r>
              <w:rPr>
                <w:rFonts w:hint="eastAsia" w:ascii="宋体" w:hAnsi="宋体" w:cs="宋体"/>
                <w:color w:val="auto"/>
                <w:szCs w:val="21"/>
              </w:rPr>
              <w:t>■不允许</w:t>
            </w:r>
          </w:p>
          <w:p>
            <w:pPr>
              <w:topLinePunct/>
              <w:snapToGrid w:val="0"/>
              <w:spacing w:before="48" w:beforeLines="20" w:after="48" w:afterLines="20" w:line="300" w:lineRule="auto"/>
              <w:ind w:left="40" w:leftChars="19" w:right="107" w:rightChars="51"/>
              <w:rPr>
                <w:rFonts w:ascii="宋体" w:hAnsi="宋体" w:cs="宋体"/>
                <w:color w:val="auto"/>
                <w:kern w:val="0"/>
                <w:szCs w:val="21"/>
              </w:rPr>
            </w:pPr>
            <w:r>
              <w:rPr>
                <w:rFonts w:hint="eastAsia" w:ascii="宋体" w:hAnsi="宋体" w:cs="宋体"/>
                <w:color w:val="auto"/>
                <w:kern w:val="0"/>
                <w:szCs w:val="21"/>
              </w:rPr>
              <w:t>□允许，偏差范围：</w:t>
            </w:r>
            <w:r>
              <w:rPr>
                <w:rFonts w:hint="eastAsia" w:ascii="宋体" w:hAnsi="宋体" w:cs="宋体"/>
                <w:color w:val="auto"/>
                <w:kern w:val="0"/>
                <w:szCs w:val="21"/>
                <w:u w:val="single"/>
              </w:rPr>
              <w:t>/</w:t>
            </w:r>
          </w:p>
          <w:p>
            <w:pPr>
              <w:topLinePunct/>
              <w:snapToGrid w:val="0"/>
              <w:spacing w:before="48" w:beforeLines="20" w:after="48" w:afterLines="20" w:line="300" w:lineRule="auto"/>
              <w:ind w:firstLine="884" w:firstLineChars="421"/>
              <w:jc w:val="left"/>
              <w:rPr>
                <w:rFonts w:ascii="宋体" w:hAnsi="宋体" w:cs="宋体"/>
                <w:color w:val="auto"/>
                <w:szCs w:val="21"/>
              </w:rPr>
            </w:pPr>
            <w:r>
              <w:rPr>
                <w:rFonts w:hint="eastAsia" w:ascii="宋体" w:hAnsi="宋体" w:cs="宋体"/>
                <w:color w:val="auto"/>
                <w:szCs w:val="21"/>
              </w:rPr>
              <w:t>偏差幅度：</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2.1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构成招标文件的其他资料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2.2.1</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投标人要求澄清招标文件</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firstLine="210" w:firstLineChars="10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在提交投标文件截止时间18天前提出。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right="174" w:rightChars="83" w:firstLine="210" w:firstLineChars="100"/>
              <w:rPr>
                <w:rFonts w:ascii="宋体" w:hAnsi="宋体" w:cs="宋体"/>
                <w:color w:val="auto"/>
                <w:kern w:val="0"/>
                <w:szCs w:val="21"/>
                <w:u w:val="single"/>
              </w:rPr>
            </w:pPr>
            <w:r>
              <w:rPr>
                <w:rFonts w:hint="eastAsia" w:ascii="宋体" w:hAnsi="宋体" w:cs="宋体"/>
                <w:color w:val="auto"/>
                <w:kern w:val="0"/>
                <w:szCs w:val="21"/>
              </w:rPr>
              <w:t>形式：</w:t>
            </w:r>
            <w:r>
              <w:rPr>
                <w:rFonts w:hint="eastAsia" w:ascii="宋体" w:hAnsi="宋体" w:cs="宋体"/>
                <w:color w:val="auto"/>
                <w:kern w:val="0"/>
                <w:szCs w:val="21"/>
                <w:u w:val="single"/>
              </w:rPr>
              <w:t>1.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建设工程全流程电子化项目操作指南》。</w:t>
            </w:r>
          </w:p>
          <w:p>
            <w:pPr>
              <w:snapToGrid w:val="0"/>
              <w:spacing w:before="48" w:beforeLines="20" w:after="48" w:afterLines="20" w:line="300" w:lineRule="auto"/>
              <w:ind w:right="174" w:rightChars="83" w:firstLine="210" w:firstLineChars="100"/>
              <w:rPr>
                <w:rFonts w:ascii="宋体" w:hAnsi="宋体" w:cs="宋体"/>
                <w:color w:val="auto"/>
                <w:kern w:val="0"/>
                <w:szCs w:val="21"/>
                <w:u w:val="single"/>
              </w:rPr>
            </w:pPr>
            <w:r>
              <w:rPr>
                <w:rFonts w:hint="eastAsia" w:ascii="宋体" w:hAnsi="宋体" w:cs="宋体"/>
                <w:color w:val="auto"/>
                <w:kern w:val="0"/>
                <w:szCs w:val="21"/>
                <w:u w:val="single"/>
              </w:rPr>
              <w:t>2.投标人应在投标截止时间18日前停止提疑。招标人应在投标截止时间15日前解答投标人对招标文件提出的疑问，形成答疑纪要，并在广州交易集团有限公司（广州公共资源交易中心）网站发布。</w:t>
            </w:r>
          </w:p>
          <w:p>
            <w:pPr>
              <w:snapToGrid w:val="0"/>
              <w:spacing w:before="48" w:beforeLines="20" w:after="48" w:afterLines="20" w:line="300" w:lineRule="auto"/>
              <w:ind w:right="174" w:rightChars="83" w:firstLine="210" w:firstLineChars="100"/>
              <w:rPr>
                <w:rFonts w:ascii="宋体" w:hAnsi="宋体" w:cs="宋体"/>
                <w:color w:val="auto"/>
                <w:kern w:val="0"/>
                <w:szCs w:val="21"/>
                <w:u w:val="single"/>
              </w:rPr>
            </w:pPr>
            <w:r>
              <w:rPr>
                <w:rFonts w:hint="eastAsia" w:ascii="宋体" w:hAnsi="宋体" w:cs="宋体"/>
                <w:color w:val="auto"/>
                <w:kern w:val="0"/>
                <w:szCs w:val="21"/>
                <w:u w:val="single"/>
              </w:rPr>
              <w:t>3.答疑纪要一经在广州交易集团有限公司（广州公共资源交易中心）网站发布，视作已发放给所有投标人。</w:t>
            </w:r>
          </w:p>
          <w:p>
            <w:pPr>
              <w:snapToGrid w:val="0"/>
              <w:spacing w:before="48" w:beforeLines="20" w:after="48" w:afterLines="20" w:line="300" w:lineRule="auto"/>
              <w:ind w:right="174" w:rightChars="83" w:firstLine="210" w:firstLineChars="100"/>
              <w:rPr>
                <w:rFonts w:ascii="宋体" w:hAnsi="宋体" w:cs="宋体"/>
                <w:color w:val="auto"/>
                <w:kern w:val="0"/>
                <w:szCs w:val="21"/>
                <w:u w:val="single"/>
              </w:rPr>
            </w:pPr>
            <w:r>
              <w:rPr>
                <w:rFonts w:hint="eastAsia" w:ascii="宋体" w:hAnsi="宋体" w:cs="宋体"/>
                <w:color w:val="auto"/>
                <w:kern w:val="0"/>
                <w:szCs w:val="21"/>
                <w:u w:val="single"/>
              </w:rPr>
              <w:t>4.答疑纪要为招标文件的一部分。投标人可在广州交易集团有限公司（广州公共资源交易中心）网站浏览、下载答疑纪要。</w:t>
            </w:r>
          </w:p>
          <w:p>
            <w:pPr>
              <w:snapToGrid w:val="0"/>
              <w:spacing w:before="48" w:beforeLines="20" w:after="48" w:afterLines="20" w:line="300" w:lineRule="auto"/>
              <w:rPr>
                <w:rFonts w:ascii="宋体" w:hAnsi="宋体" w:cs="宋体"/>
                <w:b/>
                <w:bCs/>
                <w:color w:val="auto"/>
                <w:szCs w:val="21"/>
                <w:u w:val="single"/>
              </w:rPr>
            </w:pPr>
            <w:r>
              <w:rPr>
                <w:rFonts w:hint="eastAsia" w:ascii="宋体" w:hAnsi="宋体" w:cs="宋体"/>
                <w:b/>
                <w:bCs/>
                <w:color w:val="auto"/>
                <w:szCs w:val="21"/>
                <w:u w:val="single"/>
              </w:rPr>
              <w:t>具体操作详见广州交易集团有限公司（广州公共资源交易中心）网站发布的最新版操作指引。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2.2.2</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在递交投标文件截止时间15天前；本项目的招标文件澄清及答疑文件将在广州交易集团有限公司（广州公共资源交易中心）网上发布，投标人自行下载。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2.2.3</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投标人确认收到招标文件澄清</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形式：</w:t>
            </w:r>
            <w:r>
              <w:rPr>
                <w:rFonts w:hint="eastAsia" w:ascii="宋体" w:hAnsi="宋体" w:cs="宋体"/>
                <w:color w:val="auto"/>
                <w:szCs w:val="21"/>
                <w:u w:val="single"/>
              </w:rPr>
              <w:t>招标文件澄清（招标答疑纪要）一经在广州交易集团有限公司（广州公共资源交易中心）网站发布，视作已发放给所有投标人。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2.3.1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招标文件修改发出的形式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以补充公告或项目答疑澄清的方式在广州交易集团有限公司（广州公共资源交易中心）网站发布。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2.3.2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投标人确认收到招标文件修改</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发出即视作收到。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形式：</w:t>
            </w:r>
            <w:r>
              <w:rPr>
                <w:rFonts w:hint="eastAsia" w:ascii="宋体" w:hAnsi="宋体" w:cs="宋体"/>
                <w:color w:val="auto"/>
                <w:szCs w:val="21"/>
                <w:u w:val="single"/>
              </w:rPr>
              <w:t>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3.1.1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构成投标文件的其他资料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u w:val="single"/>
              </w:rPr>
              <w:t>满足本项目评审要求的其他资料等投标人认为需要提供的资料。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3.2.1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增值税税金的计算方法</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3.2.3</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报价方式</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自行报价（以元为单位，精确到小数位后2位）。投标报价不得高于最高投标限价，由投标人根据招标文件要求以及企业自身情况填写报价。结算方式：按合同约定执行。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3.2.4</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最高投标限价</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0" w:beforeLines="0" w:after="0" w:afterLines="0" w:line="300" w:lineRule="auto"/>
              <w:rPr>
                <w:rFonts w:ascii="宋体" w:hAnsi="宋体" w:cs="宋体"/>
                <w:color w:val="auto"/>
                <w:szCs w:val="21"/>
              </w:rPr>
            </w:pPr>
            <w:r>
              <w:rPr>
                <w:rFonts w:hint="eastAsia" w:asciiTheme="minorEastAsia" w:hAnsiTheme="minorEastAsia" w:eastAsiaTheme="minorEastAsia" w:cstheme="minorEastAsia"/>
                <w:color w:val="auto"/>
                <w:szCs w:val="21"/>
                <w:highlight w:val="none"/>
                <w:lang w:val="en-US" w:eastAsia="zh-CN"/>
              </w:rPr>
              <w:t>最高投标限价：</w:t>
            </w:r>
            <w:r>
              <w:rPr>
                <w:rFonts w:hint="eastAsia" w:ascii="宋体" w:hAnsi="宋体" w:cs="宋体"/>
                <w:color w:val="auto"/>
                <w:szCs w:val="21"/>
                <w:lang w:eastAsia="zh-CN"/>
              </w:rPr>
              <w:t>□</w:t>
            </w:r>
            <w:r>
              <w:rPr>
                <w:rFonts w:hint="eastAsia" w:ascii="宋体" w:hAnsi="宋体" w:cs="宋体"/>
                <w:color w:val="auto"/>
                <w:szCs w:val="21"/>
              </w:rPr>
              <w:t>无</w:t>
            </w:r>
          </w:p>
          <w:p>
            <w:pPr>
              <w:tabs>
                <w:tab w:val="left" w:pos="7513"/>
              </w:tabs>
              <w:adjustRightInd w:val="0"/>
              <w:snapToGrid w:val="0"/>
              <w:spacing w:before="0" w:beforeLines="0" w:after="0" w:afterLines="0" w:line="300" w:lineRule="auto"/>
              <w:ind w:firstLine="0" w:firstLineChars="0"/>
              <w:rPr>
                <w:rFonts w:ascii="宋体" w:hAnsi="宋体" w:cs="宋体"/>
                <w:color w:val="auto"/>
                <w:szCs w:val="21"/>
                <w:u w:val="single"/>
              </w:rPr>
            </w:pPr>
            <w:r>
              <w:rPr>
                <w:rFonts w:hint="eastAsia" w:ascii="宋体" w:hAnsi="宋体" w:cs="宋体"/>
                <w:color w:val="auto"/>
                <w:spacing w:val="-1"/>
                <w:szCs w:val="21"/>
              </w:rPr>
              <w:t>■</w:t>
            </w:r>
            <w:r>
              <w:rPr>
                <w:rFonts w:hint="eastAsia" w:ascii="宋体" w:hAnsi="宋体" w:cs="宋体"/>
                <w:color w:val="auto"/>
                <w:szCs w:val="21"/>
              </w:rPr>
              <w:t>有，</w:t>
            </w:r>
            <w:r>
              <w:rPr>
                <w:rFonts w:hint="eastAsia" w:ascii="宋体" w:hAnsi="宋体" w:cs="宋体"/>
                <w:color w:val="auto"/>
                <w:szCs w:val="21"/>
                <w:u w:val="single"/>
              </w:rPr>
              <w:t>最高投标限价（总价）：210.51万元</w:t>
            </w:r>
            <w:r>
              <w:rPr>
                <w:rFonts w:hint="eastAsia" w:asciiTheme="minorEastAsia" w:hAnsiTheme="minorEastAsia" w:eastAsiaTheme="minorEastAsia" w:cstheme="minorEastAsia"/>
                <w:b/>
                <w:bCs/>
                <w:color w:val="auto"/>
                <w:szCs w:val="21"/>
                <w:highlight w:val="none"/>
                <w:u w:val="single"/>
                <w:lang w:val="en-US" w:eastAsia="zh-CN"/>
              </w:rPr>
              <w:t>（其中项目建设管理费最高投标限价为：89.93万元，监理服务费最高投标限价为：120.58万元）</w:t>
            </w:r>
          </w:p>
          <w:p>
            <w:pPr>
              <w:tabs>
                <w:tab w:val="left" w:pos="7513"/>
              </w:tabs>
              <w:adjustRightInd w:val="0"/>
              <w:snapToGrid w:val="0"/>
              <w:spacing w:before="48" w:beforeLines="20" w:after="48" w:afterLines="20" w:line="300" w:lineRule="auto"/>
              <w:rPr>
                <w:rFonts w:ascii="宋体" w:hAnsi="宋体" w:cs="宋体"/>
                <w:b/>
                <w:bCs/>
                <w:color w:val="auto"/>
                <w:szCs w:val="21"/>
                <w:u w:val="single"/>
              </w:rPr>
            </w:pPr>
            <w:r>
              <w:rPr>
                <w:rFonts w:hint="eastAsia" w:ascii="宋体" w:hAnsi="宋体" w:cs="宋体"/>
                <w:b/>
                <w:bCs/>
                <w:snapToGrid w:val="0"/>
                <w:color w:val="auto"/>
                <w:spacing w:val="4"/>
                <w:kern w:val="0"/>
                <w:szCs w:val="21"/>
                <w:u w:val="single"/>
              </w:rPr>
              <w:t>注：投标总报价不得超过最高投标限价，各子项的投标报价均不得超过相应各子项的最高投标限价</w:t>
            </w:r>
            <w:r>
              <w:rPr>
                <w:rFonts w:hint="eastAsia" w:ascii="宋体" w:hAnsi="宋体" w:cs="宋体"/>
                <w:b/>
                <w:bCs/>
                <w:snapToGrid w:val="0"/>
                <w:color w:val="auto"/>
                <w:spacing w:val="4"/>
                <w:kern w:val="0"/>
                <w:szCs w:val="21"/>
                <w:u w:val="single"/>
                <w:lang w:eastAsia="zh-CN"/>
              </w:rPr>
              <w:t>，</w:t>
            </w:r>
            <w:r>
              <w:rPr>
                <w:rFonts w:hint="eastAsia" w:ascii="宋体" w:hAnsi="宋体" w:cs="宋体"/>
                <w:b/>
                <w:bCs/>
                <w:snapToGrid w:val="0"/>
                <w:color w:val="auto"/>
                <w:spacing w:val="4"/>
                <w:kern w:val="0"/>
                <w:szCs w:val="21"/>
                <w:u w:val="single"/>
              </w:rPr>
              <w:t>否则由评标委员作无效标处理。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3.2.5</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投标报价的其他</w:t>
            </w:r>
          </w:p>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要求</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line="300" w:lineRule="auto"/>
              <w:rPr>
                <w:rFonts w:ascii="宋体" w:hAnsi="宋体" w:cs="宋体"/>
                <w:snapToGrid w:val="0"/>
                <w:color w:val="auto"/>
                <w:spacing w:val="4"/>
                <w:kern w:val="0"/>
                <w:szCs w:val="21"/>
                <w:u w:val="single"/>
              </w:rPr>
            </w:pPr>
            <w:r>
              <w:rPr>
                <w:rFonts w:hint="eastAsia" w:ascii="宋体" w:hAnsi="宋体" w:cs="宋体"/>
                <w:snapToGrid w:val="0"/>
                <w:color w:val="auto"/>
                <w:spacing w:val="4"/>
                <w:kern w:val="0"/>
                <w:szCs w:val="21"/>
                <w:u w:val="single"/>
              </w:rPr>
              <w:t>投标人必须详细审阅全部招标文件,充分考虑职责和义务,全面地理解招标文件对投标报价的要求,并按招标人提出的条件及内容进行报价。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3.3.1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投标有效期</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3.4.1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投标保证金</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是否要求投标人递交投标保证金：</w:t>
            </w:r>
          </w:p>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□要求</w:t>
            </w:r>
          </w:p>
          <w:p>
            <w:pPr>
              <w:snapToGrid w:val="0"/>
              <w:spacing w:before="48" w:beforeLines="20" w:after="48" w:afterLines="20" w:line="300" w:lineRule="auto"/>
              <w:rPr>
                <w:rFonts w:ascii="宋体" w:hAnsi="宋体" w:cs="宋体"/>
                <w:color w:val="auto"/>
                <w:szCs w:val="21"/>
              </w:rPr>
            </w:pPr>
            <w:r>
              <w:rPr>
                <w:rFonts w:hint="eastAsia" w:ascii="宋体" w:hAnsi="宋体" w:cs="宋体"/>
                <w:color w:val="auto"/>
                <w:spacing w:val="-1"/>
                <w:szCs w:val="21"/>
              </w:rPr>
              <w:t>■</w:t>
            </w:r>
            <w:r>
              <w:rPr>
                <w:rFonts w:hint="eastAsia" w:ascii="宋体" w:hAnsi="宋体" w:cs="宋体"/>
                <w:color w:val="auto"/>
                <w:szCs w:val="21"/>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3.4.4</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其他可以不予退还投标保证金的情形</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3.5</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资格审查资料的特殊要求</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ind w:right="174" w:rightChars="83"/>
              <w:rPr>
                <w:rFonts w:ascii="宋体" w:hAnsi="宋体" w:cs="宋体"/>
                <w:color w:val="auto"/>
                <w:kern w:val="0"/>
                <w:szCs w:val="21"/>
              </w:rPr>
            </w:pPr>
            <w:r>
              <w:rPr>
                <w:rFonts w:hint="eastAsia" w:ascii="宋体" w:hAnsi="宋体" w:cs="宋体"/>
                <w:color w:val="auto"/>
                <w:kern w:val="0"/>
                <w:szCs w:val="21"/>
              </w:rPr>
              <w:t>□无</w:t>
            </w:r>
          </w:p>
          <w:p>
            <w:pPr>
              <w:topLinePunct/>
              <w:snapToGrid w:val="0"/>
              <w:spacing w:before="48" w:beforeLines="20" w:after="48" w:afterLines="20" w:line="300" w:lineRule="auto"/>
              <w:rPr>
                <w:rFonts w:ascii="宋体" w:hAnsi="宋体" w:cs="宋体"/>
                <w:color w:val="auto"/>
                <w:kern w:val="0"/>
                <w:szCs w:val="21"/>
              </w:rPr>
            </w:pPr>
            <w:r>
              <w:rPr>
                <w:rFonts w:hint="eastAsia" w:ascii="宋体" w:hAnsi="宋体" w:cs="宋体"/>
                <w:color w:val="auto"/>
                <w:spacing w:val="-1"/>
                <w:szCs w:val="21"/>
              </w:rPr>
              <w:t>■</w:t>
            </w:r>
            <w:r>
              <w:rPr>
                <w:rFonts w:hint="eastAsia" w:ascii="宋体" w:hAnsi="宋体" w:cs="宋体"/>
                <w:color w:val="auto"/>
                <w:kern w:val="0"/>
                <w:szCs w:val="21"/>
              </w:rPr>
              <w:t>有，具体要求：（1）本招标项目不要求提供“近年财务状况表”、“近年发生的诉讼及仲裁情况”、“正在监理和新承接的项目情况表”，以上不作为资格审查内容；</w:t>
            </w:r>
          </w:p>
          <w:p>
            <w:pPr>
              <w:topLinePunct/>
              <w:snapToGrid w:val="0"/>
              <w:spacing w:before="48" w:beforeLines="20" w:after="48" w:afterLines="20" w:line="300" w:lineRule="auto"/>
              <w:rPr>
                <w:rFonts w:ascii="宋体" w:hAnsi="宋体" w:cs="宋体"/>
                <w:color w:val="auto"/>
                <w:szCs w:val="21"/>
              </w:rPr>
            </w:pPr>
            <w:r>
              <w:rPr>
                <w:rFonts w:hint="eastAsia" w:ascii="宋体" w:hAnsi="宋体" w:cs="宋体"/>
                <w:color w:val="auto"/>
                <w:kern w:val="0"/>
                <w:szCs w:val="21"/>
              </w:rPr>
              <w:t>（2）本招标项目要求提供的“基本情况表”、“拟委任的主要人员汇总表”、 “主要人员简历表”、“拟投入本项目的主要试验检测仪器设备表”，以上不作为资格审查内容，仅作为评标资料（如有）。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3.5.2</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近年财务状况的年份要求</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3.5.3</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近年完成的类似项目情况的时间要求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u w:val="single"/>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3.5.5</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近年发生的诉讼</w:t>
            </w:r>
          </w:p>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及仲裁情况的时间要求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3.6.1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是否允许递交备选投标方案</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rPr>
                <w:rFonts w:ascii="宋体" w:hAnsi="宋体" w:cs="宋体"/>
                <w:color w:val="auto"/>
                <w:szCs w:val="21"/>
              </w:rPr>
            </w:pPr>
            <w:r>
              <w:rPr>
                <w:rFonts w:hint="eastAsia" w:ascii="宋体" w:hAnsi="宋体" w:cs="宋体"/>
                <w:color w:val="auto"/>
                <w:spacing w:val="-1"/>
                <w:szCs w:val="21"/>
              </w:rPr>
              <w:t>■</w:t>
            </w:r>
            <w:r>
              <w:rPr>
                <w:rFonts w:hint="eastAsia" w:ascii="宋体" w:hAnsi="宋体" w:cs="宋体"/>
                <w:color w:val="auto"/>
                <w:szCs w:val="21"/>
              </w:rPr>
              <w:t>不允许</w:t>
            </w:r>
          </w:p>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3.7.3A（2）</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投标文件副本份数及其他要求</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3.7.3A（3）</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投标文件是否需分册装订</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投标文件所附证书证件要求</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投标文件全部采用电子文档，投标文件所附证书证件需为原件清晰扫描件，并采用单位数字证书，按照招标文件要求在相应位置加盖电子印章。相关操作详见广州交易集团有限公司（广州公共资源交易中心）网站最新发布的相关指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投标文件签字或盖章要求</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adjustRightInd w:val="0"/>
              <w:snapToGrid w:val="0"/>
              <w:spacing w:before="48" w:beforeLines="20" w:after="48" w:afterLines="20" w:line="300" w:lineRule="auto"/>
              <w:textAlignment w:val="baseline"/>
              <w:outlineLvl w:val="1"/>
              <w:rPr>
                <w:rFonts w:ascii="宋体" w:hAnsi="宋体" w:cs="宋体"/>
                <w:color w:val="auto"/>
                <w:szCs w:val="21"/>
                <w:u w:val="single"/>
              </w:rPr>
            </w:pPr>
            <w:bookmarkStart w:id="32" w:name="_Toc9695"/>
            <w:bookmarkStart w:id="33" w:name="_Toc22919"/>
            <w:bookmarkStart w:id="34" w:name="_Toc27583"/>
            <w:r>
              <w:rPr>
                <w:rFonts w:hint="eastAsia" w:asciiTheme="minorEastAsia" w:hAnsiTheme="minorEastAsia" w:eastAsiaTheme="minorEastAsia" w:cstheme="minorEastAsia"/>
                <w:b w:val="0"/>
                <w:bCs w:val="0"/>
                <w:color w:val="auto"/>
                <w:szCs w:val="21"/>
                <w:highlight w:val="none"/>
                <w:u w:val="none"/>
                <w:lang w:val="en-US" w:eastAsia="zh-CN"/>
              </w:rPr>
              <w:t>投标文件中需个人签字或盖章的，应加盖个人电子印章或在线下完成后扫描上传。投标文件按招标文件要求加盖单位电子印章。相关操作详见广州交易集团有限公司（广州公共资源交易中心）网站最新发布的相关指引。</w:t>
            </w:r>
            <w:r>
              <w:rPr>
                <w:rFonts w:hint="eastAsia" w:ascii="宋体" w:hAnsi="宋体"/>
                <w:b/>
                <w:color w:val="auto"/>
                <w:szCs w:val="21"/>
                <w:highlight w:val="none"/>
                <w:u w:val="single"/>
              </w:rPr>
              <w:t>联合体投标时，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示例为：(主)单位全称(成)单位全称】，由联合体主办方按要求签字或盖章即可。</w:t>
            </w:r>
            <w:bookmarkEnd w:id="32"/>
            <w:bookmarkEnd w:id="33"/>
            <w:bookmarkEnd w:id="3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4.1.1（A）</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投标文件密封包装</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adjustRightInd w:val="0"/>
              <w:snapToGrid w:val="0"/>
              <w:spacing w:before="48" w:beforeLines="20" w:after="48" w:afterLines="20" w:line="300" w:lineRule="auto"/>
              <w:textAlignment w:val="baseline"/>
              <w:outlineLvl w:val="1"/>
              <w:rPr>
                <w:rFonts w:ascii="宋体" w:hAnsi="宋体" w:cs="宋体"/>
                <w:color w:val="auto"/>
                <w:szCs w:val="21"/>
                <w:u w:val="single"/>
              </w:rPr>
            </w:pPr>
            <w:bookmarkStart w:id="35" w:name="_Toc14470"/>
            <w:bookmarkStart w:id="36" w:name="_Toc16379"/>
            <w:bookmarkStart w:id="37" w:name="_Toc30708"/>
            <w:r>
              <w:rPr>
                <w:rFonts w:hint="eastAsia" w:ascii="宋体" w:hAnsi="宋体" w:cs="宋体"/>
                <w:color w:val="auto"/>
                <w:szCs w:val="21"/>
                <w:u w:val="single"/>
              </w:rPr>
              <w:t>本项目不适用。</w:t>
            </w:r>
            <w:bookmarkEnd w:id="35"/>
            <w:bookmarkEnd w:id="36"/>
            <w:bookmarkEnd w:id="3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4.1.1（B）</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投标文件加密要求</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adjustRightInd w:val="0"/>
              <w:snapToGrid w:val="0"/>
              <w:spacing w:before="48" w:beforeLines="20" w:after="48" w:afterLines="20" w:line="300" w:lineRule="auto"/>
              <w:textAlignment w:val="baseline"/>
              <w:outlineLvl w:val="1"/>
              <w:rPr>
                <w:rFonts w:ascii="宋体" w:hAnsi="宋体" w:cs="宋体"/>
                <w:color w:val="auto"/>
                <w:szCs w:val="21"/>
                <w:u w:val="single"/>
              </w:rPr>
            </w:pPr>
            <w:bookmarkStart w:id="38" w:name="_Toc22932"/>
            <w:bookmarkStart w:id="39" w:name="_Toc18627"/>
            <w:bookmarkStart w:id="40" w:name="_Toc1866"/>
            <w:r>
              <w:rPr>
                <w:rFonts w:hint="eastAsia" w:ascii="宋体" w:hAnsi="宋体" w:cs="宋体"/>
                <w:color w:val="auto"/>
                <w:szCs w:val="21"/>
                <w:u w:val="single"/>
              </w:rPr>
              <w:t>网上递交的电子投标文件须进行加密。</w:t>
            </w:r>
            <w:r>
              <w:rPr>
                <w:rFonts w:hint="eastAsia" w:ascii="宋体" w:hAnsi="宋体"/>
                <w:color w:val="auto"/>
                <w:szCs w:val="21"/>
              </w:rPr>
              <w:t>未按要求加密的投标文件，交易平台将予以拒收。</w:t>
            </w:r>
            <w:r>
              <w:rPr>
                <w:rFonts w:hint="eastAsia" w:ascii="宋体" w:hAnsi="宋体" w:cs="宋体"/>
                <w:color w:val="auto"/>
                <w:szCs w:val="21"/>
                <w:u w:val="single"/>
              </w:rPr>
              <w:t>具体操作详见附件《建设工程全流程电子化项目操作指南》。</w:t>
            </w:r>
            <w:bookmarkEnd w:id="38"/>
            <w:bookmarkEnd w:id="39"/>
            <w:bookmarkEnd w:id="4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4.1.2</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封套上应载明</w:t>
            </w:r>
          </w:p>
          <w:p>
            <w:pPr>
              <w:snapToGrid w:val="0"/>
              <w:spacing w:before="48" w:beforeLines="20" w:after="48" w:afterLines="20" w:line="300" w:lineRule="auto"/>
              <w:jc w:val="center"/>
              <w:rPr>
                <w:rFonts w:ascii="宋体" w:hAnsi="宋体" w:cs="宋体"/>
                <w:color w:val="auto"/>
                <w:szCs w:val="21"/>
                <w:shd w:val="clear" w:color="auto" w:fill="D9D9D9"/>
              </w:rPr>
            </w:pPr>
            <w:r>
              <w:rPr>
                <w:rFonts w:hint="eastAsia" w:ascii="宋体" w:hAnsi="宋体" w:cs="宋体"/>
                <w:color w:val="auto"/>
                <w:szCs w:val="21"/>
              </w:rPr>
              <w:t>的信息</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ind w:right="174" w:rightChars="83"/>
              <w:rPr>
                <w:rFonts w:ascii="宋体" w:hAnsi="宋体" w:cs="宋体"/>
                <w:color w:val="auto"/>
                <w:kern w:val="0"/>
                <w:szCs w:val="21"/>
              </w:rPr>
            </w:pPr>
            <w:r>
              <w:rPr>
                <w:rFonts w:hint="eastAsia" w:ascii="宋体" w:hAnsi="宋体" w:cs="宋体"/>
                <w:color w:val="auto"/>
                <w:kern w:val="0"/>
                <w:szCs w:val="21"/>
              </w:rPr>
              <w:t>如有提交投标文件光盘备用，封套上应注明如下信息：</w:t>
            </w:r>
          </w:p>
          <w:p>
            <w:pPr>
              <w:topLinePunct/>
              <w:snapToGrid w:val="0"/>
              <w:spacing w:before="48" w:beforeLines="20" w:after="48" w:afterLines="20" w:line="300" w:lineRule="auto"/>
              <w:ind w:right="174" w:rightChars="83"/>
              <w:rPr>
                <w:rFonts w:ascii="宋体" w:hAnsi="宋体" w:cs="宋体"/>
                <w:color w:val="auto"/>
                <w:kern w:val="0"/>
                <w:szCs w:val="21"/>
              </w:rPr>
            </w:pPr>
            <w:r>
              <w:rPr>
                <w:rFonts w:hint="eastAsia" w:ascii="宋体" w:hAnsi="宋体" w:cs="宋体"/>
                <w:color w:val="auto"/>
                <w:kern w:val="0"/>
                <w:szCs w:val="21"/>
              </w:rPr>
              <w:t>招标人名称：</w:t>
            </w:r>
          </w:p>
          <w:p>
            <w:pPr>
              <w:topLinePunct/>
              <w:snapToGrid w:val="0"/>
              <w:spacing w:before="48" w:beforeLines="20" w:after="48" w:afterLines="20" w:line="300" w:lineRule="auto"/>
              <w:ind w:right="174" w:rightChars="83"/>
              <w:rPr>
                <w:rFonts w:ascii="宋体" w:hAnsi="宋体" w:cs="宋体"/>
                <w:color w:val="auto"/>
                <w:kern w:val="0"/>
                <w:szCs w:val="21"/>
              </w:rPr>
            </w:pPr>
            <w:r>
              <w:rPr>
                <w:rFonts w:hint="eastAsia" w:ascii="宋体" w:hAnsi="宋体" w:cs="宋体"/>
                <w:color w:val="auto"/>
                <w:kern w:val="0"/>
                <w:szCs w:val="21"/>
                <w:u w:val="single"/>
              </w:rPr>
              <w:t xml:space="preserve">          （项目名称）</w:t>
            </w:r>
            <w:r>
              <w:rPr>
                <w:rFonts w:hint="eastAsia" w:ascii="宋体" w:hAnsi="宋体" w:cs="宋体"/>
                <w:color w:val="auto"/>
                <w:kern w:val="0"/>
                <w:szCs w:val="21"/>
              </w:rPr>
              <w:t>投标文件</w:t>
            </w:r>
          </w:p>
          <w:p>
            <w:pPr>
              <w:topLinePunct/>
              <w:snapToGrid w:val="0"/>
              <w:spacing w:before="48" w:beforeLines="20" w:after="48" w:afterLines="20" w:line="300" w:lineRule="auto"/>
              <w:rPr>
                <w:rFonts w:ascii="宋体" w:hAnsi="宋体" w:cs="宋体"/>
                <w:color w:val="auto"/>
                <w:kern w:val="0"/>
                <w:szCs w:val="21"/>
              </w:rPr>
            </w:pPr>
            <w:r>
              <w:rPr>
                <w:rFonts w:hint="eastAsia" w:ascii="宋体" w:hAnsi="宋体" w:cs="宋体"/>
                <w:color w:val="auto"/>
                <w:kern w:val="0"/>
                <w:szCs w:val="21"/>
              </w:rPr>
              <w:t>投标人名称：</w:t>
            </w:r>
          </w:p>
          <w:p>
            <w:pPr>
              <w:topLinePunct/>
              <w:snapToGrid w:val="0"/>
              <w:spacing w:before="48" w:beforeLines="20" w:after="48" w:afterLines="20" w:line="300" w:lineRule="auto"/>
              <w:rPr>
                <w:rFonts w:ascii="宋体" w:hAnsi="宋体" w:cs="宋体"/>
                <w:color w:val="auto"/>
                <w:szCs w:val="21"/>
              </w:rPr>
            </w:pPr>
            <w:r>
              <w:rPr>
                <w:rFonts w:hint="eastAsia" w:ascii="宋体" w:hAnsi="宋体" w:cs="宋体"/>
                <w:color w:val="auto"/>
                <w:kern w:val="0"/>
                <w:szCs w:val="21"/>
              </w:rPr>
              <w:t>在</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4.2.1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投标截止时间</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olor w:val="auto"/>
                <w:szCs w:val="21"/>
              </w:rPr>
              <w:t>详见广州交易集团有限公司（广州公共资源交易中心）网站信息。具体时间可以到广州交易集团有限公司（广州公共资源交易中心）交易平台“建设工程→项目查询（日程安排、答疑纪要）”输入本项目编号或项目名称进行查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4.2.2</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递交投标文件地点</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 xml:space="preserve">1.递交方式：网上递交投标文件 </w:t>
            </w:r>
          </w:p>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 xml:space="preserve">2.地点：广州交易集团有限公司（广州公共资源交易中心）网站。 </w:t>
            </w:r>
          </w:p>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3.上述时间及地点是否有改变，请密切留意招标答疑纪要的相关信息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4.2.3</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投标文件是否退还</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rPr>
                <w:rFonts w:ascii="宋体" w:hAnsi="宋体" w:cs="宋体"/>
                <w:color w:val="auto"/>
                <w:szCs w:val="21"/>
              </w:rPr>
            </w:pPr>
            <w:r>
              <w:rPr>
                <w:rFonts w:hint="eastAsia" w:ascii="宋体" w:hAnsi="宋体" w:cs="宋体"/>
                <w:color w:val="auto"/>
                <w:spacing w:val="-1"/>
                <w:szCs w:val="21"/>
              </w:rPr>
              <w:t>■</w:t>
            </w:r>
            <w:r>
              <w:rPr>
                <w:rFonts w:hint="eastAsia" w:ascii="宋体" w:hAnsi="宋体" w:cs="宋体"/>
                <w:color w:val="auto"/>
                <w:szCs w:val="21"/>
              </w:rPr>
              <w:t>否</w:t>
            </w:r>
          </w:p>
          <w:p>
            <w:pPr>
              <w:topLinePunct/>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□是，退还时间：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5.1（A）</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rPr>
                <w:rFonts w:ascii="宋体" w:hAnsi="宋体" w:cs="宋体"/>
                <w:color w:val="auto"/>
                <w:spacing w:val="-1"/>
                <w:szCs w:val="21"/>
                <w:u w:val="single"/>
              </w:rPr>
            </w:pPr>
            <w:r>
              <w:rPr>
                <w:rFonts w:hint="eastAsia" w:ascii="宋体" w:hAnsi="宋体" w:cs="宋体"/>
                <w:color w:val="auto"/>
                <w:kern w:val="0"/>
                <w:szCs w:val="21"/>
                <w:u w:val="single"/>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5.1（B）</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jc w:val="left"/>
              <w:rPr>
                <w:rFonts w:ascii="宋体" w:hAnsi="宋体" w:cs="宋体"/>
                <w:color w:val="auto"/>
                <w:kern w:val="0"/>
                <w:szCs w:val="21"/>
              </w:rPr>
            </w:pPr>
            <w:r>
              <w:rPr>
                <w:rFonts w:hint="eastAsia" w:ascii="宋体" w:hAnsi="宋体" w:cs="宋体"/>
                <w:color w:val="auto"/>
                <w:kern w:val="0"/>
                <w:szCs w:val="21"/>
              </w:rPr>
              <w:t>本电子招投标项目在本章4.2.1项规定的投标截止时间（开标时间），在广州交易集团有限公司（广州公共资源交易中心）通过电子招标投标交易平台公开开标，并邀请所有投标人的法定代表人或其委托代理人准时参加。</w:t>
            </w:r>
            <w:r>
              <w:rPr>
                <w:rFonts w:hint="eastAsia" w:ascii="宋体" w:hAnsi="宋体" w:cs="宋体"/>
                <w:color w:val="auto"/>
                <w:kern w:val="0"/>
                <w:szCs w:val="21"/>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autoSpaceDE w:val="0"/>
              <w:autoSpaceDN w:val="0"/>
              <w:adjustRightInd w:val="0"/>
              <w:snapToGrid w:val="0"/>
              <w:spacing w:before="48" w:beforeLines="20" w:after="48" w:afterLines="20" w:line="300" w:lineRule="auto"/>
              <w:rPr>
                <w:rFonts w:ascii="宋体" w:hAnsi="宋体" w:cs="宋体"/>
                <w:color w:val="auto"/>
                <w:szCs w:val="21"/>
              </w:rPr>
            </w:pPr>
            <w:r>
              <w:rPr>
                <w:rFonts w:hint="eastAsia" w:ascii="宋体" w:hAnsi="宋体" w:cs="宋体"/>
                <w:b/>
                <w:color w:val="auto"/>
                <w:szCs w:val="21"/>
              </w:rPr>
              <w:t>具体时间、地点可以到广州交易集团有限公司（广州公共资源交易中心）网站的项目查询(日程安排、答疑纪要)中输入本项目编号或项目名称进行查询。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5.2（4）（A）</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5.2（5）（A）</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本项目不适用。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5.2（B）</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rPr>
              <w:t>5.2.1</w:t>
            </w:r>
            <w:r>
              <w:rPr>
                <w:rFonts w:hint="eastAsia" w:ascii="宋体" w:hAnsi="宋体" w:cs="宋体"/>
                <w:color w:val="auto"/>
                <w:szCs w:val="21"/>
                <w:u w:val="single"/>
              </w:rPr>
              <w:t>主持人按下列程序进行开标：</w:t>
            </w:r>
          </w:p>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（1）宣布开标纪律；</w:t>
            </w:r>
          </w:p>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（2）公布在投标截止时间前递交投标文件的投标人名称；</w:t>
            </w:r>
          </w:p>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（3）宣布开标人、唱标人、记录人、监标人（如有）等有关人员姓名；</w:t>
            </w:r>
          </w:p>
          <w:p>
            <w:pPr>
              <w:snapToGrid w:val="0"/>
              <w:spacing w:before="48" w:beforeLines="20" w:after="48" w:afterLines="20" w:line="300" w:lineRule="auto"/>
              <w:rPr>
                <w:rFonts w:hAnsi="宋体"/>
                <w:color w:val="auto"/>
                <w:szCs w:val="21"/>
              </w:rPr>
            </w:pPr>
            <w:r>
              <w:rPr>
                <w:rFonts w:hint="eastAsia" w:ascii="宋体" w:hAnsi="宋体" w:cs="宋体"/>
                <w:color w:val="auto"/>
                <w:szCs w:val="21"/>
                <w:u w:val="single"/>
              </w:rPr>
              <w:t>（4）（B）</w:t>
            </w:r>
            <w:r>
              <w:rPr>
                <w:rFonts w:hint="eastAsia" w:hAnsi="宋体"/>
                <w:color w:val="auto"/>
                <w:szCs w:val="21"/>
              </w:rPr>
              <w:t>投标截止时间后</w:t>
            </w:r>
            <w:r>
              <w:rPr>
                <w:rFonts w:hint="eastAsia" w:hAnsi="宋体"/>
                <w:color w:val="auto"/>
                <w:szCs w:val="21"/>
                <w:lang w:val="en-US" w:eastAsia="zh-CN"/>
              </w:rPr>
              <w:t>一个小时</w:t>
            </w:r>
            <w:r>
              <w:rPr>
                <w:rFonts w:hint="eastAsia" w:hAnsi="宋体"/>
                <w:color w:val="auto"/>
                <w:szCs w:val="21"/>
              </w:rPr>
              <w:t>内，</w:t>
            </w:r>
            <w:r>
              <w:rPr>
                <w:rFonts w:hint="eastAsia" w:ascii="宋体" w:hAnsi="宋体" w:cs="宋体"/>
                <w:color w:val="auto"/>
                <w:szCs w:val="21"/>
                <w:u w:val="single"/>
              </w:rPr>
              <w:t>投标人通过电子招标投标交易平台对已递交的电子投标文件进行解密，</w:t>
            </w:r>
            <w:r>
              <w:rPr>
                <w:rFonts w:hint="eastAsia" w:hAnsi="宋体"/>
                <w:color w:val="auto"/>
                <w:szCs w:val="21"/>
              </w:rPr>
              <w:t>投标人完成解密后，再由招标人进行解密。解密完成后，</w:t>
            </w:r>
            <w:r>
              <w:rPr>
                <w:rFonts w:hint="eastAsia" w:ascii="宋体" w:hAnsi="宋体" w:cs="宋体"/>
                <w:color w:val="auto"/>
                <w:szCs w:val="21"/>
                <w:u w:val="single"/>
              </w:rPr>
              <w:t>公布招标项目名称、投标人名称、投标报价、监理服务期限及其他内容，并记录在案；</w:t>
            </w:r>
            <w:r>
              <w:rPr>
                <w:rFonts w:hint="eastAsia" w:hAnsi="宋体"/>
                <w:color w:val="auto"/>
                <w:szCs w:val="21"/>
              </w:rPr>
              <w:t>未在规定时间内解密的投标文件不参与开标、评标。</w:t>
            </w:r>
          </w:p>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w:t>
            </w:r>
            <w:r>
              <w:rPr>
                <w:rFonts w:ascii="宋体" w:hAnsi="宋体" w:cs="宋体"/>
                <w:color w:val="auto"/>
                <w:szCs w:val="21"/>
                <w:u w:val="single"/>
              </w:rPr>
              <w:t>5</w:t>
            </w:r>
            <w:r>
              <w:rPr>
                <w:rFonts w:hint="eastAsia" w:ascii="宋体" w:hAnsi="宋体" w:cs="宋体"/>
                <w:color w:val="auto"/>
                <w:szCs w:val="21"/>
                <w:u w:val="single"/>
              </w:rPr>
              <w:t>）（A）投标人代表、招标人代表、监标人（如有）、记录人等有关人员在开标记录上签字确认；若有关人员不签字的，不影响开标程序；</w:t>
            </w:r>
          </w:p>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（6）开标结束。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left w:val="single" w:color="auto" w:sz="4"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p>
        </w:tc>
        <w:tc>
          <w:tcPr>
            <w:tcW w:w="2161" w:type="dxa"/>
            <w:vMerge w:val="continue"/>
            <w:tcBorders>
              <w:left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5.2.2截标后，开标开始时间因故推迟的，相关评标信息仍以原定的开标开始时间的信息为准。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left w:val="single" w:color="auto" w:sz="4"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p>
        </w:tc>
        <w:tc>
          <w:tcPr>
            <w:tcW w:w="2161" w:type="dxa"/>
            <w:vMerge w:val="continue"/>
            <w:tcBorders>
              <w:left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5.2.3投标文件光盘备用的读取按投标人须知前附表第9条的规定执行。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5.2.4</w:t>
            </w:r>
            <w:r>
              <w:rPr>
                <w:rFonts w:hint="eastAsia" w:ascii="宋体" w:hAnsi="宋体" w:cs="宋体"/>
                <w:color w:val="auto"/>
                <w:szCs w:val="21"/>
                <w:u w:val="single"/>
              </w:rPr>
              <w:t>投标截止时间前未完成投标文件传输的或因投标人之外的原因造成投标文件未解密的或未在投标截止时间后</w:t>
            </w:r>
            <w:r>
              <w:rPr>
                <w:rFonts w:hint="eastAsia" w:ascii="宋体" w:hAnsi="宋体" w:cs="宋体"/>
                <w:color w:val="auto"/>
                <w:szCs w:val="21"/>
                <w:u w:val="single"/>
                <w:lang w:val="en-US" w:eastAsia="zh-CN"/>
              </w:rPr>
              <w:t>一个小时</w:t>
            </w:r>
            <w:r>
              <w:rPr>
                <w:rFonts w:hint="eastAsia" w:ascii="宋体" w:hAnsi="宋体" w:cs="宋体"/>
                <w:color w:val="auto"/>
                <w:szCs w:val="21"/>
                <w:u w:val="single"/>
              </w:rPr>
              <w:t>解密的，视为投标人其撤回投标文件。因投标人原因造成投标文件未解密的，视为撤销其投标文件。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pPr>
              <w:widowControl/>
              <w:snapToGrid w:val="0"/>
              <w:spacing w:before="48" w:beforeLines="20" w:after="48" w:afterLines="20" w:line="300" w:lineRule="auto"/>
              <w:jc w:val="left"/>
              <w:rPr>
                <w:rFonts w:ascii="宋体" w:hAnsi="宋体" w:cs="宋体"/>
                <w:color w:val="auto"/>
                <w:szCs w:val="21"/>
              </w:rPr>
            </w:pP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5.2.5</w:t>
            </w:r>
            <w:r>
              <w:rPr>
                <w:rFonts w:hint="eastAsia" w:ascii="宋体" w:hAnsi="宋体" w:cs="宋体"/>
                <w:color w:val="auto"/>
                <w:szCs w:val="21"/>
                <w:u w:val="single"/>
              </w:rPr>
              <w:t>开标时，本项目两个（含两个）以上的投标人加密打包投标文件电脑机器特征码一致的，不参与下一程序，并由评标委员会否决其投标。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5.3</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开标异议</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5.3.1 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rPr>
              <w:t>5.3.2 投标人未参加开标或在规定的时间内未提出异议的，视为对开标无异议。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6.1.1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评标委员会的组建</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u w:val="single"/>
              </w:rPr>
              <w:t>由招标人依法组建。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6.3.2</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评标委员会推荐中标候选人的人数</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rPr>
              <w:t>推荐的中标候选人数：</w:t>
            </w:r>
            <w:r>
              <w:rPr>
                <w:rFonts w:hint="eastAsia" w:ascii="宋体" w:hAnsi="宋体" w:cs="宋体"/>
                <w:color w:val="auto"/>
                <w:szCs w:val="21"/>
                <w:u w:val="single"/>
              </w:rPr>
              <w:t>3</w:t>
            </w:r>
            <w:r>
              <w:rPr>
                <w:rFonts w:hint="eastAsia" w:ascii="宋体" w:hAnsi="宋体" w:cs="宋体"/>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7.1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中标候选人公示媒介及期限</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left="34" w:right="108"/>
              <w:rPr>
                <w:rFonts w:ascii="宋体" w:hAnsi="宋体" w:cs="宋体"/>
                <w:color w:val="auto"/>
                <w:szCs w:val="21"/>
                <w:u w:val="single"/>
              </w:rPr>
            </w:pPr>
            <w:r>
              <w:rPr>
                <w:rFonts w:hint="eastAsia" w:ascii="宋体" w:hAnsi="宋体" w:cs="宋体"/>
                <w:color w:val="auto"/>
                <w:szCs w:val="21"/>
              </w:rPr>
              <w:t>公示媒介：</w:t>
            </w:r>
            <w:r>
              <w:rPr>
                <w:rFonts w:hint="eastAsia" w:ascii="宋体" w:hAnsi="宋体" w:cs="宋体"/>
                <w:bCs/>
                <w:color w:val="auto"/>
                <w:szCs w:val="21"/>
                <w:u w:val="single"/>
              </w:rPr>
              <w:t>中国招标投标公共服务平台、广东省招标投标监管网、广州交易集团有限公司（广州公共资源交易中心）网站</w:t>
            </w:r>
          </w:p>
          <w:p>
            <w:pPr>
              <w:snapToGrid w:val="0"/>
              <w:spacing w:before="48" w:beforeLines="20" w:after="48" w:afterLines="20" w:line="300" w:lineRule="auto"/>
              <w:ind w:left="34" w:right="106"/>
              <w:rPr>
                <w:rFonts w:ascii="宋体" w:hAnsi="宋体" w:cs="宋体"/>
                <w:color w:val="auto"/>
                <w:szCs w:val="21"/>
              </w:rPr>
            </w:pPr>
            <w:r>
              <w:rPr>
                <w:rFonts w:hint="eastAsia" w:ascii="宋体" w:hAnsi="宋体" w:cs="宋体"/>
                <w:color w:val="auto"/>
                <w:szCs w:val="21"/>
              </w:rPr>
              <w:t>公示期限：</w:t>
            </w:r>
            <w:r>
              <w:rPr>
                <w:rFonts w:hint="eastAsia" w:ascii="宋体" w:hAnsi="宋体" w:cs="宋体"/>
                <w:color w:val="auto"/>
                <w:szCs w:val="21"/>
                <w:u w:val="single"/>
              </w:rPr>
              <w:t>3</w:t>
            </w:r>
            <w:r>
              <w:rPr>
                <w:rFonts w:hint="eastAsia" w:ascii="宋体" w:hAnsi="宋体" w:cs="宋体"/>
                <w:color w:val="auto"/>
                <w:szCs w:val="21"/>
              </w:rPr>
              <w:t>日</w:t>
            </w:r>
          </w:p>
          <w:p>
            <w:pPr>
              <w:snapToGrid w:val="0"/>
              <w:spacing w:before="48" w:beforeLines="20" w:after="48" w:afterLines="20" w:line="300" w:lineRule="auto"/>
              <w:ind w:left="34" w:right="106"/>
              <w:rPr>
                <w:rFonts w:ascii="宋体" w:hAnsi="宋体" w:cs="宋体"/>
                <w:color w:val="auto"/>
                <w:szCs w:val="21"/>
              </w:rPr>
            </w:pPr>
            <w:r>
              <w:rPr>
                <w:rFonts w:hint="eastAsia" w:ascii="宋体" w:hAnsi="宋体" w:cs="宋体"/>
                <w:color w:val="auto"/>
                <w:szCs w:val="21"/>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7.4</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是否授权评标委员会确定中标人</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□是</w:t>
            </w:r>
          </w:p>
          <w:p>
            <w:pPr>
              <w:snapToGrid w:val="0"/>
              <w:spacing w:before="48" w:beforeLines="20" w:after="48" w:afterLines="20" w:line="300" w:lineRule="auto"/>
              <w:rPr>
                <w:rFonts w:ascii="宋体" w:hAnsi="宋体" w:cs="宋体"/>
                <w:color w:val="auto"/>
                <w:szCs w:val="21"/>
              </w:rPr>
            </w:pPr>
            <w:r>
              <w:rPr>
                <w:rFonts w:hint="eastAsia" w:ascii="宋体" w:hAnsi="宋体" w:cs="宋体"/>
                <w:color w:val="auto"/>
                <w:spacing w:val="-1"/>
                <w:szCs w:val="21"/>
              </w:rPr>
              <w:t>■</w:t>
            </w:r>
            <w:r>
              <w:rPr>
                <w:rFonts w:hint="eastAsia" w:ascii="宋体" w:hAnsi="宋体" w:cs="宋体"/>
                <w:color w:val="auto"/>
                <w:szCs w:val="21"/>
              </w:rPr>
              <w:t>否，评标委员会推荐前3名中标候选人。</w:t>
            </w:r>
          </w:p>
          <w:p>
            <w:pPr>
              <w:snapToGrid w:val="0"/>
              <w:spacing w:before="48" w:beforeLines="20" w:after="48" w:afterLines="20" w:line="300" w:lineRule="auto"/>
              <w:rPr>
                <w:rFonts w:ascii="宋体" w:hAnsi="宋体" w:cs="宋体"/>
                <w:color w:val="auto"/>
                <w:szCs w:val="21"/>
                <w:u w:val="single"/>
              </w:rPr>
            </w:pPr>
            <w:r>
              <w:rPr>
                <w:rFonts w:hint="eastAsia" w:ascii="宋体" w:hAnsi="宋体" w:cs="宋体"/>
                <w:color w:val="auto"/>
                <w:szCs w:val="21"/>
                <w:u w:val="single"/>
              </w:rPr>
              <w:t>（1）依法必须进行公开招标的项目，招标人应当确定排名第一的中标候选人为中标人。</w:t>
            </w:r>
          </w:p>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u w:val="single"/>
              </w:rPr>
              <w:t>（2）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7.6.1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履约保证金</w:t>
            </w:r>
          </w:p>
        </w:tc>
        <w:tc>
          <w:tcPr>
            <w:tcW w:w="6946" w:type="dxa"/>
            <w:tcBorders>
              <w:top w:val="single" w:color="auto" w:sz="6" w:space="0"/>
              <w:left w:val="single" w:color="auto" w:sz="6" w:space="0"/>
              <w:bottom w:val="single" w:color="auto" w:sz="6" w:space="0"/>
              <w:right w:val="single" w:color="auto" w:sz="4" w:space="0"/>
            </w:tcBorders>
            <w:noWrap/>
            <w:vAlign w:val="center"/>
          </w:tcPr>
          <w:p>
            <w:pPr>
              <w:topLinePunct/>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是否要求中标人提交履约保证金：</w:t>
            </w:r>
          </w:p>
          <w:p>
            <w:pPr>
              <w:topLinePunct/>
              <w:snapToGrid w:val="0"/>
              <w:spacing w:before="48" w:beforeLines="20" w:after="48" w:afterLines="20" w:line="300" w:lineRule="auto"/>
              <w:ind w:left="40" w:leftChars="19" w:right="107" w:rightChars="51"/>
              <w:rPr>
                <w:rFonts w:ascii="宋体" w:hAnsi="宋体" w:cs="宋体"/>
                <w:color w:val="auto"/>
                <w:szCs w:val="21"/>
              </w:rPr>
            </w:pPr>
            <w:r>
              <w:rPr>
                <w:rFonts w:hint="eastAsia" w:ascii="宋体" w:hAnsi="宋体" w:cs="宋体"/>
                <w:color w:val="auto"/>
                <w:spacing w:val="-1"/>
                <w:szCs w:val="21"/>
              </w:rPr>
              <w:t>■</w:t>
            </w:r>
            <w:r>
              <w:rPr>
                <w:rFonts w:hint="eastAsia" w:ascii="宋体" w:hAnsi="宋体" w:cs="宋体"/>
                <w:color w:val="auto"/>
                <w:szCs w:val="21"/>
              </w:rPr>
              <w:t>要求，履约保证金的形式：现金、银行保函、保证保险、专业工程担保公司担保等能够实现保证目的的方式缴纳。</w:t>
            </w:r>
            <w:r>
              <w:rPr>
                <w:rFonts w:hint="eastAsia" w:ascii="宋体" w:hAnsi="宋体" w:cs="宋体"/>
                <w:color w:val="auto"/>
                <w:szCs w:val="21"/>
                <w:u w:val="single"/>
              </w:rPr>
              <w:t>中标人根据自身情况，自主选择提供履约保证金的形式。担保内容、担保范围、担保金额、担保要求等须按合同约定格式。</w:t>
            </w:r>
          </w:p>
          <w:p>
            <w:pPr>
              <w:snapToGrid w:val="0"/>
              <w:spacing w:before="48" w:beforeLines="20" w:after="48" w:afterLines="20" w:line="300" w:lineRule="auto"/>
              <w:ind w:left="40" w:leftChars="19" w:right="107" w:rightChars="51" w:firstLine="840" w:firstLineChars="400"/>
              <w:rPr>
                <w:rFonts w:ascii="宋体" w:hAnsi="宋体" w:cs="宋体"/>
                <w:color w:val="auto"/>
                <w:szCs w:val="21"/>
              </w:rPr>
            </w:pPr>
            <w:r>
              <w:rPr>
                <w:rFonts w:hint="eastAsia" w:ascii="宋体" w:hAnsi="宋体" w:cs="宋体"/>
                <w:color w:val="auto"/>
                <w:szCs w:val="21"/>
              </w:rPr>
              <w:t>履约保证金的金额：</w:t>
            </w:r>
            <w:r>
              <w:rPr>
                <w:rFonts w:hint="eastAsia" w:ascii="宋体" w:hAnsi="宋体" w:cs="宋体"/>
                <w:color w:val="auto"/>
                <w:szCs w:val="21"/>
                <w:u w:val="single"/>
              </w:rPr>
              <w:t>中标价款的10%。</w:t>
            </w:r>
          </w:p>
          <w:p>
            <w:pPr>
              <w:topLinePunct/>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9</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是否采用电子招标投标</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□否</w:t>
            </w:r>
          </w:p>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■是，具体要求：</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1、具体操作详见广州交易集团有限公司（广州公共资源交易中心）网站发布的《建设工程全流程电子化项目操作指南》。</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2、提交投标文件光盘备用</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投标人将按《建设工程全流程电子化项目操作指南》的操作方法制作的非加密的电子投标文件刻入光盘（1份），在规定的时间、地点</w:t>
            </w:r>
            <w:r>
              <w:rPr>
                <w:rFonts w:hint="eastAsia" w:ascii="宋体" w:hAnsi="宋体" w:cs="宋体"/>
                <w:b/>
                <w:color w:val="auto"/>
                <w:szCs w:val="21"/>
                <w:u w:val="single"/>
                <w:lang w:bidi="ar"/>
              </w:rPr>
              <w:t>凭法定代表人证明书原件、法定代表人授权委托证明书原件（非法定代表人办理手续时提供）、本人身份证原件</w:t>
            </w:r>
            <w:r>
              <w:rPr>
                <w:rFonts w:hint="eastAsia" w:ascii="宋体" w:hAnsi="宋体" w:cs="宋体"/>
                <w:color w:val="auto"/>
                <w:szCs w:val="21"/>
              </w:rPr>
              <w:t>提交备用。刻录好的投标文件光盘密封在密封袋中，并在封口处加盖投标人单位公章。密封袋上应写明的内容见投标人须知前附表要求4.1.2递交的投标文件（光盘）不得加密。光盘（投标文件）无法读取或导入的，则视为未提交备用投标文件光盘。如果投标人没有按规定通过交易平台网上递交电子投标文件的，不再接受提交的光盘。</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 xml:space="preserve"> 3.补救方案</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（1）投标文件解密失败的补救方案：</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（2）评标时突发情况的补救方案</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若遇不可抗力发生（如：网络瘫痪、服务器损坏、交易系统故障短期无法恢复等因素），由评标委员会开启现场递交的全部投标文件光盘，并按光盘内容进行评审。</w:t>
            </w:r>
          </w:p>
          <w:p>
            <w:pPr>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10</w:t>
            </w:r>
          </w:p>
        </w:tc>
        <w:tc>
          <w:tcPr>
            <w:tcW w:w="9107" w:type="dxa"/>
            <w:gridSpan w:val="2"/>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10.1</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特别提醒</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投标人在本项目招标人的工程项目中存在下列行为的，将被拒绝1年内参与我单位后续工程投标。（注：拒绝投标时限自招标人发出通知之日起计）：</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（1）将中标工程转包或者违法分包的；</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（2）在中标工程中不执行质量、安全生产相关规定的，造成质量或安全事故的；</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（3）在投标文件中提供虚假材料的；</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（4）存在行贿情形的；</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）中标人在收到中标通知书后，无正当理由不与招标人订立合同，在签订合同时向招标人提出附加条件，或者不按照招标文件要求提交履约保证金；</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）存在串通投标、围标情况的；</w:t>
            </w:r>
            <w:bookmarkStart w:id="651" w:name="_GoBack"/>
            <w:bookmarkEnd w:id="651"/>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）投标人以他人名义投标或者允许他人挂靠投标或借用本公司名义投标的；</w:t>
            </w:r>
          </w:p>
          <w:p>
            <w:pPr>
              <w:snapToGrid w:val="0"/>
              <w:spacing w:before="48" w:beforeLines="20" w:after="48" w:afterLines="20" w:line="300" w:lineRule="auto"/>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）提供虚假投标文件、虚假证明、虚假承诺/声明/保证或者以其他方式弄虚作假的。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10.2</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招标失败的情形</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rPr>
                <w:rFonts w:ascii="宋体" w:hAnsi="宋体" w:cs="宋体"/>
                <w:color w:val="auto"/>
                <w:kern w:val="0"/>
                <w:szCs w:val="21"/>
              </w:rPr>
            </w:pPr>
            <w:r>
              <w:rPr>
                <w:rFonts w:hint="eastAsia" w:ascii="宋体" w:hAnsi="宋体" w:cs="宋体"/>
                <w:color w:val="auto"/>
                <w:szCs w:val="21"/>
              </w:rPr>
              <w:t>本项目采用资格后审方式，资格审查与评标同时进行，通过形式评审、资格审查、响应性评审的投标人不足</w:t>
            </w:r>
            <w:r>
              <w:rPr>
                <w:rFonts w:hint="eastAsia" w:ascii="宋体" w:hAnsi="宋体" w:cs="宋体"/>
                <w:b/>
                <w:color w:val="auto"/>
                <w:szCs w:val="21"/>
              </w:rPr>
              <w:t>3名</w:t>
            </w:r>
            <w:r>
              <w:rPr>
                <w:rFonts w:hint="eastAsia" w:ascii="宋体" w:hAnsi="宋体" w:cs="宋体"/>
                <w:color w:val="auto"/>
                <w:szCs w:val="21"/>
              </w:rPr>
              <w:t>时为招标失败。招标人分析招标失败原因，修正招标方案，报有关管理部门核准后，重新组织招标。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10.3</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第一中标候选人放弃中标资格情形</w:t>
            </w:r>
          </w:p>
        </w:tc>
        <w:tc>
          <w:tcPr>
            <w:tcW w:w="6946" w:type="dxa"/>
            <w:tcBorders>
              <w:top w:val="single" w:color="auto" w:sz="6" w:space="0"/>
              <w:left w:val="single" w:color="auto" w:sz="6" w:space="0"/>
              <w:bottom w:val="single" w:color="auto" w:sz="6" w:space="0"/>
              <w:right w:val="single" w:color="auto" w:sz="4" w:space="0"/>
            </w:tcBorders>
            <w:noWrap/>
            <w:vAlign w:val="center"/>
          </w:tcPr>
          <w:p>
            <w:pPr>
              <w:widowControl/>
              <w:shd w:val="clear" w:color="auto" w:fill="FFFFFF"/>
              <w:snapToGrid w:val="0"/>
              <w:spacing w:before="48" w:beforeLines="20" w:after="48" w:afterLines="20" w:line="300" w:lineRule="auto"/>
              <w:rPr>
                <w:rFonts w:ascii="宋体" w:hAnsi="宋体" w:cs="宋体"/>
                <w:color w:val="auto"/>
                <w:szCs w:val="21"/>
              </w:rPr>
            </w:pPr>
            <w:r>
              <w:rPr>
                <w:rFonts w:hint="eastAsia" w:ascii="宋体" w:hAnsi="宋体" w:cs="宋体"/>
                <w:color w:val="auto"/>
                <w:szCs w:val="21"/>
              </w:rPr>
              <w:t>排名第一的中标候选人放弃中标、因不可抗力不能履行合同、不按照招标文件要求提交履约保证金，或者被查实存在影响中标结果的违法行为等情形，不符合中标条件的，招标人可以按照招标文件第三章第3.4.1款确定的推荐中标候选人原则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10.4</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ind w:right="174" w:rightChars="83"/>
              <w:jc w:val="center"/>
              <w:rPr>
                <w:rFonts w:ascii="宋体" w:hAnsi="宋体" w:cs="宋体"/>
                <w:color w:val="auto"/>
                <w:szCs w:val="21"/>
              </w:rPr>
            </w:pPr>
            <w:r>
              <w:rPr>
                <w:rFonts w:hint="eastAsia" w:ascii="宋体" w:hAnsi="宋体" w:cs="宋体"/>
                <w:color w:val="auto"/>
                <w:szCs w:val="21"/>
              </w:rPr>
              <w:t>中标候选人公示要求</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right="174" w:rightChars="83"/>
              <w:rPr>
                <w:rFonts w:ascii="宋体" w:hAnsi="宋体" w:cs="宋体"/>
                <w:color w:val="auto"/>
                <w:szCs w:val="21"/>
              </w:rPr>
            </w:pPr>
            <w:r>
              <w:rPr>
                <w:rFonts w:hint="eastAsia" w:ascii="宋体" w:hAnsi="宋体" w:cs="宋体"/>
                <w:color w:val="auto"/>
                <w:szCs w:val="21"/>
              </w:rPr>
              <w:t>在产生中标候选人后，招标人将中标候选人的投标文件商务部分的电子版（报价清单、方案等涉及商业秘密的内容除外）在广州交易集团有限公司（广州公共资源交易中心）网站公开。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10.5</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ind w:right="174" w:rightChars="83"/>
              <w:jc w:val="center"/>
              <w:rPr>
                <w:rFonts w:ascii="宋体" w:hAnsi="宋体" w:cs="宋体"/>
                <w:color w:val="auto"/>
                <w:szCs w:val="21"/>
              </w:rPr>
            </w:pPr>
            <w:r>
              <w:rPr>
                <w:rFonts w:hint="eastAsia" w:ascii="宋体" w:hAnsi="宋体" w:cs="宋体"/>
                <w:color w:val="auto"/>
                <w:szCs w:val="21"/>
              </w:rPr>
              <w:t>否决投标条款</w:t>
            </w:r>
          </w:p>
        </w:tc>
        <w:tc>
          <w:tcPr>
            <w:tcW w:w="6946" w:type="dxa"/>
            <w:tcBorders>
              <w:top w:val="single" w:color="auto" w:sz="6" w:space="0"/>
              <w:left w:val="single" w:color="auto" w:sz="6" w:space="0"/>
              <w:bottom w:val="single" w:color="auto" w:sz="6" w:space="0"/>
              <w:right w:val="single" w:color="auto" w:sz="4" w:space="0"/>
            </w:tcBorders>
            <w:noWrap/>
            <w:vAlign w:val="center"/>
          </w:tcPr>
          <w:p>
            <w:pPr>
              <w:spacing w:beforeLines="0" w:afterLines="0" w:line="360" w:lineRule="auto"/>
              <w:jc w:val="left"/>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否决投标条款：</w:t>
            </w:r>
          </w:p>
          <w:p>
            <w:pPr>
              <w:spacing w:beforeLines="0" w:afterLines="0" w:line="360" w:lineRule="auto"/>
              <w:jc w:val="left"/>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1、投标人未按招标文件要求提供附件或未按要求加盖电子印章及签名的，经评标委员会认定后，其投标文件将被否决。</w:t>
            </w:r>
          </w:p>
          <w:p>
            <w:pPr>
              <w:spacing w:beforeLines="0" w:afterLines="0" w:line="360" w:lineRule="auto"/>
              <w:jc w:val="left"/>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2、投标文件中投标报价高于投标最高限价的</w:t>
            </w:r>
            <w:r>
              <w:rPr>
                <w:rFonts w:hint="eastAsia" w:asciiTheme="minorEastAsia" w:hAnsiTheme="minorEastAsia" w:eastAsiaTheme="minorEastAsia" w:cstheme="minorEastAsia"/>
                <w:b/>
                <w:bCs/>
                <w:color w:val="auto"/>
                <w:szCs w:val="21"/>
                <w:highlight w:val="none"/>
                <w:u w:val="single"/>
                <w:lang w:val="en-US" w:eastAsia="zh-CN"/>
              </w:rPr>
              <w:t>或各子项的投标报价高于相应各子项的最高投标限价，</w:t>
            </w:r>
            <w:r>
              <w:rPr>
                <w:rFonts w:hint="eastAsia" w:asciiTheme="minorEastAsia" w:hAnsiTheme="minorEastAsia" w:eastAsiaTheme="minorEastAsia" w:cstheme="minorEastAsia"/>
                <w:b w:val="0"/>
                <w:bCs w:val="0"/>
                <w:color w:val="auto"/>
                <w:szCs w:val="21"/>
                <w:highlight w:val="none"/>
                <w:lang w:val="en-US" w:eastAsia="zh-CN"/>
              </w:rPr>
              <w:t>其投标文件将被否决。</w:t>
            </w:r>
          </w:p>
          <w:p>
            <w:pPr>
              <w:snapToGrid w:val="0"/>
              <w:spacing w:before="48" w:beforeLines="20" w:after="48" w:afterLines="20" w:line="300" w:lineRule="auto"/>
              <w:rPr>
                <w:rFonts w:ascii="宋体" w:hAnsi="宋体" w:cs="宋体"/>
                <w:color w:val="auto"/>
                <w:szCs w:val="21"/>
              </w:rPr>
            </w:pPr>
            <w:r>
              <w:rPr>
                <w:rFonts w:hint="eastAsia" w:asciiTheme="minorEastAsia" w:hAnsiTheme="minorEastAsia" w:eastAsiaTheme="minorEastAsia" w:cstheme="minorEastAsia"/>
                <w:b w:val="0"/>
                <w:bCs w:val="0"/>
                <w:color w:val="auto"/>
                <w:szCs w:val="21"/>
                <w:highlight w:val="none"/>
                <w:lang w:val="en-US" w:eastAsia="zh-CN"/>
              </w:rPr>
              <w:t>3、投标文件符合列于《评标办法前附表》“形式评审标准”“资格评审标准”“响应性评审标准”中所有情形的，为有效投标文件。任一情形不符合均为无效投标文件，经评标委员会认定后，其投标文件将被否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pPr>
              <w:snapToGrid w:val="0"/>
              <w:spacing w:before="48" w:beforeLines="20" w:after="48" w:afterLines="20" w:line="300" w:lineRule="auto"/>
              <w:jc w:val="center"/>
              <w:rPr>
                <w:rFonts w:ascii="宋体" w:hAnsi="宋体" w:cs="宋体"/>
                <w:color w:val="auto"/>
                <w:szCs w:val="21"/>
              </w:rPr>
            </w:pPr>
            <w:r>
              <w:rPr>
                <w:rFonts w:hint="eastAsia" w:ascii="宋体" w:hAnsi="宋体" w:cs="宋体"/>
                <w:color w:val="auto"/>
                <w:szCs w:val="21"/>
              </w:rPr>
              <w:t>10.6</w:t>
            </w:r>
          </w:p>
        </w:tc>
        <w:tc>
          <w:tcPr>
            <w:tcW w:w="2161" w:type="dxa"/>
            <w:tcBorders>
              <w:top w:val="single" w:color="auto" w:sz="6" w:space="0"/>
              <w:left w:val="single" w:color="auto" w:sz="6" w:space="0"/>
              <w:bottom w:val="single" w:color="auto" w:sz="6" w:space="0"/>
              <w:right w:val="single" w:color="auto" w:sz="6" w:space="0"/>
            </w:tcBorders>
            <w:noWrap/>
            <w:vAlign w:val="center"/>
          </w:tcPr>
          <w:p>
            <w:pPr>
              <w:snapToGrid w:val="0"/>
              <w:spacing w:before="48" w:beforeLines="20" w:after="48" w:afterLines="20" w:line="300" w:lineRule="auto"/>
              <w:ind w:right="174" w:rightChars="83"/>
              <w:jc w:val="center"/>
              <w:rPr>
                <w:rFonts w:ascii="宋体" w:hAnsi="宋体" w:cs="宋体"/>
                <w:color w:val="auto"/>
                <w:szCs w:val="21"/>
              </w:rPr>
            </w:pPr>
            <w:r>
              <w:rPr>
                <w:rFonts w:hint="eastAsia" w:ascii="宋体" w:hAnsi="宋体" w:cs="宋体"/>
                <w:color w:val="auto"/>
                <w:szCs w:val="21"/>
              </w:rPr>
              <w:t>提交纸质投标文件要求</w:t>
            </w:r>
          </w:p>
        </w:tc>
        <w:tc>
          <w:tcPr>
            <w:tcW w:w="6946" w:type="dxa"/>
            <w:tcBorders>
              <w:top w:val="single" w:color="auto" w:sz="6" w:space="0"/>
              <w:left w:val="single" w:color="auto" w:sz="6" w:space="0"/>
              <w:bottom w:val="single" w:color="auto" w:sz="6" w:space="0"/>
              <w:right w:val="single" w:color="auto" w:sz="4" w:space="0"/>
            </w:tcBorders>
            <w:noWrap/>
            <w:vAlign w:val="center"/>
          </w:tcPr>
          <w:p>
            <w:pPr>
              <w:snapToGrid w:val="0"/>
              <w:spacing w:before="48" w:beforeLines="20" w:after="48" w:afterLines="20" w:line="300" w:lineRule="auto"/>
              <w:ind w:left="38" w:leftChars="17" w:hanging="2" w:hangingChars="1"/>
              <w:rPr>
                <w:rFonts w:ascii="宋体" w:hAnsi="宋体" w:cs="宋体"/>
                <w:color w:val="auto"/>
                <w:szCs w:val="21"/>
              </w:rPr>
            </w:pPr>
            <w:r>
              <w:rPr>
                <w:rFonts w:hint="eastAsia" w:ascii="宋体" w:hAnsi="宋体" w:cs="宋体"/>
                <w:color w:val="auto"/>
                <w:szCs w:val="21"/>
              </w:rPr>
              <w:t>在本项目中标公示结束后3天工作日内，中标人须向招标人提供独立装订成册的纸质投标文件一式三份（一正二副）及一份与书面投标文件一致的用“Microsoft Word ”或“PDF”格式制作的电子文件（光盘），纸质投标文件内容须与交易平台网上递交的电子投标文件内容一致。</w:t>
            </w:r>
          </w:p>
        </w:tc>
      </w:tr>
    </w:tbl>
    <w:p>
      <w:pPr>
        <w:snapToGrid w:val="0"/>
        <w:spacing w:before="240" w:beforeLines="100" w:line="360" w:lineRule="auto"/>
        <w:jc w:val="center"/>
        <w:outlineLvl w:val="1"/>
        <w:rPr>
          <w:rFonts w:ascii="宋体" w:hAnsi="宋体"/>
          <w:b/>
          <w:bCs/>
          <w:color w:val="auto"/>
          <w:sz w:val="32"/>
          <w:szCs w:val="32"/>
        </w:rPr>
      </w:pPr>
      <w:r>
        <w:rPr>
          <w:rFonts w:hint="eastAsia" w:ascii="宋体" w:hAnsi="宋体"/>
          <w:color w:val="auto"/>
        </w:rPr>
        <w:br w:type="page"/>
      </w:r>
      <w:bookmarkEnd w:id="29"/>
      <w:bookmarkEnd w:id="30"/>
      <w:bookmarkEnd w:id="31"/>
      <w:bookmarkStart w:id="41" w:name="_Toc9906"/>
      <w:bookmarkStart w:id="42" w:name="_Toc20833"/>
      <w:bookmarkStart w:id="43" w:name="_Toc6853"/>
      <w:r>
        <w:rPr>
          <w:rFonts w:hint="eastAsia" w:ascii="宋体" w:hAnsi="宋体"/>
          <w:b/>
          <w:bCs/>
          <w:color w:val="auto"/>
          <w:sz w:val="28"/>
          <w:szCs w:val="32"/>
        </w:rPr>
        <w:t>第二章 正文详见《中华人民共和国标准监理招标文件》（2017年版）</w:t>
      </w:r>
      <w:bookmarkEnd w:id="41"/>
      <w:bookmarkEnd w:id="42"/>
      <w:bookmarkEnd w:id="43"/>
    </w:p>
    <w:p>
      <w:pPr>
        <w:snapToGrid w:val="0"/>
        <w:spacing w:line="360" w:lineRule="auto"/>
        <w:outlineLvl w:val="2"/>
        <w:rPr>
          <w:rFonts w:ascii="宋体" w:hAnsi="宋体" w:cs="宋体"/>
          <w:b/>
          <w:color w:val="auto"/>
          <w:szCs w:val="21"/>
        </w:rPr>
      </w:pPr>
      <w:bookmarkStart w:id="44" w:name="_Toc515205193"/>
      <w:bookmarkStart w:id="45" w:name="_Toc529196520"/>
      <w:bookmarkStart w:id="46" w:name="_Toc22244"/>
      <w:bookmarkStart w:id="47" w:name="_Toc7151"/>
      <w:bookmarkStart w:id="48" w:name="_Toc3811"/>
      <w:r>
        <w:rPr>
          <w:rFonts w:hint="eastAsia" w:ascii="宋体" w:hAnsi="宋体" w:cs="宋体"/>
          <w:b/>
          <w:color w:val="auto"/>
          <w:szCs w:val="21"/>
        </w:rPr>
        <w:t>1. 总则</w:t>
      </w:r>
      <w:bookmarkEnd w:id="44"/>
      <w:bookmarkEnd w:id="45"/>
      <w:bookmarkEnd w:id="46"/>
      <w:bookmarkEnd w:id="47"/>
      <w:bookmarkEnd w:id="48"/>
    </w:p>
    <w:p>
      <w:pPr>
        <w:snapToGrid w:val="0"/>
        <w:spacing w:line="360" w:lineRule="auto"/>
        <w:rPr>
          <w:rFonts w:ascii="宋体" w:hAnsi="宋体" w:cs="宋体"/>
          <w:b/>
          <w:color w:val="auto"/>
          <w:szCs w:val="21"/>
        </w:rPr>
      </w:pPr>
      <w:bookmarkStart w:id="49" w:name="_Toc529196521"/>
      <w:bookmarkStart w:id="50" w:name="_Toc515205194"/>
      <w:r>
        <w:rPr>
          <w:rFonts w:hint="eastAsia" w:ascii="宋体" w:hAnsi="宋体" w:cs="宋体"/>
          <w:b/>
          <w:color w:val="auto"/>
          <w:szCs w:val="21"/>
        </w:rPr>
        <w:t>1.1 招标项目概况</w:t>
      </w:r>
      <w:bookmarkEnd w:id="49"/>
      <w:bookmarkEnd w:id="50"/>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1.1.1根据《中华人民共和国招标投标法》、《中华人民共和国招标投标法实施条例》等有关法律、法规和规章的规定，本招标项目已具备招标条件，现对监理进行招标。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1.1.2 招标人：见投标人须知前附表。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1.1.3 招标代理机构：见投标人须知前附表。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1.1.4 招标项目名称：见投标人须知前附表。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1.1.5 项目建设地点：见投标人须知前附表。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1.1.6 项目建设规模：见投标人须知前附表。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1.1.7 工程项目施工预计开工日期和建设周期：见投标人须知前附表。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1.1.8 建筑安装工程费/工程概算：见投标人须知前附表。</w:t>
      </w:r>
    </w:p>
    <w:p>
      <w:pPr>
        <w:snapToGrid w:val="0"/>
        <w:spacing w:line="360" w:lineRule="auto"/>
        <w:rPr>
          <w:rFonts w:ascii="宋体" w:hAnsi="宋体" w:cs="宋体"/>
          <w:b/>
          <w:color w:val="auto"/>
          <w:szCs w:val="21"/>
        </w:rPr>
      </w:pPr>
      <w:bookmarkStart w:id="51" w:name="_Toc515205195"/>
      <w:bookmarkStart w:id="52" w:name="_Toc529196522"/>
      <w:r>
        <w:rPr>
          <w:rFonts w:hint="eastAsia" w:ascii="宋体" w:hAnsi="宋体" w:cs="宋体"/>
          <w:b/>
          <w:color w:val="auto"/>
          <w:szCs w:val="21"/>
        </w:rPr>
        <w:t>1.2 招标项目的资金来源和落实情况</w:t>
      </w:r>
      <w:bookmarkEnd w:id="51"/>
      <w:bookmarkEnd w:id="52"/>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1.2.1 资金来源及比例：见投标人须知前附表。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1.2.2 资金落实情况：见投标人须知前附表。</w:t>
      </w:r>
    </w:p>
    <w:p>
      <w:pPr>
        <w:snapToGrid w:val="0"/>
        <w:spacing w:line="360" w:lineRule="auto"/>
        <w:rPr>
          <w:rFonts w:ascii="宋体" w:hAnsi="宋体" w:cs="宋体"/>
          <w:b/>
          <w:color w:val="auto"/>
          <w:szCs w:val="21"/>
        </w:rPr>
      </w:pPr>
      <w:bookmarkStart w:id="53" w:name="_Toc529196523"/>
      <w:bookmarkStart w:id="54" w:name="_Toc515205196"/>
      <w:r>
        <w:rPr>
          <w:rFonts w:hint="eastAsia" w:ascii="宋体" w:hAnsi="宋体" w:cs="宋体"/>
          <w:b/>
          <w:color w:val="auto"/>
          <w:szCs w:val="21"/>
        </w:rPr>
        <w:t>1.3招标范围、监理服务期限和质量标准</w:t>
      </w:r>
      <w:bookmarkEnd w:id="53"/>
      <w:bookmarkEnd w:id="54"/>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1.3.1 招标范围：见投标人须知前附表。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1.3.2 监理服务期限：见投标人须知前附表。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1.3.3 质量标准：见投标人须知前附表。</w:t>
      </w:r>
    </w:p>
    <w:p>
      <w:pPr>
        <w:snapToGrid w:val="0"/>
        <w:spacing w:line="360" w:lineRule="auto"/>
        <w:rPr>
          <w:rFonts w:ascii="宋体" w:hAnsi="宋体" w:cs="宋体"/>
          <w:b/>
          <w:color w:val="auto"/>
          <w:szCs w:val="21"/>
        </w:rPr>
      </w:pPr>
      <w:bookmarkStart w:id="55" w:name="_Toc529196524"/>
      <w:bookmarkStart w:id="56" w:name="_Toc515205197"/>
      <w:r>
        <w:rPr>
          <w:rFonts w:hint="eastAsia" w:ascii="宋体" w:hAnsi="宋体" w:cs="宋体"/>
          <w:b/>
          <w:color w:val="auto"/>
          <w:szCs w:val="21"/>
        </w:rPr>
        <w:t>1.4投标人资格要求</w:t>
      </w:r>
      <w:bookmarkEnd w:id="55"/>
      <w:bookmarkEnd w:id="56"/>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1.4.1 投标人应具备承担本招标项目资质条件、能力和信誉：</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（1）资质要求：见投标人须知前附表；</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（2）财务要求：见投标人须知前附表；</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（3）业绩要求：见投标人须知前附表；</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（4）信誉要求：见投标人须知前附表；</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（5）总监理工程师的资格要求：应当具备工程注册监理工程师执业资格（如有），具体要求见投标人须知前附表；</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（6）其他主要人员要求：见投标人须知前附表。</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（7）试验检测仪器设备要求：见投标人须知前附表。</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（8）其他要求：见投标人须知前附表。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需要提交的相关证明材料见本章第3.5款的规定。</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1.4.2投标人须知前附表规定接受联合体投标的，联合体除应符合本章第1.4.1项和投标人须知前附表的要求外，还应遵守以下规定：</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（1）联合体各方应按招标文件提供的格式签订联合体协议书，明确联合体牵头人和各方权利义务，并承诺就中标项目向招标人承担连带责任；</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（2）由同一专业的单位组成的联合体，按照资质等级较低的单位确定资质等级；</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（3）联合体各方不得再以自己名义单独或参加其他联合体在本招标项目中投标，否则各相关投标均无效。</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1.4.3 投标人不得存在下列情形之一：</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（1）为招标人不具有独立法人资格的附属机构（单位）；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（2）与招标人存在利害关系且可能影响招标公正性；</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（3）与本招标项目的其他投标人为同一个单位负责人；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（4）与本招标项目的其他投标人存在控股、管理关系；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（5）为本招标项目的代建人；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（6）为本招标项目的招标代理机构；</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（7）与本招标项目的代建人或招标代理机构同为一个法定代表人；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（8）与本招标项目的代建人或招标代理机构存在控股或参股关系；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（9）与本招标项目的施工承包人以及建筑材料、建筑构配件和设备供应商有隶属关系或者其他利害关系；</w:t>
      </w:r>
    </w:p>
    <w:p>
      <w:pPr>
        <w:snapToGrid w:val="0"/>
        <w:spacing w:line="360" w:lineRule="auto"/>
        <w:ind w:firstLine="440" w:firstLineChars="200"/>
        <w:rPr>
          <w:rFonts w:ascii="宋体" w:hAnsi="宋体" w:cs="宋体"/>
          <w:color w:val="auto"/>
          <w:szCs w:val="21"/>
        </w:rPr>
      </w:pPr>
      <w:r>
        <w:rPr>
          <w:rFonts w:hint="eastAsia" w:ascii="宋体" w:hAnsi="宋体" w:cs="宋体"/>
          <w:color w:val="auto"/>
          <w:spacing w:val="5"/>
          <w:szCs w:val="21"/>
        </w:rPr>
        <w:t>(10)被依法暂停或者取消投标资格；</w:t>
      </w:r>
      <w:r>
        <w:rPr>
          <w:rFonts w:hint="eastAsia" w:ascii="宋体" w:hAnsi="宋体" w:cs="宋体"/>
          <w:color w:val="auto"/>
          <w:spacing w:val="5"/>
          <w:szCs w:val="21"/>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color w:val="auto"/>
          <w:spacing w:val="5"/>
          <w:szCs w:val="21"/>
        </w:rPr>
        <w:t>）</w:t>
      </w:r>
    </w:p>
    <w:p>
      <w:pPr>
        <w:snapToGrid w:val="0"/>
        <w:spacing w:line="360" w:lineRule="auto"/>
        <w:ind w:right="-20" w:firstLine="468" w:firstLineChars="200"/>
        <w:jc w:val="left"/>
        <w:rPr>
          <w:rFonts w:ascii="宋体" w:hAnsi="宋体" w:cs="宋体"/>
          <w:color w:val="auto"/>
          <w:szCs w:val="21"/>
        </w:rPr>
      </w:pPr>
      <w:r>
        <w:rPr>
          <w:rFonts w:hint="eastAsia" w:ascii="宋体" w:hAnsi="宋体" w:cs="宋体"/>
          <w:color w:val="auto"/>
          <w:spacing w:val="12"/>
          <w:szCs w:val="21"/>
        </w:rPr>
        <w:t>(</w:t>
      </w:r>
      <w:r>
        <w:rPr>
          <w:rFonts w:hint="eastAsia" w:ascii="宋体" w:hAnsi="宋体" w:cs="宋体"/>
          <w:color w:val="auto"/>
          <w:spacing w:val="6"/>
          <w:szCs w:val="21"/>
        </w:rPr>
        <w:t>11)被责令停产停业、暂扣或者吊销许可证、暂扣或者吊销执照；</w:t>
      </w:r>
      <w:r>
        <w:rPr>
          <w:rFonts w:hint="eastAsia" w:ascii="宋体" w:hAnsi="宋体" w:cs="宋体"/>
          <w:color w:val="auto"/>
          <w:szCs w:val="21"/>
          <w:u w:val="single"/>
        </w:rPr>
        <w:t>（本项事实应当以根据《中华人民共和国行政处罚法》依法作出并已经生效的行政处罚决定为认定依据。）</w:t>
      </w:r>
    </w:p>
    <w:p>
      <w:pPr>
        <w:snapToGrid w:val="0"/>
        <w:spacing w:line="360" w:lineRule="auto"/>
        <w:ind w:firstLine="545" w:firstLineChars="250"/>
        <w:rPr>
          <w:rFonts w:ascii="宋体" w:hAnsi="宋体" w:cs="宋体"/>
          <w:color w:val="auto"/>
          <w:szCs w:val="21"/>
        </w:rPr>
      </w:pPr>
      <w:r>
        <w:rPr>
          <w:rFonts w:hint="eastAsia" w:ascii="宋体" w:hAnsi="宋体" w:cs="宋体"/>
          <w:color w:val="auto"/>
          <w:spacing w:val="4"/>
          <w:szCs w:val="21"/>
        </w:rPr>
        <w:t>(</w:t>
      </w:r>
      <w:r>
        <w:rPr>
          <w:rFonts w:hint="eastAsia" w:ascii="宋体" w:hAnsi="宋体" w:cs="宋体"/>
          <w:color w:val="auto"/>
          <w:spacing w:val="3"/>
          <w:szCs w:val="21"/>
        </w:rPr>
        <w:t>12)进入清算程序，或被宣告破产，或其他丧失履约能力的情形；</w:t>
      </w:r>
    </w:p>
    <w:p>
      <w:pPr>
        <w:widowControl/>
        <w:snapToGrid w:val="0"/>
        <w:spacing w:line="360" w:lineRule="auto"/>
        <w:ind w:right="-20" w:firstLine="484" w:firstLineChars="200"/>
        <w:jc w:val="left"/>
        <w:rPr>
          <w:rFonts w:ascii="宋体" w:hAnsi="宋体" w:cs="宋体"/>
          <w:color w:val="auto"/>
          <w:szCs w:val="21"/>
          <w:u w:val="single"/>
        </w:rPr>
      </w:pPr>
      <w:r>
        <w:rPr>
          <w:rFonts w:hint="eastAsia" w:ascii="宋体" w:hAnsi="宋体" w:cs="宋体"/>
          <w:color w:val="auto"/>
          <w:spacing w:val="16"/>
          <w:szCs w:val="21"/>
        </w:rPr>
        <w:t>(</w:t>
      </w:r>
      <w:r>
        <w:rPr>
          <w:rFonts w:hint="eastAsia" w:ascii="宋体" w:hAnsi="宋体" w:cs="宋体"/>
          <w:color w:val="auto"/>
          <w:spacing w:val="13"/>
          <w:szCs w:val="21"/>
        </w:rPr>
        <w:t>1</w:t>
      </w:r>
      <w:r>
        <w:rPr>
          <w:rFonts w:hint="eastAsia" w:ascii="宋体" w:hAnsi="宋体" w:cs="宋体"/>
          <w:color w:val="auto"/>
          <w:spacing w:val="8"/>
          <w:szCs w:val="21"/>
        </w:rPr>
        <w:t>3)在最近三年内发生重大监理质量问题</w:t>
      </w:r>
      <w:r>
        <w:rPr>
          <w:rFonts w:hint="eastAsia" w:ascii="宋体" w:hAnsi="宋体" w:cs="宋体"/>
          <w:color w:val="auto"/>
          <w:spacing w:val="-1"/>
          <w:szCs w:val="21"/>
        </w:rPr>
        <w:t>；</w:t>
      </w:r>
      <w:r>
        <w:rPr>
          <w:rFonts w:hint="eastAsia" w:ascii="宋体" w:hAnsi="宋体" w:cs="宋体"/>
          <w:color w:val="auto"/>
          <w:szCs w:val="21"/>
          <w:u w:val="single"/>
          <w:lang w:bidi="ar"/>
        </w:rPr>
        <w:t>（“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widowControl/>
        <w:snapToGrid w:val="0"/>
        <w:spacing w:line="360" w:lineRule="auto"/>
        <w:ind w:right="-20" w:firstLine="484" w:firstLineChars="200"/>
        <w:jc w:val="left"/>
        <w:rPr>
          <w:rFonts w:ascii="宋体" w:hAnsi="宋体" w:cs="宋体"/>
          <w:color w:val="auto"/>
          <w:spacing w:val="16"/>
          <w:szCs w:val="21"/>
        </w:rPr>
      </w:pPr>
      <w:r>
        <w:rPr>
          <w:rFonts w:hint="eastAsia" w:ascii="宋体" w:hAnsi="宋体" w:cs="宋体"/>
          <w:color w:val="auto"/>
          <w:spacing w:val="16"/>
          <w:szCs w:val="21"/>
        </w:rPr>
        <w:t>(14) 法律法规或投标人须知前附表规定的其他情形。</w:t>
      </w:r>
    </w:p>
    <w:p>
      <w:pPr>
        <w:snapToGrid w:val="0"/>
        <w:spacing w:line="360" w:lineRule="auto"/>
        <w:rPr>
          <w:rFonts w:ascii="宋体" w:hAnsi="宋体" w:cs="宋体"/>
          <w:b/>
          <w:color w:val="auto"/>
          <w:szCs w:val="21"/>
        </w:rPr>
      </w:pPr>
      <w:bookmarkStart w:id="57" w:name="_Toc529196525"/>
      <w:bookmarkStart w:id="58" w:name="_Toc515205198"/>
      <w:r>
        <w:rPr>
          <w:rFonts w:hint="eastAsia" w:ascii="宋体" w:hAnsi="宋体" w:cs="宋体"/>
          <w:b/>
          <w:color w:val="auto"/>
          <w:szCs w:val="21"/>
        </w:rPr>
        <w:t>1.5 费用承担</w:t>
      </w:r>
      <w:bookmarkEnd w:id="57"/>
      <w:bookmarkEnd w:id="58"/>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1、投标人准备和参加投标活动发生的费用自理。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中标人按《广州市发展改革委转发省发展改革委关于规范公共资源交易服务收费及有关问题的通知》（穗发改〔2017〕811号）文件的规定，向广州交易集团有限公司（广州公共资源交易中心）缴纳交易服务费，其费用包含在中标人投标报价中，招标人不另行支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3、招标代理费由中标人在领取中标通知书之前一次性支付给招标代理机构，按照招标人与招标代理签订的招标代理合同约定的内容执行。</w:t>
      </w:r>
    </w:p>
    <w:p>
      <w:pPr>
        <w:snapToGrid w:val="0"/>
        <w:spacing w:line="360" w:lineRule="auto"/>
        <w:rPr>
          <w:rFonts w:ascii="宋体" w:hAnsi="宋体" w:cs="宋体"/>
          <w:b/>
          <w:color w:val="auto"/>
          <w:szCs w:val="21"/>
        </w:rPr>
      </w:pPr>
      <w:bookmarkStart w:id="59" w:name="_Toc515205199"/>
      <w:bookmarkStart w:id="60" w:name="_Toc529196526"/>
      <w:r>
        <w:rPr>
          <w:rFonts w:hint="eastAsia" w:ascii="宋体" w:hAnsi="宋体" w:cs="宋体"/>
          <w:b/>
          <w:color w:val="auto"/>
          <w:szCs w:val="21"/>
        </w:rPr>
        <w:t>1.6保密</w:t>
      </w:r>
      <w:bookmarkEnd w:id="59"/>
      <w:bookmarkEnd w:id="60"/>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参与招标投标活动的各方应对招标文件和投标文件中</w:t>
      </w:r>
      <w:bookmarkStart w:id="61" w:name="_Toc369531519"/>
      <w:bookmarkStart w:id="62" w:name="_Toc5326"/>
      <w:bookmarkStart w:id="63" w:name="_Toc384308214"/>
      <w:bookmarkStart w:id="64" w:name="_Toc361508589"/>
      <w:bookmarkStart w:id="65" w:name="_Toc352691477"/>
      <w:r>
        <w:rPr>
          <w:rFonts w:hint="eastAsia" w:ascii="宋体" w:hAnsi="宋体" w:cs="宋体"/>
          <w:color w:val="auto"/>
          <w:szCs w:val="21"/>
        </w:rPr>
        <w:t>的商业和技术等秘密保密</w:t>
      </w:r>
      <w:bookmarkEnd w:id="61"/>
      <w:bookmarkEnd w:id="62"/>
      <w:bookmarkEnd w:id="63"/>
      <w:bookmarkEnd w:id="64"/>
      <w:bookmarkEnd w:id="65"/>
      <w:r>
        <w:rPr>
          <w:rFonts w:hint="eastAsia" w:ascii="宋体" w:hAnsi="宋体" w:cs="宋体"/>
          <w:color w:val="auto"/>
          <w:szCs w:val="21"/>
        </w:rPr>
        <w:t>，否则应承担相应的法律责任。</w:t>
      </w:r>
    </w:p>
    <w:p>
      <w:pPr>
        <w:snapToGrid w:val="0"/>
        <w:spacing w:line="360" w:lineRule="auto"/>
        <w:rPr>
          <w:rFonts w:ascii="宋体" w:hAnsi="宋体" w:cs="宋体"/>
          <w:b/>
          <w:color w:val="auto"/>
          <w:szCs w:val="21"/>
        </w:rPr>
      </w:pPr>
      <w:bookmarkStart w:id="66" w:name="_Toc515205200"/>
      <w:bookmarkStart w:id="67" w:name="_Toc529196527"/>
      <w:r>
        <w:rPr>
          <w:rFonts w:hint="eastAsia" w:ascii="宋体" w:hAnsi="宋体" w:cs="宋体"/>
          <w:b/>
          <w:color w:val="auto"/>
          <w:szCs w:val="21"/>
        </w:rPr>
        <w:t>1.7 语言文字</w:t>
      </w:r>
      <w:bookmarkEnd w:id="66"/>
      <w:bookmarkEnd w:id="67"/>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招标投标文件使用的语言文字为中文。专用术语使用外文的，应附有中文注释。</w:t>
      </w:r>
    </w:p>
    <w:p>
      <w:pPr>
        <w:snapToGrid w:val="0"/>
        <w:spacing w:line="360" w:lineRule="auto"/>
        <w:rPr>
          <w:rFonts w:ascii="宋体" w:hAnsi="宋体" w:cs="宋体"/>
          <w:b/>
          <w:color w:val="auto"/>
          <w:szCs w:val="21"/>
        </w:rPr>
      </w:pPr>
      <w:bookmarkStart w:id="68" w:name="_Toc529196528"/>
      <w:bookmarkStart w:id="69" w:name="_Toc515205201"/>
      <w:r>
        <w:rPr>
          <w:rFonts w:hint="eastAsia" w:ascii="宋体" w:hAnsi="宋体" w:cs="宋体"/>
          <w:b/>
          <w:color w:val="auto"/>
          <w:szCs w:val="21"/>
        </w:rPr>
        <w:t>1.8计量单位</w:t>
      </w:r>
      <w:bookmarkEnd w:id="68"/>
      <w:bookmarkEnd w:id="69"/>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所有计量均采用中华人民共和国法定计量单位。</w:t>
      </w:r>
    </w:p>
    <w:p>
      <w:pPr>
        <w:snapToGrid w:val="0"/>
        <w:spacing w:line="360" w:lineRule="auto"/>
        <w:rPr>
          <w:rFonts w:ascii="宋体" w:hAnsi="宋体" w:cs="宋体"/>
          <w:b/>
          <w:color w:val="auto"/>
          <w:szCs w:val="21"/>
        </w:rPr>
      </w:pPr>
      <w:bookmarkStart w:id="70" w:name="_Toc152042315"/>
      <w:bookmarkStart w:id="71" w:name="_Toc529196529"/>
      <w:bookmarkStart w:id="72" w:name="_Toc515205202"/>
      <w:bookmarkStart w:id="73" w:name="_Toc300834959"/>
      <w:bookmarkStart w:id="74" w:name="_Toc391393967"/>
      <w:bookmarkStart w:id="75" w:name="_Toc247513962"/>
      <w:bookmarkStart w:id="76" w:name="_Toc144974507"/>
      <w:bookmarkStart w:id="77" w:name="_Toc370676289"/>
      <w:bookmarkStart w:id="78" w:name="_Toc152045539"/>
      <w:bookmarkStart w:id="79" w:name="_Toc482188480"/>
      <w:bookmarkStart w:id="80" w:name="_Toc361508594"/>
      <w:bookmarkStart w:id="81" w:name="_Toc384308219"/>
      <w:bookmarkStart w:id="82" w:name="_Toc247527563"/>
      <w:r>
        <w:rPr>
          <w:rFonts w:hint="eastAsia" w:ascii="宋体" w:hAnsi="宋体" w:cs="宋体"/>
          <w:b/>
          <w:color w:val="auto"/>
          <w:szCs w:val="21"/>
        </w:rPr>
        <w:t>1.9 踏勘现场</w:t>
      </w:r>
      <w:bookmarkEnd w:id="70"/>
      <w:bookmarkEnd w:id="71"/>
      <w:bookmarkEnd w:id="72"/>
      <w:bookmarkEnd w:id="73"/>
      <w:bookmarkEnd w:id="74"/>
      <w:bookmarkEnd w:id="75"/>
      <w:bookmarkEnd w:id="76"/>
      <w:bookmarkEnd w:id="77"/>
      <w:bookmarkEnd w:id="78"/>
      <w:bookmarkEnd w:id="79"/>
      <w:bookmarkEnd w:id="80"/>
      <w:bookmarkEnd w:id="81"/>
      <w:bookmarkEnd w:id="82"/>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1.9.1 投标人须知前附表规定组织踏勘现场的，招标人按投标人须知前附表规定的时间、地点组织投标人踏勘项目现场。部分投标人未按时参加踏勘现场的，不影响踏勘现场的正常进行。</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1.9.2 投标人踏勘现场发生的费用自理。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1.9.3 除招标人的原因外，投标人自行负责在踏勘现场中所发生的人员伤亡和财产损失。</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1.9.4 招标人在踏勘现场中介绍的工程场地和相关的周边环境情况，供投标人在编制投标文件时参考，招标人不对投标人据此作出的判断和决策负责。</w:t>
      </w:r>
    </w:p>
    <w:p>
      <w:pPr>
        <w:snapToGrid w:val="0"/>
        <w:spacing w:line="360" w:lineRule="auto"/>
        <w:rPr>
          <w:rFonts w:ascii="宋体" w:hAnsi="宋体" w:cs="宋体"/>
          <w:b/>
          <w:color w:val="auto"/>
          <w:szCs w:val="21"/>
        </w:rPr>
      </w:pPr>
      <w:bookmarkStart w:id="83" w:name="_Toc529196530"/>
      <w:bookmarkStart w:id="84" w:name="_Toc515205203"/>
      <w:r>
        <w:rPr>
          <w:rFonts w:hint="eastAsia" w:ascii="宋体" w:hAnsi="宋体" w:cs="宋体"/>
          <w:b/>
          <w:color w:val="auto"/>
          <w:szCs w:val="21"/>
        </w:rPr>
        <w:t>1.10投标预备会</w:t>
      </w:r>
      <w:bookmarkEnd w:id="83"/>
      <w:bookmarkEnd w:id="84"/>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1.10.1 投标人须知前附表规定召开投标预备会的，招标人按投标人须知前附表规定的时间和地点召开投标预备会，澄清投标人提出的问题。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1.10.2 投标人应按投标人须知前附表规定的时间和形式将提出的问题送达招标人，以便招标人在会议期间澄清。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1.10.3 投标预备会后，招标人将对投标人所提问题的澄清，以投标人须知前附表规定的形式通知所有购买招标文件的投标人。该澄清内容为招标文件的组成部分。</w:t>
      </w:r>
    </w:p>
    <w:p>
      <w:pPr>
        <w:snapToGrid w:val="0"/>
        <w:spacing w:line="360" w:lineRule="auto"/>
        <w:rPr>
          <w:rFonts w:ascii="宋体" w:hAnsi="宋体" w:cs="宋体"/>
          <w:b/>
          <w:color w:val="auto"/>
          <w:szCs w:val="21"/>
        </w:rPr>
      </w:pPr>
      <w:bookmarkStart w:id="85" w:name="_Toc529196531"/>
      <w:bookmarkStart w:id="86" w:name="_Toc515205204"/>
      <w:r>
        <w:rPr>
          <w:rFonts w:hint="eastAsia" w:ascii="宋体" w:hAnsi="宋体" w:cs="宋体"/>
          <w:b/>
          <w:color w:val="auto"/>
          <w:szCs w:val="21"/>
        </w:rPr>
        <w:t>1.11 分包</w:t>
      </w:r>
      <w:bookmarkEnd w:id="85"/>
      <w:bookmarkEnd w:id="86"/>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本项目严禁分包。</w:t>
      </w:r>
    </w:p>
    <w:p>
      <w:pPr>
        <w:snapToGrid w:val="0"/>
        <w:spacing w:line="360" w:lineRule="auto"/>
        <w:rPr>
          <w:rFonts w:ascii="宋体" w:hAnsi="宋体" w:cs="宋体"/>
          <w:b/>
          <w:color w:val="auto"/>
          <w:szCs w:val="21"/>
        </w:rPr>
      </w:pPr>
      <w:bookmarkStart w:id="87" w:name="_Toc515205205"/>
      <w:bookmarkStart w:id="88" w:name="_Toc529196532"/>
      <w:r>
        <w:rPr>
          <w:rFonts w:hint="eastAsia" w:ascii="宋体" w:hAnsi="宋体" w:cs="宋体"/>
          <w:b/>
          <w:color w:val="auto"/>
          <w:szCs w:val="21"/>
        </w:rPr>
        <w:t>1.12响应和偏差</w:t>
      </w:r>
      <w:bookmarkEnd w:id="87"/>
      <w:bookmarkEnd w:id="88"/>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1.12.1投标文件应当对招标文件的实质性要求和条件作出满足性或更有利于招标人的响应，否则，投标人的投标将被否决。实质性要求和条件见投标人须知前附表。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1.12.2 投标人应根据招标文件的要求提供投标监理大纲等内容以对招标文件作出响应。</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1.12.3投标人须知前附表允许投标文件偏离招标文件某些要求的，偏差应当符合招标文件规定的偏差范围和幅度。</w:t>
      </w:r>
    </w:p>
    <w:p>
      <w:pPr>
        <w:snapToGrid w:val="0"/>
        <w:spacing w:line="360" w:lineRule="auto"/>
        <w:outlineLvl w:val="2"/>
        <w:rPr>
          <w:rFonts w:ascii="宋体" w:hAnsi="宋体" w:cs="宋体"/>
          <w:b/>
          <w:color w:val="auto"/>
          <w:szCs w:val="21"/>
        </w:rPr>
      </w:pPr>
      <w:bookmarkStart w:id="89" w:name="_Toc515205206"/>
      <w:bookmarkStart w:id="90" w:name="_Toc529196533"/>
      <w:bookmarkStart w:id="91" w:name="_Toc6455"/>
      <w:bookmarkStart w:id="92" w:name="_Toc1594"/>
      <w:bookmarkStart w:id="93" w:name="_Toc9579"/>
      <w:r>
        <w:rPr>
          <w:rFonts w:hint="eastAsia" w:ascii="宋体" w:hAnsi="宋体" w:cs="宋体"/>
          <w:b/>
          <w:color w:val="auto"/>
          <w:szCs w:val="21"/>
        </w:rPr>
        <w:t>2. 招标文件</w:t>
      </w:r>
      <w:bookmarkEnd w:id="89"/>
      <w:bookmarkEnd w:id="90"/>
      <w:bookmarkEnd w:id="91"/>
      <w:bookmarkEnd w:id="92"/>
      <w:bookmarkEnd w:id="93"/>
    </w:p>
    <w:p>
      <w:pPr>
        <w:snapToGrid w:val="0"/>
        <w:spacing w:line="360" w:lineRule="auto"/>
        <w:rPr>
          <w:rFonts w:ascii="宋体" w:hAnsi="宋体" w:cs="宋体"/>
          <w:b/>
          <w:color w:val="auto"/>
          <w:szCs w:val="21"/>
        </w:rPr>
      </w:pPr>
      <w:bookmarkStart w:id="94" w:name="_Toc515205207"/>
      <w:bookmarkStart w:id="95" w:name="_Toc529196534"/>
      <w:r>
        <w:rPr>
          <w:rFonts w:hint="eastAsia" w:ascii="宋体" w:hAnsi="宋体" w:cs="宋体"/>
          <w:b/>
          <w:color w:val="auto"/>
          <w:szCs w:val="21"/>
        </w:rPr>
        <w:t>2.1 招标文件的组成</w:t>
      </w:r>
      <w:bookmarkEnd w:id="94"/>
      <w:bookmarkEnd w:id="95"/>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本招标文件包括：</w:t>
      </w:r>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（1）招标公告</w:t>
      </w:r>
      <w:r>
        <w:rPr>
          <w:rFonts w:hint="eastAsia" w:ascii="宋体" w:hAnsi="宋体" w:cs="宋体"/>
          <w:strike/>
          <w:color w:val="auto"/>
          <w:szCs w:val="21"/>
        </w:rPr>
        <w:t>（或投标邀请书）</w:t>
      </w:r>
      <w:r>
        <w:rPr>
          <w:rFonts w:hint="eastAsia" w:ascii="宋体" w:hAnsi="宋体" w:cs="宋体"/>
          <w:color w:val="auto"/>
          <w:szCs w:val="21"/>
        </w:rPr>
        <w:t>；</w:t>
      </w:r>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（2）投标人须知；</w:t>
      </w:r>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（3）评标办法；</w:t>
      </w:r>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（4）合同条款及格式；</w:t>
      </w:r>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（5）委托人要求；</w:t>
      </w:r>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（6）投标文件格式；</w:t>
      </w:r>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（7）投标人须知前附表规定的其他资料。</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根据本章第1.10款、第2.2款和第2.3款对招标文件所作的澄清、修改，构成招标文件的组成部分。</w:t>
      </w:r>
    </w:p>
    <w:p>
      <w:pPr>
        <w:snapToGrid w:val="0"/>
        <w:spacing w:line="360" w:lineRule="auto"/>
        <w:rPr>
          <w:rFonts w:ascii="宋体" w:hAnsi="宋体" w:cs="宋体"/>
          <w:b/>
          <w:color w:val="auto"/>
          <w:szCs w:val="21"/>
        </w:rPr>
      </w:pPr>
      <w:bookmarkStart w:id="96" w:name="_Toc529196535"/>
      <w:bookmarkStart w:id="97" w:name="_Toc515205208"/>
      <w:r>
        <w:rPr>
          <w:rFonts w:hint="eastAsia" w:ascii="宋体" w:hAnsi="宋体" w:cs="宋体"/>
          <w:b/>
          <w:color w:val="auto"/>
          <w:szCs w:val="21"/>
        </w:rPr>
        <w:t>2.2 招标文件的澄清</w:t>
      </w:r>
      <w:bookmarkEnd w:id="96"/>
      <w:bookmarkEnd w:id="97"/>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2.2.3 投标人在收到澄清后，应按投标人须知前附表规定的时间和形式通知招标人，确认已收到该澄清。</w:t>
      </w:r>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2.2.4 除非招标人认为确有必要答复，否则，招标人有权拒绝回复投标人在本章第2.2.1项规定的时间后的任何澄清要求。</w:t>
      </w:r>
    </w:p>
    <w:p>
      <w:pPr>
        <w:snapToGrid w:val="0"/>
        <w:spacing w:line="360" w:lineRule="auto"/>
        <w:rPr>
          <w:rFonts w:ascii="宋体" w:hAnsi="宋体" w:cs="宋体"/>
          <w:b/>
          <w:color w:val="auto"/>
          <w:szCs w:val="21"/>
        </w:rPr>
      </w:pPr>
      <w:bookmarkStart w:id="98" w:name="_Toc529196536"/>
      <w:bookmarkStart w:id="99" w:name="_Toc515205209"/>
      <w:bookmarkStart w:id="100" w:name="_Toc352691479"/>
      <w:r>
        <w:rPr>
          <w:rFonts w:hint="eastAsia" w:ascii="宋体" w:hAnsi="宋体" w:cs="宋体"/>
          <w:b/>
          <w:color w:val="auto"/>
          <w:szCs w:val="21"/>
        </w:rPr>
        <w:t>2.3 招标文件的修</w:t>
      </w:r>
      <w:bookmarkStart w:id="101" w:name="_Toc16514"/>
      <w:bookmarkStart w:id="102" w:name="_Toc369531521"/>
      <w:r>
        <w:rPr>
          <w:rFonts w:hint="eastAsia" w:ascii="宋体" w:hAnsi="宋体" w:cs="宋体"/>
          <w:b/>
          <w:color w:val="auto"/>
          <w:szCs w:val="21"/>
        </w:rPr>
        <w:t>改</w:t>
      </w:r>
      <w:bookmarkEnd w:id="98"/>
      <w:bookmarkEnd w:id="99"/>
    </w:p>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100"/>
    <w:bookmarkEnd w:id="101"/>
    <w:bookmarkEnd w:id="102"/>
    <w:p>
      <w:pPr>
        <w:snapToGrid w:val="0"/>
        <w:spacing w:line="360" w:lineRule="auto"/>
        <w:ind w:firstLine="359" w:firstLineChars="171"/>
        <w:rPr>
          <w:rFonts w:ascii="宋体" w:hAnsi="宋体" w:cs="宋体"/>
          <w:color w:val="auto"/>
          <w:szCs w:val="21"/>
        </w:rPr>
      </w:pPr>
      <w:r>
        <w:rPr>
          <w:rFonts w:hint="eastAsia" w:ascii="宋体" w:hAnsi="宋体" w:cs="宋体"/>
          <w:color w:val="auto"/>
          <w:szCs w:val="21"/>
        </w:rPr>
        <w:t>2.3.2 投标人收到修改内容</w:t>
      </w:r>
      <w:bookmarkStart w:id="103" w:name="_Toc352691482"/>
      <w:bookmarkStart w:id="104" w:name="_Toc152042314"/>
      <w:bookmarkStart w:id="105" w:name="_Toc369531524"/>
      <w:bookmarkStart w:id="106" w:name="_Toc144974506"/>
      <w:bookmarkStart w:id="107" w:name="_Toc247513961"/>
      <w:bookmarkStart w:id="108" w:name="_Toc361508593"/>
      <w:bookmarkStart w:id="109" w:name="_Toc24632"/>
      <w:bookmarkStart w:id="110" w:name="_Toc384308218"/>
      <w:bookmarkStart w:id="111" w:name="_Toc247527562"/>
      <w:bookmarkStart w:id="112" w:name="_Toc152045538"/>
      <w:bookmarkStart w:id="113" w:name="_Toc300834958"/>
      <w:r>
        <w:rPr>
          <w:rFonts w:hint="eastAsia" w:ascii="宋体" w:hAnsi="宋体" w:cs="宋体"/>
          <w:color w:val="auto"/>
          <w:szCs w:val="21"/>
        </w:rPr>
        <w:t>后，</w:t>
      </w:r>
      <w:bookmarkEnd w:id="103"/>
      <w:bookmarkEnd w:id="104"/>
      <w:bookmarkEnd w:id="105"/>
      <w:bookmarkEnd w:id="106"/>
      <w:bookmarkEnd w:id="107"/>
      <w:bookmarkEnd w:id="108"/>
      <w:bookmarkEnd w:id="109"/>
      <w:bookmarkEnd w:id="110"/>
      <w:bookmarkEnd w:id="111"/>
      <w:bookmarkEnd w:id="112"/>
      <w:bookmarkEnd w:id="113"/>
      <w:bookmarkStart w:id="114" w:name="_Toc247527564"/>
      <w:bookmarkStart w:id="115" w:name="_Toc152045540"/>
      <w:bookmarkStart w:id="116" w:name="_Toc152042316"/>
      <w:bookmarkStart w:id="117" w:name="_Toc352691484"/>
      <w:bookmarkStart w:id="118" w:name="_Toc16623"/>
      <w:bookmarkStart w:id="119" w:name="_Toc384308220"/>
      <w:bookmarkStart w:id="120" w:name="_Toc144974508"/>
      <w:bookmarkStart w:id="121" w:name="_Toc247513963"/>
      <w:bookmarkStart w:id="122" w:name="_Toc361508595"/>
      <w:bookmarkStart w:id="123" w:name="_Toc300834960"/>
      <w:bookmarkStart w:id="124" w:name="_Toc369531526"/>
      <w:r>
        <w:rPr>
          <w:rFonts w:hint="eastAsia" w:ascii="宋体" w:hAnsi="宋体" w:cs="宋体"/>
          <w:color w:val="auto"/>
          <w:szCs w:val="21"/>
        </w:rPr>
        <w:t>应按投标人须知前附表规定的时间和形式通知招标人，确认已收到该修改。</w:t>
      </w:r>
    </w:p>
    <w:p>
      <w:pPr>
        <w:snapToGrid w:val="0"/>
        <w:spacing w:line="360" w:lineRule="auto"/>
        <w:rPr>
          <w:rFonts w:ascii="宋体" w:hAnsi="宋体" w:cs="宋体"/>
          <w:b/>
          <w:color w:val="auto"/>
          <w:szCs w:val="21"/>
        </w:rPr>
      </w:pPr>
      <w:bookmarkStart w:id="125" w:name="_Toc515205210"/>
      <w:bookmarkStart w:id="126" w:name="_Toc529196537"/>
      <w:r>
        <w:rPr>
          <w:rFonts w:hint="eastAsia" w:ascii="宋体" w:hAnsi="宋体" w:cs="宋体"/>
          <w:b/>
          <w:color w:val="auto"/>
          <w:szCs w:val="21"/>
        </w:rPr>
        <w:t>2.</w:t>
      </w:r>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b/>
          <w:color w:val="auto"/>
          <w:szCs w:val="21"/>
        </w:rPr>
        <w:t>4 招标文件的异议</w:t>
      </w:r>
      <w:bookmarkEnd w:id="125"/>
      <w:bookmarkEnd w:id="126"/>
    </w:p>
    <w:p>
      <w:pPr>
        <w:snapToGrid w:val="0"/>
        <w:spacing w:line="360" w:lineRule="auto"/>
        <w:ind w:left="3" w:firstLine="421"/>
        <w:rPr>
          <w:rFonts w:ascii="宋体" w:hAnsi="宋体" w:cs="宋体"/>
          <w:color w:val="auto"/>
          <w:szCs w:val="21"/>
        </w:rPr>
      </w:pPr>
      <w:r>
        <w:rPr>
          <w:rFonts w:hint="eastAsia" w:ascii="宋体" w:hAnsi="宋体" w:cs="宋体"/>
          <w:color w:val="auto"/>
          <w:szCs w:val="21"/>
        </w:rPr>
        <w:t>投标人或者其他利害关系人对招标文件有异议的，应当在投标截止时间10日前以书面形式提出。招标人将在收到异议之日起3日内作出答复；作出答复前，将暂停招标投标活动。</w:t>
      </w:r>
    </w:p>
    <w:p>
      <w:pPr>
        <w:snapToGrid w:val="0"/>
        <w:spacing w:line="360" w:lineRule="auto"/>
        <w:ind w:left="3" w:firstLine="421"/>
        <w:rPr>
          <w:rFonts w:ascii="宋体" w:hAnsi="宋体" w:cs="宋体"/>
          <w:color w:val="auto"/>
          <w:szCs w:val="21"/>
          <w:u w:val="single"/>
        </w:rPr>
      </w:pPr>
      <w:r>
        <w:rPr>
          <w:rFonts w:hint="eastAsia" w:ascii="宋体" w:hAnsi="宋体" w:cs="宋体"/>
          <w:color w:val="auto"/>
          <w:spacing w:val="-6"/>
          <w:szCs w:val="21"/>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napToGrid w:val="0"/>
        <w:spacing w:line="360" w:lineRule="auto"/>
        <w:ind w:firstLine="359" w:firstLineChars="171"/>
        <w:rPr>
          <w:rFonts w:ascii="宋体" w:hAnsi="宋体" w:cs="宋体"/>
          <w:color w:val="auto"/>
          <w:szCs w:val="21"/>
        </w:rPr>
      </w:pPr>
    </w:p>
    <w:p>
      <w:pPr>
        <w:snapToGrid w:val="0"/>
        <w:spacing w:line="360" w:lineRule="auto"/>
        <w:outlineLvl w:val="2"/>
        <w:rPr>
          <w:rFonts w:ascii="宋体" w:hAnsi="宋体" w:cs="宋体"/>
          <w:b/>
          <w:color w:val="auto"/>
          <w:szCs w:val="21"/>
        </w:rPr>
      </w:pPr>
      <w:bookmarkStart w:id="127" w:name="_Toc529196538"/>
      <w:bookmarkStart w:id="128" w:name="_Toc515205211"/>
      <w:bookmarkStart w:id="129" w:name="_Toc28429"/>
      <w:bookmarkStart w:id="130" w:name="_Toc18195"/>
      <w:bookmarkStart w:id="131" w:name="_Toc4222"/>
      <w:r>
        <w:rPr>
          <w:rFonts w:hint="eastAsia" w:ascii="宋体" w:hAnsi="宋体" w:cs="宋体"/>
          <w:b/>
          <w:color w:val="auto"/>
          <w:szCs w:val="21"/>
        </w:rPr>
        <w:t>3. 投标文件</w:t>
      </w:r>
      <w:bookmarkEnd w:id="127"/>
      <w:bookmarkEnd w:id="128"/>
      <w:bookmarkEnd w:id="129"/>
      <w:bookmarkEnd w:id="130"/>
      <w:bookmarkEnd w:id="131"/>
    </w:p>
    <w:p>
      <w:pPr>
        <w:snapToGrid w:val="0"/>
        <w:spacing w:beforeLines="-2147483648" w:afterLines="-2147483648" w:line="360" w:lineRule="auto"/>
        <w:jc w:val="left"/>
        <w:rPr>
          <w:rFonts w:hint="eastAsia" w:ascii="宋体" w:hAnsi="宋体" w:eastAsia="宋体" w:cs="宋体"/>
          <w:b/>
          <w:bCs w:val="0"/>
          <w:color w:val="auto"/>
          <w:szCs w:val="21"/>
        </w:rPr>
      </w:pPr>
      <w:bookmarkStart w:id="132" w:name="_Toc529196539"/>
      <w:bookmarkStart w:id="133" w:name="_Toc515205212"/>
      <w:r>
        <w:rPr>
          <w:rFonts w:hint="eastAsia" w:ascii="宋体" w:hAnsi="宋体" w:eastAsia="宋体" w:cs="宋体"/>
          <w:b/>
          <w:bCs w:val="0"/>
          <w:color w:val="auto"/>
          <w:szCs w:val="21"/>
        </w:rPr>
        <w:t>3.1 投标文件的组成</w:t>
      </w:r>
    </w:p>
    <w:p>
      <w:pPr>
        <w:topLinePunct/>
        <w:adjustRightInd w:val="0"/>
        <w:snapToGrid w:val="0"/>
        <w:spacing w:beforeLines="-2147483648" w:afterLines="-2147483648" w:line="360" w:lineRule="auto"/>
        <w:ind w:firstLine="420" w:firstLineChars="200"/>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3.1.1 投标文件应包括下列内容：</w:t>
      </w:r>
    </w:p>
    <w:p>
      <w:pPr>
        <w:topLinePunct/>
        <w:adjustRightInd w:val="0"/>
        <w:snapToGrid w:val="0"/>
        <w:spacing w:beforeLines="-2147483648" w:afterLines="-2147483648" w:line="360" w:lineRule="auto"/>
        <w:ind w:firstLine="420" w:firstLineChars="200"/>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（1）投标函及投标函附录；</w:t>
      </w:r>
    </w:p>
    <w:p>
      <w:pPr>
        <w:topLinePunct/>
        <w:adjustRightInd w:val="0"/>
        <w:snapToGrid w:val="0"/>
        <w:spacing w:beforeLines="-2147483648" w:afterLines="-2147483648" w:line="360" w:lineRule="auto"/>
        <w:ind w:firstLine="420" w:firstLineChars="200"/>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（2）法定代表人身份证明或授权委托书；</w:t>
      </w:r>
    </w:p>
    <w:p>
      <w:pPr>
        <w:topLinePunct/>
        <w:adjustRightInd w:val="0"/>
        <w:snapToGrid w:val="0"/>
        <w:spacing w:beforeLines="-2147483648" w:afterLines="-2147483648" w:line="360" w:lineRule="auto"/>
        <w:ind w:firstLine="420" w:firstLineChars="200"/>
        <w:jc w:val="left"/>
        <w:rPr>
          <w:rFonts w:hint="eastAsia" w:ascii="宋体" w:hAnsi="宋体" w:eastAsia="宋体" w:cs="宋体"/>
          <w:b w:val="0"/>
          <w:bCs w:val="0"/>
          <w:strike w:val="0"/>
          <w:color w:val="auto"/>
          <w:kern w:val="0"/>
          <w:szCs w:val="21"/>
          <w:u w:val="none"/>
        </w:rPr>
      </w:pPr>
      <w:r>
        <w:rPr>
          <w:rFonts w:hint="eastAsia" w:ascii="宋体" w:hAnsi="宋体" w:eastAsia="宋体" w:cs="宋体"/>
          <w:b w:val="0"/>
          <w:bCs w:val="0"/>
          <w:strike w:val="0"/>
          <w:color w:val="auto"/>
          <w:kern w:val="0"/>
          <w:szCs w:val="21"/>
          <w:u w:val="none"/>
        </w:rPr>
        <w:t>（3）联合体协议书（如有）；</w:t>
      </w:r>
    </w:p>
    <w:p>
      <w:pPr>
        <w:topLinePunct/>
        <w:adjustRightInd w:val="0"/>
        <w:snapToGrid w:val="0"/>
        <w:spacing w:beforeLines="-2147483648" w:afterLines="-2147483648" w:line="360" w:lineRule="auto"/>
        <w:ind w:firstLine="420" w:firstLineChars="200"/>
        <w:jc w:val="left"/>
        <w:rPr>
          <w:rFonts w:hint="eastAsia" w:ascii="宋体" w:hAnsi="宋体" w:eastAsia="宋体" w:cs="宋体"/>
          <w:b w:val="0"/>
          <w:bCs w:val="0"/>
          <w:strike w:val="0"/>
          <w:color w:val="auto"/>
          <w:kern w:val="0"/>
          <w:szCs w:val="21"/>
        </w:rPr>
      </w:pPr>
      <w:r>
        <w:rPr>
          <w:rFonts w:hint="eastAsia" w:ascii="宋体" w:hAnsi="宋体" w:eastAsia="宋体" w:cs="宋体"/>
          <w:b w:val="0"/>
          <w:bCs w:val="0"/>
          <w:strike w:val="0"/>
          <w:color w:val="auto"/>
          <w:kern w:val="0"/>
          <w:szCs w:val="21"/>
        </w:rPr>
        <w:t>（4）投标保证金</w:t>
      </w:r>
    </w:p>
    <w:p>
      <w:pPr>
        <w:topLinePunct/>
        <w:adjustRightInd w:val="0"/>
        <w:snapToGrid w:val="0"/>
        <w:spacing w:beforeLines="-2147483648" w:afterLines="-2147483648" w:line="360" w:lineRule="auto"/>
        <w:ind w:firstLine="420" w:firstLineChars="200"/>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（5）监理报酬清单</w:t>
      </w:r>
    </w:p>
    <w:p>
      <w:pPr>
        <w:topLinePunct/>
        <w:adjustRightInd w:val="0"/>
        <w:snapToGrid w:val="0"/>
        <w:spacing w:beforeLines="-2147483648" w:afterLines="-2147483648" w:line="360" w:lineRule="auto"/>
        <w:ind w:firstLine="420" w:firstLineChars="200"/>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（6）资格审查资料</w:t>
      </w:r>
    </w:p>
    <w:p>
      <w:pPr>
        <w:topLinePunct/>
        <w:adjustRightInd w:val="0"/>
        <w:snapToGrid w:val="0"/>
        <w:spacing w:beforeLines="-2147483648" w:afterLines="-2147483648" w:line="360" w:lineRule="auto"/>
        <w:ind w:firstLine="420" w:firstLineChars="200"/>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（7）监理大纲；</w:t>
      </w:r>
    </w:p>
    <w:p>
      <w:pPr>
        <w:topLinePunct/>
        <w:adjustRightInd w:val="0"/>
        <w:snapToGrid w:val="0"/>
        <w:spacing w:beforeLines="-2147483648" w:afterLines="-2147483648" w:line="360" w:lineRule="auto"/>
        <w:ind w:firstLine="420" w:firstLineChars="200"/>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（8）投标人须知前附表规定的其他资料；</w:t>
      </w:r>
    </w:p>
    <w:p>
      <w:pPr>
        <w:topLinePunct/>
        <w:adjustRightInd w:val="0"/>
        <w:snapToGrid w:val="0"/>
        <w:spacing w:beforeLines="-2147483648" w:afterLines="-2147483648" w:line="360" w:lineRule="auto"/>
        <w:ind w:firstLine="420" w:firstLineChars="200"/>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投标人在评标过程中作出的符合法律法规和招标文件规定的澄清确认，构成投标文件的组成部分。</w:t>
      </w:r>
    </w:p>
    <w:p>
      <w:pPr>
        <w:topLinePunct/>
        <w:adjustRightInd w:val="0"/>
        <w:snapToGrid w:val="0"/>
        <w:spacing w:beforeLines="-2147483648" w:afterLines="-2147483648" w:line="360" w:lineRule="auto"/>
        <w:ind w:firstLine="420" w:firstLineChars="200"/>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3.1.2 投标人须知前附表规定不接受联合体投标的，或投标人没有组成联合体的，投标文件不包括本章第3.1.1（3）目所指的联合体协议书。</w:t>
      </w:r>
    </w:p>
    <w:p>
      <w:pPr>
        <w:snapToGrid w:val="0"/>
        <w:spacing w:line="360" w:lineRule="auto"/>
        <w:rPr>
          <w:rFonts w:hint="eastAsia" w:ascii="宋体" w:hAnsi="宋体" w:cs="宋体"/>
          <w:b/>
          <w:color w:val="auto"/>
          <w:szCs w:val="21"/>
        </w:rPr>
      </w:pPr>
      <w:r>
        <w:rPr>
          <w:rFonts w:hint="eastAsia" w:ascii="宋体" w:hAnsi="宋体" w:eastAsia="宋体" w:cs="宋体"/>
          <w:b w:val="0"/>
          <w:bCs w:val="0"/>
          <w:color w:val="auto"/>
          <w:kern w:val="0"/>
          <w:szCs w:val="21"/>
        </w:rPr>
        <w:t>3.1.3 投标人须知前附表未要求提交投标保证金的，投标文件不包括本章第3.1.1（4）目所指的投标保证金。</w:t>
      </w:r>
      <w:bookmarkEnd w:id="132"/>
      <w:bookmarkEnd w:id="133"/>
      <w:bookmarkStart w:id="134" w:name="_Toc529196540"/>
      <w:bookmarkStart w:id="135" w:name="_Toc515205213"/>
      <w:bookmarkStart w:id="136" w:name="_Toc514876754"/>
    </w:p>
    <w:p>
      <w:pPr>
        <w:snapToGrid w:val="0"/>
        <w:spacing w:line="360" w:lineRule="auto"/>
        <w:rPr>
          <w:rFonts w:ascii="宋体" w:hAnsi="宋体" w:cs="宋体"/>
          <w:b/>
          <w:color w:val="auto"/>
          <w:szCs w:val="21"/>
        </w:rPr>
      </w:pPr>
      <w:r>
        <w:rPr>
          <w:rFonts w:hint="eastAsia" w:ascii="宋体" w:hAnsi="宋体" w:cs="宋体"/>
          <w:b/>
          <w:color w:val="auto"/>
          <w:szCs w:val="21"/>
        </w:rPr>
        <w:t>3.2 投标报价</w:t>
      </w:r>
      <w:bookmarkEnd w:id="134"/>
      <w:bookmarkEnd w:id="135"/>
      <w:bookmarkEnd w:id="136"/>
    </w:p>
    <w:p>
      <w:pPr>
        <w:topLinePunct/>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3.2.1 投标报价应包括国家规定的增值税税金，除投标人须知前附表另有规定外，增值税税金按一般计税方法计算。投标人应按第六章“投标文件格式”的要求在投标函中进行报价并填写监理报酬清单。</w:t>
      </w:r>
    </w:p>
    <w:p>
      <w:pPr>
        <w:topLinePunct/>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3.2.2 投标人应充分了解该项目的总体情况以及影响投标报价的其他要素。</w:t>
      </w:r>
    </w:p>
    <w:p>
      <w:pPr>
        <w:topLinePunct/>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3.2.3本项目的报价方式见投标人须知前附表。投标人在投标截止时间前修改投标函中的投标报价总额，应同时修改投标文件“监理报酬清单”中的相应报价。此修改须符合本章第 4.3 款的有关要求。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3.2.4．招标人设有最高投标限价的，投标人的投标报价不得超过最高投标限价，最高投标限价在投标人须知前附表中载明。</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3.2.5 投标报价的其他要求见投标人须知前附表3.2.5。</w:t>
      </w:r>
    </w:p>
    <w:p>
      <w:pPr>
        <w:snapToGrid w:val="0"/>
        <w:spacing w:line="360" w:lineRule="auto"/>
        <w:rPr>
          <w:rFonts w:ascii="宋体" w:hAnsi="宋体" w:cs="宋体"/>
          <w:b/>
          <w:color w:val="auto"/>
          <w:szCs w:val="21"/>
        </w:rPr>
      </w:pPr>
      <w:bookmarkStart w:id="137" w:name="_Toc515205214"/>
      <w:bookmarkStart w:id="138" w:name="_Toc529196541"/>
      <w:r>
        <w:rPr>
          <w:rFonts w:hint="eastAsia" w:ascii="宋体" w:hAnsi="宋体" w:cs="宋体"/>
          <w:b/>
          <w:color w:val="auto"/>
          <w:szCs w:val="21"/>
        </w:rPr>
        <w:t>3.3 投标有效期</w:t>
      </w:r>
      <w:bookmarkEnd w:id="137"/>
      <w:bookmarkEnd w:id="138"/>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3.3.1 除投标人须知前附表另有规定外，投标有效期为</w:t>
      </w:r>
      <w:r>
        <w:rPr>
          <w:rFonts w:hint="eastAsia" w:ascii="宋体" w:hAnsi="宋体" w:cs="宋体"/>
          <w:color w:val="auto"/>
          <w:szCs w:val="21"/>
          <w:lang w:val="en-US" w:eastAsia="zh-CN"/>
        </w:rPr>
        <w:t>90</w:t>
      </w:r>
      <w:r>
        <w:rPr>
          <w:rFonts w:hint="eastAsia" w:ascii="宋体" w:hAnsi="宋体" w:cs="宋体"/>
          <w:color w:val="auto"/>
          <w:szCs w:val="21"/>
        </w:rPr>
        <w:t>天。</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3.3.2 在投标有效期内，投标人撤销投标文件的，应承担招标文件和法律规定的责任。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3.3.3 出现特殊情况需要延长投标有效期的，招标人以书面形式通知所有投标人延长投标有效期。投标人应予以书面答复，同意延长的，</w:t>
      </w:r>
      <w:r>
        <w:rPr>
          <w:rFonts w:hint="eastAsia" w:ascii="宋体" w:hAnsi="宋体" w:cs="宋体"/>
          <w:strike/>
          <w:color w:val="auto"/>
          <w:szCs w:val="21"/>
        </w:rPr>
        <w:t>应相应延长其投标保证金的有效期，但</w:t>
      </w:r>
      <w:r>
        <w:rPr>
          <w:rFonts w:hint="eastAsia" w:ascii="宋体" w:hAnsi="宋体" w:cs="宋体"/>
          <w:color w:val="auto"/>
          <w:szCs w:val="21"/>
        </w:rPr>
        <w:t>不得要求或被允许修改其投标文件；投标人拒绝延长的，其投标失效</w:t>
      </w:r>
      <w:r>
        <w:rPr>
          <w:rFonts w:hint="eastAsia" w:ascii="宋体" w:hAnsi="宋体" w:cs="宋体"/>
          <w:strike/>
          <w:color w:val="auto"/>
          <w:szCs w:val="21"/>
        </w:rPr>
        <w:t>，但投标人有权收回其投标保证金及以现金或者支票形式递交的投标保证金的银行同期存款利息</w:t>
      </w:r>
      <w:r>
        <w:rPr>
          <w:rFonts w:hint="eastAsia" w:ascii="宋体" w:hAnsi="宋体" w:cs="宋体"/>
          <w:color w:val="auto"/>
          <w:szCs w:val="21"/>
        </w:rPr>
        <w:t>。</w:t>
      </w:r>
    </w:p>
    <w:p>
      <w:pPr>
        <w:snapToGrid w:val="0"/>
        <w:spacing w:line="360" w:lineRule="auto"/>
        <w:rPr>
          <w:rFonts w:ascii="宋体" w:hAnsi="宋体" w:cs="宋体"/>
          <w:b/>
          <w:color w:val="auto"/>
          <w:szCs w:val="21"/>
        </w:rPr>
      </w:pPr>
      <w:bookmarkStart w:id="139" w:name="_Toc529196542"/>
      <w:bookmarkStart w:id="140" w:name="_Toc515205215"/>
      <w:r>
        <w:rPr>
          <w:rFonts w:hint="eastAsia" w:ascii="宋体" w:hAnsi="宋体" w:cs="宋体"/>
          <w:b/>
          <w:color w:val="auto"/>
          <w:szCs w:val="21"/>
        </w:rPr>
        <w:t>3.4 投标保证金</w:t>
      </w:r>
      <w:bookmarkEnd w:id="139"/>
      <w:bookmarkEnd w:id="140"/>
      <w:r>
        <w:rPr>
          <w:rFonts w:hint="eastAsia" w:ascii="宋体" w:hAnsi="宋体" w:cs="宋体"/>
          <w:b/>
          <w:color w:val="auto"/>
          <w:szCs w:val="21"/>
        </w:rPr>
        <w:t>（本项目不需要缴纳投标保证金）</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3.4.1 投标人在递交投标文件的同时，应按投标人须知前附表规定的金额</w:t>
      </w:r>
      <w:bookmarkStart w:id="141" w:name="_Toc247527570"/>
      <w:bookmarkStart w:id="142" w:name="_Toc361508601"/>
      <w:bookmarkStart w:id="143" w:name="_Toc300834966"/>
      <w:bookmarkStart w:id="144" w:name="_Toc247513969"/>
      <w:bookmarkStart w:id="145" w:name="_Toc4592"/>
      <w:bookmarkStart w:id="146" w:name="_Toc369531532"/>
      <w:bookmarkStart w:id="147" w:name="_Toc144974513"/>
      <w:bookmarkStart w:id="148" w:name="_Toc352691489"/>
      <w:bookmarkStart w:id="149" w:name="_Toc152042321"/>
      <w:bookmarkStart w:id="150" w:name="_Toc152045545"/>
      <w:bookmarkStart w:id="151" w:name="_Toc384308226"/>
      <w:r>
        <w:rPr>
          <w:rFonts w:hint="eastAsia" w:ascii="宋体" w:hAnsi="宋体" w:cs="宋体"/>
          <w:strike/>
          <w:color w:val="auto"/>
          <w:szCs w:val="21"/>
        </w:rPr>
        <w:t>、形式和第六章“投标文</w:t>
      </w:r>
      <w:bookmarkEnd w:id="141"/>
      <w:bookmarkEnd w:id="142"/>
      <w:bookmarkEnd w:id="143"/>
      <w:bookmarkEnd w:id="144"/>
      <w:bookmarkEnd w:id="145"/>
      <w:bookmarkEnd w:id="146"/>
      <w:bookmarkEnd w:id="147"/>
      <w:bookmarkEnd w:id="148"/>
      <w:bookmarkEnd w:id="149"/>
      <w:bookmarkEnd w:id="150"/>
      <w:bookmarkEnd w:id="151"/>
      <w:r>
        <w:rPr>
          <w:rFonts w:hint="eastAsia" w:ascii="宋体" w:hAnsi="宋体" w:cs="宋体"/>
          <w:strike/>
          <w:color w:val="auto"/>
          <w:szCs w:val="21"/>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napToGrid w:val="0"/>
        <w:spacing w:line="360" w:lineRule="auto"/>
        <w:ind w:firstLine="420" w:firstLineChars="200"/>
        <w:jc w:val="left"/>
        <w:rPr>
          <w:rFonts w:ascii="宋体" w:hAnsi="宋体" w:cs="宋体"/>
          <w:strike/>
          <w:color w:val="auto"/>
          <w:szCs w:val="21"/>
        </w:rPr>
      </w:pPr>
      <w:r>
        <w:rPr>
          <w:rFonts w:hint="eastAsia" w:ascii="宋体" w:hAnsi="宋体" w:cs="宋体"/>
          <w:strike/>
          <w:color w:val="auto"/>
          <w:szCs w:val="21"/>
        </w:rPr>
        <w:t>3.4.2 投标人不按本章第3.4.1项</w:t>
      </w:r>
      <w:bookmarkStart w:id="152" w:name="_Toc384308227"/>
      <w:bookmarkStart w:id="153" w:name="_Toc352691490"/>
      <w:bookmarkStart w:id="154" w:name="_Toc369531533"/>
      <w:bookmarkStart w:id="155" w:name="_Toc361508602"/>
      <w:bookmarkStart w:id="156" w:name="_Toc29025"/>
      <w:r>
        <w:rPr>
          <w:rFonts w:hint="eastAsia" w:ascii="宋体" w:hAnsi="宋体" w:cs="宋体"/>
          <w:strike/>
          <w:color w:val="auto"/>
          <w:szCs w:val="21"/>
        </w:rPr>
        <w:t>要求提交投标保证金的，</w:t>
      </w:r>
      <w:bookmarkEnd w:id="152"/>
      <w:bookmarkEnd w:id="153"/>
      <w:bookmarkEnd w:id="154"/>
      <w:bookmarkEnd w:id="155"/>
      <w:bookmarkEnd w:id="156"/>
      <w:r>
        <w:rPr>
          <w:rFonts w:hint="eastAsia" w:ascii="宋体" w:hAnsi="宋体" w:cs="宋体"/>
          <w:strike/>
          <w:color w:val="auto"/>
          <w:szCs w:val="21"/>
        </w:rPr>
        <w:t>评标委员会将否决其投标。</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3.4.3 招标人最迟将在与中标人</w:t>
      </w:r>
      <w:bookmarkStart w:id="157" w:name="_Toc247513970"/>
      <w:bookmarkStart w:id="158" w:name="_Toc144974514"/>
      <w:bookmarkStart w:id="159" w:name="_Toc247527571"/>
      <w:bookmarkStart w:id="160" w:name="_Toc14751"/>
      <w:bookmarkStart w:id="161" w:name="_Toc361508603"/>
      <w:bookmarkStart w:id="162" w:name="_Toc300834967"/>
      <w:bookmarkStart w:id="163" w:name="_Toc384308228"/>
      <w:bookmarkStart w:id="164" w:name="_Toc369531534"/>
      <w:bookmarkStart w:id="165" w:name="_Toc352691491"/>
      <w:bookmarkStart w:id="166" w:name="_Toc152045546"/>
      <w:bookmarkStart w:id="167" w:name="_Toc152042322"/>
      <w:r>
        <w:rPr>
          <w:rFonts w:hint="eastAsia" w:ascii="宋体" w:hAnsi="宋体" w:cs="宋体"/>
          <w:strike/>
          <w:color w:val="auto"/>
          <w:szCs w:val="21"/>
        </w:rPr>
        <w:t>签订合同后5日</w:t>
      </w:r>
      <w:bookmarkEnd w:id="157"/>
      <w:bookmarkEnd w:id="158"/>
      <w:bookmarkEnd w:id="159"/>
      <w:bookmarkEnd w:id="160"/>
      <w:bookmarkEnd w:id="161"/>
      <w:bookmarkEnd w:id="162"/>
      <w:bookmarkEnd w:id="163"/>
      <w:bookmarkEnd w:id="164"/>
      <w:bookmarkEnd w:id="165"/>
      <w:bookmarkEnd w:id="166"/>
      <w:bookmarkEnd w:id="167"/>
      <w:r>
        <w:rPr>
          <w:rFonts w:hint="eastAsia" w:ascii="宋体" w:hAnsi="宋体" w:cs="宋体"/>
          <w:strike/>
          <w:color w:val="auto"/>
          <w:szCs w:val="21"/>
        </w:rPr>
        <w:t>内</w:t>
      </w:r>
      <w:bookmarkStart w:id="168" w:name="_Toc369531535"/>
      <w:bookmarkStart w:id="169" w:name="_Toc247513971"/>
      <w:bookmarkStart w:id="170" w:name="_Toc361508604"/>
      <w:bookmarkStart w:id="171" w:name="_Toc247527572"/>
      <w:bookmarkStart w:id="172" w:name="_Toc384308229"/>
      <w:bookmarkStart w:id="173" w:name="_Toc300834968"/>
      <w:bookmarkStart w:id="174" w:name="_Toc144974515"/>
      <w:bookmarkStart w:id="175" w:name="_Toc152045547"/>
      <w:bookmarkStart w:id="176" w:name="_Toc352691492"/>
      <w:bookmarkStart w:id="177" w:name="_Toc152042323"/>
      <w:bookmarkStart w:id="178" w:name="_Toc17952"/>
      <w:r>
        <w:rPr>
          <w:rFonts w:hint="eastAsia" w:ascii="宋体" w:hAnsi="宋体" w:cs="宋体"/>
          <w:strike/>
          <w:color w:val="auto"/>
          <w:szCs w:val="21"/>
        </w:rPr>
        <w:t>，向未中标的投标人和中</w:t>
      </w:r>
      <w:bookmarkEnd w:id="168"/>
      <w:bookmarkEnd w:id="169"/>
      <w:bookmarkEnd w:id="170"/>
      <w:bookmarkEnd w:id="171"/>
      <w:bookmarkEnd w:id="172"/>
      <w:bookmarkEnd w:id="173"/>
      <w:bookmarkEnd w:id="174"/>
      <w:bookmarkEnd w:id="175"/>
      <w:bookmarkEnd w:id="176"/>
      <w:bookmarkEnd w:id="177"/>
      <w:bookmarkEnd w:id="178"/>
      <w:r>
        <w:rPr>
          <w:rFonts w:hint="eastAsia" w:ascii="宋体" w:hAnsi="宋体" w:cs="宋体"/>
          <w:strike/>
          <w:color w:val="auto"/>
          <w:szCs w:val="21"/>
        </w:rPr>
        <w:t>标人退还投标保证金。投标保证金以现金或者支票形式递交的，还应退还银行同期存款利息。</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3.4.4 有下列情形之一的，投标保证金将不予退还：</w:t>
      </w:r>
    </w:p>
    <w:p>
      <w:pPr>
        <w:snapToGrid w:val="0"/>
        <w:spacing w:line="360" w:lineRule="auto"/>
        <w:ind w:firstLine="315" w:firstLineChars="150"/>
        <w:rPr>
          <w:rFonts w:ascii="宋体" w:hAnsi="宋体" w:cs="宋体"/>
          <w:strike/>
          <w:color w:val="auto"/>
          <w:szCs w:val="21"/>
        </w:rPr>
      </w:pPr>
      <w:r>
        <w:rPr>
          <w:rFonts w:hint="eastAsia" w:ascii="宋体" w:hAnsi="宋体" w:cs="宋体"/>
          <w:strike/>
          <w:color w:val="auto"/>
          <w:szCs w:val="21"/>
        </w:rPr>
        <w:t>（1）投标人在投标有效期内撤销投标文件；</w:t>
      </w:r>
    </w:p>
    <w:p>
      <w:pPr>
        <w:snapToGrid w:val="0"/>
        <w:spacing w:line="360" w:lineRule="auto"/>
        <w:ind w:firstLine="315" w:firstLineChars="150"/>
        <w:rPr>
          <w:rFonts w:ascii="宋体" w:hAnsi="宋体" w:cs="宋体"/>
          <w:strike/>
          <w:color w:val="auto"/>
          <w:szCs w:val="21"/>
        </w:rPr>
      </w:pPr>
      <w:r>
        <w:rPr>
          <w:rFonts w:hint="eastAsia" w:ascii="宋体" w:hAnsi="宋体" w:cs="宋体"/>
          <w:strike/>
          <w:color w:val="auto"/>
          <w:szCs w:val="21"/>
        </w:rPr>
        <w:t>（2）中标人在收到中标通知书后，无正当理由不与招标人订立合同，在签订合同时向招标人提出附加条件，或者不按照招标文件要求提交履约保证金；</w:t>
      </w:r>
    </w:p>
    <w:p>
      <w:pPr>
        <w:snapToGrid w:val="0"/>
        <w:spacing w:line="360" w:lineRule="auto"/>
        <w:ind w:firstLine="315" w:firstLineChars="150"/>
        <w:rPr>
          <w:rFonts w:ascii="宋体" w:hAnsi="宋体" w:cs="宋体"/>
          <w:strike/>
          <w:color w:val="auto"/>
          <w:szCs w:val="21"/>
        </w:rPr>
      </w:pPr>
      <w:r>
        <w:rPr>
          <w:rFonts w:hint="eastAsia" w:ascii="宋体" w:hAnsi="宋体" w:cs="宋体"/>
          <w:strike/>
          <w:color w:val="auto"/>
          <w:szCs w:val="21"/>
        </w:rPr>
        <w:t>（3）发生投标人须知前附表规定的其他可以不予退还投标保证金的情形。</w:t>
      </w:r>
    </w:p>
    <w:p>
      <w:pPr>
        <w:snapToGrid w:val="0"/>
        <w:spacing w:line="360" w:lineRule="auto"/>
        <w:rPr>
          <w:rFonts w:ascii="宋体" w:hAnsi="宋体" w:cs="宋体"/>
          <w:b/>
          <w:strike/>
          <w:color w:val="auto"/>
          <w:szCs w:val="21"/>
        </w:rPr>
      </w:pPr>
      <w:bookmarkStart w:id="179" w:name="_Toc529196543"/>
      <w:bookmarkStart w:id="180" w:name="_Toc515205216"/>
      <w:r>
        <w:rPr>
          <w:rFonts w:hint="eastAsia" w:ascii="宋体" w:hAnsi="宋体" w:cs="宋体"/>
          <w:b/>
          <w:strike/>
          <w:color w:val="auto"/>
          <w:szCs w:val="21"/>
        </w:rPr>
        <w:t>3.5 资格审查资料（适用于已进行资格预审的）</w:t>
      </w:r>
      <w:bookmarkEnd w:id="179"/>
      <w:bookmarkEnd w:id="180"/>
    </w:p>
    <w:p>
      <w:pPr>
        <w:snapToGrid w:val="0"/>
        <w:spacing w:line="360" w:lineRule="auto"/>
        <w:ind w:firstLine="567" w:firstLineChars="270"/>
        <w:rPr>
          <w:rFonts w:ascii="宋体" w:hAnsi="宋体" w:cs="宋体"/>
          <w:strike/>
          <w:color w:val="auto"/>
          <w:szCs w:val="21"/>
        </w:rPr>
      </w:pPr>
      <w:r>
        <w:rPr>
          <w:rFonts w:hint="eastAsia" w:ascii="宋体" w:hAnsi="宋体" w:cs="宋体"/>
          <w:strike/>
          <w:color w:val="auto"/>
          <w:szCs w:val="21"/>
        </w:rPr>
        <w:t>投标人在递交投标文件前，发生可能影响其投标资格的新情况的，应更新或补充其在申请资格预审时提供的资料，以证实其各项资格条件仍能继续满足资格预审文件的要求，且没有实质性降低。</w:t>
      </w:r>
    </w:p>
    <w:p>
      <w:pPr>
        <w:snapToGrid w:val="0"/>
        <w:spacing w:line="360" w:lineRule="auto"/>
        <w:rPr>
          <w:rFonts w:ascii="宋体" w:hAnsi="宋体" w:cs="宋体"/>
          <w:b/>
          <w:color w:val="auto"/>
          <w:szCs w:val="21"/>
        </w:rPr>
      </w:pPr>
      <w:bookmarkStart w:id="181" w:name="_Toc515205217"/>
      <w:bookmarkStart w:id="182" w:name="_Toc529196544"/>
      <w:r>
        <w:rPr>
          <w:rFonts w:hint="eastAsia" w:ascii="宋体" w:hAnsi="宋体" w:cs="宋体"/>
          <w:b/>
          <w:color w:val="auto"/>
          <w:szCs w:val="21"/>
        </w:rPr>
        <w:t>3.5 资格审查资料（适用于未进行资格预审的）</w:t>
      </w:r>
      <w:bookmarkEnd w:id="181"/>
      <w:bookmarkEnd w:id="182"/>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除投标人须知前附表另有规定外，投标人应</w:t>
      </w:r>
      <w:r>
        <w:rPr>
          <w:rFonts w:hint="eastAsia" w:ascii="宋体" w:hAnsi="宋体" w:cs="宋体"/>
          <w:strike/>
          <w:color w:val="auto"/>
          <w:szCs w:val="21"/>
        </w:rPr>
        <w:t>按下列规定</w:t>
      </w:r>
      <w:r>
        <w:rPr>
          <w:rFonts w:hint="eastAsia" w:ascii="宋体" w:hAnsi="宋体" w:cs="宋体"/>
          <w:color w:val="auto"/>
          <w:szCs w:val="21"/>
        </w:rPr>
        <w:t>提供资格审查资料，以证明其满足本章第 1.4 款规定的资质、财务、业绩、信誉等要求。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3.5.1 “投标人基本情况表”应附投标人营业执照和组织机构代码证的复印件（按照“三证合一”或“五证合一”登记制度进行登记的，可仅提供营业执照复印件）、投标人监理资质证书副本等材料的复印件。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3.5.3 “近年完成的类似监理项目情况表”应附中标通知书和（或）合同协议书、委托人出具的证明文件；具体时间要求见投标人须知前附表，每张表格只填写一个项目，并标明序号。</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3.5.4 “正在监理和新承接的项目情况表”应附中标通知书和（或）合同协议书复印件。每张表格只填写一个项目，并标明序号。</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3.5.5 “近年发生的诉讼及仲裁情况”应说明投标人败诉的监理合同的相关情况，并附法院或仲裁机构作出的判决、裁决等有关法律文书复印件，具体时间要求见投标人须知前附表。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3.5.6 “拟委任的主要人员汇总表”应填报满足本章第 1.4.1 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3.5.7 “拟投入本项目的主要试验检测仪器设备表”应填报满足本章第 1.4.1 项规定的试验检测仪器设备。</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3.5.8 投标人须知前附表规定接受联合体投标的，本章第 3.5.1 项至第 3.5.7 项规定的表格和资料应包括联合体各方相关情况。</w:t>
      </w:r>
    </w:p>
    <w:p>
      <w:pPr>
        <w:snapToGrid w:val="0"/>
        <w:spacing w:line="360" w:lineRule="auto"/>
        <w:rPr>
          <w:rFonts w:ascii="宋体" w:hAnsi="宋体" w:cs="宋体"/>
          <w:b/>
          <w:color w:val="auto"/>
          <w:szCs w:val="21"/>
        </w:rPr>
      </w:pPr>
      <w:bookmarkStart w:id="183" w:name="_Toc515205218"/>
      <w:bookmarkStart w:id="184" w:name="_Toc529196545"/>
      <w:r>
        <w:rPr>
          <w:rFonts w:hint="eastAsia" w:ascii="宋体" w:hAnsi="宋体" w:cs="宋体"/>
          <w:b/>
          <w:color w:val="auto"/>
          <w:szCs w:val="21"/>
        </w:rPr>
        <w:t>3.6 备选投标方案</w:t>
      </w:r>
      <w:bookmarkEnd w:id="183"/>
      <w:bookmarkEnd w:id="184"/>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3.6.1 除投标人须知前附表规定允许外，投标人不得递交备选投标方案，否则其投标将被否决。</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3.6.3 投标人提供两个或两个以上投标报价，或者在投标文件中提供一个报价，但同时提供两个或两个以上</w:t>
      </w:r>
      <w:bookmarkStart w:id="185" w:name="_Toc352691495"/>
      <w:bookmarkStart w:id="186" w:name="_Toc369531538"/>
      <w:bookmarkStart w:id="187" w:name="_Toc384308232"/>
      <w:bookmarkStart w:id="188" w:name="_Toc144974518"/>
      <w:bookmarkStart w:id="189" w:name="_Toc247513974"/>
      <w:bookmarkStart w:id="190" w:name="_Toc361508607"/>
      <w:bookmarkStart w:id="191" w:name="_Toc29902"/>
      <w:bookmarkStart w:id="192" w:name="_Toc152045550"/>
      <w:bookmarkStart w:id="193" w:name="_Toc152042326"/>
      <w:bookmarkStart w:id="194" w:name="_Toc300834971"/>
      <w:bookmarkStart w:id="195" w:name="_Toc247527575"/>
      <w:r>
        <w:rPr>
          <w:rFonts w:hint="eastAsia" w:ascii="宋体" w:hAnsi="宋体" w:cs="宋体"/>
          <w:color w:val="auto"/>
          <w:szCs w:val="21"/>
        </w:rPr>
        <w:t>监理方案的</w:t>
      </w:r>
      <w:bookmarkEnd w:id="185"/>
      <w:bookmarkEnd w:id="186"/>
      <w:bookmarkEnd w:id="187"/>
      <w:bookmarkEnd w:id="188"/>
      <w:bookmarkEnd w:id="189"/>
      <w:bookmarkEnd w:id="190"/>
      <w:bookmarkEnd w:id="191"/>
      <w:bookmarkEnd w:id="192"/>
      <w:bookmarkEnd w:id="193"/>
      <w:bookmarkEnd w:id="194"/>
      <w:bookmarkEnd w:id="195"/>
      <w:r>
        <w:rPr>
          <w:rFonts w:hint="eastAsia" w:ascii="宋体" w:hAnsi="宋体" w:cs="宋体"/>
          <w:color w:val="auto"/>
          <w:szCs w:val="21"/>
        </w:rPr>
        <w:t>，视为提供备选方案。</w:t>
      </w:r>
    </w:p>
    <w:p>
      <w:pPr>
        <w:snapToGrid w:val="0"/>
        <w:spacing w:line="360" w:lineRule="auto"/>
        <w:rPr>
          <w:rFonts w:ascii="宋体" w:hAnsi="宋体" w:cs="宋体"/>
          <w:b/>
          <w:color w:val="auto"/>
          <w:szCs w:val="21"/>
        </w:rPr>
      </w:pPr>
      <w:bookmarkStart w:id="196" w:name="_Toc529196546"/>
      <w:bookmarkStart w:id="197" w:name="_Toc515205219"/>
      <w:r>
        <w:rPr>
          <w:rFonts w:hint="eastAsia" w:ascii="宋体" w:hAnsi="宋体" w:cs="宋体"/>
          <w:b/>
          <w:color w:val="auto"/>
          <w:szCs w:val="21"/>
        </w:rPr>
        <w:t>3.7 投标文件的编制</w:t>
      </w:r>
      <w:bookmarkEnd w:id="196"/>
      <w:bookmarkEnd w:id="197"/>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3.7.2 投标文件应当对招标文件有关监理服务期限、投标有效期、委托人要求、招标范围等实质性内容作出响应。</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（3）投标文件的正本与副本应分别装订，并编制目录，投标文件需分册装订的，具体分册装订要求见投标人须知前附表规定。</w:t>
      </w:r>
    </w:p>
    <w:p>
      <w:pPr>
        <w:snapToGrid w:val="0"/>
        <w:spacing w:line="360" w:lineRule="auto"/>
        <w:ind w:firstLine="420" w:firstLineChars="200"/>
        <w:rPr>
          <w:rFonts w:ascii="宋体" w:hAnsi="宋体" w:cs="宋体"/>
          <w:color w:val="auto"/>
          <w:szCs w:val="21"/>
        </w:rPr>
      </w:pPr>
      <w:bookmarkStart w:id="198" w:name="_Toc514946914"/>
      <w:r>
        <w:rPr>
          <w:rFonts w:hint="eastAsia" w:ascii="宋体" w:hAnsi="宋体" w:cs="宋体"/>
          <w:color w:val="auto"/>
          <w:szCs w:val="21"/>
        </w:rPr>
        <w:t>3.7.3（B）投标文件全部采用电子文档，除投标人须知前附表另有规定外，投标文件所附证书证件均为</w:t>
      </w:r>
      <w:r>
        <w:rPr>
          <w:rFonts w:hint="eastAsia" w:ascii="宋体" w:hAnsi="宋体" w:cs="宋体"/>
          <w:strike/>
          <w:color w:val="auto"/>
          <w:szCs w:val="21"/>
        </w:rPr>
        <w:t>原件</w:t>
      </w:r>
      <w:r>
        <w:rPr>
          <w:rFonts w:hint="eastAsia" w:ascii="宋体" w:hAnsi="宋体" w:cs="宋体"/>
          <w:color w:val="auto"/>
          <w:szCs w:val="21"/>
        </w:rPr>
        <w:t>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98"/>
    </w:p>
    <w:p>
      <w:pPr>
        <w:snapToGrid w:val="0"/>
        <w:spacing w:line="360" w:lineRule="auto"/>
        <w:outlineLvl w:val="2"/>
        <w:rPr>
          <w:rFonts w:ascii="宋体" w:hAnsi="宋体" w:cs="宋体"/>
          <w:b/>
          <w:color w:val="auto"/>
          <w:szCs w:val="21"/>
        </w:rPr>
      </w:pPr>
      <w:bookmarkStart w:id="199" w:name="_Toc515205220"/>
      <w:bookmarkStart w:id="200" w:name="_Toc27659"/>
      <w:bookmarkStart w:id="201" w:name="_Toc28004"/>
      <w:bookmarkStart w:id="202" w:name="_Toc529196547"/>
      <w:bookmarkStart w:id="203" w:name="_Toc11418"/>
      <w:r>
        <w:rPr>
          <w:rFonts w:hint="eastAsia" w:ascii="宋体" w:hAnsi="宋体" w:cs="宋体"/>
          <w:b/>
          <w:color w:val="auto"/>
          <w:szCs w:val="21"/>
        </w:rPr>
        <w:t>4. 投标</w:t>
      </w:r>
      <w:bookmarkEnd w:id="199"/>
      <w:bookmarkEnd w:id="200"/>
      <w:bookmarkEnd w:id="201"/>
      <w:bookmarkEnd w:id="202"/>
      <w:bookmarkEnd w:id="203"/>
    </w:p>
    <w:p>
      <w:pPr>
        <w:snapToGrid w:val="0"/>
        <w:spacing w:line="360" w:lineRule="auto"/>
        <w:rPr>
          <w:rFonts w:ascii="宋体" w:hAnsi="宋体" w:cs="宋体"/>
          <w:b/>
          <w:color w:val="auto"/>
          <w:szCs w:val="21"/>
        </w:rPr>
      </w:pPr>
      <w:bookmarkStart w:id="204" w:name="_Toc529196548"/>
      <w:bookmarkStart w:id="205" w:name="_Toc515205221"/>
      <w:r>
        <w:rPr>
          <w:rFonts w:hint="eastAsia" w:ascii="宋体" w:hAnsi="宋体" w:cs="宋体"/>
          <w:b/>
          <w:color w:val="auto"/>
          <w:szCs w:val="21"/>
        </w:rPr>
        <w:t>4.1 投标文件的密封和标记</w:t>
      </w:r>
      <w:bookmarkEnd w:id="204"/>
      <w:bookmarkEnd w:id="205"/>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4.1.1 （A）投标文件</w:t>
      </w:r>
      <w:r>
        <w:rPr>
          <w:rFonts w:hint="eastAsia" w:ascii="宋体" w:hAnsi="宋体" w:cs="宋体"/>
          <w:color w:val="auto"/>
          <w:szCs w:val="21"/>
          <w:u w:val="single"/>
        </w:rPr>
        <w:t>光盘备用</w:t>
      </w:r>
      <w:r>
        <w:rPr>
          <w:rFonts w:hint="eastAsia" w:ascii="宋体" w:hAnsi="宋体" w:cs="宋体"/>
          <w:color w:val="auto"/>
          <w:szCs w:val="21"/>
        </w:rPr>
        <w:t>应密封包装，并在封套的封口处加盖投标人单位章或由投标人的法定代表人或其授权的代理人签字。</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4.1.1 （B）投标人应当按照招标文件和电子招标投标交易平台的要求加密投标文件，具体要求见投标人须知前附表。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 投标文件</w:t>
      </w:r>
      <w:r>
        <w:rPr>
          <w:rFonts w:hint="eastAsia" w:ascii="宋体" w:hAnsi="宋体" w:cs="宋体"/>
          <w:color w:val="auto"/>
          <w:szCs w:val="21"/>
          <w:u w:val="single"/>
        </w:rPr>
        <w:t>光盘备用</w:t>
      </w:r>
      <w:r>
        <w:rPr>
          <w:rFonts w:hint="eastAsia" w:ascii="宋体" w:hAnsi="宋体" w:cs="宋体"/>
          <w:color w:val="auto"/>
          <w:szCs w:val="21"/>
        </w:rPr>
        <w:t>封套上应写明的内容见投标人须知前附表。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4.1.3 未按本章第4.1.1项要求密封的投标文件</w:t>
      </w:r>
      <w:r>
        <w:rPr>
          <w:rFonts w:hint="eastAsia" w:ascii="宋体" w:hAnsi="宋体" w:cs="宋体"/>
          <w:color w:val="auto"/>
          <w:szCs w:val="21"/>
          <w:u w:val="single"/>
        </w:rPr>
        <w:t>光盘备用</w:t>
      </w:r>
      <w:r>
        <w:rPr>
          <w:rFonts w:hint="eastAsia" w:ascii="宋体" w:hAnsi="宋体" w:cs="宋体"/>
          <w:color w:val="auto"/>
          <w:szCs w:val="21"/>
        </w:rPr>
        <w:t>，招标人将予以拒收。</w:t>
      </w:r>
    </w:p>
    <w:p>
      <w:pPr>
        <w:snapToGrid w:val="0"/>
        <w:spacing w:line="360" w:lineRule="auto"/>
        <w:rPr>
          <w:rFonts w:ascii="宋体" w:hAnsi="宋体" w:cs="宋体"/>
          <w:b/>
          <w:color w:val="auto"/>
          <w:szCs w:val="21"/>
        </w:rPr>
      </w:pPr>
      <w:bookmarkStart w:id="206" w:name="_Toc529196549"/>
      <w:bookmarkStart w:id="207" w:name="_Toc515205222"/>
      <w:r>
        <w:rPr>
          <w:rFonts w:hint="eastAsia" w:ascii="宋体" w:hAnsi="宋体" w:cs="宋体"/>
          <w:b/>
          <w:color w:val="auto"/>
          <w:szCs w:val="21"/>
        </w:rPr>
        <w:t>4.2 投标文件的递交</w:t>
      </w:r>
      <w:bookmarkEnd w:id="206"/>
      <w:bookmarkEnd w:id="207"/>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4.2.1 投标人应在投标人须知前附表规定的投标截止时间前递交投标文件。</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4.2.2 （A）投标人递交投标文件的地点：见投标人须知前附表。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4.2.2 （B）投标人通过下载招标文件的电子招标投标交易平台递交电子投标文件。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4.2.3 除投标人须知前附表另有规定外，投标人所递交的投标文件不予退还。</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4.2.4 （A）招标人收到投标文件后，向投标人出具签收凭证。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4.2.4 （B）投标人完成电子投标文件上传后，电子招标投标交易平台即时向投标人发出递交回执通知。递交时间以递交回执通知载明的传输完成时间为准。</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4.2.5 （A）逾期送达的投标文件，招标人将予以拒收。</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4.2.5 （B）逾期送达的投标文件，电子招标投标交易平台将予以拒收。</w:t>
      </w:r>
    </w:p>
    <w:p>
      <w:pPr>
        <w:snapToGrid w:val="0"/>
        <w:spacing w:line="360" w:lineRule="auto"/>
        <w:rPr>
          <w:rFonts w:ascii="宋体" w:hAnsi="宋体" w:cs="宋体"/>
          <w:b/>
          <w:color w:val="auto"/>
          <w:szCs w:val="21"/>
        </w:rPr>
      </w:pPr>
      <w:bookmarkStart w:id="208" w:name="_Toc529196550"/>
      <w:bookmarkStart w:id="209" w:name="_Toc515205223"/>
      <w:r>
        <w:rPr>
          <w:rFonts w:hint="eastAsia" w:ascii="宋体" w:hAnsi="宋体" w:cs="宋体"/>
          <w:b/>
          <w:color w:val="auto"/>
          <w:szCs w:val="21"/>
        </w:rPr>
        <w:t>4.3 投标文件的修改与撤回</w:t>
      </w:r>
      <w:bookmarkEnd w:id="208"/>
      <w:bookmarkEnd w:id="209"/>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4.3.1 在本章第4.2.1项规定的投标截止时间前，投标人可以修改或撤回已递交的投标文件，但应以书面形式通知招标人。</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4.3.2 （A）投标人修改或撤回已递交投标文件的书面通知应按照本章第3.7.3（A）项的要求签字或盖章。招标人收到书面通知后，向投标人出具签收凭证。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4.3.2 （B）投标人修改或撤回已递交投标文件的通知，应按照本章第3.7.3（B）项的要求加盖电子印章。电子招标投标交易平台收到通知后，即时向投标人发出确认回执通知。</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4.3.3 投标人撤回投标文件的，招标人自收到投标人书面撤回通知之日起5日内退还已收取的投标保证金。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w:t>
      </w:r>
      <w:bookmarkStart w:id="210" w:name="_Toc144974521"/>
      <w:bookmarkStart w:id="211" w:name="_Toc152042329"/>
      <w:bookmarkStart w:id="212" w:name="_Toc361508610"/>
      <w:bookmarkStart w:id="213" w:name="_Toc19203"/>
      <w:bookmarkStart w:id="214" w:name="_Toc384308235"/>
      <w:bookmarkStart w:id="215" w:name="_Toc369531541"/>
      <w:bookmarkStart w:id="216" w:name="_Toc300834974"/>
      <w:bookmarkStart w:id="217" w:name="_Toc247527578"/>
      <w:bookmarkStart w:id="218" w:name="_Toc352691497"/>
      <w:bookmarkStart w:id="219" w:name="_Toc152045553"/>
      <w:bookmarkStart w:id="220" w:name="_Toc247513977"/>
      <w:r>
        <w:rPr>
          <w:rFonts w:hint="eastAsia" w:ascii="宋体" w:hAnsi="宋体" w:cs="宋体"/>
          <w:color w:val="auto"/>
          <w:szCs w:val="21"/>
        </w:rPr>
        <w:t>4 修改的内容为投标</w:t>
      </w:r>
      <w:bookmarkEnd w:id="210"/>
      <w:bookmarkEnd w:id="211"/>
      <w:bookmarkEnd w:id="212"/>
      <w:bookmarkEnd w:id="213"/>
      <w:bookmarkEnd w:id="214"/>
      <w:bookmarkEnd w:id="215"/>
      <w:bookmarkEnd w:id="216"/>
      <w:bookmarkEnd w:id="217"/>
      <w:bookmarkEnd w:id="218"/>
      <w:bookmarkEnd w:id="219"/>
      <w:bookmarkEnd w:id="220"/>
      <w:r>
        <w:rPr>
          <w:rFonts w:hint="eastAsia" w:ascii="宋体" w:hAnsi="宋体" w:cs="宋体"/>
          <w:color w:val="auto"/>
          <w:szCs w:val="21"/>
        </w:rPr>
        <w:t>文件的组成部分。修改的投标文件应按照本章第3条、第4条的规定进行编制、密封、标记和递交，并标明“修改”字样。</w:t>
      </w:r>
    </w:p>
    <w:p>
      <w:pPr>
        <w:snapToGrid w:val="0"/>
        <w:spacing w:line="360" w:lineRule="auto"/>
        <w:outlineLvl w:val="2"/>
        <w:rPr>
          <w:rFonts w:ascii="宋体" w:hAnsi="宋体" w:cs="宋体"/>
          <w:b/>
          <w:color w:val="auto"/>
          <w:szCs w:val="21"/>
        </w:rPr>
      </w:pPr>
      <w:bookmarkStart w:id="221" w:name="_Toc15046"/>
      <w:bookmarkStart w:id="222" w:name="_Toc22348"/>
      <w:bookmarkStart w:id="223" w:name="_Toc7746"/>
      <w:bookmarkStart w:id="224" w:name="_Toc515205224"/>
      <w:bookmarkStart w:id="225" w:name="_Toc529196551"/>
      <w:r>
        <w:rPr>
          <w:rFonts w:hint="eastAsia" w:ascii="宋体" w:hAnsi="宋体" w:cs="宋体"/>
          <w:b/>
          <w:color w:val="auto"/>
          <w:szCs w:val="21"/>
        </w:rPr>
        <w:t>5. 开标</w:t>
      </w:r>
      <w:bookmarkEnd w:id="221"/>
      <w:bookmarkEnd w:id="222"/>
      <w:bookmarkEnd w:id="223"/>
      <w:bookmarkEnd w:id="224"/>
      <w:bookmarkEnd w:id="225"/>
    </w:p>
    <w:p>
      <w:pPr>
        <w:snapToGrid w:val="0"/>
        <w:spacing w:line="360" w:lineRule="auto"/>
        <w:rPr>
          <w:rFonts w:ascii="宋体" w:hAnsi="宋体" w:cs="宋体"/>
          <w:b/>
          <w:strike/>
          <w:color w:val="auto"/>
          <w:szCs w:val="21"/>
        </w:rPr>
      </w:pPr>
      <w:bookmarkStart w:id="226" w:name="_Toc515205225"/>
      <w:bookmarkStart w:id="227" w:name="_Toc529196552"/>
      <w:r>
        <w:rPr>
          <w:rFonts w:ascii="宋体" w:hAnsi="宋体" w:cs="宋体"/>
          <w:b/>
          <w:strike/>
          <w:color w:val="auto"/>
          <w:szCs w:val="21"/>
        </w:rPr>
        <w:t xml:space="preserve">5.1 </w:t>
      </w:r>
      <w:r>
        <w:rPr>
          <w:rFonts w:hint="eastAsia" w:ascii="宋体" w:hAnsi="宋体" w:cs="宋体"/>
          <w:b/>
          <w:strike/>
          <w:color w:val="auto"/>
          <w:szCs w:val="21"/>
        </w:rPr>
        <w:t>开标时间和地点（</w:t>
      </w:r>
      <w:r>
        <w:rPr>
          <w:rFonts w:ascii="宋体" w:hAnsi="宋体" w:cs="宋体"/>
          <w:b/>
          <w:strike/>
          <w:color w:val="auto"/>
          <w:szCs w:val="21"/>
        </w:rPr>
        <w:t>A）</w:t>
      </w:r>
      <w:bookmarkEnd w:id="226"/>
      <w:bookmarkEnd w:id="227"/>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招标人在本章第</w:t>
      </w:r>
      <w:r>
        <w:rPr>
          <w:rFonts w:ascii="宋体" w:hAnsi="宋体" w:cs="宋体"/>
          <w:strike/>
          <w:color w:val="auto"/>
          <w:szCs w:val="21"/>
        </w:rPr>
        <w:t>4.2.1项规定的投标截止时间（开标时间）和投标人须知前附表规定的地点公开开标，并邀请所有投标人的法定代表人或其委托代理人准时参加。</w:t>
      </w:r>
    </w:p>
    <w:p>
      <w:pPr>
        <w:snapToGrid w:val="0"/>
        <w:spacing w:line="360" w:lineRule="auto"/>
        <w:rPr>
          <w:rFonts w:ascii="宋体" w:hAnsi="宋体" w:cs="宋体"/>
          <w:b/>
          <w:color w:val="auto"/>
          <w:szCs w:val="21"/>
        </w:rPr>
      </w:pPr>
      <w:bookmarkStart w:id="228" w:name="_Toc529196553"/>
      <w:bookmarkStart w:id="229" w:name="_Toc515205226"/>
      <w:r>
        <w:rPr>
          <w:rFonts w:hint="eastAsia" w:ascii="宋体" w:hAnsi="宋体" w:cs="宋体"/>
          <w:b/>
          <w:color w:val="auto"/>
          <w:szCs w:val="21"/>
        </w:rPr>
        <w:t>5.1 开标时间和地点（B）</w:t>
      </w:r>
      <w:bookmarkEnd w:id="228"/>
      <w:bookmarkEnd w:id="229"/>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招标人在本章第4.2.1项规定的投标截止时间（开标时间）,通过电子招标投标交易平台公开开标，开标时，投标人代表有权出席开标会，也可以自主决定不参加开标会，不参加开标会视为对开标过程无异议。</w:t>
      </w:r>
    </w:p>
    <w:p>
      <w:pPr>
        <w:snapToGrid w:val="0"/>
        <w:spacing w:line="360" w:lineRule="auto"/>
        <w:rPr>
          <w:rFonts w:ascii="宋体" w:hAnsi="宋体" w:cs="宋体"/>
          <w:b/>
          <w:color w:val="auto"/>
          <w:szCs w:val="21"/>
        </w:rPr>
      </w:pPr>
      <w:bookmarkStart w:id="230" w:name="_Toc515205227"/>
      <w:bookmarkStart w:id="231" w:name="_Toc529196554"/>
      <w:r>
        <w:rPr>
          <w:rFonts w:hint="eastAsia" w:ascii="宋体" w:hAnsi="宋体" w:cs="宋体"/>
          <w:b/>
          <w:color w:val="auto"/>
          <w:szCs w:val="21"/>
        </w:rPr>
        <w:t>5.2 开标程序</w:t>
      </w:r>
      <w:bookmarkEnd w:id="230"/>
      <w:bookmarkEnd w:id="231"/>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5.2.1主持人按下列程序进行开标：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（1）宣布开标纪律；</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（2）公布在投标截止时间前递交投标文件的投标人名称；</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（3）宣布</w:t>
      </w:r>
      <w:bookmarkStart w:id="232" w:name="_Toc22119"/>
      <w:bookmarkStart w:id="233" w:name="_Toc144974522"/>
      <w:bookmarkStart w:id="234" w:name="_Toc247513978"/>
      <w:bookmarkStart w:id="235" w:name="_Toc352691498"/>
      <w:bookmarkStart w:id="236" w:name="_Toc361508611"/>
      <w:bookmarkStart w:id="237" w:name="_Toc247527579"/>
      <w:bookmarkStart w:id="238" w:name="_Toc152045554"/>
      <w:bookmarkStart w:id="239" w:name="_Toc152042330"/>
      <w:bookmarkStart w:id="240" w:name="_Toc369531542"/>
      <w:bookmarkStart w:id="241" w:name="_Toc300834975"/>
      <w:bookmarkStart w:id="242" w:name="_Toc384308236"/>
      <w:r>
        <w:rPr>
          <w:rFonts w:hint="eastAsia" w:ascii="宋体" w:hAnsi="宋体" w:cs="宋体"/>
          <w:color w:val="auto"/>
          <w:szCs w:val="21"/>
        </w:rPr>
        <w:t>开标人、唱标人、记录人</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cs="宋体"/>
          <w:color w:val="auto"/>
          <w:szCs w:val="21"/>
        </w:rPr>
        <w:t>、监标人（如有）等有关人员姓名；</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（4）（A）检查投标文件的密封情况，按照投标人须知前附表规定的开标顺序当众开标，公布招标项目名称、投标人名称、投标保证金的递交情况、投标报价、监理服务期限及其他内容，并记录在案；</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（4）（B）投标截止时间后</w:t>
      </w:r>
      <w:r>
        <w:rPr>
          <w:rFonts w:hint="eastAsia" w:ascii="宋体" w:hAnsi="宋体" w:cs="宋体"/>
          <w:color w:val="auto"/>
          <w:szCs w:val="21"/>
          <w:lang w:val="en-US" w:eastAsia="zh-CN"/>
        </w:rPr>
        <w:t>一个小时</w:t>
      </w:r>
      <w:r>
        <w:rPr>
          <w:rFonts w:hint="eastAsia" w:ascii="宋体" w:hAnsi="宋体" w:cs="宋体"/>
          <w:color w:val="auto"/>
          <w:szCs w:val="21"/>
        </w:rPr>
        <w:t>内，投标人通过电子招标投标交易平台对已递交的电子投标文件进行解密，投标人完成解密后，再由招标人进行解密。解密完成后，公布招标项目名称、投标人名称、</w:t>
      </w:r>
      <w:r>
        <w:rPr>
          <w:rFonts w:hint="eastAsia" w:ascii="宋体" w:hAnsi="宋体" w:cs="宋体"/>
          <w:strike/>
          <w:color w:val="auto"/>
          <w:szCs w:val="21"/>
        </w:rPr>
        <w:t>投标保证金的递交情况、</w:t>
      </w:r>
      <w:r>
        <w:rPr>
          <w:rFonts w:hint="eastAsia" w:ascii="宋体" w:hAnsi="宋体" w:cs="宋体"/>
          <w:color w:val="auto"/>
          <w:szCs w:val="21"/>
        </w:rPr>
        <w:t>投标报价、监理服务期限及其他内容，并记录在案；未在规定时间内解密的投标文件不参与开标、评标。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（5）（A）投标人代表、招标人代表、监标人（如有）、记录人等有关人员在开标记录上签字确认；</w:t>
      </w:r>
      <w:r>
        <w:rPr>
          <w:rFonts w:hint="eastAsia" w:ascii="宋体" w:hAnsi="宋体" w:cs="宋体"/>
          <w:color w:val="auto"/>
          <w:szCs w:val="21"/>
          <w:u w:val="single"/>
        </w:rPr>
        <w:t>若有关人员不签字的，不影响开标程序；</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（5）（B）投标人代表、招标人代表、监标人、记录人等有关人员使用本人的电子印章在开标记录上签字确认；</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（6）开标结束。</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5.2.2截标后，开标开始时间因故推迟的，相关评标信息仍以原定的开标开始时间的信息为准。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5.2.3投标文件光盘备用的读取按投标人须知前附表第9条的规定执行。</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5.2.4投标截止时间前未完成投标文件传输的或因投标人之外的原因造成投标文件未解密的或未在投标截止时间后</w:t>
      </w:r>
      <w:r>
        <w:rPr>
          <w:rFonts w:hint="eastAsia" w:ascii="宋体" w:hAnsi="宋体" w:cs="宋体"/>
          <w:color w:val="auto"/>
          <w:szCs w:val="21"/>
          <w:lang w:val="en-US" w:eastAsia="zh-CN"/>
        </w:rPr>
        <w:t>一个小时</w:t>
      </w:r>
      <w:r>
        <w:rPr>
          <w:rFonts w:hint="eastAsia" w:ascii="宋体" w:hAnsi="宋体" w:cs="宋体"/>
          <w:color w:val="auto"/>
          <w:szCs w:val="21"/>
        </w:rPr>
        <w:t>解密的，视为投标人其撤回投标文件。因投标人原因造成投标文件未解密的，视为撤销其投标文件。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5.2.5开标时，本项目两个（含两个）以上的投标人加密打包投标文件电脑机器特征码一致的，不参与下一程序，并由评标委员会否决其投标。</w:t>
      </w:r>
    </w:p>
    <w:p>
      <w:pPr>
        <w:snapToGrid w:val="0"/>
        <w:spacing w:line="360" w:lineRule="auto"/>
        <w:rPr>
          <w:rFonts w:ascii="宋体" w:hAnsi="宋体" w:cs="宋体"/>
          <w:b/>
          <w:color w:val="auto"/>
          <w:szCs w:val="21"/>
        </w:rPr>
      </w:pPr>
      <w:bookmarkStart w:id="243" w:name="_Toc515205228"/>
      <w:bookmarkStart w:id="244" w:name="_Toc529196555"/>
      <w:r>
        <w:rPr>
          <w:rFonts w:hint="eastAsia" w:ascii="宋体" w:hAnsi="宋体" w:cs="宋体"/>
          <w:b/>
          <w:color w:val="auto"/>
          <w:szCs w:val="21"/>
        </w:rPr>
        <w:t>5.3 开标异议</w:t>
      </w:r>
      <w:bookmarkEnd w:id="243"/>
      <w:bookmarkEnd w:id="244"/>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5.3.1 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5.3.2 投标人未参加开标或在规定的时间内未提出异议的，视为对开标无异议。</w:t>
      </w:r>
      <w:bookmarkStart w:id="245" w:name="_Toc529196556"/>
      <w:bookmarkStart w:id="246" w:name="_Toc515205229"/>
    </w:p>
    <w:p>
      <w:pPr>
        <w:snapToGrid w:val="0"/>
        <w:spacing w:line="360" w:lineRule="auto"/>
        <w:outlineLvl w:val="2"/>
        <w:rPr>
          <w:rFonts w:ascii="宋体" w:hAnsi="宋体" w:cs="宋体"/>
          <w:b/>
          <w:color w:val="auto"/>
          <w:szCs w:val="21"/>
        </w:rPr>
      </w:pPr>
      <w:bookmarkStart w:id="247" w:name="_Toc3877"/>
      <w:bookmarkStart w:id="248" w:name="_Toc31207"/>
      <w:bookmarkStart w:id="249" w:name="_Toc19738"/>
      <w:r>
        <w:rPr>
          <w:rFonts w:hint="eastAsia" w:ascii="宋体" w:hAnsi="宋体" w:cs="宋体"/>
          <w:b/>
          <w:color w:val="auto"/>
          <w:szCs w:val="21"/>
        </w:rPr>
        <w:t>6. 评标</w:t>
      </w:r>
      <w:bookmarkEnd w:id="245"/>
      <w:bookmarkEnd w:id="246"/>
      <w:bookmarkEnd w:id="247"/>
      <w:bookmarkEnd w:id="248"/>
      <w:bookmarkEnd w:id="249"/>
    </w:p>
    <w:p>
      <w:pPr>
        <w:snapToGrid w:val="0"/>
        <w:spacing w:line="360" w:lineRule="auto"/>
        <w:rPr>
          <w:rFonts w:ascii="宋体" w:hAnsi="宋体" w:cs="宋体"/>
          <w:b/>
          <w:color w:val="auto"/>
          <w:szCs w:val="21"/>
        </w:rPr>
      </w:pPr>
      <w:bookmarkStart w:id="250" w:name="_Toc515205230"/>
      <w:bookmarkStart w:id="251" w:name="_Toc529196557"/>
      <w:r>
        <w:rPr>
          <w:rFonts w:hint="eastAsia" w:ascii="宋体" w:hAnsi="宋体" w:cs="宋体"/>
          <w:b/>
          <w:color w:val="auto"/>
          <w:szCs w:val="21"/>
        </w:rPr>
        <w:t>6.1 评标委员会</w:t>
      </w:r>
      <w:bookmarkEnd w:id="250"/>
      <w:bookmarkEnd w:id="251"/>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6.1.2 评标委员会成员有下列情形之一的，应当回避：</w:t>
      </w:r>
    </w:p>
    <w:p>
      <w:pPr>
        <w:snapToGrid w:val="0"/>
        <w:spacing w:line="360" w:lineRule="auto"/>
        <w:ind w:firstLine="718" w:firstLineChars="342"/>
        <w:rPr>
          <w:rFonts w:ascii="宋体" w:hAnsi="宋体" w:cs="宋体"/>
          <w:color w:val="auto"/>
          <w:szCs w:val="21"/>
        </w:rPr>
      </w:pPr>
      <w:r>
        <w:rPr>
          <w:rFonts w:hint="eastAsia" w:ascii="宋体" w:hAnsi="宋体" w:cs="宋体"/>
          <w:color w:val="auto"/>
          <w:szCs w:val="21"/>
        </w:rPr>
        <w:t>（1）投标人或投标人主要负责人的近亲属；</w:t>
      </w:r>
    </w:p>
    <w:p>
      <w:pPr>
        <w:snapToGrid w:val="0"/>
        <w:spacing w:line="360" w:lineRule="auto"/>
        <w:ind w:firstLine="718" w:firstLineChars="342"/>
        <w:rPr>
          <w:rFonts w:ascii="宋体" w:hAnsi="宋体" w:cs="宋体"/>
          <w:color w:val="auto"/>
          <w:szCs w:val="21"/>
        </w:rPr>
      </w:pPr>
      <w:r>
        <w:rPr>
          <w:rFonts w:hint="eastAsia" w:ascii="宋体" w:hAnsi="宋体" w:cs="宋体"/>
          <w:color w:val="auto"/>
          <w:szCs w:val="21"/>
        </w:rPr>
        <w:t>（2）项目主管部门或者行政监督部门的人员；</w:t>
      </w:r>
    </w:p>
    <w:p>
      <w:pPr>
        <w:snapToGrid w:val="0"/>
        <w:spacing w:line="360" w:lineRule="auto"/>
        <w:ind w:firstLine="718" w:firstLineChars="342"/>
        <w:rPr>
          <w:rFonts w:ascii="宋体" w:hAnsi="宋体" w:cs="宋体"/>
          <w:color w:val="auto"/>
          <w:szCs w:val="21"/>
        </w:rPr>
      </w:pPr>
      <w:r>
        <w:rPr>
          <w:rFonts w:hint="eastAsia" w:ascii="宋体" w:hAnsi="宋体" w:cs="宋体"/>
          <w:color w:val="auto"/>
          <w:szCs w:val="21"/>
        </w:rPr>
        <w:t>（3）与投标人有经济利益关系，可能影响对投标公正评审的；</w:t>
      </w:r>
    </w:p>
    <w:p>
      <w:pPr>
        <w:snapToGrid w:val="0"/>
        <w:spacing w:line="360" w:lineRule="auto"/>
        <w:ind w:firstLine="718" w:firstLineChars="342"/>
        <w:rPr>
          <w:rFonts w:ascii="宋体" w:hAnsi="宋体" w:cs="宋体"/>
          <w:color w:val="auto"/>
          <w:szCs w:val="21"/>
        </w:rPr>
      </w:pPr>
      <w:r>
        <w:rPr>
          <w:rFonts w:hint="eastAsia" w:ascii="宋体" w:hAnsi="宋体" w:cs="宋体"/>
          <w:color w:val="auto"/>
          <w:szCs w:val="21"/>
        </w:rPr>
        <w:t>（4）曾因在招标、评</w:t>
      </w:r>
      <w:bookmarkStart w:id="252" w:name="_Toc144974523"/>
      <w:bookmarkStart w:id="253" w:name="_Toc361508612"/>
      <w:bookmarkStart w:id="254" w:name="_Toc6230"/>
      <w:bookmarkStart w:id="255" w:name="_Toc152042331"/>
      <w:bookmarkStart w:id="256" w:name="_Toc247527580"/>
      <w:bookmarkStart w:id="257" w:name="_Toc369531543"/>
      <w:bookmarkStart w:id="258" w:name="_Toc152045555"/>
      <w:bookmarkStart w:id="259" w:name="_Toc384308237"/>
      <w:bookmarkStart w:id="260" w:name="_Toc247513979"/>
      <w:bookmarkStart w:id="261" w:name="_Toc352691499"/>
      <w:bookmarkStart w:id="262" w:name="_Toc300834976"/>
      <w:r>
        <w:rPr>
          <w:rFonts w:hint="eastAsia" w:ascii="宋体" w:hAnsi="宋体" w:cs="宋体"/>
          <w:color w:val="auto"/>
          <w:szCs w:val="21"/>
        </w:rPr>
        <w:t>标以及其他</w:t>
      </w:r>
      <w:bookmarkEnd w:id="252"/>
      <w:bookmarkEnd w:id="253"/>
      <w:bookmarkEnd w:id="254"/>
      <w:bookmarkEnd w:id="255"/>
      <w:bookmarkEnd w:id="256"/>
      <w:bookmarkEnd w:id="257"/>
      <w:bookmarkEnd w:id="258"/>
      <w:bookmarkEnd w:id="259"/>
      <w:bookmarkEnd w:id="260"/>
      <w:bookmarkEnd w:id="261"/>
      <w:bookmarkEnd w:id="262"/>
      <w:r>
        <w:rPr>
          <w:rFonts w:hint="eastAsia" w:ascii="宋体" w:hAnsi="宋体" w:cs="宋体"/>
          <w:color w:val="auto"/>
          <w:szCs w:val="21"/>
        </w:rPr>
        <w:t>与</w:t>
      </w:r>
      <w:bookmarkStart w:id="263" w:name="_Toc144974524"/>
      <w:bookmarkStart w:id="264" w:name="_Toc300834977"/>
      <w:bookmarkStart w:id="265" w:name="_Toc17703"/>
      <w:bookmarkStart w:id="266" w:name="_Toc361508613"/>
      <w:bookmarkStart w:id="267" w:name="_Toc152042332"/>
      <w:bookmarkStart w:id="268" w:name="_Toc352691500"/>
      <w:bookmarkStart w:id="269" w:name="_Toc247527581"/>
      <w:bookmarkStart w:id="270" w:name="_Toc384308238"/>
      <w:bookmarkStart w:id="271" w:name="_Toc247513980"/>
      <w:bookmarkStart w:id="272" w:name="_Toc369531544"/>
      <w:bookmarkStart w:id="273" w:name="_Toc152045556"/>
      <w:r>
        <w:rPr>
          <w:rFonts w:hint="eastAsia" w:ascii="宋体" w:hAnsi="宋体" w:cs="宋体"/>
          <w:color w:val="auto"/>
          <w:szCs w:val="21"/>
        </w:rPr>
        <w:t>招标投标有关活动中从事违法行</w:t>
      </w:r>
      <w:bookmarkEnd w:id="263"/>
      <w:bookmarkEnd w:id="264"/>
      <w:bookmarkEnd w:id="265"/>
      <w:bookmarkEnd w:id="266"/>
      <w:bookmarkEnd w:id="267"/>
      <w:bookmarkEnd w:id="268"/>
      <w:bookmarkEnd w:id="269"/>
      <w:bookmarkEnd w:id="270"/>
      <w:bookmarkEnd w:id="271"/>
      <w:bookmarkEnd w:id="272"/>
      <w:bookmarkEnd w:id="273"/>
      <w:r>
        <w:rPr>
          <w:rFonts w:hint="eastAsia" w:ascii="宋体" w:hAnsi="宋体" w:cs="宋体"/>
          <w:color w:val="auto"/>
          <w:szCs w:val="21"/>
        </w:rPr>
        <w:t>为而受过行政处罚或刑事处罚的；</w:t>
      </w:r>
    </w:p>
    <w:p>
      <w:pPr>
        <w:snapToGrid w:val="0"/>
        <w:spacing w:line="360" w:lineRule="auto"/>
        <w:ind w:firstLine="718" w:firstLineChars="342"/>
        <w:rPr>
          <w:rFonts w:ascii="宋体" w:hAnsi="宋体" w:cs="宋体"/>
          <w:color w:val="auto"/>
          <w:szCs w:val="21"/>
        </w:rPr>
      </w:pPr>
      <w:r>
        <w:rPr>
          <w:rFonts w:hint="eastAsia" w:ascii="宋体" w:hAnsi="宋体" w:cs="宋体"/>
          <w:color w:val="auto"/>
          <w:szCs w:val="21"/>
        </w:rPr>
        <w:t>（5）与投标人有其他利害关系。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pPr>
        <w:snapToGrid w:val="0"/>
        <w:spacing w:line="360" w:lineRule="auto"/>
        <w:rPr>
          <w:rFonts w:ascii="宋体" w:hAnsi="宋体" w:cs="宋体"/>
          <w:b/>
          <w:color w:val="auto"/>
          <w:szCs w:val="21"/>
        </w:rPr>
      </w:pPr>
      <w:bookmarkStart w:id="274" w:name="_Toc515205231"/>
      <w:bookmarkStart w:id="275" w:name="_Toc529196558"/>
      <w:r>
        <w:rPr>
          <w:rFonts w:hint="eastAsia" w:ascii="宋体" w:hAnsi="宋体" w:cs="宋体"/>
          <w:b/>
          <w:color w:val="auto"/>
          <w:szCs w:val="21"/>
        </w:rPr>
        <w:t>6.2 评标原则</w:t>
      </w:r>
      <w:bookmarkEnd w:id="274"/>
      <w:bookmarkEnd w:id="275"/>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评标活动遵循公平、公正、科学和择优的原</w:t>
      </w:r>
      <w:bookmarkStart w:id="276" w:name="_Toc369531545"/>
      <w:bookmarkStart w:id="277" w:name="_Toc152045557"/>
      <w:bookmarkStart w:id="278" w:name="_Toc247527582"/>
      <w:bookmarkStart w:id="279" w:name="_Toc247513981"/>
      <w:bookmarkStart w:id="280" w:name="_Toc352691501"/>
      <w:bookmarkStart w:id="281" w:name="_Toc384308239"/>
      <w:bookmarkStart w:id="282" w:name="_Toc18949"/>
      <w:bookmarkStart w:id="283" w:name="_Toc144974525"/>
      <w:bookmarkStart w:id="284" w:name="_Toc152042333"/>
      <w:bookmarkStart w:id="285" w:name="_Toc361508614"/>
      <w:bookmarkStart w:id="286" w:name="_Toc300834978"/>
      <w:r>
        <w:rPr>
          <w:rFonts w:hint="eastAsia" w:ascii="宋体" w:hAnsi="宋体" w:cs="宋体"/>
          <w:color w:val="auto"/>
          <w:szCs w:val="21"/>
        </w:rPr>
        <w:t>则。</w:t>
      </w:r>
    </w:p>
    <w:p>
      <w:pPr>
        <w:snapToGrid w:val="0"/>
        <w:spacing w:line="360" w:lineRule="auto"/>
        <w:rPr>
          <w:rFonts w:ascii="宋体" w:hAnsi="宋体" w:cs="宋体"/>
          <w:b/>
          <w:color w:val="auto"/>
          <w:szCs w:val="21"/>
        </w:rPr>
      </w:pPr>
      <w:bookmarkStart w:id="287" w:name="_Toc529196559"/>
      <w:bookmarkStart w:id="288" w:name="_Toc515205232"/>
      <w:r>
        <w:rPr>
          <w:rFonts w:hint="eastAsia" w:ascii="宋体" w:hAnsi="宋体" w:cs="宋体"/>
          <w:b/>
          <w:color w:val="auto"/>
          <w:szCs w:val="21"/>
        </w:rPr>
        <w:t>6.3 评标</w:t>
      </w:r>
      <w:bookmarkEnd w:id="287"/>
      <w:bookmarkEnd w:id="288"/>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w:t>
      </w:r>
      <w:bookmarkEnd w:id="276"/>
      <w:bookmarkEnd w:id="277"/>
      <w:bookmarkEnd w:id="278"/>
      <w:bookmarkEnd w:id="279"/>
      <w:bookmarkEnd w:id="280"/>
      <w:bookmarkEnd w:id="281"/>
      <w:bookmarkEnd w:id="282"/>
      <w:bookmarkEnd w:id="283"/>
      <w:bookmarkEnd w:id="284"/>
      <w:bookmarkEnd w:id="285"/>
      <w:bookmarkEnd w:id="286"/>
      <w:r>
        <w:rPr>
          <w:rFonts w:hint="eastAsia" w:ascii="宋体" w:hAnsi="宋体" w:cs="宋体"/>
          <w:color w:val="auto"/>
          <w:szCs w:val="21"/>
        </w:rPr>
        <w:t>.3.1评标委员会按照第三章“评标办法”规定的方法、评审因素、标准和程序对投标文件进行评审。第三章“评标办法”没有规定的方法、评审因素和标准，不作为评标依据。</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6.3.2评标完成后，评标委员会应当向招标人提交书面评标报告和中标候选人名单。评标委员会推荐中标</w:t>
      </w:r>
      <w:bookmarkStart w:id="289" w:name="_Toc247513982"/>
      <w:bookmarkStart w:id="290" w:name="_Toc300834979"/>
      <w:bookmarkStart w:id="291" w:name="_Toc12259"/>
      <w:bookmarkStart w:id="292" w:name="_Toc361508615"/>
      <w:bookmarkStart w:id="293" w:name="_Toc369531546"/>
      <w:bookmarkStart w:id="294" w:name="_Toc144974526"/>
      <w:bookmarkStart w:id="295" w:name="_Toc152045558"/>
      <w:bookmarkStart w:id="296" w:name="_Toc384308240"/>
      <w:bookmarkStart w:id="297" w:name="_Toc152042334"/>
      <w:bookmarkStart w:id="298" w:name="_Toc352691502"/>
      <w:bookmarkStart w:id="299" w:name="_Toc247527583"/>
      <w:r>
        <w:rPr>
          <w:rFonts w:hint="eastAsia" w:ascii="宋体" w:hAnsi="宋体" w:cs="宋体"/>
          <w:color w:val="auto"/>
          <w:szCs w:val="21"/>
        </w:rPr>
        <w:t>候选人的人数见投标人须知前附</w:t>
      </w:r>
      <w:bookmarkEnd w:id="289"/>
      <w:bookmarkEnd w:id="290"/>
      <w:bookmarkEnd w:id="291"/>
      <w:bookmarkEnd w:id="292"/>
      <w:bookmarkEnd w:id="293"/>
      <w:bookmarkEnd w:id="294"/>
      <w:bookmarkEnd w:id="295"/>
      <w:bookmarkEnd w:id="296"/>
      <w:bookmarkEnd w:id="297"/>
      <w:bookmarkEnd w:id="298"/>
      <w:bookmarkEnd w:id="299"/>
      <w:r>
        <w:rPr>
          <w:rFonts w:hint="eastAsia" w:ascii="宋体" w:hAnsi="宋体" w:cs="宋体"/>
          <w:color w:val="auto"/>
          <w:szCs w:val="21"/>
        </w:rPr>
        <w:t>表。</w:t>
      </w:r>
    </w:p>
    <w:p>
      <w:pPr>
        <w:snapToGrid w:val="0"/>
        <w:spacing w:line="360" w:lineRule="auto"/>
        <w:outlineLvl w:val="2"/>
        <w:rPr>
          <w:rFonts w:ascii="宋体" w:hAnsi="宋体" w:cs="宋体"/>
          <w:b/>
          <w:color w:val="auto"/>
          <w:szCs w:val="21"/>
        </w:rPr>
      </w:pPr>
      <w:bookmarkStart w:id="300" w:name="_Toc515205233"/>
      <w:bookmarkStart w:id="301" w:name="_Toc25459"/>
      <w:bookmarkStart w:id="302" w:name="_Toc1337"/>
      <w:bookmarkStart w:id="303" w:name="_Toc26636"/>
      <w:bookmarkStart w:id="304" w:name="_Toc529196560"/>
      <w:r>
        <w:rPr>
          <w:rFonts w:hint="eastAsia" w:ascii="宋体" w:hAnsi="宋体" w:cs="宋体"/>
          <w:b/>
          <w:color w:val="auto"/>
          <w:szCs w:val="21"/>
        </w:rPr>
        <w:t>7. 合同授予</w:t>
      </w:r>
      <w:bookmarkEnd w:id="300"/>
      <w:bookmarkEnd w:id="301"/>
      <w:bookmarkEnd w:id="302"/>
      <w:bookmarkEnd w:id="303"/>
      <w:bookmarkEnd w:id="304"/>
    </w:p>
    <w:p>
      <w:pPr>
        <w:snapToGrid w:val="0"/>
        <w:spacing w:line="360" w:lineRule="auto"/>
        <w:rPr>
          <w:rFonts w:ascii="宋体" w:hAnsi="宋体" w:cs="宋体"/>
          <w:b/>
          <w:color w:val="auto"/>
          <w:szCs w:val="21"/>
        </w:rPr>
      </w:pPr>
      <w:bookmarkStart w:id="305" w:name="_Toc529196561"/>
      <w:bookmarkStart w:id="306" w:name="_Toc515205234"/>
      <w:r>
        <w:rPr>
          <w:rFonts w:hint="eastAsia" w:ascii="宋体" w:hAnsi="宋体" w:cs="宋体"/>
          <w:b/>
          <w:color w:val="auto"/>
          <w:szCs w:val="21"/>
        </w:rPr>
        <w:t>7.1 中标候选人公示</w:t>
      </w:r>
      <w:bookmarkEnd w:id="305"/>
      <w:bookmarkEnd w:id="306"/>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招标人在收到评标报告之日起3日内，按照投标人须知前附表规定的公示媒介和期限公示中标候选人，公示期不得少于3天。</w:t>
      </w:r>
    </w:p>
    <w:p>
      <w:pPr>
        <w:snapToGrid w:val="0"/>
        <w:spacing w:line="360" w:lineRule="auto"/>
        <w:rPr>
          <w:rFonts w:ascii="宋体" w:hAnsi="宋体" w:cs="宋体"/>
          <w:b/>
          <w:color w:val="auto"/>
          <w:szCs w:val="21"/>
        </w:rPr>
      </w:pPr>
      <w:bookmarkStart w:id="307" w:name="_Toc515205235"/>
      <w:bookmarkStart w:id="308" w:name="_Toc529196562"/>
      <w:r>
        <w:rPr>
          <w:rFonts w:hint="eastAsia" w:ascii="宋体" w:hAnsi="宋体" w:cs="宋体"/>
          <w:b/>
          <w:color w:val="auto"/>
          <w:szCs w:val="21"/>
        </w:rPr>
        <w:t>7.2 评标结果异议</w:t>
      </w:r>
      <w:bookmarkEnd w:id="307"/>
      <w:bookmarkEnd w:id="308"/>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rPr>
        <w:t>投标人或其他利害关系人对评标结果有异议的，应当在中标候选人公示期间提出，可以通过线下或线上的形式提出异议。线上提交的，应通过交易平台进行，招标人也应通过交易平台答复线上提交的异议。招标人将在收到异议之日起 3 日内作出答复；作出答复前，应当暂停招标投标活动</w:t>
      </w:r>
      <w:r>
        <w:rPr>
          <w:rFonts w:hint="eastAsia" w:ascii="宋体" w:hAnsi="宋体" w:cs="宋体"/>
          <w:color w:val="auto"/>
          <w:szCs w:val="21"/>
        </w:rPr>
        <w:t>。</w:t>
      </w:r>
    </w:p>
    <w:p>
      <w:pPr>
        <w:snapToGrid w:val="0"/>
        <w:spacing w:line="360" w:lineRule="auto"/>
        <w:rPr>
          <w:rFonts w:ascii="宋体" w:hAnsi="宋体" w:cs="宋体"/>
          <w:b/>
          <w:color w:val="auto"/>
          <w:szCs w:val="21"/>
        </w:rPr>
      </w:pPr>
      <w:bookmarkStart w:id="309" w:name="_Toc529196563"/>
      <w:bookmarkStart w:id="310" w:name="_Toc515205236"/>
      <w:r>
        <w:rPr>
          <w:rFonts w:hint="eastAsia" w:ascii="宋体" w:hAnsi="宋体" w:cs="宋体"/>
          <w:b/>
          <w:color w:val="auto"/>
          <w:szCs w:val="21"/>
        </w:rPr>
        <w:t>7.3 中标候选人履约能力审查</w:t>
      </w:r>
      <w:bookmarkEnd w:id="309"/>
      <w:bookmarkEnd w:id="310"/>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中标候选人的经营、财务状况发生较大变化或存在违法行为，招标人认为可能影响其履约能力的，将在发出中标通知书前提请原评标委员会按照招标文件规定的标准和方法进行审查确认。</w:t>
      </w:r>
    </w:p>
    <w:p>
      <w:pPr>
        <w:snapToGrid w:val="0"/>
        <w:spacing w:line="360" w:lineRule="auto"/>
        <w:rPr>
          <w:rFonts w:ascii="宋体" w:hAnsi="宋体" w:cs="宋体"/>
          <w:b/>
          <w:color w:val="auto"/>
          <w:szCs w:val="21"/>
        </w:rPr>
      </w:pPr>
      <w:bookmarkStart w:id="311" w:name="_Toc515205237"/>
      <w:bookmarkStart w:id="312" w:name="_Toc529196564"/>
      <w:r>
        <w:rPr>
          <w:rFonts w:hint="eastAsia" w:ascii="宋体" w:hAnsi="宋体" w:cs="宋体"/>
          <w:b/>
          <w:color w:val="auto"/>
          <w:szCs w:val="21"/>
        </w:rPr>
        <w:t>7.4 定标</w:t>
      </w:r>
      <w:bookmarkEnd w:id="311"/>
      <w:bookmarkEnd w:id="312"/>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按照投标人须知前附表的规定，招标人或招标人授权的评标委员会依法确定中标人。</w:t>
      </w:r>
    </w:p>
    <w:p>
      <w:pPr>
        <w:snapToGrid w:val="0"/>
        <w:spacing w:line="360" w:lineRule="auto"/>
        <w:rPr>
          <w:rFonts w:ascii="宋体" w:hAnsi="宋体" w:cs="宋体"/>
          <w:b/>
          <w:color w:val="auto"/>
          <w:szCs w:val="21"/>
        </w:rPr>
      </w:pPr>
      <w:bookmarkStart w:id="313" w:name="_Toc515205238"/>
      <w:bookmarkStart w:id="314" w:name="_Toc529196565"/>
      <w:r>
        <w:rPr>
          <w:rFonts w:hint="eastAsia" w:ascii="宋体" w:hAnsi="宋体" w:cs="宋体"/>
          <w:b/>
          <w:color w:val="auto"/>
          <w:szCs w:val="21"/>
        </w:rPr>
        <w:t>7.5 中标通知</w:t>
      </w:r>
      <w:bookmarkEnd w:id="313"/>
      <w:bookmarkEnd w:id="314"/>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在本章第3.3款规定的投标有效期内，招标人以书面形式向中标人发出中标</w:t>
      </w:r>
      <w:bookmarkStart w:id="315" w:name="_Toc361508619"/>
      <w:bookmarkStart w:id="316" w:name="_Toc5668"/>
      <w:bookmarkStart w:id="317" w:name="_Toc300834983"/>
      <w:bookmarkStart w:id="318" w:name="_Toc352691506"/>
      <w:bookmarkStart w:id="319" w:name="_Toc369531550"/>
      <w:bookmarkStart w:id="320" w:name="_Toc384308244"/>
      <w:r>
        <w:rPr>
          <w:rFonts w:hint="eastAsia" w:ascii="宋体" w:hAnsi="宋体" w:cs="宋体"/>
          <w:color w:val="auto"/>
          <w:szCs w:val="21"/>
        </w:rPr>
        <w:t>通知书，同时将中</w:t>
      </w:r>
      <w:bookmarkEnd w:id="315"/>
      <w:bookmarkEnd w:id="316"/>
      <w:bookmarkEnd w:id="317"/>
      <w:bookmarkEnd w:id="318"/>
      <w:bookmarkEnd w:id="319"/>
      <w:bookmarkEnd w:id="320"/>
      <w:r>
        <w:rPr>
          <w:rFonts w:hint="eastAsia" w:ascii="宋体" w:hAnsi="宋体" w:cs="宋体"/>
          <w:color w:val="auto"/>
          <w:szCs w:val="21"/>
        </w:rPr>
        <w:t>标结果通知未中标的投标人。</w:t>
      </w:r>
    </w:p>
    <w:p>
      <w:pPr>
        <w:snapToGrid w:val="0"/>
        <w:spacing w:line="360" w:lineRule="auto"/>
        <w:rPr>
          <w:rFonts w:ascii="宋体" w:hAnsi="宋体" w:cs="宋体"/>
          <w:b/>
          <w:color w:val="auto"/>
          <w:szCs w:val="21"/>
        </w:rPr>
      </w:pPr>
      <w:bookmarkStart w:id="321" w:name="_Toc515205239"/>
      <w:bookmarkStart w:id="322" w:name="_Toc529196566"/>
      <w:r>
        <w:rPr>
          <w:rFonts w:hint="eastAsia" w:ascii="宋体" w:hAnsi="宋体" w:cs="宋体"/>
          <w:b/>
          <w:color w:val="auto"/>
          <w:szCs w:val="21"/>
        </w:rPr>
        <w:t>7.6 履约保证金</w:t>
      </w:r>
      <w:bookmarkEnd w:id="321"/>
      <w:bookmarkEnd w:id="322"/>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eastAsia" w:ascii="宋体" w:hAnsi="宋体"/>
          <w:b/>
          <w:bCs/>
          <w:color w:val="auto"/>
          <w:highlight w:val="none"/>
          <w:u w:val="none"/>
        </w:rPr>
        <w:t>联合体中标的，其履约保证金以联合体各方或者联合体中主办方的名义提交</w:t>
      </w:r>
      <w:r>
        <w:rPr>
          <w:rFonts w:hint="eastAsia" w:ascii="宋体" w:hAnsi="宋体" w:cs="宋体"/>
          <w:b/>
          <w:bCs/>
          <w:strike w:val="0"/>
          <w:color w:val="auto"/>
          <w:szCs w:val="21"/>
          <w:u w:val="none"/>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7.6.2 中标人不能按本章第7.6.1项要求提交履约保证金的，视为放弃中标，并按第二章投标人须知前附表10.1条的约定处理。给招标人造成损失的，中标人还应当对损失部分予以赔偿。</w:t>
      </w:r>
    </w:p>
    <w:p>
      <w:pPr>
        <w:snapToGrid w:val="0"/>
        <w:spacing w:line="360" w:lineRule="auto"/>
        <w:rPr>
          <w:rFonts w:ascii="宋体" w:hAnsi="宋体" w:cs="宋体"/>
          <w:b/>
          <w:color w:val="auto"/>
          <w:szCs w:val="21"/>
        </w:rPr>
      </w:pPr>
      <w:bookmarkStart w:id="323" w:name="_Toc515205240"/>
      <w:bookmarkStart w:id="324" w:name="_Toc529196567"/>
      <w:r>
        <w:rPr>
          <w:rFonts w:hint="eastAsia" w:ascii="宋体" w:hAnsi="宋体" w:cs="宋体"/>
          <w:b/>
          <w:color w:val="auto"/>
          <w:szCs w:val="21"/>
        </w:rPr>
        <w:t>7.7 签订合同</w:t>
      </w:r>
      <w:bookmarkEnd w:id="323"/>
      <w:bookmarkEnd w:id="324"/>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并按第二章投标人须知前附表10.1条的约定处理；给招标人造成的损失的，中标人还应当对损失部分予以赔偿。</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7.7.2 发出中标通知书后，招标人无正当理由拒签合同，或者在签订合同时向中标人提出附加条件</w:t>
      </w:r>
      <w:r>
        <w:rPr>
          <w:rFonts w:hint="eastAsia" w:ascii="宋体" w:hAnsi="宋体" w:cs="宋体"/>
          <w:strike/>
          <w:color w:val="auto"/>
          <w:szCs w:val="21"/>
        </w:rPr>
        <w:t>的，招标人向中标人退还投标保证金；</w:t>
      </w:r>
      <w:r>
        <w:rPr>
          <w:rFonts w:hint="eastAsia" w:ascii="宋体" w:hAnsi="宋体" w:cs="宋体"/>
          <w:color w:val="auto"/>
          <w:szCs w:val="21"/>
        </w:rPr>
        <w:t>给中标人造成损失的，还应当赔偿损失。</w:t>
      </w:r>
    </w:p>
    <w:p>
      <w:pPr>
        <w:snapToGrid w:val="0"/>
        <w:spacing w:line="360" w:lineRule="auto"/>
        <w:ind w:firstLine="420" w:firstLineChars="200"/>
        <w:rPr>
          <w:rFonts w:ascii="宋体" w:hAnsi="宋体" w:cs="宋体"/>
          <w:strike/>
          <w:color w:val="auto"/>
          <w:szCs w:val="21"/>
        </w:rPr>
      </w:pPr>
      <w:r>
        <w:rPr>
          <w:rFonts w:hint="eastAsia" w:ascii="宋体" w:hAnsi="宋体" w:cs="宋体"/>
          <w:strike/>
          <w:color w:val="auto"/>
          <w:szCs w:val="21"/>
        </w:rPr>
        <w:t>7.7.3联合体中标的，联合体各方应当共同与招标人签订合同，就中标项目向招标人承担连带责任。</w:t>
      </w:r>
    </w:p>
    <w:p>
      <w:pPr>
        <w:snapToGrid w:val="0"/>
        <w:spacing w:line="360" w:lineRule="auto"/>
        <w:outlineLvl w:val="2"/>
        <w:rPr>
          <w:rFonts w:ascii="宋体" w:hAnsi="宋体" w:cs="宋体"/>
          <w:color w:val="auto"/>
          <w:szCs w:val="21"/>
        </w:rPr>
      </w:pPr>
      <w:bookmarkStart w:id="325" w:name="_Toc361508627"/>
      <w:bookmarkStart w:id="326" w:name="_Toc384308252"/>
      <w:bookmarkStart w:id="327" w:name="_Toc24067"/>
      <w:bookmarkStart w:id="328" w:name="_Toc7508"/>
      <w:bookmarkStart w:id="329" w:name="_Toc10000"/>
      <w:bookmarkStart w:id="330" w:name="_Toc529196568"/>
      <w:bookmarkStart w:id="331" w:name="_Toc26895"/>
      <w:bookmarkStart w:id="332" w:name="_Toc515205241"/>
      <w:bookmarkStart w:id="333" w:name="_Toc247513992"/>
      <w:bookmarkStart w:id="334" w:name="_Toc152042344"/>
      <w:bookmarkStart w:id="335" w:name="_Toc152045568"/>
      <w:bookmarkStart w:id="336" w:name="_Toc300834991"/>
      <w:bookmarkStart w:id="337" w:name="_Toc247527593"/>
      <w:bookmarkStart w:id="338" w:name="_Toc144974536"/>
      <w:r>
        <w:rPr>
          <w:rFonts w:hint="eastAsia" w:ascii="宋体" w:hAnsi="宋体" w:cs="宋体"/>
          <w:b/>
          <w:color w:val="auto"/>
          <w:szCs w:val="21"/>
        </w:rPr>
        <w:t>8.</w:t>
      </w:r>
      <w:bookmarkEnd w:id="325"/>
      <w:bookmarkEnd w:id="326"/>
      <w:bookmarkEnd w:id="327"/>
      <w:r>
        <w:rPr>
          <w:rFonts w:hint="eastAsia" w:ascii="宋体" w:hAnsi="宋体" w:cs="宋体"/>
          <w:b/>
          <w:color w:val="auto"/>
          <w:szCs w:val="21"/>
        </w:rPr>
        <w:t>纪律和监督</w:t>
      </w:r>
      <w:bookmarkEnd w:id="328"/>
      <w:bookmarkEnd w:id="329"/>
      <w:bookmarkEnd w:id="330"/>
      <w:bookmarkEnd w:id="331"/>
      <w:bookmarkEnd w:id="332"/>
    </w:p>
    <w:p>
      <w:pPr>
        <w:snapToGrid w:val="0"/>
        <w:spacing w:line="360" w:lineRule="auto"/>
        <w:rPr>
          <w:rFonts w:ascii="宋体" w:hAnsi="宋体" w:cs="宋体"/>
          <w:b/>
          <w:color w:val="auto"/>
          <w:szCs w:val="21"/>
        </w:rPr>
      </w:pPr>
      <w:bookmarkStart w:id="339" w:name="_Toc515205242"/>
      <w:bookmarkStart w:id="340" w:name="_Toc529196569"/>
      <w:r>
        <w:rPr>
          <w:rFonts w:hint="eastAsia" w:ascii="宋体" w:hAnsi="宋体" w:cs="宋体"/>
          <w:b/>
          <w:color w:val="auto"/>
          <w:szCs w:val="21"/>
        </w:rPr>
        <w:t>8.1 对招标人的纪律要求</w:t>
      </w:r>
      <w:bookmarkEnd w:id="339"/>
      <w:bookmarkEnd w:id="340"/>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招标人不得泄露招标投标活动中应当保密的情况和资料，不得与投标人串通损害国家利益、社会公共利益或者他人合法权益。</w:t>
      </w:r>
    </w:p>
    <w:p>
      <w:pPr>
        <w:snapToGrid w:val="0"/>
        <w:spacing w:line="360" w:lineRule="auto"/>
        <w:rPr>
          <w:rFonts w:ascii="宋体" w:hAnsi="宋体" w:cs="宋体"/>
          <w:b/>
          <w:color w:val="auto"/>
          <w:szCs w:val="21"/>
        </w:rPr>
      </w:pPr>
      <w:bookmarkStart w:id="341" w:name="_Toc529196570"/>
      <w:bookmarkStart w:id="342" w:name="_Toc515205243"/>
      <w:r>
        <w:rPr>
          <w:rFonts w:hint="eastAsia" w:ascii="宋体" w:hAnsi="宋体" w:cs="宋体"/>
          <w:b/>
          <w:color w:val="auto"/>
          <w:szCs w:val="21"/>
        </w:rPr>
        <w:t>8.2 对投标人的纪律要求</w:t>
      </w:r>
      <w:bookmarkEnd w:id="341"/>
      <w:bookmarkEnd w:id="342"/>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napToGrid w:val="0"/>
        <w:spacing w:line="360" w:lineRule="auto"/>
        <w:rPr>
          <w:rFonts w:ascii="宋体" w:hAnsi="宋体" w:cs="宋体"/>
          <w:b/>
          <w:color w:val="auto"/>
          <w:szCs w:val="21"/>
        </w:rPr>
      </w:pPr>
      <w:bookmarkStart w:id="343" w:name="_Toc529196571"/>
      <w:bookmarkStart w:id="344" w:name="_Toc515205244"/>
      <w:r>
        <w:rPr>
          <w:rFonts w:hint="eastAsia" w:ascii="宋体" w:hAnsi="宋体" w:cs="宋体"/>
          <w:b/>
          <w:color w:val="auto"/>
          <w:szCs w:val="21"/>
        </w:rPr>
        <w:t>8.3 对评标委员会成员的纪律要求</w:t>
      </w:r>
      <w:bookmarkEnd w:id="343"/>
      <w:bookmarkEnd w:id="344"/>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评标委员会成员不得收受他人的财物或者其他好处，不得向他人透露对投标文件的评审</w:t>
      </w:r>
      <w:bookmarkStart w:id="345" w:name="_Toc369531559"/>
      <w:bookmarkStart w:id="346" w:name="_Toc384308253"/>
      <w:bookmarkStart w:id="347" w:name="_Toc361508628"/>
      <w:bookmarkStart w:id="348" w:name="_Toc352691515"/>
      <w:bookmarkStart w:id="349" w:name="_Toc13644"/>
      <w:r>
        <w:rPr>
          <w:rFonts w:hint="eastAsia" w:ascii="宋体" w:hAnsi="宋体" w:cs="宋体"/>
          <w:color w:val="auto"/>
          <w:szCs w:val="21"/>
        </w:rPr>
        <w:t>和比较、中标候选人</w:t>
      </w:r>
      <w:bookmarkEnd w:id="333"/>
      <w:bookmarkEnd w:id="334"/>
      <w:bookmarkEnd w:id="335"/>
      <w:bookmarkEnd w:id="336"/>
      <w:bookmarkEnd w:id="337"/>
      <w:bookmarkEnd w:id="338"/>
      <w:bookmarkEnd w:id="345"/>
      <w:bookmarkEnd w:id="346"/>
      <w:bookmarkEnd w:id="347"/>
      <w:bookmarkEnd w:id="348"/>
      <w:bookmarkEnd w:id="349"/>
      <w:r>
        <w:rPr>
          <w:rFonts w:hint="eastAsia" w:ascii="宋体" w:hAnsi="宋体" w:cs="宋体"/>
          <w:color w:val="auto"/>
          <w:szCs w:val="21"/>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napToGrid w:val="0"/>
        <w:spacing w:line="360" w:lineRule="auto"/>
        <w:rPr>
          <w:rFonts w:ascii="宋体" w:hAnsi="宋体" w:cs="宋体"/>
          <w:b/>
          <w:color w:val="auto"/>
          <w:szCs w:val="21"/>
        </w:rPr>
      </w:pPr>
      <w:bookmarkStart w:id="350" w:name="_Toc529196572"/>
      <w:bookmarkStart w:id="351" w:name="_Toc515205245"/>
      <w:r>
        <w:rPr>
          <w:rFonts w:hint="eastAsia" w:ascii="宋体" w:hAnsi="宋体" w:cs="宋体"/>
          <w:b/>
          <w:color w:val="auto"/>
          <w:szCs w:val="21"/>
        </w:rPr>
        <w:t>8.4 对与评标活动有关的工作人员的纪律要求</w:t>
      </w:r>
      <w:bookmarkEnd w:id="350"/>
      <w:bookmarkEnd w:id="351"/>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与评标活动有关的工作人员不得收受他人的财物或者其他好处，不得向他人透露对投标文件</w:t>
      </w:r>
      <w:bookmarkStart w:id="352" w:name="_Toc19429"/>
      <w:bookmarkStart w:id="353" w:name="_Toc247513993"/>
      <w:bookmarkStart w:id="354" w:name="_Toc247527594"/>
      <w:bookmarkStart w:id="355" w:name="_Toc144974537"/>
      <w:bookmarkStart w:id="356" w:name="_Toc152045569"/>
      <w:bookmarkStart w:id="357" w:name="_Toc352691516"/>
      <w:bookmarkStart w:id="358" w:name="_Toc369531560"/>
      <w:bookmarkStart w:id="359" w:name="_Toc361508629"/>
      <w:bookmarkStart w:id="360" w:name="_Toc300834992"/>
      <w:bookmarkStart w:id="361" w:name="_Toc152042345"/>
      <w:bookmarkStart w:id="362" w:name="_Toc384308254"/>
      <w:r>
        <w:rPr>
          <w:rFonts w:hint="eastAsia" w:ascii="宋体" w:hAnsi="宋体" w:cs="宋体"/>
          <w:color w:val="auto"/>
          <w:szCs w:val="21"/>
        </w:rPr>
        <w:t>的评审和比较、中标</w:t>
      </w:r>
      <w:bookmarkEnd w:id="352"/>
      <w:bookmarkEnd w:id="353"/>
      <w:bookmarkEnd w:id="354"/>
      <w:bookmarkEnd w:id="355"/>
      <w:bookmarkEnd w:id="356"/>
      <w:bookmarkEnd w:id="357"/>
      <w:bookmarkEnd w:id="358"/>
      <w:bookmarkEnd w:id="359"/>
      <w:bookmarkEnd w:id="360"/>
      <w:bookmarkEnd w:id="361"/>
      <w:bookmarkEnd w:id="362"/>
      <w:r>
        <w:rPr>
          <w:rFonts w:hint="eastAsia" w:ascii="宋体" w:hAnsi="宋体" w:cs="宋体"/>
          <w:color w:val="auto"/>
          <w:szCs w:val="21"/>
        </w:rPr>
        <w:t>候选人的推荐情况以及评标有关的其他情况。在评标活动中，与评标活动有关的工作人员不得擅离职守，影响评标程序正常进行。</w:t>
      </w:r>
    </w:p>
    <w:p>
      <w:pPr>
        <w:snapToGrid w:val="0"/>
        <w:spacing w:line="360" w:lineRule="auto"/>
        <w:rPr>
          <w:rFonts w:ascii="宋体" w:hAnsi="宋体" w:cs="宋体"/>
          <w:b/>
          <w:color w:val="auto"/>
          <w:szCs w:val="21"/>
        </w:rPr>
      </w:pPr>
      <w:bookmarkStart w:id="363" w:name="_Toc515205246"/>
      <w:bookmarkStart w:id="364" w:name="_Toc529196573"/>
      <w:r>
        <w:rPr>
          <w:rFonts w:hint="eastAsia" w:ascii="宋体" w:hAnsi="宋体" w:cs="宋体"/>
          <w:b/>
          <w:color w:val="auto"/>
          <w:szCs w:val="21"/>
        </w:rPr>
        <w:t>8.5 投诉</w:t>
      </w:r>
      <w:bookmarkEnd w:id="363"/>
      <w:bookmarkEnd w:id="364"/>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8.5.1 投标人或者其他利害关系人认为招标投标活动不符合法律、行政法规规定的，可以自知道或者应当知道之日起10日内向有关行政监督部门投诉。投诉应当有明确的请求和必要的证明材料。</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8.5.2 投标人或者其他利害关系人对招标文件、开标和评标结果提出投诉的，应当按照投标人须知第2.4款、第5.3款和第7.2款的规定先向招标人提出异议。异议答复期间</w:t>
      </w:r>
      <w:bookmarkStart w:id="365" w:name="_Toc361508630"/>
      <w:bookmarkStart w:id="366" w:name="_Toc144974538"/>
      <w:bookmarkStart w:id="367" w:name="_Toc352691517"/>
      <w:bookmarkStart w:id="368" w:name="_Toc300834993"/>
      <w:bookmarkStart w:id="369" w:name="_Toc384308255"/>
      <w:bookmarkStart w:id="370" w:name="_Toc152042346"/>
      <w:bookmarkStart w:id="371" w:name="_Toc247527595"/>
      <w:bookmarkStart w:id="372" w:name="_Toc247513994"/>
      <w:bookmarkStart w:id="373" w:name="_Toc369531561"/>
      <w:bookmarkStart w:id="374" w:name="_Toc12776"/>
      <w:bookmarkStart w:id="375" w:name="_Toc152045570"/>
      <w:r>
        <w:rPr>
          <w:rFonts w:hint="eastAsia" w:ascii="宋体" w:hAnsi="宋体" w:cs="宋体"/>
          <w:color w:val="auto"/>
          <w:szCs w:val="21"/>
        </w:rPr>
        <w:t>不计算在第8.5.</w:t>
      </w:r>
      <w:bookmarkEnd w:id="365"/>
      <w:bookmarkEnd w:id="366"/>
      <w:bookmarkEnd w:id="367"/>
      <w:bookmarkEnd w:id="368"/>
      <w:bookmarkEnd w:id="369"/>
      <w:bookmarkEnd w:id="370"/>
      <w:bookmarkEnd w:id="371"/>
      <w:bookmarkEnd w:id="372"/>
      <w:bookmarkEnd w:id="373"/>
      <w:bookmarkEnd w:id="374"/>
      <w:bookmarkEnd w:id="375"/>
      <w:r>
        <w:rPr>
          <w:rFonts w:hint="eastAsia" w:ascii="宋体" w:hAnsi="宋体" w:cs="宋体"/>
          <w:color w:val="auto"/>
          <w:szCs w:val="21"/>
        </w:rPr>
        <w:t>1项规定的期限内。</w:t>
      </w:r>
    </w:p>
    <w:p>
      <w:pPr>
        <w:snapToGrid w:val="0"/>
        <w:spacing w:line="360" w:lineRule="auto"/>
        <w:outlineLvl w:val="2"/>
        <w:rPr>
          <w:rFonts w:ascii="宋体" w:hAnsi="宋体" w:cs="宋体"/>
          <w:b/>
          <w:color w:val="auto"/>
          <w:szCs w:val="21"/>
        </w:rPr>
      </w:pPr>
      <w:bookmarkStart w:id="376" w:name="_Toc529196574"/>
      <w:bookmarkStart w:id="377" w:name="_Toc477134992"/>
      <w:bookmarkStart w:id="378" w:name="_Toc27557"/>
      <w:bookmarkStart w:id="379" w:name="_Toc19550"/>
      <w:bookmarkStart w:id="380" w:name="_Toc515205247"/>
      <w:bookmarkStart w:id="381" w:name="_Toc2114"/>
      <w:r>
        <w:rPr>
          <w:rFonts w:hint="eastAsia" w:ascii="宋体" w:hAnsi="宋体" w:cs="宋体"/>
          <w:b/>
          <w:color w:val="auto"/>
          <w:szCs w:val="21"/>
        </w:rPr>
        <w:t>9. 是否采用电子招标投标</w:t>
      </w:r>
      <w:bookmarkEnd w:id="376"/>
      <w:bookmarkEnd w:id="377"/>
      <w:bookmarkEnd w:id="378"/>
      <w:bookmarkEnd w:id="379"/>
      <w:bookmarkEnd w:id="380"/>
      <w:bookmarkEnd w:id="381"/>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本招标项目是否采用电子招标投标方式，见投标人须知前附表。</w:t>
      </w:r>
    </w:p>
    <w:p>
      <w:pPr>
        <w:snapToGrid w:val="0"/>
        <w:spacing w:line="360" w:lineRule="auto"/>
        <w:outlineLvl w:val="2"/>
        <w:rPr>
          <w:rFonts w:ascii="宋体" w:hAnsi="宋体" w:cs="宋体"/>
          <w:b/>
          <w:color w:val="auto"/>
          <w:szCs w:val="21"/>
        </w:rPr>
      </w:pPr>
      <w:bookmarkStart w:id="382" w:name="_Toc529196575"/>
      <w:bookmarkStart w:id="383" w:name="_Toc17781"/>
      <w:bookmarkStart w:id="384" w:name="_Toc515205248"/>
      <w:bookmarkStart w:id="385" w:name="_Toc1783"/>
      <w:bookmarkStart w:id="386" w:name="_Toc21869"/>
      <w:r>
        <w:rPr>
          <w:rFonts w:hint="eastAsia" w:ascii="宋体" w:hAnsi="宋体" w:cs="宋体"/>
          <w:b/>
          <w:color w:val="auto"/>
          <w:szCs w:val="21"/>
        </w:rPr>
        <w:t>10. 需要补充的其他内容</w:t>
      </w:r>
      <w:bookmarkEnd w:id="382"/>
      <w:bookmarkEnd w:id="383"/>
      <w:bookmarkEnd w:id="384"/>
      <w:bookmarkEnd w:id="385"/>
      <w:bookmarkEnd w:id="386"/>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见投标人须知前附表。</w:t>
      </w:r>
    </w:p>
    <w:p>
      <w:pPr>
        <w:widowControl/>
        <w:snapToGrid w:val="0"/>
        <w:spacing w:line="360" w:lineRule="auto"/>
        <w:jc w:val="left"/>
        <w:rPr>
          <w:rFonts w:ascii="宋体" w:hAnsi="宋体" w:cs="宋体"/>
          <w:color w:val="auto"/>
          <w:szCs w:val="21"/>
        </w:rPr>
        <w:sectPr>
          <w:pgSz w:w="11905" w:h="16838"/>
          <w:pgMar w:top="1440" w:right="1083" w:bottom="1440" w:left="1083" w:header="567" w:footer="567" w:gutter="0"/>
          <w:cols w:space="720" w:num="1"/>
          <w:rtlGutter w:val="1"/>
          <w:docGrid w:linePitch="286" w:charSpace="0"/>
        </w:sectPr>
      </w:pPr>
    </w:p>
    <w:p>
      <w:pPr>
        <w:snapToGrid w:val="0"/>
        <w:spacing w:line="2" w:lineRule="exact"/>
        <w:rPr>
          <w:rFonts w:eastAsia="Times New Roman"/>
          <w:color w:val="auto"/>
        </w:rPr>
      </w:pPr>
    </w:p>
    <w:p>
      <w:pPr>
        <w:snapToGrid w:val="0"/>
        <w:spacing w:after="240" w:line="360" w:lineRule="auto"/>
        <w:rPr>
          <w:b/>
          <w:color w:val="auto"/>
          <w:szCs w:val="21"/>
        </w:rPr>
      </w:pPr>
      <w:bookmarkStart w:id="387" w:name="_Toc529196576"/>
      <w:bookmarkStart w:id="388" w:name="_Toc535938714"/>
      <w:bookmarkStart w:id="389" w:name="_Toc530470624"/>
      <w:r>
        <w:rPr>
          <w:rFonts w:hint="eastAsia"/>
          <w:b/>
          <w:color w:val="auto"/>
          <w:szCs w:val="21"/>
        </w:rPr>
        <w:t>附件一：开标记录表</w:t>
      </w:r>
      <w:bookmarkEnd w:id="387"/>
      <w:bookmarkEnd w:id="388"/>
      <w:bookmarkEnd w:id="389"/>
      <w:r>
        <w:rPr>
          <w:rFonts w:hint="eastAsia"/>
          <w:b/>
          <w:color w:val="auto"/>
          <w:szCs w:val="21"/>
        </w:rPr>
        <w:t>（按广州交易集团有限公司（广州公共资源交易中心）系统导出为准）</w:t>
      </w:r>
    </w:p>
    <w:p>
      <w:pPr>
        <w:snapToGrid w:val="0"/>
        <w:spacing w:line="360" w:lineRule="auto"/>
        <w:jc w:val="center"/>
        <w:rPr>
          <w:rFonts w:ascii="宋体" w:hAnsi="宋体"/>
          <w:b/>
          <w:color w:val="auto"/>
          <w:sz w:val="28"/>
        </w:rPr>
      </w:pPr>
      <w:r>
        <w:rPr>
          <w:rFonts w:hint="eastAsia" w:ascii="宋体" w:hAnsi="宋体"/>
          <w:b/>
          <w:color w:val="auto"/>
          <w:sz w:val="28"/>
        </w:rPr>
        <w:t>开标记录表</w:t>
      </w:r>
    </w:p>
    <w:p>
      <w:pPr>
        <w:snapToGrid w:val="0"/>
        <w:spacing w:beforeLines="0" w:afterLines="0" w:line="240" w:lineRule="auto"/>
        <w:ind w:right="0"/>
        <w:jc w:val="left"/>
        <w:rPr>
          <w:rFonts w:ascii="宋体" w:hAnsi="宋体"/>
          <w:color w:val="auto"/>
          <w:szCs w:val="21"/>
        </w:rPr>
      </w:pPr>
      <w:r>
        <w:rPr>
          <w:rFonts w:hint="eastAsia" w:ascii="宋体" w:hAnsi="宋体"/>
          <w:color w:val="auto"/>
          <w:szCs w:val="21"/>
        </w:rPr>
        <w:t>开标时间：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w:t>
      </w:r>
    </w:p>
    <w:p>
      <w:pPr>
        <w:snapToGrid w:val="0"/>
        <w:spacing w:beforeLines="0" w:afterLines="0" w:line="240" w:lineRule="auto"/>
        <w:ind w:right="0"/>
        <w:jc w:val="left"/>
        <w:rPr>
          <w:rFonts w:ascii="宋体" w:hAnsi="宋体"/>
          <w:color w:val="auto"/>
          <w:szCs w:val="21"/>
        </w:rPr>
      </w:pPr>
      <w:r>
        <w:rPr>
          <w:rFonts w:hint="eastAsia" w:ascii="宋体" w:hAnsi="宋体"/>
          <w:color w:val="auto"/>
          <w:szCs w:val="21"/>
        </w:rPr>
        <w:t>项目名称：</w:t>
      </w:r>
    </w:p>
    <w:tbl>
      <w:tblPr>
        <w:tblStyle w:val="24"/>
        <w:tblW w:w="4997" w:type="pct"/>
        <w:jc w:val="center"/>
        <w:tblLayout w:type="autofit"/>
        <w:tblCellMar>
          <w:top w:w="0" w:type="dxa"/>
          <w:left w:w="108" w:type="dxa"/>
          <w:bottom w:w="0" w:type="dxa"/>
          <w:right w:w="108" w:type="dxa"/>
        </w:tblCellMar>
      </w:tblPr>
      <w:tblGrid>
        <w:gridCol w:w="525"/>
        <w:gridCol w:w="680"/>
        <w:gridCol w:w="1454"/>
        <w:gridCol w:w="1444"/>
        <w:gridCol w:w="1290"/>
        <w:gridCol w:w="1377"/>
        <w:gridCol w:w="680"/>
        <w:gridCol w:w="1144"/>
        <w:gridCol w:w="525"/>
        <w:gridCol w:w="836"/>
      </w:tblGrid>
      <w:tr>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r>
              <w:rPr>
                <w:rFonts w:hint="eastAsia" w:ascii="宋体" w:hAnsi="宋体"/>
                <w:color w:val="auto"/>
              </w:rPr>
              <w:t>序号</w:t>
            </w:r>
          </w:p>
        </w:tc>
        <w:tc>
          <w:tcPr>
            <w:tcW w:w="478"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r>
              <w:rPr>
                <w:rFonts w:hint="eastAsia" w:ascii="宋体" w:hAnsi="宋体"/>
                <w:color w:val="auto"/>
              </w:rPr>
              <w:t>投标人</w:t>
            </w:r>
          </w:p>
        </w:tc>
        <w:tc>
          <w:tcPr>
            <w:tcW w:w="53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r>
              <w:rPr>
                <w:rFonts w:hint="eastAsia" w:ascii="宋体" w:hAnsi="宋体"/>
                <w:color w:val="auto"/>
              </w:rPr>
              <w:t>投标文件递交情况</w:t>
            </w: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ind w:right="-12" w:rightChars="-6"/>
              <w:jc w:val="center"/>
              <w:rPr>
                <w:rFonts w:ascii="宋体" w:hAnsi="宋体"/>
                <w:color w:val="auto"/>
              </w:rPr>
            </w:pPr>
            <w:r>
              <w:rPr>
                <w:rFonts w:hint="eastAsia" w:ascii="宋体" w:hAnsi="宋体"/>
                <w:color w:val="auto"/>
              </w:rPr>
              <w:t>投标文件解密情况</w:t>
            </w: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ind w:right="-12" w:rightChars="-6"/>
              <w:jc w:val="center"/>
              <w:rPr>
                <w:rFonts w:ascii="宋体" w:hAnsi="宋体"/>
                <w:color w:val="auto"/>
              </w:rPr>
            </w:pPr>
            <w:r>
              <w:rPr>
                <w:rFonts w:hint="eastAsia" w:ascii="宋体" w:hAnsi="宋体"/>
                <w:color w:val="auto"/>
              </w:rPr>
              <w:t>投标报价（元）</w:t>
            </w: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hint="default" w:ascii="宋体" w:hAnsi="宋体" w:eastAsia="宋体"/>
                <w:color w:val="auto"/>
                <w:lang w:val="en-US" w:eastAsia="zh-CN"/>
              </w:rPr>
            </w:pPr>
            <w:r>
              <w:rPr>
                <w:rFonts w:hint="eastAsia" w:ascii="宋体" w:hAnsi="宋体"/>
                <w:color w:val="auto"/>
                <w:lang w:val="en-US" w:eastAsia="zh-CN"/>
              </w:rPr>
              <w:t>投标下浮率（%）</w:t>
            </w: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r>
              <w:rPr>
                <w:rFonts w:hint="eastAsia" w:ascii="宋体" w:hAnsi="宋体"/>
                <w:color w:val="auto"/>
              </w:rPr>
              <w:t>总监理</w:t>
            </w:r>
          </w:p>
          <w:p>
            <w:pPr>
              <w:snapToGrid w:val="0"/>
              <w:spacing w:line="240" w:lineRule="auto"/>
              <w:jc w:val="center"/>
              <w:rPr>
                <w:rFonts w:ascii="宋体" w:hAnsi="宋体"/>
                <w:color w:val="auto"/>
              </w:rPr>
            </w:pPr>
            <w:r>
              <w:rPr>
                <w:rFonts w:hint="eastAsia" w:ascii="宋体" w:hAnsi="宋体"/>
                <w:color w:val="auto"/>
              </w:rPr>
              <w:t>工程师</w:t>
            </w: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r>
              <w:rPr>
                <w:rFonts w:hint="eastAsia" w:ascii="宋体" w:hAnsi="宋体"/>
                <w:color w:val="auto"/>
              </w:rPr>
              <w:t>监理服务期限</w:t>
            </w: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r>
              <w:rPr>
                <w:rFonts w:hint="eastAsia" w:ascii="宋体" w:hAnsi="宋体"/>
                <w:color w:val="auto"/>
              </w:rPr>
              <w:t>备注</w:t>
            </w: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r>
              <w:rPr>
                <w:rFonts w:hint="eastAsia" w:ascii="宋体" w:hAnsi="宋体"/>
                <w:color w:val="auto"/>
              </w:rPr>
              <w:t>投标人</w:t>
            </w:r>
          </w:p>
          <w:p>
            <w:pPr>
              <w:snapToGrid w:val="0"/>
              <w:spacing w:line="240" w:lineRule="auto"/>
              <w:jc w:val="center"/>
              <w:rPr>
                <w:rFonts w:ascii="宋体" w:hAnsi="宋体"/>
                <w:color w:val="auto"/>
              </w:rPr>
            </w:pPr>
            <w:r>
              <w:rPr>
                <w:rFonts w:hint="eastAsia" w:ascii="宋体" w:hAnsi="宋体"/>
                <w:color w:val="auto"/>
              </w:rPr>
              <w:t>代表签名</w:t>
            </w:r>
          </w:p>
        </w:tc>
      </w:tr>
      <w:tr>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78"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3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r>
      <w:tr>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78"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3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r>
      <w:tr>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78"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3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r>
      <w:tr>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78"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3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r>
      <w:tr>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78"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3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r>
      <w:tr>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78"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3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r>
      <w:tr>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78"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3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r>
      <w:tr>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78"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3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r>
      <w:tr>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78"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3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r>
      <w:tr>
        <w:tblPrEx>
          <w:tblCellMar>
            <w:top w:w="0" w:type="dxa"/>
            <w:left w:w="108" w:type="dxa"/>
            <w:bottom w:w="0" w:type="dxa"/>
            <w:right w:w="108" w:type="dxa"/>
          </w:tblCellMar>
        </w:tblPrEx>
        <w:trPr>
          <w:trHeight w:val="567" w:hRule="atLeast"/>
          <w:jc w:val="center"/>
        </w:trPr>
        <w:tc>
          <w:tcPr>
            <w:tcW w:w="303"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78"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39"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r>
      <w:tr>
        <w:tblPrEx>
          <w:tblCellMar>
            <w:top w:w="0" w:type="dxa"/>
            <w:left w:w="108" w:type="dxa"/>
            <w:bottom w:w="0" w:type="dxa"/>
            <w:right w:w="108" w:type="dxa"/>
          </w:tblCellMar>
        </w:tblPrEx>
        <w:trPr>
          <w:trHeight w:val="567" w:hRule="atLeast"/>
          <w:jc w:val="center"/>
        </w:trPr>
        <w:tc>
          <w:tcPr>
            <w:tcW w:w="1321" w:type="pct"/>
            <w:gridSpan w:val="3"/>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r>
              <w:rPr>
                <w:rFonts w:hint="eastAsia" w:ascii="宋体" w:hAnsi="宋体"/>
                <w:color w:val="auto"/>
              </w:rPr>
              <w:t>最高投标限价：</w:t>
            </w:r>
          </w:p>
        </w:tc>
        <w:tc>
          <w:tcPr>
            <w:tcW w:w="54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8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491"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690"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374"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c>
          <w:tcPr>
            <w:tcW w:w="506" w:type="pct"/>
            <w:tcBorders>
              <w:top w:val="single" w:color="auto" w:sz="4" w:space="0"/>
              <w:left w:val="single" w:color="auto" w:sz="4" w:space="0"/>
              <w:bottom w:val="single" w:color="auto" w:sz="4" w:space="0"/>
              <w:right w:val="single" w:color="auto" w:sz="4" w:space="0"/>
            </w:tcBorders>
            <w:noWrap/>
            <w:vAlign w:val="center"/>
          </w:tcPr>
          <w:p>
            <w:pPr>
              <w:snapToGrid w:val="0"/>
              <w:spacing w:line="240" w:lineRule="auto"/>
              <w:jc w:val="center"/>
              <w:rPr>
                <w:rFonts w:ascii="宋体" w:hAnsi="宋体"/>
                <w:color w:val="auto"/>
              </w:rPr>
            </w:pPr>
          </w:p>
        </w:tc>
      </w:tr>
    </w:tbl>
    <w:p>
      <w:pPr>
        <w:snapToGrid w:val="0"/>
        <w:spacing w:line="360" w:lineRule="auto"/>
        <w:rPr>
          <w:rFonts w:ascii="宋体" w:hAnsi="宋体"/>
          <w:color w:val="auto"/>
          <w:szCs w:val="21"/>
        </w:rPr>
      </w:pPr>
    </w:p>
    <w:p>
      <w:pPr>
        <w:snapToGrid w:val="0"/>
        <w:spacing w:line="360" w:lineRule="auto"/>
        <w:rPr>
          <w:rFonts w:ascii="宋体" w:hAnsi="宋体"/>
          <w:color w:val="auto"/>
          <w:szCs w:val="21"/>
        </w:rPr>
      </w:pPr>
      <w:r>
        <w:rPr>
          <w:rFonts w:hint="eastAsia" w:ascii="宋体" w:hAnsi="宋体"/>
          <w:color w:val="auto"/>
          <w:szCs w:val="21"/>
        </w:rPr>
        <w:t>招标人代表：</w:t>
      </w:r>
      <w:r>
        <w:rPr>
          <w:rFonts w:hint="eastAsia" w:ascii="宋体" w:hAnsi="宋体"/>
          <w:color w:val="auto"/>
          <w:szCs w:val="21"/>
          <w:u w:val="single"/>
        </w:rPr>
        <w:t xml:space="preserve">          </w:t>
      </w:r>
      <w:r>
        <w:rPr>
          <w:rFonts w:hint="eastAsia" w:ascii="宋体" w:hAnsi="宋体"/>
          <w:color w:val="auto"/>
          <w:szCs w:val="21"/>
        </w:rPr>
        <w:t>记录人：</w:t>
      </w:r>
      <w:r>
        <w:rPr>
          <w:rFonts w:hint="eastAsia" w:ascii="宋体" w:hAnsi="宋体"/>
          <w:color w:val="auto"/>
          <w:szCs w:val="21"/>
          <w:u w:val="single"/>
        </w:rPr>
        <w:t xml:space="preserve">          </w:t>
      </w:r>
      <w:r>
        <w:rPr>
          <w:rFonts w:hint="eastAsia" w:ascii="宋体" w:hAnsi="宋体"/>
          <w:color w:val="auto"/>
          <w:szCs w:val="21"/>
        </w:rPr>
        <w:tab/>
      </w:r>
      <w:r>
        <w:rPr>
          <w:rFonts w:hint="eastAsia" w:ascii="宋体" w:hAnsi="宋体"/>
          <w:color w:val="auto"/>
          <w:szCs w:val="21"/>
        </w:rPr>
        <w:t xml:space="preserve"> 监标人：</w:t>
      </w:r>
      <w:r>
        <w:rPr>
          <w:rFonts w:hint="eastAsia" w:ascii="宋体" w:hAnsi="宋体"/>
          <w:color w:val="auto"/>
          <w:szCs w:val="21"/>
          <w:u w:val="single"/>
        </w:rPr>
        <w:t xml:space="preserve">          </w:t>
      </w:r>
    </w:p>
    <w:p>
      <w:pPr>
        <w:wordWrap w:val="0"/>
        <w:snapToGrid w:val="0"/>
        <w:spacing w:line="360" w:lineRule="auto"/>
        <w:jc w:val="righ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napToGrid w:val="0"/>
        <w:spacing w:after="240"/>
        <w:rPr>
          <w:b/>
          <w:color w:val="auto"/>
          <w:szCs w:val="21"/>
        </w:rPr>
      </w:pPr>
      <w:bookmarkStart w:id="390" w:name="_Toc529196577"/>
      <w:r>
        <w:rPr>
          <w:rFonts w:hint="eastAsia" w:ascii="宋体" w:hAnsi="宋体"/>
          <w:b/>
          <w:color w:val="auto"/>
          <w:sz w:val="28"/>
          <w:szCs w:val="20"/>
        </w:rPr>
        <w:br w:type="page"/>
      </w:r>
      <w:bookmarkStart w:id="391" w:name="_Toc535938715"/>
      <w:bookmarkStart w:id="392" w:name="_Toc530470625"/>
      <w:r>
        <w:rPr>
          <w:rFonts w:hint="eastAsia"/>
          <w:b/>
          <w:color w:val="auto"/>
          <w:szCs w:val="21"/>
        </w:rPr>
        <w:t>附件二：问题澄清通知（按广州交易集团有限公司（广州公共资源交易中心）问题澄清通知格式）</w:t>
      </w:r>
      <w:bookmarkEnd w:id="390"/>
      <w:bookmarkEnd w:id="391"/>
      <w:bookmarkEnd w:id="392"/>
      <w:bookmarkStart w:id="393" w:name="_Toc152042355"/>
      <w:bookmarkStart w:id="394" w:name="_Toc144974546"/>
    </w:p>
    <w:p>
      <w:pPr>
        <w:snapToGrid w:val="0"/>
        <w:spacing w:after="240"/>
        <w:rPr>
          <w:b/>
          <w:color w:val="auto"/>
          <w:szCs w:val="21"/>
        </w:rPr>
      </w:pPr>
      <w:bookmarkStart w:id="395" w:name="_Toc529196578"/>
      <w:bookmarkStart w:id="396" w:name="_Toc530470626"/>
      <w:bookmarkStart w:id="397" w:name="_Toc535938716"/>
      <w:r>
        <w:rPr>
          <w:rFonts w:hint="eastAsia"/>
          <w:b/>
          <w:color w:val="auto"/>
          <w:szCs w:val="21"/>
        </w:rPr>
        <w:t>附件三：问题的澄清</w:t>
      </w:r>
      <w:bookmarkEnd w:id="393"/>
      <w:bookmarkStart w:id="398" w:name="_Toc3622"/>
      <w:bookmarkStart w:id="399" w:name="_Toc152042356"/>
      <w:bookmarkStart w:id="400" w:name="_Toc247527604"/>
      <w:bookmarkStart w:id="401" w:name="_Toc361508637"/>
      <w:bookmarkStart w:id="402" w:name="_Toc152045579"/>
      <w:bookmarkStart w:id="403" w:name="_Toc369531568"/>
      <w:bookmarkStart w:id="404" w:name="_Toc247514003"/>
      <w:bookmarkStart w:id="405" w:name="_Toc352691524"/>
      <w:bookmarkStart w:id="406" w:name="_Toc384308263"/>
      <w:bookmarkStart w:id="407" w:name="_Toc300834999"/>
      <w:r>
        <w:rPr>
          <w:rFonts w:hint="eastAsia"/>
          <w:b/>
          <w:color w:val="auto"/>
          <w:szCs w:val="21"/>
        </w:rPr>
        <w:t>（按广州交易集团有限公司（广州公共资源交易中心）问题澄清格式）</w:t>
      </w:r>
      <w:bookmarkEnd w:id="395"/>
      <w:bookmarkEnd w:id="396"/>
      <w:bookmarkEnd w:id="397"/>
    </w:p>
    <w:bookmarkEnd w:id="394"/>
    <w:bookmarkEnd w:id="398"/>
    <w:bookmarkEnd w:id="399"/>
    <w:bookmarkEnd w:id="400"/>
    <w:bookmarkEnd w:id="401"/>
    <w:bookmarkEnd w:id="402"/>
    <w:bookmarkEnd w:id="403"/>
    <w:bookmarkEnd w:id="404"/>
    <w:bookmarkEnd w:id="405"/>
    <w:bookmarkEnd w:id="406"/>
    <w:bookmarkEnd w:id="407"/>
    <w:p>
      <w:pPr>
        <w:snapToGrid w:val="0"/>
        <w:spacing w:after="240"/>
        <w:rPr>
          <w:b/>
          <w:color w:val="auto"/>
          <w:szCs w:val="21"/>
        </w:rPr>
      </w:pPr>
      <w:bookmarkStart w:id="408" w:name="_Toc492300623"/>
      <w:bookmarkStart w:id="409" w:name="_Toc530470627"/>
      <w:bookmarkStart w:id="410" w:name="_Toc535938718"/>
      <w:bookmarkStart w:id="411" w:name="_Toc529196579"/>
      <w:r>
        <w:rPr>
          <w:rFonts w:hint="eastAsia"/>
          <w:b/>
          <w:color w:val="auto"/>
          <w:szCs w:val="21"/>
        </w:rPr>
        <w:t>附件四：中标通知书</w:t>
      </w:r>
      <w:bookmarkEnd w:id="408"/>
      <w:r>
        <w:rPr>
          <w:rFonts w:hint="eastAsia"/>
          <w:b/>
          <w:color w:val="auto"/>
          <w:szCs w:val="21"/>
        </w:rPr>
        <w:t>（按广州交易集团有限公司（广州公共资源交易中心）中标通知书格式）</w:t>
      </w:r>
      <w:bookmarkEnd w:id="409"/>
      <w:bookmarkEnd w:id="410"/>
      <w:bookmarkEnd w:id="411"/>
    </w:p>
    <w:p>
      <w:pPr>
        <w:snapToGrid w:val="0"/>
        <w:spacing w:after="240"/>
        <w:rPr>
          <w:b/>
          <w:color w:val="auto"/>
          <w:szCs w:val="21"/>
        </w:rPr>
      </w:pPr>
      <w:bookmarkStart w:id="412" w:name="_Toc492300625"/>
      <w:bookmarkStart w:id="413" w:name="_Toc492300624"/>
      <w:bookmarkStart w:id="414" w:name="_Toc529196580"/>
      <w:bookmarkStart w:id="415" w:name="_Toc530470628"/>
      <w:bookmarkStart w:id="416" w:name="_Toc535938719"/>
      <w:r>
        <w:rPr>
          <w:rFonts w:hint="eastAsia"/>
          <w:b/>
          <w:color w:val="auto"/>
          <w:szCs w:val="21"/>
        </w:rPr>
        <w:t>附件五：</w:t>
      </w:r>
      <w:bookmarkEnd w:id="412"/>
      <w:r>
        <w:rPr>
          <w:rFonts w:hint="eastAsia"/>
          <w:b/>
          <w:color w:val="auto"/>
          <w:szCs w:val="21"/>
        </w:rPr>
        <w:t>中标结果通知书</w:t>
      </w:r>
      <w:bookmarkEnd w:id="413"/>
      <w:r>
        <w:rPr>
          <w:rFonts w:hint="eastAsia"/>
          <w:b/>
          <w:color w:val="auto"/>
          <w:szCs w:val="21"/>
        </w:rPr>
        <w:t>（按广州交易集团有限公司（广州公共资源交易中心）中标结果通知书格式）</w:t>
      </w:r>
      <w:bookmarkEnd w:id="414"/>
      <w:bookmarkEnd w:id="415"/>
      <w:bookmarkEnd w:id="416"/>
    </w:p>
    <w:p>
      <w:pPr>
        <w:snapToGrid w:val="0"/>
        <w:spacing w:after="240"/>
        <w:rPr>
          <w:b/>
          <w:color w:val="auto"/>
          <w:szCs w:val="21"/>
        </w:rPr>
      </w:pPr>
      <w:r>
        <w:rPr>
          <w:rFonts w:hint="eastAsia"/>
          <w:b/>
          <w:color w:val="auto"/>
          <w:szCs w:val="21"/>
        </w:rPr>
        <w:t>附件六：确认通知（按广州交易集团有限公司（广州公共资源交易中心）确认通知格式）</w:t>
      </w:r>
    </w:p>
    <w:p>
      <w:pPr>
        <w:snapToGrid w:val="0"/>
        <w:jc w:val="left"/>
        <w:rPr>
          <w:rFonts w:ascii="宋体" w:hAnsi="宋体"/>
          <w:color w:val="auto"/>
          <w:kern w:val="44"/>
          <w:sz w:val="44"/>
          <w:szCs w:val="20"/>
        </w:rPr>
      </w:pPr>
      <w:bookmarkStart w:id="417" w:name="_Toc27654"/>
      <w:bookmarkStart w:id="418" w:name="_Toc63769815"/>
      <w:r>
        <w:rPr>
          <w:rFonts w:hint="eastAsia" w:ascii="宋体" w:hAnsi="宋体"/>
          <w:color w:val="auto"/>
          <w:kern w:val="44"/>
          <w:sz w:val="44"/>
          <w:szCs w:val="20"/>
        </w:rPr>
        <w:br w:type="page"/>
      </w:r>
    </w:p>
    <w:p>
      <w:pPr>
        <w:snapToGrid w:val="0"/>
        <w:spacing w:line="360" w:lineRule="auto"/>
        <w:jc w:val="center"/>
        <w:outlineLvl w:val="0"/>
        <w:rPr>
          <w:rFonts w:ascii="宋体" w:hAnsi="宋体"/>
          <w:b/>
          <w:color w:val="auto"/>
          <w:kern w:val="44"/>
          <w:sz w:val="32"/>
          <w:szCs w:val="32"/>
        </w:rPr>
      </w:pPr>
      <w:bookmarkStart w:id="419" w:name="_Toc19054"/>
      <w:bookmarkStart w:id="420" w:name="_Toc17147"/>
      <w:bookmarkStart w:id="421" w:name="_Toc28876"/>
      <w:bookmarkStart w:id="422" w:name="_Toc31752"/>
      <w:bookmarkStart w:id="423" w:name="_Toc9264"/>
      <w:r>
        <w:rPr>
          <w:rFonts w:hint="eastAsia" w:ascii="宋体" w:hAnsi="宋体"/>
          <w:b/>
          <w:color w:val="auto"/>
          <w:kern w:val="44"/>
          <w:sz w:val="32"/>
          <w:szCs w:val="32"/>
        </w:rPr>
        <w:t>第三章 评标办法（综合评估法）</w:t>
      </w:r>
      <w:bookmarkEnd w:id="417"/>
      <w:bookmarkEnd w:id="418"/>
      <w:bookmarkEnd w:id="419"/>
      <w:bookmarkEnd w:id="420"/>
      <w:bookmarkEnd w:id="421"/>
      <w:bookmarkEnd w:id="422"/>
      <w:bookmarkEnd w:id="423"/>
    </w:p>
    <w:p>
      <w:pPr>
        <w:snapToGrid w:val="0"/>
        <w:spacing w:line="360" w:lineRule="auto"/>
        <w:jc w:val="center"/>
        <w:outlineLvl w:val="1"/>
        <w:rPr>
          <w:rFonts w:ascii="宋体" w:hAnsi="宋体"/>
          <w:b/>
          <w:bCs/>
          <w:color w:val="auto"/>
          <w:kern w:val="0"/>
          <w:sz w:val="30"/>
          <w:szCs w:val="30"/>
        </w:rPr>
      </w:pPr>
      <w:bookmarkStart w:id="424" w:name="_Toc21534"/>
      <w:bookmarkStart w:id="425" w:name="_Toc7223"/>
      <w:bookmarkStart w:id="426" w:name="_Toc15122"/>
      <w:bookmarkStart w:id="427" w:name="_Toc8656911"/>
      <w:bookmarkStart w:id="428" w:name="_Toc11850344"/>
      <w:r>
        <w:rPr>
          <w:rFonts w:hint="eastAsia" w:ascii="宋体" w:hAnsi="宋体"/>
          <w:b/>
          <w:bCs/>
          <w:color w:val="auto"/>
          <w:kern w:val="0"/>
          <w:sz w:val="30"/>
          <w:szCs w:val="30"/>
        </w:rPr>
        <w:t>评标办法前附表</w:t>
      </w:r>
      <w:bookmarkEnd w:id="424"/>
      <w:bookmarkEnd w:id="425"/>
      <w:bookmarkEnd w:id="426"/>
    </w:p>
    <w:bookmarkEnd w:id="427"/>
    <w:bookmarkEnd w:id="428"/>
    <w:tbl>
      <w:tblPr>
        <w:tblStyle w:val="24"/>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2"/>
        <w:gridCol w:w="1237"/>
        <w:gridCol w:w="2349"/>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b/>
                <w:color w:val="auto"/>
                <w:kern w:val="0"/>
                <w:szCs w:val="21"/>
                <w:lang w:bidi="ar"/>
              </w:rPr>
              <w:t>条款号</w:t>
            </w: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b/>
                <w:color w:val="auto"/>
                <w:kern w:val="0"/>
                <w:szCs w:val="21"/>
                <w:lang w:bidi="ar"/>
              </w:rPr>
              <w:t>评审因素</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b/>
                <w:color w:val="auto"/>
                <w:kern w:val="0"/>
                <w:szCs w:val="21"/>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1</w:t>
            </w:r>
          </w:p>
        </w:tc>
        <w:tc>
          <w:tcPr>
            <w:tcW w:w="624"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评标方法</w:t>
            </w: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中标候选人排序方法</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r>
              <w:rPr>
                <w:rFonts w:hint="eastAsia" w:ascii="宋体" w:hAnsi="宋体" w:cs="宋体"/>
                <w:color w:val="auto"/>
                <w:szCs w:val="21"/>
                <w:lang w:bidi="ar"/>
              </w:rPr>
              <w:t>本次评标采用综合评估法。评标委员会对满足招标文件实质性要求的投标文件，按照本章第2.2款规定的评分标准进行打分，并按得分由高到低顺序推荐中标候选人，排序的前一～三名分别为第一中标候选人、第二中标候选人和第三中标候选人。综合评分相等时，</w:t>
            </w:r>
            <w:r>
              <w:rPr>
                <w:rFonts w:hint="eastAsia" w:ascii="宋体" w:hAnsi="宋体" w:cs="楷体"/>
                <w:color w:val="auto"/>
                <w:kern w:val="0"/>
                <w:szCs w:val="21"/>
              </w:rPr>
              <w:t>以投标报价低的优先；投标报价也相等的，以监理大纲得分高的优先；如果监理大纲得分也相等</w:t>
            </w:r>
            <w:r>
              <w:rPr>
                <w:rFonts w:hint="eastAsia" w:ascii="宋体" w:hAnsi="宋体" w:cs="宋体"/>
                <w:color w:val="auto"/>
                <w:szCs w:val="21"/>
                <w:lang w:bidi="ar"/>
              </w:rPr>
              <w:t>，由评标委员会采用记名投票方式，以得票多的优先。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2.1.1</w:t>
            </w:r>
          </w:p>
        </w:tc>
        <w:tc>
          <w:tcPr>
            <w:tcW w:w="624"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形式评审标准</w:t>
            </w: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投标人名称</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kern w:val="0"/>
                <w:szCs w:val="21"/>
                <w:lang w:bidi="ar"/>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投标函及投标函</w:t>
            </w:r>
          </w:p>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附录签字盖章</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kern w:val="0"/>
                <w:szCs w:val="21"/>
                <w:lang w:bidi="ar"/>
              </w:rPr>
              <w:t>有法定代表人或被授权人签字（或盖章）并加盖单位章。由法定代表人签字（或盖章）的，应附法定代表人身份证明；由被授权人签字（或盖章）的，应附授权委托书、法定代表人身份证明。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投标文件格式</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u w:val="single"/>
              </w:rPr>
            </w:pPr>
            <w:r>
              <w:rPr>
                <w:rFonts w:hint="eastAsia" w:ascii="宋体" w:hAnsi="宋体" w:cs="宋体"/>
                <w:color w:val="auto"/>
                <w:kern w:val="0"/>
                <w:szCs w:val="21"/>
                <w:u w:val="single"/>
                <w:lang w:bidi="ar"/>
              </w:rPr>
              <w:t>符合第六章“投标文件格式”格式一、格式七中的①、②、③、④、⑤的规定。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spacing w:val="-7"/>
                <w:szCs w:val="21"/>
                <w:lang w:bidi="ar"/>
              </w:rPr>
              <w:t>备选投标方案</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kern w:val="0"/>
                <w:szCs w:val="21"/>
                <w:u w:val="single"/>
                <w:lang w:bidi="ar"/>
              </w:rPr>
              <w:t>不接受备选投标方案。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联合体投标人</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b/>
                <w:bCs/>
                <w:color w:val="auto"/>
                <w:szCs w:val="21"/>
                <w:u w:val="single"/>
                <w:lang w:bidi="ar"/>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投标人机器码</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kern w:val="0"/>
                <w:szCs w:val="21"/>
                <w:u w:val="single"/>
                <w:lang w:bidi="ar"/>
              </w:rPr>
              <w:t>投标人与本项目其他投标人加密打包投标文件电脑特征码一致的（以广州公共资源交易中心评标系统的检索信息为准）将被否决。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restart"/>
            <w:tcBorders>
              <w:top w:val="nil"/>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2.1.2</w:t>
            </w:r>
          </w:p>
        </w:tc>
        <w:tc>
          <w:tcPr>
            <w:tcW w:w="624" w:type="pct"/>
            <w:vMerge w:val="restart"/>
            <w:tcBorders>
              <w:top w:val="nil"/>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资格评审标准</w:t>
            </w: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营业执照</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kern w:val="0"/>
                <w:szCs w:val="21"/>
                <w:lang w:bidi="ar"/>
              </w:rPr>
              <w:t>符合第二章“投标人须知”第3.5.1项规定。香港企业提供在香港进行商业登记的证明文书。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szCs w:val="21"/>
                <w:lang w:bidi="ar"/>
              </w:rPr>
              <w:t>资质要求</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szCs w:val="21"/>
                <w:lang w:bidi="ar"/>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szCs w:val="21"/>
              </w:rPr>
            </w:pPr>
            <w:r>
              <w:rPr>
                <w:rFonts w:hint="eastAsia" w:ascii="宋体" w:hAnsi="宋体" w:cs="宋体"/>
                <w:color w:val="auto"/>
                <w:szCs w:val="21"/>
                <w:lang w:bidi="ar"/>
              </w:rPr>
              <w:t>财务要求</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szCs w:val="21"/>
              </w:rPr>
            </w:pPr>
            <w:r>
              <w:rPr>
                <w:rFonts w:hint="eastAsia" w:ascii="宋体" w:hAnsi="宋体" w:cs="宋体"/>
                <w:color w:val="auto"/>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szCs w:val="21"/>
                <w:lang w:bidi="ar"/>
              </w:rPr>
              <w:t>业绩要求</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kern w:val="0"/>
                <w:szCs w:val="21"/>
              </w:rPr>
            </w:pPr>
            <w:r>
              <w:rPr>
                <w:rFonts w:hint="eastAsia" w:ascii="宋体" w:hAnsi="宋体" w:cs="宋体"/>
                <w:color w:val="auto"/>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szCs w:val="21"/>
              </w:rPr>
            </w:pPr>
            <w:r>
              <w:rPr>
                <w:rFonts w:hint="eastAsia" w:ascii="宋体" w:hAnsi="宋体" w:cs="宋体"/>
                <w:color w:val="auto"/>
                <w:szCs w:val="21"/>
                <w:lang w:bidi="ar"/>
              </w:rPr>
              <w:t>信誉要求</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szCs w:val="21"/>
              </w:rPr>
            </w:pPr>
            <w:r>
              <w:rPr>
                <w:rFonts w:hint="eastAsia" w:ascii="宋体" w:hAnsi="宋体" w:cs="宋体"/>
                <w:color w:val="auto"/>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bCs/>
                <w:color w:val="auto"/>
                <w:szCs w:val="21"/>
                <w:u w:val="single"/>
                <w:lang w:val="en-US" w:eastAsia="zh-CN" w:bidi="ar"/>
              </w:rPr>
            </w:pPr>
            <w:r>
              <w:rPr>
                <w:rFonts w:hint="eastAsia" w:ascii="宋体" w:hAnsi="宋体" w:cs="宋体"/>
                <w:b/>
                <w:bCs/>
                <w:color w:val="auto"/>
                <w:szCs w:val="21"/>
                <w:u w:val="single"/>
                <w:lang w:val="en-US" w:eastAsia="zh-CN" w:bidi="ar"/>
              </w:rPr>
              <w:t>项目负责人</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cs="宋体"/>
                <w:b/>
                <w:bCs/>
                <w:color w:val="auto"/>
                <w:szCs w:val="21"/>
                <w:u w:val="single"/>
                <w:lang w:bidi="ar"/>
              </w:rPr>
            </w:pPr>
            <w:r>
              <w:rPr>
                <w:rFonts w:hint="eastAsia" w:ascii="宋体" w:hAnsi="宋体" w:cs="宋体"/>
                <w:b/>
                <w:bCs/>
                <w:color w:val="auto"/>
                <w:szCs w:val="21"/>
                <w:u w:val="single"/>
                <w:lang w:bidi="ar"/>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szCs w:val="21"/>
                <w:lang w:bidi="ar"/>
              </w:rPr>
              <w:t>总监理工程师</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szCs w:val="21"/>
                <w:lang w:bidi="ar"/>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szCs w:val="21"/>
                <w:lang w:bidi="ar"/>
              </w:rPr>
              <w:t>其他主要人员</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szCs w:val="21"/>
                <w:lang w:bidi="ar"/>
              </w:rPr>
              <w:t>试验检测仪器设备</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szCs w:val="21"/>
                <w:lang w:bidi="ar"/>
              </w:rPr>
              <w:t>其他要求</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szCs w:val="21"/>
                <w:lang w:bidi="ar"/>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szCs w:val="21"/>
              </w:rPr>
            </w:pPr>
            <w:r>
              <w:rPr>
                <w:rFonts w:hint="eastAsia" w:ascii="宋体" w:hAnsi="宋体" w:cs="宋体"/>
                <w:color w:val="auto"/>
                <w:szCs w:val="21"/>
                <w:lang w:bidi="ar"/>
              </w:rPr>
              <w:t>联合体投标人</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szCs w:val="21"/>
              </w:rPr>
            </w:pPr>
            <w:r>
              <w:rPr>
                <w:rFonts w:hint="eastAsia" w:ascii="宋体" w:hAnsi="宋体" w:cs="宋体"/>
                <w:b/>
                <w:bCs/>
                <w:color w:val="auto"/>
                <w:szCs w:val="21"/>
                <w:u w:val="single"/>
                <w:lang w:bidi="ar"/>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szCs w:val="21"/>
                <w:lang w:bidi="ar"/>
              </w:rPr>
              <w:t>不存在禁止投标的情形</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kern w:val="0"/>
                <w:szCs w:val="21"/>
                <w:lang w:bidi="ar"/>
              </w:rPr>
              <w:t>不存在第二章“投标人须知”第1.4.3项规定的任何一种情形</w:t>
            </w:r>
            <w:r>
              <w:rPr>
                <w:rFonts w:hint="eastAsia" w:ascii="宋体" w:hAnsi="宋体" w:cs="宋体"/>
                <w:color w:val="auto"/>
                <w:szCs w:val="21"/>
                <w:u w:val="single"/>
              </w:rPr>
              <w:t>（按投标人提供的《投标人声明》第三条内容进行评审）。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2.1.3</w:t>
            </w:r>
          </w:p>
        </w:tc>
        <w:tc>
          <w:tcPr>
            <w:tcW w:w="624"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strike/>
                <w:color w:val="auto"/>
                <w:kern w:val="0"/>
                <w:szCs w:val="21"/>
              </w:rPr>
            </w:pPr>
            <w:r>
              <w:rPr>
                <w:rFonts w:hint="eastAsia" w:ascii="宋体" w:hAnsi="宋体" w:cs="宋体"/>
                <w:color w:val="auto"/>
                <w:kern w:val="0"/>
                <w:szCs w:val="21"/>
                <w:lang w:bidi="ar"/>
              </w:rPr>
              <w:t>响应性评审标准</w:t>
            </w: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szCs w:val="21"/>
              </w:rPr>
            </w:pPr>
            <w:r>
              <w:rPr>
                <w:rFonts w:hint="eastAsia" w:ascii="宋体" w:hAnsi="宋体" w:cs="宋体"/>
                <w:color w:val="auto"/>
                <w:szCs w:val="21"/>
                <w:lang w:bidi="ar"/>
              </w:rPr>
              <w:t>投标文件</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b/>
                <w:bCs/>
                <w:color w:val="auto"/>
                <w:kern w:val="0"/>
                <w:szCs w:val="21"/>
                <w:u w:val="single"/>
                <w:lang w:bidi="ar"/>
              </w:rPr>
              <w:t>投标文件所列投标人名称、</w:t>
            </w:r>
            <w:r>
              <w:rPr>
                <w:rFonts w:hint="eastAsia" w:ascii="宋体" w:hAnsi="宋体" w:cs="宋体"/>
                <w:b/>
                <w:bCs/>
                <w:color w:val="auto"/>
                <w:kern w:val="0"/>
                <w:szCs w:val="21"/>
                <w:u w:val="single"/>
                <w:lang w:val="en-US" w:eastAsia="zh-CN" w:bidi="ar"/>
              </w:rPr>
              <w:t>项目负责人</w:t>
            </w:r>
            <w:r>
              <w:rPr>
                <w:rFonts w:hint="eastAsia" w:ascii="宋体" w:hAnsi="宋体" w:cs="宋体"/>
                <w:b/>
                <w:bCs/>
                <w:color w:val="auto"/>
                <w:kern w:val="0"/>
                <w:szCs w:val="21"/>
                <w:u w:val="single"/>
                <w:lang w:bidi="ar"/>
              </w:rPr>
              <w:t>与投标登记时一致；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投标报价</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kern w:val="0"/>
                <w:szCs w:val="21"/>
                <w:lang w:bidi="ar"/>
              </w:rPr>
              <w:t>符合第二章“投标人须知”第3.2款规定</w:t>
            </w:r>
            <w:r>
              <w:rPr>
                <w:rFonts w:hint="eastAsia" w:ascii="宋体" w:hAnsi="宋体" w:cs="宋体"/>
                <w:color w:val="auto"/>
                <w:szCs w:val="21"/>
              </w:rPr>
              <w:t>，</w:t>
            </w:r>
            <w:r>
              <w:rPr>
                <w:rFonts w:hint="eastAsia" w:ascii="宋体" w:hAnsi="宋体" w:cs="宋体"/>
                <w:color w:val="auto"/>
                <w:kern w:val="0"/>
                <w:szCs w:val="21"/>
                <w:u w:val="single"/>
                <w:lang w:bidi="ar"/>
              </w:rPr>
              <w:t>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投标内容</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kern w:val="0"/>
                <w:szCs w:val="21"/>
                <w:lang w:bidi="ar"/>
              </w:rPr>
              <w:t>符合第二章“投标人须知”第1.3.1项规定</w:t>
            </w:r>
            <w:r>
              <w:rPr>
                <w:rFonts w:hint="eastAsia" w:ascii="宋体" w:hAnsi="宋体" w:cs="宋体"/>
                <w:color w:val="auto"/>
                <w:kern w:val="0"/>
                <w:szCs w:val="21"/>
                <w:u w:val="single"/>
                <w:lang w:bidi="ar"/>
              </w:rPr>
              <w:t>，投标文件按规定的格式填写，内容齐全或关键字迹清晰、容易辩认。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监理服务期限</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kern w:val="0"/>
                <w:szCs w:val="21"/>
                <w:lang w:bidi="ar"/>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质量标准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kern w:val="0"/>
                <w:szCs w:val="21"/>
                <w:lang w:bidi="ar"/>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投标有效期</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rPr>
                <w:rFonts w:ascii="宋体" w:hAnsi="宋体" w:cs="宋体"/>
                <w:color w:val="auto"/>
                <w:kern w:val="0"/>
                <w:szCs w:val="21"/>
                <w:lang w:bidi="ar"/>
              </w:rPr>
            </w:pPr>
            <w:r>
              <w:rPr>
                <w:rFonts w:hint="eastAsia" w:ascii="宋体" w:hAnsi="宋体" w:cs="宋体"/>
                <w:color w:val="auto"/>
                <w:kern w:val="0"/>
                <w:szCs w:val="21"/>
                <w:lang w:bidi="ar"/>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624"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ascii="宋体" w:hAnsi="宋体" w:cs="宋体"/>
                <w:color w:val="auto"/>
                <w:szCs w:val="21"/>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ascii="宋体" w:hAnsi="宋体" w:cs="宋体"/>
                <w:color w:val="auto"/>
                <w:kern w:val="0"/>
                <w:szCs w:val="21"/>
              </w:rPr>
            </w:pPr>
            <w:r>
              <w:rPr>
                <w:rFonts w:hint="eastAsia" w:ascii="宋体" w:hAnsi="宋体" w:cs="宋体"/>
                <w:color w:val="auto"/>
                <w:kern w:val="0"/>
                <w:szCs w:val="21"/>
                <w:lang w:bidi="ar"/>
              </w:rPr>
              <w:t>串通投标情形</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napToGrid w:val="0"/>
              <w:spacing w:beforeLines="0" w:afterLines="0" w:line="240" w:lineRule="auto"/>
              <w:jc w:val="left"/>
              <w:rPr>
                <w:rFonts w:ascii="宋体" w:hAnsi="宋体" w:cs="宋体"/>
                <w:color w:val="auto"/>
                <w:kern w:val="0"/>
                <w:szCs w:val="21"/>
              </w:rPr>
            </w:pPr>
            <w:r>
              <w:rPr>
                <w:rFonts w:hint="eastAsia" w:ascii="宋体" w:hAnsi="宋体" w:cs="宋体"/>
                <w:color w:val="auto"/>
                <w:kern w:val="0"/>
                <w:szCs w:val="21"/>
                <w:lang w:bidi="ar"/>
              </w:rPr>
              <w:t>不存在串通投标情形（串通投标情形以《广东省实施&lt;中华人民共和国招标投标法&gt;》第十六条的规定为准）。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条款号</w:t>
            </w: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评审因素</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2.2.1</w:t>
            </w: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分值构成</w:t>
            </w:r>
          </w:p>
          <w:p>
            <w:pPr>
              <w:widowControl/>
              <w:snapToGrid w:val="0"/>
              <w:spacing w:beforeLines="0" w:afterLines="0" w:line="240" w:lineRule="auto"/>
              <w:jc w:val="center"/>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(总分100分)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A.资信业绩部分：</w:t>
            </w:r>
            <w:r>
              <w:rPr>
                <w:rFonts w:hint="eastAsia" w:ascii="宋体" w:hAnsi="宋体" w:eastAsia="宋体" w:cs="宋体"/>
                <w:b w:val="0"/>
                <w:bCs/>
                <w:color w:val="auto"/>
                <w:kern w:val="0"/>
                <w:sz w:val="21"/>
                <w:szCs w:val="21"/>
                <w:u w:val="none"/>
                <w:lang w:val="en-US" w:eastAsia="zh-CN" w:bidi="ar"/>
              </w:rPr>
              <w:t>45</w:t>
            </w:r>
            <w:r>
              <w:rPr>
                <w:rFonts w:hint="eastAsia" w:ascii="宋体" w:hAnsi="宋体" w:eastAsia="宋体" w:cs="宋体"/>
                <w:b w:val="0"/>
                <w:bCs/>
                <w:color w:val="auto"/>
                <w:kern w:val="0"/>
                <w:sz w:val="21"/>
                <w:szCs w:val="21"/>
                <w:u w:val="none"/>
                <w:lang w:bidi="ar"/>
              </w:rPr>
              <w:t>分</w:t>
            </w:r>
          </w:p>
          <w:p>
            <w:pPr>
              <w:widowControl/>
              <w:snapToGrid w:val="0"/>
              <w:spacing w:beforeLines="0" w:afterLines="0" w:line="240" w:lineRule="auto"/>
              <w:jc w:val="left"/>
              <w:rPr>
                <w:rFonts w:hint="eastAsia" w:ascii="宋体" w:hAnsi="宋体" w:eastAsia="宋体" w:cs="宋体"/>
                <w:b w:val="0"/>
                <w:bCs/>
                <w:color w:val="auto"/>
                <w:sz w:val="21"/>
                <w:szCs w:val="21"/>
                <w:u w:val="none"/>
              </w:rPr>
            </w:pPr>
            <w:r>
              <w:rPr>
                <w:rFonts w:hint="eastAsia" w:ascii="宋体" w:hAnsi="宋体" w:eastAsia="宋体" w:cs="宋体"/>
                <w:b w:val="0"/>
                <w:bCs/>
                <w:color w:val="auto"/>
                <w:kern w:val="0"/>
                <w:sz w:val="21"/>
                <w:szCs w:val="21"/>
                <w:u w:val="none"/>
                <w:lang w:bidi="ar"/>
              </w:rPr>
              <w:t>B.监理大纲部分：30分</w:t>
            </w:r>
          </w:p>
          <w:p>
            <w:pPr>
              <w:widowControl/>
              <w:snapToGrid w:val="0"/>
              <w:spacing w:beforeLines="0" w:afterLines="0" w:line="240" w:lineRule="auto"/>
              <w:jc w:val="left"/>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C.投标报价部分：</w:t>
            </w:r>
            <w:r>
              <w:rPr>
                <w:rFonts w:hint="eastAsia" w:ascii="宋体" w:hAnsi="宋体" w:eastAsia="宋体" w:cs="宋体"/>
                <w:b w:val="0"/>
                <w:bCs/>
                <w:color w:val="auto"/>
                <w:kern w:val="0"/>
                <w:sz w:val="21"/>
                <w:szCs w:val="21"/>
                <w:u w:val="none"/>
                <w:lang w:eastAsia="zh-CN"/>
              </w:rPr>
              <w:t>1</w:t>
            </w:r>
            <w:r>
              <w:rPr>
                <w:rFonts w:hint="eastAsia" w:ascii="宋体" w:hAnsi="宋体" w:eastAsia="宋体" w:cs="宋体"/>
                <w:b w:val="0"/>
                <w:bCs/>
                <w:color w:val="auto"/>
                <w:kern w:val="0"/>
                <w:sz w:val="21"/>
                <w:szCs w:val="21"/>
                <w:u w:val="none"/>
                <w:lang w:val="en-US" w:eastAsia="zh-CN"/>
              </w:rPr>
              <w:t>0</w:t>
            </w:r>
            <w:r>
              <w:rPr>
                <w:rFonts w:hint="eastAsia" w:ascii="宋体" w:hAnsi="宋体" w:eastAsia="宋体" w:cs="宋体"/>
                <w:b w:val="0"/>
                <w:bCs/>
                <w:color w:val="auto"/>
                <w:kern w:val="0"/>
                <w:sz w:val="21"/>
                <w:szCs w:val="21"/>
                <w:u w:val="none"/>
              </w:rPr>
              <w:t>分</w:t>
            </w:r>
          </w:p>
          <w:p>
            <w:pPr>
              <w:keepNext w:val="0"/>
              <w:keepLines w:val="0"/>
              <w:suppressLineNumbers w:val="0"/>
              <w:spacing w:before="0" w:beforeLines="0" w:beforeAutospacing="0" w:after="0" w:afterLines="0" w:afterAutospacing="0"/>
              <w:ind w:left="0" w:right="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u w:val="none"/>
              </w:rPr>
              <w:t>D.</w:t>
            </w:r>
            <w:r>
              <w:rPr>
                <w:rFonts w:hint="eastAsia" w:ascii="宋体" w:hAnsi="宋体" w:eastAsia="宋体" w:cs="宋体"/>
                <w:b w:val="0"/>
                <w:bCs/>
                <w:color w:val="auto"/>
                <w:sz w:val="21"/>
                <w:szCs w:val="21"/>
                <w:highlight w:val="none"/>
                <w:u w:val="none"/>
              </w:rPr>
              <w:t>其他评分因素：投标人诚信得分：</w:t>
            </w:r>
            <w:r>
              <w:rPr>
                <w:rFonts w:hint="eastAsia" w:ascii="宋体" w:hAnsi="宋体" w:eastAsia="宋体" w:cs="宋体"/>
                <w:b w:val="0"/>
                <w:bCs/>
                <w:color w:val="auto"/>
                <w:sz w:val="21"/>
                <w:szCs w:val="21"/>
                <w:highlight w:val="none"/>
                <w:u w:val="none"/>
                <w:lang w:val="en-US" w:eastAsia="zh-CN"/>
              </w:rPr>
              <w:t>15</w:t>
            </w:r>
            <w:r>
              <w:rPr>
                <w:rFonts w:hint="eastAsia" w:ascii="宋体" w:hAnsi="宋体" w:eastAsia="宋体" w:cs="宋体"/>
                <w:b w:val="0"/>
                <w:bCs/>
                <w:color w:val="auto"/>
                <w:sz w:val="21"/>
                <w:szCs w:val="21"/>
                <w:highlight w:val="none"/>
                <w:u w:val="none"/>
              </w:rPr>
              <w:t>分</w:t>
            </w:r>
          </w:p>
          <w:p>
            <w:pPr>
              <w:keepNext w:val="0"/>
              <w:keepLines w:val="0"/>
              <w:suppressLineNumbers w:val="0"/>
              <w:spacing w:before="0" w:beforeLines="0" w:beforeAutospacing="0" w:after="0" w:afterLines="0" w:afterAutospacing="0"/>
              <w:ind w:left="0" w:right="0"/>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rPr>
              <w:t xml:space="preserve">投标人诚信得分=企业的诚信综合评价排名得分* </w:t>
            </w:r>
            <w:r>
              <w:rPr>
                <w:rFonts w:hint="eastAsia" w:ascii="宋体" w:hAnsi="宋体" w:eastAsia="宋体" w:cs="宋体"/>
                <w:b w:val="0"/>
                <w:bCs/>
                <w:color w:val="auto"/>
                <w:sz w:val="21"/>
                <w:szCs w:val="21"/>
                <w:highlight w:val="none"/>
                <w:u w:val="none"/>
                <w:lang w:val="en-US" w:eastAsia="zh-CN"/>
              </w:rPr>
              <w:t>15</w:t>
            </w:r>
            <w:r>
              <w:rPr>
                <w:rFonts w:hint="eastAsia" w:ascii="宋体" w:hAnsi="宋体" w:eastAsia="宋体" w:cs="宋体"/>
                <w:b w:val="0"/>
                <w:bCs/>
                <w:color w:val="auto"/>
                <w:sz w:val="21"/>
                <w:szCs w:val="21"/>
                <w:highlight w:val="none"/>
                <w:u w:val="none"/>
              </w:rPr>
              <w:t>%。企业的诚信综合评价排名得分以投标截止当日广州市工程招标行业协会网站监理企业专栏上公布的企业60日诚信分得分为准。企业诚信综合诚信评价排名得分以监理-房建排名得分为准</w:t>
            </w:r>
            <w:r>
              <w:rPr>
                <w:rFonts w:hint="eastAsia" w:ascii="宋体" w:hAnsi="宋体" w:cs="宋体"/>
                <w:b/>
                <w:bCs/>
                <w:szCs w:val="21"/>
                <w:u w:val="single"/>
                <w:shd w:val="clear" w:color="auto" w:fill="FFFFFF"/>
              </w:rPr>
              <w:t>（联合体投标的，以联合体</w:t>
            </w:r>
            <w:r>
              <w:rPr>
                <w:rFonts w:hint="eastAsia" w:asciiTheme="minorEastAsia" w:hAnsiTheme="minorEastAsia" w:eastAsiaTheme="minorEastAsia" w:cstheme="minorEastAsia"/>
                <w:b/>
                <w:bCs/>
                <w:color w:val="auto"/>
                <w:szCs w:val="21"/>
                <w:highlight w:val="none"/>
                <w:u w:val="single"/>
                <w:lang w:val="en-US" w:eastAsia="zh-CN"/>
              </w:rPr>
              <w:t>负责工程监理服务工作的一方</w:t>
            </w:r>
            <w:r>
              <w:rPr>
                <w:rFonts w:hint="eastAsia" w:ascii="宋体" w:hAnsi="宋体" w:cs="宋体"/>
                <w:b/>
                <w:bCs/>
                <w:szCs w:val="21"/>
                <w:u w:val="single"/>
                <w:shd w:val="clear" w:color="auto" w:fill="FFFFFF"/>
              </w:rPr>
              <w:t>的企业综合诚信评价分数为准）</w:t>
            </w:r>
            <w:r>
              <w:rPr>
                <w:rFonts w:hint="eastAsia" w:ascii="宋体" w:hAnsi="宋体" w:eastAsia="宋体" w:cs="宋体"/>
                <w:b w:val="0"/>
                <w:bCs/>
                <w:color w:val="auto"/>
                <w:sz w:val="21"/>
                <w:szCs w:val="21"/>
                <w:highlight w:val="none"/>
                <w:u w:val="none"/>
              </w:rPr>
              <w:t>。</w:t>
            </w:r>
          </w:p>
          <w:p>
            <w:pPr>
              <w:pStyle w:val="2"/>
              <w:snapToGrid w:val="0"/>
              <w:spacing w:beforeLines="0" w:after="0" w:afterLines="0"/>
              <w:ind w:firstLine="0" w:firstLineChars="0"/>
              <w:rPr>
                <w:rFonts w:hint="eastAsia" w:ascii="宋体" w:hAnsi="宋体" w:eastAsia="宋体" w:cs="宋体"/>
                <w:b w:val="0"/>
                <w:bCs/>
                <w:color w:val="auto"/>
                <w:sz w:val="21"/>
                <w:szCs w:val="21"/>
                <w:u w:val="none"/>
              </w:rPr>
            </w:pPr>
            <w:r>
              <w:rPr>
                <w:rFonts w:hint="eastAsia" w:ascii="宋体" w:hAnsi="宋体" w:eastAsia="宋体" w:cs="宋体"/>
                <w:b w:val="0"/>
                <w:bCs/>
                <w:color w:val="auto"/>
                <w:sz w:val="21"/>
                <w:szCs w:val="21"/>
                <w:highlight w:val="none"/>
                <w:u w:val="none"/>
              </w:rPr>
              <w:t>注:投标人总得分=资信业绩部分+监理大纲部分+投标报价部分+诚信综合评价排名得分×诚信综合分权重（1</w:t>
            </w:r>
            <w:r>
              <w:rPr>
                <w:rFonts w:hint="eastAsia" w:ascii="宋体" w:hAnsi="宋体" w:eastAsia="宋体" w:cs="宋体"/>
                <w:b w:val="0"/>
                <w:bCs/>
                <w:color w:val="auto"/>
                <w:sz w:val="21"/>
                <w:szCs w:val="21"/>
                <w:highlight w:val="none"/>
                <w:u w:val="none"/>
                <w:lang w:val="en-US" w:eastAsia="zh-CN"/>
              </w:rPr>
              <w:t>5</w:t>
            </w:r>
            <w:r>
              <w:rPr>
                <w:rFonts w:hint="eastAsia" w:ascii="宋体" w:hAnsi="宋体" w:eastAsia="宋体" w:cs="宋体"/>
                <w:b w:val="0"/>
                <w:bCs/>
                <w:color w:val="auto"/>
                <w:sz w:val="21"/>
                <w:szCs w:val="21"/>
                <w:highlight w:val="none"/>
                <w:u w:val="none"/>
              </w:rPr>
              <w:t>%）</w:t>
            </w:r>
            <w:r>
              <w:rPr>
                <w:rFonts w:hint="eastAsia" w:ascii="宋体" w:hAnsi="宋体" w:eastAsia="宋体" w:cs="宋体"/>
                <w:b w:val="0"/>
                <w:bCs/>
                <w:color w:val="auto"/>
                <w:kern w:val="0"/>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105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jc w:val="center"/>
              <w:rPr>
                <w:rFonts w:hint="eastAsia" w:ascii="宋体" w:hAnsi="宋体" w:eastAsia="宋体" w:cs="宋体"/>
                <w:b w:val="0"/>
                <w:bCs/>
                <w:color w:val="auto"/>
                <w:kern w:val="0"/>
                <w:sz w:val="21"/>
                <w:szCs w:val="21"/>
                <w:u w:val="none"/>
                <w:lang w:bidi="ar"/>
              </w:rPr>
            </w:pPr>
            <w:r>
              <w:rPr>
                <w:rFonts w:hint="eastAsia" w:ascii="宋体" w:hAnsi="宋体" w:eastAsia="宋体" w:cs="宋体"/>
                <w:b w:val="0"/>
                <w:bCs/>
                <w:color w:val="auto"/>
                <w:sz w:val="21"/>
                <w:szCs w:val="21"/>
                <w:u w:val="none"/>
              </w:rPr>
              <w:t>2.2.2</w:t>
            </w: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lang w:bidi="ar"/>
              </w:rPr>
            </w:pPr>
            <w:r>
              <w:rPr>
                <w:rFonts w:hint="eastAsia" w:ascii="宋体" w:hAnsi="宋体" w:eastAsia="宋体" w:cs="宋体"/>
                <w:b w:val="0"/>
                <w:bCs/>
                <w:color w:val="auto"/>
                <w:kern w:val="0"/>
                <w:sz w:val="21"/>
                <w:szCs w:val="21"/>
                <w:u w:val="none"/>
                <w:lang w:bidi="ar"/>
              </w:rPr>
              <w:t>评标基准价计算方法</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numPr>
                <w:ilvl w:val="255"/>
                <w:numId w:val="0"/>
              </w:numPr>
              <w:snapToGrid w:val="0"/>
              <w:spacing w:beforeLines="0" w:afterLines="0" w:line="240" w:lineRule="auto"/>
              <w:jc w:val="left"/>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（1）当通过形式评审、资格评审、响应性评审的有效投标人大于或等于5家时，去掉一个最高价和一个最低价，取余下有效报价的算术平均值作为报价基准价。（保留小数点后二位，第三位小数四舍五入）</w:t>
            </w:r>
          </w:p>
          <w:p>
            <w:pPr>
              <w:widowControl/>
              <w:numPr>
                <w:ilvl w:val="255"/>
                <w:numId w:val="0"/>
              </w:numPr>
              <w:snapToGrid w:val="0"/>
              <w:spacing w:beforeLines="0" w:afterLines="0" w:line="240" w:lineRule="auto"/>
              <w:jc w:val="left"/>
              <w:rPr>
                <w:rFonts w:hint="eastAsia" w:ascii="宋体" w:hAnsi="宋体" w:eastAsia="宋体" w:cs="宋体"/>
                <w:b w:val="0"/>
                <w:bCs/>
                <w:color w:val="auto"/>
                <w:kern w:val="0"/>
                <w:sz w:val="21"/>
                <w:szCs w:val="21"/>
                <w:u w:val="none"/>
                <w:lang w:val="en-US" w:eastAsia="zh-CN"/>
              </w:rPr>
            </w:pPr>
            <w:r>
              <w:rPr>
                <w:rFonts w:hint="eastAsia" w:ascii="宋体" w:hAnsi="宋体" w:eastAsia="宋体" w:cs="宋体"/>
                <w:b w:val="0"/>
                <w:bCs/>
                <w:color w:val="auto"/>
                <w:kern w:val="0"/>
                <w:sz w:val="21"/>
                <w:szCs w:val="21"/>
                <w:u w:val="none"/>
              </w:rPr>
              <w:t>（2）当通过形式评审、资格评审、响应性评审的有效投标人小于5家时，取所有入围有效报价的算术平均值的作为报价基准价（保留小数点后二位，第三位小数四舍五入）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jc w:val="center"/>
              <w:rPr>
                <w:rFonts w:hint="eastAsia" w:ascii="宋体" w:hAnsi="宋体" w:eastAsia="宋体" w:cs="宋体"/>
                <w:b w:val="0"/>
                <w:bCs/>
                <w:color w:val="auto"/>
                <w:sz w:val="21"/>
                <w:szCs w:val="21"/>
                <w:u w:val="none"/>
              </w:rPr>
            </w:pPr>
            <w:r>
              <w:rPr>
                <w:rFonts w:hint="eastAsia" w:ascii="宋体" w:hAnsi="宋体" w:eastAsia="宋体" w:cs="宋体"/>
                <w:b w:val="0"/>
                <w:bCs/>
                <w:color w:val="auto"/>
                <w:sz w:val="21"/>
                <w:szCs w:val="21"/>
                <w:u w:val="none"/>
              </w:rPr>
              <w:t>2.2.3</w:t>
            </w: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lang w:bidi="ar"/>
              </w:rPr>
            </w:pPr>
            <w:r>
              <w:rPr>
                <w:rFonts w:hint="eastAsia" w:ascii="宋体" w:hAnsi="宋体" w:eastAsia="宋体" w:cs="宋体"/>
                <w:b w:val="0"/>
                <w:bCs/>
                <w:color w:val="auto"/>
                <w:kern w:val="0"/>
                <w:sz w:val="21"/>
                <w:szCs w:val="21"/>
                <w:u w:val="none"/>
                <w:lang w:bidi="ar"/>
              </w:rPr>
              <w:t>投标报价的偏差率</w:t>
            </w:r>
          </w:p>
          <w:p>
            <w:pPr>
              <w:widowControl/>
              <w:snapToGrid w:val="0"/>
              <w:spacing w:beforeLines="0" w:afterLines="0" w:line="240" w:lineRule="auto"/>
              <w:jc w:val="center"/>
              <w:rPr>
                <w:rFonts w:hint="eastAsia" w:ascii="宋体" w:hAnsi="宋体" w:eastAsia="宋体" w:cs="宋体"/>
                <w:b w:val="0"/>
                <w:bCs/>
                <w:color w:val="auto"/>
                <w:kern w:val="0"/>
                <w:sz w:val="21"/>
                <w:szCs w:val="21"/>
                <w:u w:val="none"/>
                <w:lang w:bidi="ar"/>
              </w:rPr>
            </w:pPr>
            <w:r>
              <w:rPr>
                <w:rFonts w:hint="eastAsia" w:ascii="宋体" w:hAnsi="宋体" w:eastAsia="宋体" w:cs="宋体"/>
                <w:b w:val="0"/>
                <w:bCs/>
                <w:color w:val="auto"/>
                <w:kern w:val="0"/>
                <w:sz w:val="21"/>
                <w:szCs w:val="21"/>
                <w:u w:val="none"/>
                <w:lang w:bidi="ar"/>
              </w:rPr>
              <w:t>计算公式</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偏差率=100% ×|（投标人有效投标报价-评标基准价）|/评标基准价（偏差率以四舍五入保留1位小数点，报价偏差率不足1%的，按直线内插法计算投标报价得分）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05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rPr>
            </w:pPr>
            <w:r>
              <w:rPr>
                <w:rFonts w:hint="eastAsia" w:ascii="宋体" w:hAnsi="宋体" w:eastAsia="宋体" w:cs="宋体"/>
                <w:b w:val="0"/>
                <w:bCs/>
                <w:color w:val="auto"/>
                <w:sz w:val="21"/>
                <w:szCs w:val="21"/>
                <w:u w:val="none"/>
                <w:lang w:bidi="ar"/>
              </w:rPr>
              <w:t>条款号</w:t>
            </w: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rPr>
            </w:pPr>
            <w:r>
              <w:rPr>
                <w:rFonts w:hint="eastAsia" w:ascii="宋体" w:hAnsi="宋体" w:eastAsia="宋体" w:cs="宋体"/>
                <w:b w:val="0"/>
                <w:bCs/>
                <w:color w:val="auto"/>
                <w:sz w:val="21"/>
                <w:szCs w:val="21"/>
                <w:u w:val="none"/>
                <w:lang w:bidi="ar"/>
              </w:rPr>
              <w:t>评分因素（偏差率）</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2.2.4（1）</w:t>
            </w:r>
          </w:p>
        </w:tc>
        <w:tc>
          <w:tcPr>
            <w:tcW w:w="624"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rPr>
            </w:pPr>
            <w:r>
              <w:rPr>
                <w:rFonts w:hint="eastAsia" w:ascii="宋体" w:hAnsi="宋体" w:eastAsia="宋体" w:cs="宋体"/>
                <w:b w:val="0"/>
                <w:bCs/>
                <w:color w:val="auto"/>
                <w:sz w:val="21"/>
                <w:szCs w:val="21"/>
                <w:u w:val="none"/>
                <w:lang w:bidi="ar"/>
              </w:rPr>
              <w:t>资信业绩部分</w:t>
            </w:r>
          </w:p>
          <w:p>
            <w:pPr>
              <w:snapToGrid w:val="0"/>
              <w:spacing w:beforeLines="0" w:afterLines="0" w:line="240" w:lineRule="auto"/>
              <w:jc w:val="center"/>
              <w:rPr>
                <w:rFonts w:hint="eastAsia" w:ascii="宋体" w:hAnsi="宋体" w:eastAsia="宋体" w:cs="宋体"/>
                <w:b w:val="0"/>
                <w:bCs/>
                <w:color w:val="auto"/>
                <w:sz w:val="21"/>
                <w:szCs w:val="21"/>
                <w:u w:val="none"/>
              </w:rPr>
            </w:pPr>
            <w:r>
              <w:rPr>
                <w:rFonts w:hint="eastAsia" w:ascii="宋体" w:hAnsi="宋体" w:eastAsia="宋体" w:cs="宋体"/>
                <w:b w:val="0"/>
                <w:bCs/>
                <w:color w:val="auto"/>
                <w:sz w:val="21"/>
                <w:szCs w:val="21"/>
                <w:u w:val="none"/>
                <w:lang w:bidi="ar"/>
              </w:rPr>
              <w:t>（</w:t>
            </w:r>
            <w:r>
              <w:rPr>
                <w:rFonts w:hint="eastAsia" w:ascii="宋体" w:hAnsi="宋体" w:eastAsia="宋体" w:cs="宋体"/>
                <w:b w:val="0"/>
                <w:bCs/>
                <w:color w:val="auto"/>
                <w:sz w:val="21"/>
                <w:szCs w:val="21"/>
                <w:u w:val="none"/>
                <w:lang w:val="en-US" w:eastAsia="zh-CN" w:bidi="ar"/>
              </w:rPr>
              <w:t>45</w:t>
            </w:r>
            <w:r>
              <w:rPr>
                <w:rFonts w:hint="eastAsia" w:ascii="宋体" w:hAnsi="宋体" w:eastAsia="宋体" w:cs="宋体"/>
                <w:b w:val="0"/>
                <w:bCs/>
                <w:color w:val="auto"/>
                <w:sz w:val="21"/>
                <w:szCs w:val="21"/>
                <w:u w:val="none"/>
                <w:lang w:bidi="ar"/>
              </w:rPr>
              <w:t>分）</w:t>
            </w:r>
          </w:p>
          <w:p>
            <w:pPr>
              <w:snapToGrid w:val="0"/>
              <w:spacing w:beforeLines="0" w:afterLines="0" w:line="240" w:lineRule="auto"/>
              <w:jc w:val="center"/>
              <w:rPr>
                <w:rFonts w:hint="eastAsia" w:ascii="宋体" w:hAnsi="宋体" w:eastAsia="宋体" w:cs="宋体"/>
                <w:b w:val="0"/>
                <w:bCs/>
                <w:color w:val="auto"/>
                <w:sz w:val="21"/>
                <w:szCs w:val="21"/>
                <w:u w:val="none"/>
              </w:rPr>
            </w:pPr>
          </w:p>
        </w:tc>
        <w:tc>
          <w:tcPr>
            <w:tcW w:w="1185" w:type="pct"/>
            <w:tcBorders>
              <w:top w:val="single" w:color="auto" w:sz="4" w:space="0"/>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lang w:bidi="ar"/>
              </w:rPr>
            </w:pPr>
            <w:r>
              <w:rPr>
                <w:rFonts w:hint="eastAsia" w:ascii="宋体" w:hAnsi="宋体" w:eastAsia="宋体" w:cs="宋体"/>
                <w:b w:val="0"/>
                <w:bCs/>
                <w:color w:val="auto"/>
                <w:kern w:val="0"/>
                <w:sz w:val="21"/>
                <w:szCs w:val="21"/>
                <w:u w:val="none"/>
                <w:lang w:val="en-US" w:eastAsia="zh-CN" w:bidi="ar"/>
              </w:rPr>
              <w:t>企业信誉（3分）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adjustRightInd w:val="0"/>
              <w:snapToGrid w:val="0"/>
              <w:spacing w:beforeLines="0" w:afterLines="0" w:line="240" w:lineRule="auto"/>
              <w:ind w:right="0" w:rightChars="0"/>
              <w:jc w:val="left"/>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投标人</w:t>
            </w:r>
            <w:r>
              <w:rPr>
                <w:rFonts w:hint="eastAsia"/>
                <w:color w:val="auto"/>
                <w:highlight w:val="none"/>
              </w:rPr>
              <w:t>（若为联合体投标，指承担施工监理任务的单位）</w:t>
            </w:r>
            <w:r>
              <w:rPr>
                <w:rFonts w:hint="eastAsia" w:ascii="宋体" w:hAnsi="宋体" w:eastAsia="宋体" w:cs="宋体"/>
                <w:b w:val="0"/>
                <w:bCs/>
                <w:color w:val="auto"/>
                <w:kern w:val="0"/>
                <w:sz w:val="21"/>
                <w:szCs w:val="21"/>
                <w:u w:val="none"/>
              </w:rPr>
              <w:t>具有“高新技术企业”证书且在有效期内的，得3分。不满足上述要求的不得分，本小项最高得3分。</w:t>
            </w:r>
          </w:p>
          <w:p>
            <w:pPr>
              <w:widowControl/>
              <w:adjustRightInd w:val="0"/>
              <w:snapToGrid w:val="0"/>
              <w:spacing w:beforeLines="0" w:afterLines="0" w:line="240" w:lineRule="auto"/>
              <w:ind w:right="0" w:rightChars="0"/>
              <w:jc w:val="left"/>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注：须提供证书原件扫描件并加盖投标人电子印章，未提供或提供的证明材料不符合要求的不得分。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lang w:bidi="ar"/>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rPr>
            </w:pPr>
          </w:p>
        </w:tc>
        <w:tc>
          <w:tcPr>
            <w:tcW w:w="1185" w:type="pct"/>
            <w:tcBorders>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lang w:bidi="ar"/>
              </w:rPr>
            </w:pPr>
            <w:r>
              <w:rPr>
                <w:rFonts w:hint="eastAsia" w:ascii="宋体" w:hAnsi="宋体" w:eastAsia="宋体" w:cs="宋体"/>
                <w:b w:val="0"/>
                <w:bCs/>
                <w:color w:val="auto"/>
                <w:kern w:val="0"/>
                <w:sz w:val="21"/>
                <w:szCs w:val="21"/>
                <w:u w:val="none"/>
                <w:lang w:bidi="ar"/>
              </w:rPr>
              <w:t>管理体系认证</w:t>
            </w:r>
          </w:p>
          <w:p>
            <w:pPr>
              <w:widowControl/>
              <w:snapToGrid w:val="0"/>
              <w:spacing w:beforeLines="0" w:afterLines="0" w:line="240" w:lineRule="auto"/>
              <w:jc w:val="center"/>
              <w:rPr>
                <w:rFonts w:hint="eastAsia" w:ascii="宋体" w:hAnsi="宋体" w:eastAsia="宋体" w:cs="宋体"/>
                <w:b w:val="0"/>
                <w:bCs/>
                <w:color w:val="auto"/>
                <w:kern w:val="0"/>
                <w:sz w:val="21"/>
                <w:szCs w:val="21"/>
                <w:u w:val="none"/>
                <w:lang w:bidi="ar"/>
              </w:rPr>
            </w:pPr>
            <w:r>
              <w:rPr>
                <w:rFonts w:hint="eastAsia" w:ascii="宋体" w:hAnsi="宋体" w:eastAsia="宋体" w:cs="宋体"/>
                <w:b w:val="0"/>
                <w:bCs/>
                <w:color w:val="auto"/>
                <w:kern w:val="0"/>
                <w:sz w:val="21"/>
                <w:szCs w:val="21"/>
                <w:u w:val="none"/>
                <w:lang w:bidi="ar"/>
              </w:rPr>
              <w:t>（</w:t>
            </w:r>
            <w:r>
              <w:rPr>
                <w:rFonts w:hint="eastAsia" w:ascii="宋体" w:hAnsi="宋体" w:eastAsia="宋体" w:cs="宋体"/>
                <w:b w:val="0"/>
                <w:bCs/>
                <w:color w:val="auto"/>
                <w:kern w:val="0"/>
                <w:sz w:val="21"/>
                <w:szCs w:val="21"/>
                <w:u w:val="none"/>
                <w:lang w:val="en-US" w:eastAsia="zh-CN" w:bidi="ar"/>
              </w:rPr>
              <w:t>2</w:t>
            </w:r>
            <w:r>
              <w:rPr>
                <w:rFonts w:hint="eastAsia" w:ascii="宋体" w:hAnsi="宋体" w:eastAsia="宋体" w:cs="宋体"/>
                <w:b w:val="0"/>
                <w:bCs/>
                <w:color w:val="auto"/>
                <w:kern w:val="0"/>
                <w:sz w:val="21"/>
                <w:szCs w:val="21"/>
                <w:u w:val="none"/>
                <w:lang w:bidi="ar"/>
              </w:rPr>
              <w:t>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投标人</w:t>
            </w:r>
            <w:r>
              <w:rPr>
                <w:rFonts w:hint="eastAsia"/>
                <w:color w:val="auto"/>
                <w:highlight w:val="none"/>
              </w:rPr>
              <w:t>（若为联合体投标，指承担施工监理任务的单位）</w:t>
            </w:r>
            <w:r>
              <w:rPr>
                <w:rFonts w:hint="eastAsia" w:ascii="宋体" w:hAnsi="宋体" w:eastAsia="宋体" w:cs="宋体"/>
                <w:b w:val="0"/>
                <w:bCs/>
                <w:color w:val="auto"/>
                <w:sz w:val="21"/>
                <w:szCs w:val="21"/>
                <w:u w:val="none"/>
                <w:lang w:val="en-US" w:eastAsia="zh-CN"/>
              </w:rPr>
              <w:t>同时具备质量管理体系认证证书、环境管理体系认证证书、职业健康安全管理体系认证证书、信息安全管理体系认证证书且在有效期内的，得2分；</w:t>
            </w:r>
          </w:p>
          <w:p>
            <w:pPr>
              <w:widowControl/>
              <w:snapToGrid w:val="0"/>
              <w:spacing w:beforeLines="0" w:afterLines="0" w:line="240" w:lineRule="auto"/>
              <w:jc w:val="left"/>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具备上述中的2-3项体系认证证书且在有效期内的，得1分；</w:t>
            </w:r>
          </w:p>
          <w:p>
            <w:pPr>
              <w:widowControl/>
              <w:snapToGrid w:val="0"/>
              <w:spacing w:beforeLines="0" w:afterLines="0" w:line="240" w:lineRule="auto"/>
              <w:jc w:val="left"/>
              <w:rPr>
                <w:rFonts w:hint="eastAsia" w:ascii="宋体" w:hAnsi="宋体" w:eastAsia="宋体" w:cs="宋体"/>
                <w:b w:val="0"/>
                <w:bCs/>
                <w:color w:val="auto"/>
                <w:sz w:val="21"/>
                <w:szCs w:val="21"/>
                <w:u w:val="none"/>
                <w:lang w:val="en-US" w:eastAsia="zh-CN"/>
              </w:rPr>
            </w:pPr>
            <w:r>
              <w:rPr>
                <w:rFonts w:hint="eastAsia" w:ascii="宋体" w:hAnsi="宋体" w:eastAsia="宋体" w:cs="宋体"/>
                <w:b w:val="0"/>
                <w:bCs/>
                <w:color w:val="auto"/>
                <w:sz w:val="21"/>
                <w:szCs w:val="21"/>
                <w:u w:val="none"/>
                <w:lang w:val="en-US" w:eastAsia="zh-CN"/>
              </w:rPr>
              <w:t>具备上述中的1项体系认证证书且在有效期内的，得0.5分。</w:t>
            </w:r>
          </w:p>
          <w:p>
            <w:pPr>
              <w:widowControl/>
              <w:snapToGrid w:val="0"/>
              <w:spacing w:beforeLines="0" w:afterLines="0" w:line="240" w:lineRule="auto"/>
              <w:jc w:val="left"/>
              <w:rPr>
                <w:rFonts w:hint="eastAsia" w:ascii="宋体" w:hAnsi="宋体" w:eastAsia="宋体" w:cs="宋体"/>
                <w:b w:val="0"/>
                <w:bCs/>
                <w:color w:val="auto"/>
                <w:kern w:val="0"/>
                <w:sz w:val="21"/>
                <w:szCs w:val="21"/>
                <w:u w:val="none"/>
                <w:lang w:val="en-US" w:eastAsia="zh-CN" w:bidi="ar"/>
              </w:rPr>
            </w:pPr>
            <w:r>
              <w:rPr>
                <w:rFonts w:hint="eastAsia" w:ascii="宋体" w:hAnsi="宋体" w:eastAsia="宋体" w:cs="宋体"/>
                <w:b w:val="0"/>
                <w:bCs/>
                <w:color w:val="auto"/>
                <w:sz w:val="21"/>
                <w:szCs w:val="21"/>
                <w:u w:val="none"/>
                <w:lang w:val="en-US" w:eastAsia="zh-CN"/>
              </w:rPr>
              <w:t>注：本项最多得2分；须提供在有效期内的管理体系认证证书原件扫描件并加盖电子印章，否则不得分。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lang w:bidi="ar"/>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u w:val="none"/>
                <w:lang w:bidi="ar"/>
              </w:rPr>
              <w:t>企业纳税信用等级</w:t>
            </w:r>
          </w:p>
          <w:p>
            <w:pPr>
              <w:snapToGrid w:val="0"/>
              <w:spacing w:beforeLines="0" w:afterLines="0" w:line="240" w:lineRule="auto"/>
              <w:jc w:val="center"/>
              <w:rPr>
                <w:rFonts w:hint="eastAsia" w:ascii="宋体" w:hAnsi="宋体" w:eastAsia="宋体" w:cs="宋体"/>
                <w:b w:val="0"/>
                <w:bCs/>
                <w:color w:val="auto"/>
                <w:kern w:val="2"/>
                <w:sz w:val="21"/>
                <w:szCs w:val="21"/>
                <w:highlight w:val="none"/>
                <w:u w:val="none"/>
                <w:lang w:bidi="ar"/>
              </w:rPr>
            </w:pPr>
            <w:r>
              <w:rPr>
                <w:rFonts w:hint="eastAsia" w:ascii="宋体" w:hAnsi="宋体" w:eastAsia="宋体" w:cs="宋体"/>
                <w:b w:val="0"/>
                <w:bCs/>
                <w:color w:val="auto"/>
                <w:kern w:val="0"/>
                <w:sz w:val="21"/>
                <w:szCs w:val="21"/>
                <w:u w:val="none"/>
                <w:lang w:bidi="ar"/>
              </w:rPr>
              <w:t>（</w:t>
            </w:r>
            <w:r>
              <w:rPr>
                <w:rFonts w:hint="eastAsia" w:ascii="宋体" w:hAnsi="宋体" w:eastAsia="宋体" w:cs="宋体"/>
                <w:b w:val="0"/>
                <w:bCs/>
                <w:color w:val="auto"/>
                <w:kern w:val="0"/>
                <w:sz w:val="21"/>
                <w:szCs w:val="21"/>
                <w:u w:val="none"/>
                <w:lang w:val="en-US" w:eastAsia="zh-CN" w:bidi="ar"/>
              </w:rPr>
              <w:t>5</w:t>
            </w:r>
            <w:r>
              <w:rPr>
                <w:rFonts w:hint="eastAsia" w:ascii="宋体" w:hAnsi="宋体" w:eastAsia="宋体" w:cs="宋体"/>
                <w:b w:val="0"/>
                <w:bCs/>
                <w:color w:val="auto"/>
                <w:kern w:val="0"/>
                <w:sz w:val="21"/>
                <w:szCs w:val="21"/>
                <w:u w:val="none"/>
                <w:lang w:bidi="ar"/>
              </w:rPr>
              <w:t>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15"/>
              <w:spacing w:beforeLines="0" w:afterLines="0"/>
              <w:rPr>
                <w:rFonts w:hint="eastAsia" w:ascii="宋体" w:hAnsi="宋体" w:eastAsia="宋体" w:cs="宋体"/>
                <w:b w:val="0"/>
                <w:bCs/>
                <w:sz w:val="21"/>
                <w:szCs w:val="21"/>
                <w:u w:val="none"/>
                <w:lang w:bidi="ar"/>
              </w:rPr>
            </w:pPr>
            <w:r>
              <w:rPr>
                <w:rFonts w:hint="eastAsia" w:ascii="宋体" w:hAnsi="宋体" w:eastAsia="宋体" w:cs="宋体"/>
                <w:b w:val="0"/>
                <w:bCs/>
                <w:sz w:val="21"/>
                <w:szCs w:val="21"/>
                <w:u w:val="none"/>
                <w:lang w:bidi="ar"/>
              </w:rPr>
              <w:t>投标人</w:t>
            </w:r>
            <w:r>
              <w:rPr>
                <w:rFonts w:hint="eastAsia"/>
                <w:color w:val="auto"/>
                <w:highlight w:val="none"/>
              </w:rPr>
              <w:t>（若为联合体投标，指承担施工监理任务的单位）</w:t>
            </w:r>
            <w:r>
              <w:rPr>
                <w:rFonts w:hint="eastAsia" w:ascii="宋体" w:hAnsi="宋体" w:eastAsia="宋体" w:cs="宋体"/>
                <w:b w:val="0"/>
                <w:bCs/>
                <w:sz w:val="21"/>
                <w:szCs w:val="21"/>
                <w:u w:val="none"/>
                <w:lang w:bidi="ar"/>
              </w:rPr>
              <w:t>连续</w:t>
            </w:r>
            <w:r>
              <w:rPr>
                <w:rFonts w:hint="eastAsia" w:ascii="宋体" w:hAnsi="宋体" w:eastAsia="宋体" w:cs="宋体"/>
                <w:b w:val="0"/>
                <w:bCs/>
                <w:sz w:val="21"/>
                <w:szCs w:val="21"/>
                <w:u w:val="none"/>
                <w:lang w:val="en-US" w:eastAsia="zh-CN" w:bidi="ar"/>
              </w:rPr>
              <w:t>获得</w:t>
            </w:r>
            <w:r>
              <w:rPr>
                <w:rFonts w:hint="eastAsia" w:ascii="宋体" w:hAnsi="宋体" w:eastAsia="宋体" w:cs="宋体"/>
                <w:b w:val="0"/>
                <w:bCs/>
                <w:sz w:val="21"/>
                <w:szCs w:val="21"/>
                <w:u w:val="none"/>
                <w:lang w:bidi="ar"/>
              </w:rPr>
              <w:t>“纳税信用A级纳税人”称号</w:t>
            </w:r>
            <w:r>
              <w:rPr>
                <w:rFonts w:hint="eastAsia" w:ascii="宋体" w:hAnsi="宋体" w:eastAsia="宋体" w:cs="宋体"/>
                <w:b w:val="0"/>
                <w:bCs/>
                <w:sz w:val="21"/>
                <w:szCs w:val="21"/>
                <w:u w:val="none"/>
                <w:lang w:eastAsia="zh-CN" w:bidi="ar"/>
              </w:rPr>
              <w:t>（</w:t>
            </w:r>
            <w:r>
              <w:rPr>
                <w:rFonts w:hint="eastAsia" w:ascii="宋体" w:hAnsi="宋体" w:eastAsia="宋体" w:cs="宋体"/>
                <w:b w:val="0"/>
                <w:bCs/>
                <w:sz w:val="21"/>
                <w:szCs w:val="21"/>
                <w:u w:val="none"/>
                <w:lang w:val="en-US" w:eastAsia="zh-CN" w:bidi="ar"/>
              </w:rPr>
              <w:t>含最近评审年度2023年度</w:t>
            </w:r>
            <w:r>
              <w:rPr>
                <w:rFonts w:hint="eastAsia" w:ascii="宋体" w:hAnsi="宋体" w:eastAsia="宋体" w:cs="宋体"/>
                <w:b w:val="0"/>
                <w:bCs/>
                <w:sz w:val="21"/>
                <w:szCs w:val="21"/>
                <w:u w:val="none"/>
                <w:lang w:eastAsia="zh-CN" w:bidi="ar"/>
              </w:rPr>
              <w:t>）</w:t>
            </w:r>
            <w:r>
              <w:rPr>
                <w:rFonts w:hint="eastAsia" w:ascii="宋体" w:hAnsi="宋体" w:eastAsia="宋体" w:cs="宋体"/>
                <w:b w:val="0"/>
                <w:bCs/>
                <w:sz w:val="21"/>
                <w:szCs w:val="21"/>
                <w:u w:val="none"/>
                <w:lang w:bidi="ar"/>
              </w:rPr>
              <w:t>：</w:t>
            </w:r>
          </w:p>
          <w:p>
            <w:pPr>
              <w:pStyle w:val="15"/>
              <w:spacing w:beforeLines="0" w:afterLines="0"/>
              <w:rPr>
                <w:rFonts w:hint="eastAsia" w:ascii="宋体" w:hAnsi="宋体" w:eastAsia="宋体" w:cs="宋体"/>
                <w:b w:val="0"/>
                <w:bCs/>
                <w:sz w:val="21"/>
                <w:szCs w:val="21"/>
                <w:u w:val="none"/>
                <w:lang w:bidi="ar"/>
              </w:rPr>
            </w:pPr>
            <w:r>
              <w:rPr>
                <w:rFonts w:hint="eastAsia" w:ascii="宋体" w:hAnsi="宋体" w:eastAsia="宋体" w:cs="宋体"/>
                <w:b w:val="0"/>
                <w:bCs/>
                <w:sz w:val="21"/>
                <w:szCs w:val="21"/>
                <w:u w:val="none"/>
                <w:lang w:bidi="ar"/>
              </w:rPr>
              <w:t>1.连续</w:t>
            </w:r>
            <w:r>
              <w:rPr>
                <w:rFonts w:hint="eastAsia" w:ascii="宋体" w:hAnsi="宋体" w:eastAsia="宋体" w:cs="宋体"/>
                <w:b w:val="0"/>
                <w:bCs/>
                <w:sz w:val="21"/>
                <w:szCs w:val="21"/>
                <w:u w:val="none"/>
              </w:rPr>
              <w:t>获得</w:t>
            </w:r>
            <w:r>
              <w:rPr>
                <w:rFonts w:hint="eastAsia" w:ascii="宋体" w:hAnsi="宋体" w:eastAsia="宋体" w:cs="宋体"/>
                <w:b w:val="0"/>
                <w:bCs/>
                <w:sz w:val="21"/>
                <w:szCs w:val="21"/>
                <w:u w:val="none"/>
                <w:lang w:bidi="ar"/>
              </w:rPr>
              <w:t>5个年度或以上的，得</w:t>
            </w:r>
            <w:r>
              <w:rPr>
                <w:rFonts w:hint="eastAsia" w:ascii="宋体" w:hAnsi="宋体" w:eastAsia="宋体" w:cs="宋体"/>
                <w:b w:val="0"/>
                <w:bCs/>
                <w:sz w:val="21"/>
                <w:szCs w:val="21"/>
                <w:u w:val="none"/>
                <w:lang w:val="en-US" w:eastAsia="zh-CN" w:bidi="ar"/>
              </w:rPr>
              <w:t>5</w:t>
            </w:r>
            <w:r>
              <w:rPr>
                <w:rFonts w:hint="eastAsia" w:ascii="宋体" w:hAnsi="宋体" w:eastAsia="宋体" w:cs="宋体"/>
                <w:b w:val="0"/>
                <w:bCs/>
                <w:sz w:val="21"/>
                <w:szCs w:val="21"/>
                <w:u w:val="none"/>
                <w:lang w:bidi="ar"/>
              </w:rPr>
              <w:t>分。</w:t>
            </w:r>
          </w:p>
          <w:p>
            <w:pPr>
              <w:pStyle w:val="15"/>
              <w:spacing w:beforeLines="0" w:afterLines="0"/>
              <w:rPr>
                <w:rFonts w:hint="eastAsia" w:ascii="宋体" w:hAnsi="宋体" w:eastAsia="宋体" w:cs="宋体"/>
                <w:b w:val="0"/>
                <w:bCs/>
                <w:sz w:val="21"/>
                <w:szCs w:val="21"/>
                <w:u w:val="none"/>
                <w:lang w:bidi="ar"/>
              </w:rPr>
            </w:pPr>
            <w:r>
              <w:rPr>
                <w:rFonts w:hint="eastAsia" w:ascii="宋体" w:hAnsi="宋体" w:eastAsia="宋体" w:cs="宋体"/>
                <w:b w:val="0"/>
                <w:bCs/>
                <w:sz w:val="21"/>
                <w:szCs w:val="21"/>
                <w:u w:val="none"/>
                <w:lang w:bidi="ar"/>
              </w:rPr>
              <w:t>2.连续</w:t>
            </w:r>
            <w:r>
              <w:rPr>
                <w:rFonts w:hint="eastAsia" w:ascii="宋体" w:hAnsi="宋体" w:eastAsia="宋体" w:cs="宋体"/>
                <w:b w:val="0"/>
                <w:bCs/>
                <w:sz w:val="21"/>
                <w:szCs w:val="21"/>
                <w:u w:val="none"/>
              </w:rPr>
              <w:t>获得3-4个年度</w:t>
            </w:r>
            <w:r>
              <w:rPr>
                <w:rFonts w:hint="eastAsia" w:ascii="宋体" w:hAnsi="宋体" w:eastAsia="宋体" w:cs="宋体"/>
                <w:b w:val="0"/>
                <w:bCs/>
                <w:sz w:val="21"/>
                <w:szCs w:val="21"/>
                <w:u w:val="none"/>
                <w:lang w:bidi="ar"/>
              </w:rPr>
              <w:t>的，得</w:t>
            </w:r>
            <w:r>
              <w:rPr>
                <w:rFonts w:hint="eastAsia" w:ascii="宋体" w:hAnsi="宋体" w:eastAsia="宋体" w:cs="宋体"/>
                <w:b w:val="0"/>
                <w:bCs/>
                <w:sz w:val="21"/>
                <w:szCs w:val="21"/>
                <w:u w:val="none"/>
                <w:lang w:val="en-US" w:eastAsia="zh-CN" w:bidi="ar"/>
              </w:rPr>
              <w:t>3</w:t>
            </w:r>
            <w:r>
              <w:rPr>
                <w:rFonts w:hint="eastAsia" w:ascii="宋体" w:hAnsi="宋体" w:eastAsia="宋体" w:cs="宋体"/>
                <w:b w:val="0"/>
                <w:bCs/>
                <w:sz w:val="21"/>
                <w:szCs w:val="21"/>
                <w:u w:val="none"/>
                <w:lang w:bidi="ar"/>
              </w:rPr>
              <w:t>分。</w:t>
            </w:r>
          </w:p>
          <w:p>
            <w:pPr>
              <w:pStyle w:val="15"/>
              <w:spacing w:beforeLines="0" w:afterLines="0"/>
              <w:rPr>
                <w:rFonts w:hint="eastAsia" w:ascii="宋体" w:hAnsi="宋体" w:eastAsia="宋体" w:cs="宋体"/>
                <w:b w:val="0"/>
                <w:bCs/>
                <w:sz w:val="21"/>
                <w:szCs w:val="21"/>
                <w:u w:val="none"/>
                <w:lang w:bidi="ar"/>
              </w:rPr>
            </w:pPr>
            <w:r>
              <w:rPr>
                <w:rFonts w:hint="eastAsia" w:ascii="宋体" w:hAnsi="宋体" w:eastAsia="宋体" w:cs="宋体"/>
                <w:b w:val="0"/>
                <w:bCs/>
                <w:sz w:val="21"/>
                <w:szCs w:val="21"/>
                <w:u w:val="none"/>
                <w:lang w:bidi="ar"/>
              </w:rPr>
              <w:t>3.</w:t>
            </w:r>
            <w:r>
              <w:rPr>
                <w:rFonts w:hint="eastAsia" w:ascii="宋体" w:hAnsi="宋体" w:eastAsia="宋体" w:cs="宋体"/>
                <w:b w:val="0"/>
                <w:bCs/>
                <w:sz w:val="21"/>
                <w:szCs w:val="21"/>
                <w:u w:val="none"/>
              </w:rPr>
              <w:t>连续获得1-2个年度的</w:t>
            </w:r>
            <w:r>
              <w:rPr>
                <w:rFonts w:hint="eastAsia" w:ascii="宋体" w:hAnsi="宋体" w:eastAsia="宋体" w:cs="宋体"/>
                <w:b w:val="0"/>
                <w:bCs/>
                <w:sz w:val="21"/>
                <w:szCs w:val="21"/>
                <w:u w:val="none"/>
                <w:lang w:bidi="ar"/>
              </w:rPr>
              <w:t>，得</w:t>
            </w:r>
            <w:r>
              <w:rPr>
                <w:rFonts w:hint="eastAsia" w:ascii="宋体" w:hAnsi="宋体" w:eastAsia="宋体" w:cs="宋体"/>
                <w:b w:val="0"/>
                <w:bCs/>
                <w:sz w:val="21"/>
                <w:szCs w:val="21"/>
                <w:u w:val="none"/>
                <w:lang w:val="en-US" w:eastAsia="zh-CN" w:bidi="ar"/>
              </w:rPr>
              <w:t>2</w:t>
            </w:r>
            <w:r>
              <w:rPr>
                <w:rFonts w:hint="eastAsia" w:ascii="宋体" w:hAnsi="宋体" w:eastAsia="宋体" w:cs="宋体"/>
                <w:b w:val="0"/>
                <w:bCs/>
                <w:sz w:val="21"/>
                <w:szCs w:val="21"/>
                <w:u w:val="none"/>
                <w:lang w:bidi="ar"/>
              </w:rPr>
              <w:t xml:space="preserve">分。 </w:t>
            </w:r>
          </w:p>
          <w:p>
            <w:pPr>
              <w:pStyle w:val="15"/>
              <w:spacing w:beforeLines="0" w:afterLines="0"/>
              <w:rPr>
                <w:rFonts w:hint="eastAsia" w:ascii="宋体" w:hAnsi="宋体" w:eastAsia="宋体" w:cs="宋体"/>
                <w:b w:val="0"/>
                <w:bCs/>
                <w:sz w:val="21"/>
                <w:szCs w:val="21"/>
                <w:u w:val="none"/>
                <w:lang w:bidi="ar"/>
              </w:rPr>
            </w:pPr>
            <w:r>
              <w:rPr>
                <w:rFonts w:hint="eastAsia" w:ascii="宋体" w:hAnsi="宋体" w:eastAsia="宋体" w:cs="宋体"/>
                <w:b w:val="0"/>
                <w:bCs/>
                <w:sz w:val="21"/>
                <w:szCs w:val="21"/>
                <w:u w:val="none"/>
                <w:lang w:bidi="ar"/>
              </w:rPr>
              <w:t>本项最多得</w:t>
            </w:r>
            <w:r>
              <w:rPr>
                <w:rFonts w:hint="eastAsia" w:ascii="宋体" w:hAnsi="宋体" w:eastAsia="宋体" w:cs="宋体"/>
                <w:b w:val="0"/>
                <w:bCs/>
                <w:sz w:val="21"/>
                <w:szCs w:val="21"/>
                <w:u w:val="none"/>
                <w:lang w:val="en-US" w:eastAsia="zh-CN" w:bidi="ar"/>
              </w:rPr>
              <w:t>5</w:t>
            </w:r>
            <w:r>
              <w:rPr>
                <w:rFonts w:hint="eastAsia" w:ascii="宋体" w:hAnsi="宋体" w:eastAsia="宋体" w:cs="宋体"/>
                <w:b w:val="0"/>
                <w:bCs/>
                <w:sz w:val="21"/>
                <w:szCs w:val="21"/>
                <w:u w:val="none"/>
                <w:lang w:bidi="ar"/>
              </w:rPr>
              <w:t>分，不满足前述要求者，得0分。</w:t>
            </w:r>
          </w:p>
          <w:p>
            <w:pPr>
              <w:pStyle w:val="15"/>
              <w:spacing w:beforeLines="0" w:afterLines="0"/>
              <w:rPr>
                <w:rFonts w:hint="eastAsia" w:ascii="宋体" w:hAnsi="宋体" w:eastAsia="宋体" w:cs="宋体"/>
                <w:b w:val="0"/>
                <w:bCs/>
                <w:sz w:val="21"/>
                <w:szCs w:val="21"/>
                <w:u w:val="none"/>
                <w:lang w:bidi="ar"/>
              </w:rPr>
            </w:pPr>
            <w:r>
              <w:rPr>
                <w:rFonts w:hint="eastAsia" w:ascii="宋体" w:hAnsi="宋体" w:eastAsia="宋体" w:cs="宋体"/>
                <w:b w:val="0"/>
                <w:bCs/>
                <w:sz w:val="21"/>
                <w:szCs w:val="21"/>
                <w:u w:val="none"/>
                <w:lang w:bidi="ar"/>
              </w:rPr>
              <w:t>注：投标人须提交纳税信用A级纳税人证书扫描件或者省级或以上国家税务局官网（含在国家税务局官网单列的城市）纳税信用信息查询结果（查询结果只计算投标人自身，不计算投标人的分公司、子公司和分支机构）的网页截图，并加盖投标单位电子印章。不符合上述条件或未按要求提供上述资料或无加盖投标单位电子印章的不计分。时间以评价（评定）年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lang w:bidi="ar"/>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rPr>
            </w:pPr>
          </w:p>
        </w:tc>
        <w:tc>
          <w:tcPr>
            <w:tcW w:w="118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u w:val="none"/>
                <w:lang w:bidi="ar"/>
              </w:rPr>
              <w:t>项目管理业绩</w:t>
            </w:r>
          </w:p>
          <w:p>
            <w:pPr>
              <w:snapToGrid w:val="0"/>
              <w:spacing w:beforeLines="0" w:afterLines="0" w:line="240" w:lineRule="auto"/>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u w:val="none"/>
                <w:lang w:bidi="ar"/>
              </w:rPr>
              <w:t>（10分）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ind w:leftChars="0" w:hanging="21" w:hangingChars="10"/>
              <w:jc w:val="left"/>
              <w:rPr>
                <w:rFonts w:hint="eastAsia" w:ascii="宋体" w:hAnsi="宋体" w:eastAsia="宋体" w:cs="宋体"/>
                <w:b/>
                <w:bCs w:val="0"/>
                <w:color w:val="auto"/>
                <w:sz w:val="21"/>
                <w:szCs w:val="21"/>
                <w:u w:val="single"/>
                <w:lang w:bidi="ar"/>
              </w:rPr>
            </w:pPr>
            <w:r>
              <w:rPr>
                <w:rFonts w:hint="eastAsia" w:ascii="宋体" w:hAnsi="宋体" w:eastAsia="宋体" w:cs="宋体"/>
                <w:b/>
                <w:bCs w:val="0"/>
                <w:color w:val="auto"/>
                <w:sz w:val="21"/>
                <w:szCs w:val="21"/>
                <w:u w:val="single"/>
                <w:lang w:bidi="ar"/>
              </w:rPr>
              <w:t>投标人（若为联合体投标，指承担项目建设管理任务的单位）自2019年1月1日</w:t>
            </w:r>
            <w:r>
              <w:rPr>
                <w:rFonts w:hint="eastAsia" w:ascii="宋体" w:hAnsi="宋体" w:eastAsia="宋体" w:cs="宋体"/>
                <w:b/>
                <w:bCs w:val="0"/>
                <w:color w:val="auto"/>
                <w:kern w:val="2"/>
                <w:sz w:val="21"/>
                <w:szCs w:val="21"/>
                <w:highlight w:val="none"/>
                <w:u w:val="single"/>
                <w:lang w:val="en-US" w:eastAsia="zh-CN" w:bidi="ar"/>
              </w:rPr>
              <w:t>至今</w:t>
            </w:r>
            <w:r>
              <w:rPr>
                <w:rFonts w:hint="eastAsia" w:ascii="宋体" w:hAnsi="宋体" w:eastAsia="宋体" w:cs="宋体"/>
                <w:b/>
                <w:bCs w:val="0"/>
                <w:color w:val="auto"/>
                <w:sz w:val="21"/>
                <w:szCs w:val="21"/>
                <w:u w:val="single"/>
                <w:lang w:bidi="ar"/>
              </w:rPr>
              <w:t>承接过总投资金额</w:t>
            </w:r>
            <w:r>
              <w:rPr>
                <w:rFonts w:hint="eastAsia" w:ascii="宋体" w:hAnsi="宋体" w:eastAsia="宋体" w:cs="宋体"/>
                <w:b/>
                <w:bCs w:val="0"/>
                <w:sz w:val="21"/>
                <w:szCs w:val="21"/>
                <w:u w:val="single"/>
                <w:lang w:val="en-US" w:eastAsia="zh-CN"/>
              </w:rPr>
              <w:t>大于或等于</w:t>
            </w:r>
            <w:r>
              <w:rPr>
                <w:rFonts w:hint="eastAsia" w:ascii="宋体" w:hAnsi="宋体" w:eastAsia="宋体" w:cs="宋体"/>
                <w:b/>
                <w:bCs w:val="0"/>
                <w:color w:val="auto"/>
                <w:sz w:val="21"/>
                <w:szCs w:val="21"/>
                <w:u w:val="single"/>
                <w:lang w:bidi="ar"/>
              </w:rPr>
              <w:t>3000万元的房屋建筑工程</w:t>
            </w:r>
            <w:r>
              <w:rPr>
                <w:rFonts w:hint="eastAsia" w:ascii="宋体" w:hAnsi="宋体" w:eastAsia="宋体" w:cs="宋体"/>
                <w:b/>
                <w:bCs w:val="0"/>
                <w:color w:val="auto"/>
                <w:sz w:val="21"/>
                <w:szCs w:val="21"/>
                <w:u w:val="single"/>
                <w:lang w:val="en-US" w:eastAsia="zh-CN" w:bidi="ar"/>
              </w:rPr>
              <w:t>项目管理或代建或建设管理或</w:t>
            </w:r>
            <w:r>
              <w:rPr>
                <w:rFonts w:hint="eastAsia" w:ascii="宋体" w:hAnsi="宋体" w:eastAsia="宋体" w:cs="宋体"/>
                <w:b/>
                <w:bCs w:val="0"/>
                <w:sz w:val="21"/>
                <w:szCs w:val="21"/>
                <w:u w:val="single"/>
                <w:lang w:val="en-US" w:eastAsia="zh-CN"/>
              </w:rPr>
              <w:t>房屋建筑工程</w:t>
            </w:r>
            <w:r>
              <w:rPr>
                <w:rFonts w:hint="eastAsia" w:ascii="宋体" w:hAnsi="宋体" w:eastAsia="宋体" w:cs="宋体"/>
                <w:b/>
                <w:bCs w:val="0"/>
                <w:color w:val="auto"/>
                <w:sz w:val="21"/>
                <w:szCs w:val="21"/>
                <w:u w:val="single"/>
                <w:lang w:bidi="ar"/>
              </w:rPr>
              <w:t>全过程咨询业绩</w:t>
            </w:r>
            <w:r>
              <w:rPr>
                <w:rFonts w:hint="eastAsia" w:ascii="宋体" w:hAnsi="宋体" w:cs="宋体"/>
                <w:b/>
                <w:bCs w:val="0"/>
                <w:color w:val="auto"/>
                <w:sz w:val="21"/>
                <w:szCs w:val="21"/>
                <w:u w:val="single"/>
                <w:lang w:eastAsia="zh-CN" w:bidi="ar"/>
              </w:rPr>
              <w:t>（</w:t>
            </w:r>
            <w:r>
              <w:rPr>
                <w:rFonts w:hint="eastAsia" w:ascii="宋体" w:hAnsi="宋体" w:cs="宋体"/>
                <w:b/>
                <w:bCs w:val="0"/>
                <w:color w:val="auto"/>
                <w:sz w:val="21"/>
                <w:szCs w:val="21"/>
                <w:u w:val="single"/>
                <w:lang w:val="en-US" w:eastAsia="zh-CN" w:bidi="ar"/>
              </w:rPr>
              <w:t>承担该业绩的</w:t>
            </w:r>
            <w:r>
              <w:rPr>
                <w:rFonts w:hint="eastAsia" w:ascii="宋体" w:hAnsi="宋体" w:eastAsia="宋体" w:cs="宋体"/>
                <w:b/>
                <w:bCs w:val="0"/>
                <w:color w:val="auto"/>
                <w:sz w:val="21"/>
                <w:szCs w:val="21"/>
                <w:u w:val="single"/>
                <w:lang w:val="en-US" w:eastAsia="zh-CN" w:bidi="ar"/>
              </w:rPr>
              <w:t>项目管理或代建或建设管理</w:t>
            </w:r>
            <w:r>
              <w:rPr>
                <w:rFonts w:hint="eastAsia" w:ascii="宋体" w:hAnsi="宋体" w:cs="宋体"/>
                <w:b/>
                <w:bCs w:val="0"/>
                <w:sz w:val="21"/>
                <w:szCs w:val="21"/>
                <w:u w:val="single"/>
                <w:lang w:val="en-US" w:eastAsia="zh-CN"/>
              </w:rPr>
              <w:t>工作</w:t>
            </w:r>
            <w:r>
              <w:rPr>
                <w:rFonts w:hint="eastAsia" w:ascii="宋体" w:hAnsi="宋体" w:cs="宋体"/>
                <w:b/>
                <w:bCs w:val="0"/>
                <w:color w:val="auto"/>
                <w:sz w:val="21"/>
                <w:szCs w:val="21"/>
                <w:u w:val="single"/>
                <w:lang w:val="en-US" w:eastAsia="zh-CN" w:bidi="ar"/>
              </w:rPr>
              <w:t>任务</w:t>
            </w:r>
            <w:r>
              <w:rPr>
                <w:rFonts w:hint="eastAsia" w:ascii="宋体" w:hAnsi="宋体" w:cs="宋体"/>
                <w:b/>
                <w:bCs w:val="0"/>
                <w:color w:val="auto"/>
                <w:sz w:val="21"/>
                <w:szCs w:val="21"/>
                <w:u w:val="single"/>
                <w:lang w:eastAsia="zh-CN" w:bidi="ar"/>
              </w:rPr>
              <w:t>）</w:t>
            </w:r>
            <w:r>
              <w:rPr>
                <w:rFonts w:hint="eastAsia" w:ascii="宋体" w:hAnsi="宋体" w:eastAsia="宋体" w:cs="宋体"/>
                <w:b/>
                <w:bCs w:val="0"/>
                <w:color w:val="auto"/>
                <w:sz w:val="21"/>
                <w:szCs w:val="21"/>
                <w:u w:val="single"/>
                <w:lang w:val="en-US" w:eastAsia="zh-CN" w:bidi="ar"/>
              </w:rPr>
              <w:t>的</w:t>
            </w:r>
            <w:r>
              <w:rPr>
                <w:rFonts w:hint="eastAsia" w:ascii="宋体" w:hAnsi="宋体" w:eastAsia="宋体" w:cs="宋体"/>
                <w:b/>
                <w:bCs w:val="0"/>
                <w:color w:val="auto"/>
                <w:sz w:val="21"/>
                <w:szCs w:val="21"/>
                <w:u w:val="single"/>
                <w:lang w:bidi="ar"/>
              </w:rPr>
              <w:t>，每项得2分，本小项最多得</w:t>
            </w:r>
            <w:r>
              <w:rPr>
                <w:rFonts w:hint="eastAsia" w:ascii="宋体" w:hAnsi="宋体" w:eastAsia="宋体" w:cs="宋体"/>
                <w:b/>
                <w:bCs w:val="0"/>
                <w:color w:val="auto"/>
                <w:sz w:val="21"/>
                <w:szCs w:val="21"/>
                <w:u w:val="single"/>
                <w:lang w:val="en-US" w:eastAsia="zh-CN" w:bidi="ar"/>
              </w:rPr>
              <w:t>10</w:t>
            </w:r>
            <w:r>
              <w:rPr>
                <w:rFonts w:hint="eastAsia" w:ascii="宋体" w:hAnsi="宋体" w:eastAsia="宋体" w:cs="宋体"/>
                <w:b/>
                <w:bCs w:val="0"/>
                <w:color w:val="auto"/>
                <w:sz w:val="21"/>
                <w:szCs w:val="21"/>
                <w:u w:val="single"/>
                <w:lang w:bidi="ar"/>
              </w:rPr>
              <w:t>分。</w:t>
            </w:r>
          </w:p>
          <w:p>
            <w:pPr>
              <w:snapToGrid w:val="0"/>
              <w:spacing w:beforeLines="0" w:afterLines="0" w:line="240" w:lineRule="auto"/>
              <w:ind w:leftChars="0" w:hanging="21" w:hangingChars="10"/>
              <w:jc w:val="left"/>
              <w:rPr>
                <w:rFonts w:hint="eastAsia" w:ascii="宋体" w:hAnsi="宋体" w:eastAsia="宋体" w:cs="宋体"/>
                <w:b/>
                <w:bCs w:val="0"/>
                <w:color w:val="auto"/>
                <w:sz w:val="21"/>
                <w:szCs w:val="21"/>
                <w:u w:val="single"/>
                <w:lang w:bidi="ar"/>
              </w:rPr>
            </w:pPr>
            <w:r>
              <w:rPr>
                <w:rFonts w:hint="eastAsia" w:ascii="宋体" w:hAnsi="宋体" w:eastAsia="宋体" w:cs="宋体"/>
                <w:b/>
                <w:bCs w:val="0"/>
                <w:color w:val="auto"/>
                <w:sz w:val="21"/>
                <w:szCs w:val="21"/>
                <w:u w:val="single"/>
                <w:lang w:bidi="ar"/>
              </w:rPr>
              <w:t>注：</w:t>
            </w:r>
            <w:r>
              <w:rPr>
                <w:rFonts w:hint="eastAsia" w:ascii="宋体" w:hAnsi="宋体" w:eastAsia="宋体" w:cs="宋体"/>
                <w:b/>
                <w:bCs w:val="0"/>
                <w:color w:val="auto"/>
                <w:sz w:val="21"/>
                <w:szCs w:val="21"/>
                <w:u w:val="single"/>
                <w:lang w:val="en-US" w:eastAsia="zh-CN" w:bidi="ar"/>
              </w:rPr>
              <w:t>需同时</w:t>
            </w:r>
            <w:r>
              <w:rPr>
                <w:rFonts w:hint="eastAsia" w:ascii="宋体" w:hAnsi="宋体" w:eastAsia="宋体" w:cs="宋体"/>
                <w:b/>
                <w:bCs w:val="0"/>
                <w:color w:val="auto"/>
                <w:sz w:val="21"/>
                <w:szCs w:val="21"/>
                <w:u w:val="single"/>
                <w:lang w:bidi="ar"/>
              </w:rPr>
              <w:t>提供中标通知书或免招标证明、服务合同等证明材料，并加盖投标人</w:t>
            </w:r>
            <w:r>
              <w:rPr>
                <w:rFonts w:hint="eastAsia" w:ascii="宋体" w:hAnsi="宋体" w:eastAsia="宋体" w:cs="宋体"/>
                <w:b/>
                <w:bCs w:val="0"/>
                <w:color w:val="auto"/>
                <w:sz w:val="21"/>
                <w:szCs w:val="21"/>
                <w:u w:val="single"/>
                <w:lang w:val="en-US" w:eastAsia="zh-CN" w:bidi="ar"/>
              </w:rPr>
              <w:t>电子印章</w:t>
            </w:r>
            <w:r>
              <w:rPr>
                <w:rFonts w:hint="eastAsia" w:ascii="宋体" w:hAnsi="宋体" w:eastAsia="宋体" w:cs="宋体"/>
                <w:b/>
                <w:bCs w:val="0"/>
                <w:color w:val="auto"/>
                <w:sz w:val="21"/>
                <w:szCs w:val="21"/>
                <w:u w:val="single"/>
                <w:lang w:eastAsia="zh-CN" w:bidi="ar"/>
              </w:rPr>
              <w:t>。</w:t>
            </w:r>
            <w:r>
              <w:rPr>
                <w:rFonts w:hint="eastAsia" w:ascii="宋体" w:hAnsi="宋体" w:eastAsia="宋体" w:cs="宋体"/>
                <w:b/>
                <w:bCs w:val="0"/>
                <w:color w:val="auto"/>
                <w:sz w:val="21"/>
                <w:szCs w:val="21"/>
                <w:u w:val="single"/>
                <w:lang w:bidi="ar"/>
              </w:rPr>
              <w:t>时间及总投资金额均以合同载明为准</w:t>
            </w:r>
            <w:r>
              <w:rPr>
                <w:rFonts w:hint="eastAsia" w:ascii="宋体" w:hAnsi="宋体" w:eastAsia="宋体" w:cs="宋体"/>
                <w:b/>
                <w:bCs w:val="0"/>
                <w:color w:val="auto"/>
                <w:sz w:val="21"/>
                <w:szCs w:val="21"/>
                <w:u w:val="single"/>
                <w:lang w:eastAsia="zh-CN" w:bidi="ar"/>
              </w:rPr>
              <w:t>，</w:t>
            </w:r>
            <w:r>
              <w:rPr>
                <w:rFonts w:hint="eastAsia" w:ascii="宋体" w:hAnsi="宋体" w:eastAsia="宋体" w:cs="宋体"/>
                <w:b/>
                <w:bCs w:val="0"/>
                <w:color w:val="auto"/>
                <w:sz w:val="21"/>
                <w:szCs w:val="21"/>
                <w:u w:val="single"/>
                <w:lang w:val="en-US" w:eastAsia="zh-CN" w:bidi="ar"/>
              </w:rPr>
              <w:t>若上述资料</w:t>
            </w:r>
            <w:r>
              <w:rPr>
                <w:rFonts w:hint="eastAsia" w:ascii="宋体" w:hAnsi="宋体" w:eastAsia="宋体" w:cs="宋体"/>
                <w:b/>
                <w:color w:val="000000"/>
                <w:sz w:val="21"/>
                <w:szCs w:val="21"/>
                <w:highlight w:val="none"/>
                <w:u w:val="single"/>
                <w:lang w:val="en-US" w:eastAsia="zh-CN"/>
              </w:rPr>
              <w:t>无法反映</w:t>
            </w:r>
            <w:r>
              <w:rPr>
                <w:rFonts w:hint="eastAsia" w:ascii="宋体" w:hAnsi="宋体" w:eastAsia="宋体" w:cs="宋体"/>
                <w:b/>
                <w:bCs w:val="0"/>
                <w:color w:val="auto"/>
                <w:sz w:val="21"/>
                <w:szCs w:val="21"/>
                <w:u w:val="single"/>
                <w:lang w:bidi="ar"/>
              </w:rPr>
              <w:t>总投资</w:t>
            </w:r>
            <w:r>
              <w:rPr>
                <w:rFonts w:hint="eastAsia" w:ascii="宋体" w:hAnsi="宋体" w:eastAsia="宋体" w:cs="宋体"/>
                <w:b/>
                <w:color w:val="000000"/>
                <w:sz w:val="21"/>
                <w:szCs w:val="21"/>
                <w:highlight w:val="none"/>
                <w:u w:val="single"/>
                <w:lang w:val="en-US" w:eastAsia="zh-CN"/>
              </w:rPr>
              <w:t>金额，需提供该工程项目的</w:t>
            </w:r>
            <w:r>
              <w:rPr>
                <w:rFonts w:hint="eastAsia" w:ascii="宋体" w:hAnsi="宋体" w:cs="宋体"/>
                <w:b/>
                <w:color w:val="auto"/>
                <w:kern w:val="0"/>
                <w:szCs w:val="21"/>
                <w:highlight w:val="none"/>
                <w:u w:val="single"/>
              </w:rPr>
              <w:t>批复</w:t>
            </w:r>
            <w:r>
              <w:rPr>
                <w:rFonts w:hint="eastAsia" w:ascii="宋体" w:hAnsi="宋体" w:cs="宋体"/>
                <w:b/>
                <w:color w:val="auto"/>
                <w:kern w:val="0"/>
                <w:szCs w:val="21"/>
                <w:highlight w:val="none"/>
                <w:u w:val="single"/>
                <w:lang w:val="en-US" w:eastAsia="zh-CN"/>
              </w:rPr>
              <w:t>文件或</w:t>
            </w:r>
            <w:r>
              <w:rPr>
                <w:rFonts w:hint="eastAsia" w:ascii="宋体" w:hAnsi="宋体" w:cs="宋体"/>
                <w:b/>
                <w:color w:val="auto"/>
                <w:kern w:val="0"/>
                <w:szCs w:val="21"/>
                <w:highlight w:val="none"/>
                <w:u w:val="single"/>
              </w:rPr>
              <w:t>核准</w:t>
            </w:r>
            <w:r>
              <w:rPr>
                <w:rFonts w:hint="eastAsia" w:ascii="宋体" w:hAnsi="宋体" w:cs="宋体"/>
                <w:b/>
                <w:color w:val="auto"/>
                <w:kern w:val="0"/>
                <w:szCs w:val="21"/>
                <w:highlight w:val="none"/>
                <w:u w:val="single"/>
                <w:lang w:val="en-US" w:eastAsia="zh-CN"/>
              </w:rPr>
              <w:t>文件或</w:t>
            </w:r>
            <w:r>
              <w:rPr>
                <w:rFonts w:hint="eastAsia" w:ascii="宋体" w:hAnsi="宋体" w:cs="宋体"/>
                <w:b/>
                <w:color w:val="auto"/>
                <w:kern w:val="0"/>
                <w:szCs w:val="21"/>
                <w:highlight w:val="none"/>
                <w:u w:val="single"/>
              </w:rPr>
              <w:t>备案文件</w:t>
            </w:r>
            <w:r>
              <w:rPr>
                <w:rFonts w:hint="eastAsia" w:ascii="宋体" w:hAnsi="宋体" w:cs="宋体"/>
                <w:b/>
                <w:color w:val="auto"/>
                <w:kern w:val="0"/>
                <w:szCs w:val="21"/>
                <w:highlight w:val="none"/>
                <w:u w:val="single"/>
                <w:lang w:val="en-US" w:eastAsia="zh-CN"/>
              </w:rPr>
              <w:t>或成果文件或</w:t>
            </w:r>
            <w:r>
              <w:rPr>
                <w:rFonts w:hint="eastAsia" w:hAnsi="宋体" w:cs="宋体"/>
                <w:b/>
                <w:szCs w:val="21"/>
                <w:highlight w:val="none"/>
                <w:u w:val="single"/>
              </w:rPr>
              <w:t>经建设单位盖章的证明材料</w:t>
            </w:r>
            <w:r>
              <w:rPr>
                <w:rFonts w:hint="eastAsia" w:ascii="宋体" w:hAnsi="宋体" w:eastAsia="宋体" w:cs="宋体"/>
                <w:b/>
                <w:color w:val="000000"/>
                <w:sz w:val="21"/>
                <w:szCs w:val="21"/>
                <w:highlight w:val="none"/>
                <w:u w:val="single"/>
                <w:lang w:val="en-US" w:eastAsia="zh-CN"/>
              </w:rPr>
              <w:t>等能反映相关指标的证明文件</w:t>
            </w:r>
            <w:r>
              <w:rPr>
                <w:rFonts w:hint="eastAsia" w:ascii="宋体" w:hAnsi="宋体" w:eastAsia="宋体" w:cs="宋体"/>
                <w:b/>
                <w:bCs w:val="0"/>
                <w:color w:val="auto"/>
                <w:sz w:val="21"/>
                <w:szCs w:val="21"/>
                <w:u w:val="singl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lang w:bidi="ar"/>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rPr>
            </w:pPr>
          </w:p>
        </w:tc>
        <w:tc>
          <w:tcPr>
            <w:tcW w:w="1185" w:type="pct"/>
            <w:tcBorders>
              <w:top w:val="single" w:color="auto" w:sz="4" w:space="0"/>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u w:val="none"/>
                <w:lang w:bidi="ar"/>
              </w:rPr>
              <w:t>监理业绩</w:t>
            </w:r>
          </w:p>
          <w:p>
            <w:pPr>
              <w:snapToGrid w:val="0"/>
              <w:spacing w:beforeLines="0" w:afterLines="0" w:line="240" w:lineRule="auto"/>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u w:val="none"/>
                <w:lang w:bidi="ar"/>
              </w:rPr>
              <w:t>（10分）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ind w:leftChars="0" w:hanging="21" w:hangingChars="10"/>
              <w:jc w:val="left"/>
              <w:rPr>
                <w:rFonts w:hint="eastAsia" w:ascii="宋体" w:hAnsi="宋体" w:eastAsia="宋体" w:cs="宋体"/>
                <w:b/>
                <w:bCs w:val="0"/>
                <w:sz w:val="21"/>
                <w:szCs w:val="21"/>
                <w:u w:val="single"/>
                <w:lang w:val="en-US" w:eastAsia="zh-CN"/>
              </w:rPr>
            </w:pPr>
            <w:r>
              <w:rPr>
                <w:rFonts w:hint="eastAsia" w:ascii="宋体" w:hAnsi="宋体" w:eastAsia="宋体" w:cs="宋体"/>
                <w:b/>
                <w:bCs w:val="0"/>
                <w:sz w:val="21"/>
                <w:szCs w:val="21"/>
                <w:u w:val="single"/>
              </w:rPr>
              <w:t>投标</w:t>
            </w:r>
            <w:r>
              <w:rPr>
                <w:rFonts w:hint="eastAsia" w:ascii="宋体" w:hAnsi="宋体" w:eastAsia="宋体" w:cs="宋体"/>
                <w:b/>
                <w:bCs w:val="0"/>
                <w:sz w:val="21"/>
                <w:szCs w:val="21"/>
                <w:u w:val="single"/>
                <w:lang w:val="en-US" w:eastAsia="zh-CN"/>
              </w:rPr>
              <w:t>人（若为联合体投标，指承担施工监理任务的单位）自</w:t>
            </w:r>
            <w:r>
              <w:rPr>
                <w:rFonts w:hint="eastAsia" w:ascii="宋体" w:hAnsi="宋体" w:eastAsia="宋体" w:cs="宋体"/>
                <w:b/>
                <w:bCs w:val="0"/>
                <w:sz w:val="21"/>
                <w:szCs w:val="21"/>
                <w:u w:val="single"/>
              </w:rPr>
              <w:t>2019年1月1日至今</w:t>
            </w:r>
            <w:r>
              <w:rPr>
                <w:rFonts w:hint="eastAsia" w:ascii="宋体" w:hAnsi="宋体" w:eastAsia="宋体" w:cs="宋体"/>
                <w:b/>
                <w:bCs w:val="0"/>
                <w:color w:val="auto"/>
                <w:kern w:val="0"/>
                <w:sz w:val="21"/>
                <w:szCs w:val="21"/>
                <w:highlight w:val="none"/>
                <w:u w:val="single"/>
              </w:rPr>
              <w:t>完成过质量合格的</w:t>
            </w:r>
            <w:r>
              <w:rPr>
                <w:rFonts w:hint="eastAsia" w:ascii="宋体" w:hAnsi="宋体" w:eastAsia="宋体" w:cs="宋体"/>
                <w:b/>
                <w:bCs w:val="0"/>
                <w:sz w:val="21"/>
                <w:szCs w:val="21"/>
                <w:u w:val="single"/>
              </w:rPr>
              <w:t>总投资金额</w:t>
            </w:r>
            <w:r>
              <w:rPr>
                <w:rFonts w:hint="eastAsia" w:ascii="宋体" w:hAnsi="宋体" w:eastAsia="宋体" w:cs="宋体"/>
                <w:b/>
                <w:bCs w:val="0"/>
                <w:sz w:val="21"/>
                <w:szCs w:val="21"/>
                <w:u w:val="single"/>
                <w:lang w:val="en-US" w:eastAsia="zh-CN"/>
              </w:rPr>
              <w:t>大于或等于</w:t>
            </w:r>
            <w:r>
              <w:rPr>
                <w:rFonts w:hint="eastAsia" w:ascii="宋体" w:hAnsi="宋体" w:eastAsia="宋体" w:cs="宋体"/>
                <w:b/>
                <w:bCs w:val="0"/>
                <w:sz w:val="21"/>
                <w:szCs w:val="21"/>
                <w:u w:val="single"/>
              </w:rPr>
              <w:t>3000万元的房屋建筑工程监理业绩</w:t>
            </w:r>
            <w:r>
              <w:rPr>
                <w:rFonts w:hint="eastAsia" w:ascii="宋体" w:hAnsi="宋体" w:eastAsia="宋体" w:cs="宋体"/>
                <w:b/>
                <w:bCs w:val="0"/>
                <w:sz w:val="21"/>
                <w:szCs w:val="21"/>
                <w:u w:val="single"/>
                <w:lang w:val="en-US" w:eastAsia="zh-CN"/>
              </w:rPr>
              <w:t>或房屋建筑工程全过程咨询业绩</w:t>
            </w:r>
            <w:r>
              <w:rPr>
                <w:rFonts w:hint="eastAsia" w:ascii="宋体" w:hAnsi="宋体" w:cs="宋体"/>
                <w:b/>
                <w:bCs w:val="0"/>
                <w:color w:val="auto"/>
                <w:sz w:val="21"/>
                <w:szCs w:val="21"/>
                <w:u w:val="single"/>
                <w:lang w:eastAsia="zh-CN" w:bidi="ar"/>
              </w:rPr>
              <w:t>（</w:t>
            </w:r>
            <w:r>
              <w:rPr>
                <w:rFonts w:hint="eastAsia" w:ascii="宋体" w:hAnsi="宋体" w:cs="宋体"/>
                <w:b/>
                <w:bCs w:val="0"/>
                <w:color w:val="auto"/>
                <w:sz w:val="21"/>
                <w:szCs w:val="21"/>
                <w:u w:val="single"/>
                <w:lang w:val="en-US" w:eastAsia="zh-CN" w:bidi="ar"/>
              </w:rPr>
              <w:t>承担该业绩的</w:t>
            </w:r>
            <w:r>
              <w:rPr>
                <w:rFonts w:hint="eastAsia" w:ascii="宋体" w:hAnsi="宋体" w:eastAsia="宋体" w:cs="宋体"/>
                <w:b/>
                <w:bCs w:val="0"/>
                <w:sz w:val="21"/>
                <w:szCs w:val="21"/>
                <w:u w:val="single"/>
                <w:lang w:val="en-US" w:eastAsia="zh-CN"/>
              </w:rPr>
              <w:t>监理</w:t>
            </w:r>
            <w:r>
              <w:rPr>
                <w:rFonts w:hint="eastAsia" w:ascii="宋体" w:hAnsi="宋体" w:cs="宋体"/>
                <w:b/>
                <w:bCs w:val="0"/>
                <w:sz w:val="21"/>
                <w:szCs w:val="21"/>
                <w:u w:val="single"/>
                <w:lang w:val="en-US" w:eastAsia="zh-CN"/>
              </w:rPr>
              <w:t>工作任务</w:t>
            </w:r>
            <w:r>
              <w:rPr>
                <w:rFonts w:hint="eastAsia" w:ascii="宋体" w:hAnsi="宋体" w:cs="宋体"/>
                <w:b/>
                <w:bCs w:val="0"/>
                <w:color w:val="auto"/>
                <w:sz w:val="21"/>
                <w:szCs w:val="21"/>
                <w:u w:val="single"/>
                <w:lang w:eastAsia="zh-CN" w:bidi="ar"/>
              </w:rPr>
              <w:t>）</w:t>
            </w:r>
            <w:r>
              <w:rPr>
                <w:rFonts w:hint="eastAsia" w:ascii="宋体" w:hAnsi="宋体" w:eastAsia="宋体" w:cs="宋体"/>
                <w:b/>
                <w:bCs w:val="0"/>
                <w:sz w:val="21"/>
                <w:szCs w:val="21"/>
                <w:u w:val="single"/>
              </w:rPr>
              <w:t>的，每项得2分，</w:t>
            </w:r>
            <w:r>
              <w:rPr>
                <w:rFonts w:hint="eastAsia" w:ascii="宋体" w:hAnsi="宋体" w:eastAsia="宋体" w:cs="宋体"/>
                <w:b/>
                <w:bCs w:val="0"/>
                <w:color w:val="auto"/>
                <w:sz w:val="21"/>
                <w:szCs w:val="21"/>
                <w:u w:val="single"/>
                <w:lang w:bidi="ar"/>
              </w:rPr>
              <w:t>本小项最多得</w:t>
            </w:r>
            <w:r>
              <w:rPr>
                <w:rFonts w:hint="eastAsia" w:ascii="宋体" w:hAnsi="宋体" w:eastAsia="宋体" w:cs="宋体"/>
                <w:b/>
                <w:bCs w:val="0"/>
                <w:color w:val="auto"/>
                <w:sz w:val="21"/>
                <w:szCs w:val="21"/>
                <w:u w:val="single"/>
                <w:lang w:val="en-US" w:eastAsia="zh-CN" w:bidi="ar"/>
              </w:rPr>
              <w:t>10</w:t>
            </w:r>
            <w:r>
              <w:rPr>
                <w:rFonts w:hint="eastAsia" w:ascii="宋体" w:hAnsi="宋体" w:eastAsia="宋体" w:cs="宋体"/>
                <w:b/>
                <w:bCs w:val="0"/>
                <w:color w:val="auto"/>
                <w:sz w:val="21"/>
                <w:szCs w:val="21"/>
                <w:u w:val="single"/>
                <w:lang w:bidi="ar"/>
              </w:rPr>
              <w:t>分</w:t>
            </w:r>
            <w:r>
              <w:rPr>
                <w:rFonts w:hint="eastAsia" w:ascii="宋体" w:hAnsi="宋体" w:eastAsia="宋体" w:cs="宋体"/>
                <w:b/>
                <w:bCs w:val="0"/>
                <w:sz w:val="21"/>
                <w:szCs w:val="21"/>
                <w:u w:val="single"/>
                <w:lang w:val="en-US" w:eastAsia="zh-CN"/>
              </w:rPr>
              <w:t>。</w:t>
            </w:r>
          </w:p>
          <w:p>
            <w:pPr>
              <w:widowControl/>
              <w:snapToGrid w:val="0"/>
              <w:spacing w:beforeLines="0" w:afterLines="0" w:line="240" w:lineRule="auto"/>
              <w:ind w:leftChars="0" w:hanging="21" w:hangingChars="10"/>
              <w:jc w:val="left"/>
              <w:rPr>
                <w:rFonts w:hint="eastAsia" w:ascii="宋体" w:hAnsi="宋体" w:eastAsia="宋体" w:cs="宋体"/>
                <w:b/>
                <w:bCs w:val="0"/>
                <w:color w:val="auto"/>
                <w:sz w:val="21"/>
                <w:szCs w:val="21"/>
                <w:u w:val="single"/>
                <w:lang w:bidi="ar"/>
              </w:rPr>
            </w:pPr>
            <w:r>
              <w:rPr>
                <w:rFonts w:hint="eastAsia" w:ascii="宋体" w:hAnsi="宋体" w:eastAsia="宋体" w:cs="宋体"/>
                <w:b/>
                <w:bCs w:val="0"/>
                <w:color w:val="auto"/>
                <w:sz w:val="21"/>
                <w:szCs w:val="21"/>
                <w:u w:val="single"/>
                <w:lang w:val="en-US" w:eastAsia="zh-CN" w:bidi="ar"/>
              </w:rPr>
              <w:t>注：</w:t>
            </w:r>
            <w:r>
              <w:rPr>
                <w:rFonts w:hint="eastAsia" w:ascii="宋体" w:hAnsi="宋体" w:eastAsia="宋体" w:cs="宋体"/>
                <w:b/>
                <w:bCs w:val="0"/>
                <w:color w:val="auto"/>
                <w:sz w:val="21"/>
                <w:szCs w:val="21"/>
                <w:u w:val="single"/>
                <w:lang w:bidi="ar"/>
              </w:rPr>
              <w:t>需同时提供中标通知书或免招标的相关证明、施工监理合同或全过程咨询合同、竣工验收报告或竣工验收证明的清晰扫描件并加盖投标人电子印章。业绩时间以竣工验收报告或竣工验收证明出具时间为准（竣工验收报告或竣工验收证明材料至少包含建设单位、设计单位、施工单位、监理单位四方主体盖章，否则不予以认可。总投资金额以合同载明为准</w:t>
            </w:r>
            <w:r>
              <w:rPr>
                <w:rFonts w:hint="eastAsia" w:ascii="宋体" w:hAnsi="宋体" w:eastAsia="宋体" w:cs="宋体"/>
                <w:b/>
                <w:bCs w:val="0"/>
                <w:color w:val="auto"/>
                <w:sz w:val="21"/>
                <w:szCs w:val="21"/>
                <w:u w:val="single"/>
                <w:lang w:eastAsia="zh-CN" w:bidi="ar"/>
              </w:rPr>
              <w:t>，</w:t>
            </w:r>
            <w:r>
              <w:rPr>
                <w:rFonts w:hint="eastAsia" w:ascii="宋体" w:hAnsi="宋体" w:eastAsia="宋体" w:cs="宋体"/>
                <w:b/>
                <w:bCs w:val="0"/>
                <w:color w:val="auto"/>
                <w:sz w:val="21"/>
                <w:szCs w:val="21"/>
                <w:u w:val="single"/>
                <w:lang w:val="en-US" w:eastAsia="zh-CN" w:bidi="ar"/>
              </w:rPr>
              <w:t>若上述资料</w:t>
            </w:r>
            <w:r>
              <w:rPr>
                <w:rFonts w:hint="eastAsia" w:ascii="宋体" w:hAnsi="宋体" w:eastAsia="宋体" w:cs="宋体"/>
                <w:b/>
                <w:color w:val="000000"/>
                <w:sz w:val="21"/>
                <w:szCs w:val="21"/>
                <w:highlight w:val="none"/>
                <w:u w:val="single"/>
                <w:lang w:val="en-US" w:eastAsia="zh-CN"/>
              </w:rPr>
              <w:t>无法反映</w:t>
            </w:r>
            <w:r>
              <w:rPr>
                <w:rFonts w:hint="eastAsia" w:ascii="宋体" w:hAnsi="宋体" w:eastAsia="宋体" w:cs="宋体"/>
                <w:b/>
                <w:bCs w:val="0"/>
                <w:color w:val="auto"/>
                <w:sz w:val="21"/>
                <w:szCs w:val="21"/>
                <w:u w:val="single"/>
                <w:lang w:bidi="ar"/>
              </w:rPr>
              <w:t>总投资</w:t>
            </w:r>
            <w:r>
              <w:rPr>
                <w:rFonts w:hint="eastAsia" w:ascii="宋体" w:hAnsi="宋体" w:eastAsia="宋体" w:cs="宋体"/>
                <w:b/>
                <w:color w:val="000000"/>
                <w:sz w:val="21"/>
                <w:szCs w:val="21"/>
                <w:highlight w:val="none"/>
                <w:u w:val="single"/>
                <w:lang w:val="en-US" w:eastAsia="zh-CN"/>
              </w:rPr>
              <w:t>金额，需提供该工程项目的</w:t>
            </w:r>
            <w:r>
              <w:rPr>
                <w:rFonts w:hint="eastAsia" w:ascii="宋体" w:hAnsi="宋体" w:cs="宋体"/>
                <w:b/>
                <w:color w:val="auto"/>
                <w:kern w:val="0"/>
                <w:szCs w:val="21"/>
                <w:highlight w:val="none"/>
                <w:u w:val="single"/>
              </w:rPr>
              <w:t>批复</w:t>
            </w:r>
            <w:r>
              <w:rPr>
                <w:rFonts w:hint="eastAsia" w:ascii="宋体" w:hAnsi="宋体" w:cs="宋体"/>
                <w:b/>
                <w:color w:val="auto"/>
                <w:kern w:val="0"/>
                <w:szCs w:val="21"/>
                <w:highlight w:val="none"/>
                <w:u w:val="single"/>
                <w:lang w:val="en-US" w:eastAsia="zh-CN"/>
              </w:rPr>
              <w:t>文件或</w:t>
            </w:r>
            <w:r>
              <w:rPr>
                <w:rFonts w:hint="eastAsia" w:ascii="宋体" w:hAnsi="宋体" w:cs="宋体"/>
                <w:b/>
                <w:color w:val="auto"/>
                <w:kern w:val="0"/>
                <w:szCs w:val="21"/>
                <w:highlight w:val="none"/>
                <w:u w:val="single"/>
              </w:rPr>
              <w:t>核准</w:t>
            </w:r>
            <w:r>
              <w:rPr>
                <w:rFonts w:hint="eastAsia" w:ascii="宋体" w:hAnsi="宋体" w:cs="宋体"/>
                <w:b/>
                <w:color w:val="auto"/>
                <w:kern w:val="0"/>
                <w:szCs w:val="21"/>
                <w:highlight w:val="none"/>
                <w:u w:val="single"/>
                <w:lang w:val="en-US" w:eastAsia="zh-CN"/>
              </w:rPr>
              <w:t>文件或</w:t>
            </w:r>
            <w:r>
              <w:rPr>
                <w:rFonts w:hint="eastAsia" w:ascii="宋体" w:hAnsi="宋体" w:cs="宋体"/>
                <w:b/>
                <w:color w:val="auto"/>
                <w:kern w:val="0"/>
                <w:szCs w:val="21"/>
                <w:highlight w:val="none"/>
                <w:u w:val="single"/>
              </w:rPr>
              <w:t>备案文件</w:t>
            </w:r>
            <w:r>
              <w:rPr>
                <w:rFonts w:hint="eastAsia" w:ascii="宋体" w:hAnsi="宋体" w:cs="宋体"/>
                <w:b/>
                <w:color w:val="auto"/>
                <w:kern w:val="0"/>
                <w:szCs w:val="21"/>
                <w:highlight w:val="none"/>
                <w:u w:val="single"/>
                <w:lang w:val="en-US" w:eastAsia="zh-CN"/>
              </w:rPr>
              <w:t>或</w:t>
            </w:r>
            <w:r>
              <w:rPr>
                <w:rFonts w:hint="eastAsia" w:hAnsi="宋体" w:cs="宋体"/>
                <w:b/>
                <w:szCs w:val="21"/>
                <w:highlight w:val="none"/>
                <w:u w:val="single"/>
              </w:rPr>
              <w:t>经建设单位盖章的证明材料</w:t>
            </w:r>
            <w:r>
              <w:rPr>
                <w:rFonts w:hint="eastAsia" w:ascii="宋体" w:hAnsi="宋体" w:eastAsia="宋体" w:cs="宋体"/>
                <w:b/>
                <w:color w:val="000000"/>
                <w:sz w:val="21"/>
                <w:szCs w:val="21"/>
                <w:highlight w:val="none"/>
                <w:u w:val="single"/>
                <w:lang w:val="en-US" w:eastAsia="zh-CN"/>
              </w:rPr>
              <w:t>等能反映相关指标的证明文件</w:t>
            </w:r>
            <w:r>
              <w:rPr>
                <w:rFonts w:hint="eastAsia" w:ascii="宋体" w:hAnsi="宋体" w:eastAsia="宋体" w:cs="宋体"/>
                <w:b/>
                <w:bCs w:val="0"/>
                <w:color w:val="auto"/>
                <w:sz w:val="21"/>
                <w:szCs w:val="21"/>
                <w:u w:val="singl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lang w:bidi="ar"/>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rPr>
            </w:pPr>
          </w:p>
        </w:tc>
        <w:tc>
          <w:tcPr>
            <w:tcW w:w="1185" w:type="pct"/>
            <w:tcBorders>
              <w:top w:val="single" w:color="auto" w:sz="4" w:space="0"/>
              <w:left w:val="single" w:color="auto" w:sz="4" w:space="0"/>
              <w:right w:val="single" w:color="auto" w:sz="4" w:space="0"/>
            </w:tcBorders>
            <w:shd w:val="clear" w:color="auto" w:fill="FFFFFF"/>
            <w:tcMar>
              <w:left w:w="108" w:type="dxa"/>
              <w:right w:w="108" w:type="dxa"/>
            </w:tcMar>
            <w:vAlign w:val="center"/>
          </w:tcPr>
          <w:p>
            <w:pPr>
              <w:spacing w:beforeLines="0" w:afterLine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获奖情况</w:t>
            </w:r>
          </w:p>
          <w:p>
            <w:pPr>
              <w:spacing w:beforeLines="0" w:afterLines="0"/>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sz w:val="21"/>
                <w:szCs w:val="21"/>
                <w:u w:val="none"/>
              </w:rPr>
              <w:t>（5</w:t>
            </w:r>
            <w:r>
              <w:rPr>
                <w:rFonts w:hint="eastAsia" w:ascii="宋体" w:hAnsi="宋体" w:eastAsia="宋体" w:cs="宋体"/>
                <w:b w:val="0"/>
                <w:bCs/>
                <w:color w:val="auto"/>
                <w:sz w:val="21"/>
                <w:szCs w:val="21"/>
                <w:u w:val="none"/>
                <w:lang w:bidi="ar"/>
              </w:rPr>
              <w:t>分</w:t>
            </w:r>
            <w:r>
              <w:rPr>
                <w:rFonts w:hint="eastAsia" w:ascii="宋体" w:hAnsi="宋体" w:eastAsia="宋体" w:cs="宋体"/>
                <w:b w:val="0"/>
                <w:bCs/>
                <w:sz w:val="21"/>
                <w:szCs w:val="21"/>
                <w:u w:val="none"/>
              </w:rPr>
              <w:t>）</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39"/>
              <w:spacing w:beforeLines="0" w:afterLines="0"/>
              <w:ind w:right="0" w:rightChars="0"/>
              <w:rPr>
                <w:rFonts w:hint="eastAsia" w:ascii="宋体" w:hAnsi="宋体" w:eastAsia="宋体" w:cs="宋体"/>
                <w:b/>
                <w:bCs w:val="0"/>
                <w:sz w:val="21"/>
                <w:szCs w:val="21"/>
                <w:u w:val="single"/>
                <w:lang w:eastAsia="zh-CN"/>
              </w:rPr>
            </w:pPr>
            <w:r>
              <w:rPr>
                <w:rFonts w:hint="eastAsia" w:cs="宋体"/>
                <w:b/>
                <w:bCs w:val="0"/>
                <w:color w:val="auto"/>
                <w:kern w:val="0"/>
                <w:sz w:val="21"/>
                <w:szCs w:val="21"/>
                <w:u w:val="single"/>
                <w:lang w:val="en-US" w:eastAsia="zh-CN" w:bidi="ar"/>
              </w:rPr>
              <w:t>投标人</w:t>
            </w:r>
            <w:r>
              <w:rPr>
                <w:rFonts w:hint="eastAsia" w:ascii="宋体" w:hAnsi="宋体" w:eastAsia="宋体" w:cs="宋体"/>
                <w:b/>
                <w:bCs w:val="0"/>
                <w:color w:val="auto"/>
                <w:kern w:val="0"/>
                <w:sz w:val="21"/>
                <w:szCs w:val="21"/>
                <w:u w:val="single"/>
                <w:lang w:bidi="ar"/>
              </w:rPr>
              <w:t>自20</w:t>
            </w:r>
            <w:r>
              <w:rPr>
                <w:rFonts w:hint="eastAsia" w:ascii="宋体" w:hAnsi="宋体" w:eastAsia="宋体" w:cs="宋体"/>
                <w:b/>
                <w:bCs w:val="0"/>
                <w:color w:val="auto"/>
                <w:kern w:val="0"/>
                <w:sz w:val="21"/>
                <w:szCs w:val="21"/>
                <w:u w:val="single"/>
                <w:lang w:val="en-US" w:eastAsia="zh-CN" w:bidi="ar"/>
              </w:rPr>
              <w:t>19</w:t>
            </w:r>
            <w:r>
              <w:rPr>
                <w:rFonts w:hint="eastAsia" w:ascii="宋体" w:hAnsi="宋体" w:eastAsia="宋体" w:cs="宋体"/>
                <w:b/>
                <w:bCs w:val="0"/>
                <w:color w:val="auto"/>
                <w:kern w:val="0"/>
                <w:sz w:val="21"/>
                <w:szCs w:val="21"/>
                <w:u w:val="single"/>
                <w:lang w:bidi="ar"/>
              </w:rPr>
              <w:t>年1月1日至今监理的房屋建筑工程获得奖项情况</w:t>
            </w:r>
            <w:r>
              <w:rPr>
                <w:rFonts w:hint="eastAsia" w:ascii="宋体" w:hAnsi="宋体" w:eastAsia="宋体" w:cs="宋体"/>
                <w:b/>
                <w:bCs w:val="0"/>
                <w:sz w:val="21"/>
                <w:szCs w:val="21"/>
                <w:u w:val="single"/>
                <w:lang w:val="en-US" w:eastAsia="zh-CN"/>
              </w:rPr>
              <w:t>（若为联合体投标，指承担施工监理任务的单位）</w:t>
            </w:r>
            <w:r>
              <w:rPr>
                <w:rFonts w:hint="eastAsia" w:ascii="宋体" w:hAnsi="宋体" w:eastAsia="宋体" w:cs="宋体"/>
                <w:b/>
                <w:bCs w:val="0"/>
                <w:color w:val="auto"/>
                <w:kern w:val="0"/>
                <w:sz w:val="21"/>
                <w:szCs w:val="21"/>
                <w:u w:val="single"/>
                <w:lang w:bidi="ar"/>
              </w:rPr>
              <w:t>：获得省级(含直辖市)</w:t>
            </w:r>
            <w:r>
              <w:rPr>
                <w:rFonts w:hint="eastAsia" w:ascii="宋体" w:hAnsi="宋体" w:eastAsia="宋体" w:cs="宋体"/>
                <w:b/>
                <w:bCs w:val="0"/>
                <w:color w:val="auto"/>
                <w:kern w:val="0"/>
                <w:sz w:val="21"/>
                <w:szCs w:val="21"/>
                <w:u w:val="single"/>
                <w:lang w:val="en-US" w:eastAsia="zh-CN" w:bidi="ar"/>
              </w:rPr>
              <w:t>(或以上）</w:t>
            </w:r>
            <w:r>
              <w:rPr>
                <w:rFonts w:hint="eastAsia" w:ascii="宋体" w:hAnsi="宋体" w:eastAsia="宋体" w:cs="宋体"/>
                <w:b/>
                <w:bCs w:val="0"/>
                <w:color w:val="auto"/>
                <w:kern w:val="0"/>
                <w:sz w:val="21"/>
                <w:szCs w:val="21"/>
                <w:u w:val="single"/>
                <w:lang w:bidi="ar"/>
              </w:rPr>
              <w:t>奖项的每项得</w:t>
            </w:r>
            <w:r>
              <w:rPr>
                <w:rFonts w:hint="eastAsia" w:ascii="宋体" w:hAnsi="宋体" w:eastAsia="宋体" w:cs="宋体"/>
                <w:b/>
                <w:bCs w:val="0"/>
                <w:color w:val="auto"/>
                <w:kern w:val="0"/>
                <w:sz w:val="21"/>
                <w:szCs w:val="21"/>
                <w:u w:val="single"/>
                <w:lang w:val="en-US" w:eastAsia="zh-CN" w:bidi="ar"/>
              </w:rPr>
              <w:t>1.5</w:t>
            </w:r>
            <w:r>
              <w:rPr>
                <w:rFonts w:hint="eastAsia" w:ascii="宋体" w:hAnsi="宋体" w:eastAsia="宋体" w:cs="宋体"/>
                <w:b/>
                <w:bCs w:val="0"/>
                <w:color w:val="auto"/>
                <w:kern w:val="0"/>
                <w:sz w:val="21"/>
                <w:szCs w:val="21"/>
                <w:u w:val="single"/>
                <w:lang w:bidi="ar"/>
              </w:rPr>
              <w:t>分；获得市级(含副省级)奖项的每项得</w:t>
            </w:r>
            <w:r>
              <w:rPr>
                <w:rFonts w:hint="eastAsia" w:ascii="宋体" w:hAnsi="宋体" w:eastAsia="宋体" w:cs="宋体"/>
                <w:b/>
                <w:bCs w:val="0"/>
                <w:color w:val="auto"/>
                <w:kern w:val="0"/>
                <w:sz w:val="21"/>
                <w:szCs w:val="21"/>
                <w:u w:val="single"/>
                <w:lang w:val="en-US" w:eastAsia="zh-CN" w:bidi="ar"/>
              </w:rPr>
              <w:t>1</w:t>
            </w:r>
            <w:r>
              <w:rPr>
                <w:rFonts w:hint="eastAsia" w:ascii="宋体" w:hAnsi="宋体" w:eastAsia="宋体" w:cs="宋体"/>
                <w:b/>
                <w:bCs w:val="0"/>
                <w:color w:val="auto"/>
                <w:kern w:val="0"/>
                <w:sz w:val="21"/>
                <w:szCs w:val="21"/>
                <w:u w:val="single"/>
                <w:lang w:bidi="ar"/>
              </w:rPr>
              <w:t>分；本项最多得</w:t>
            </w:r>
            <w:r>
              <w:rPr>
                <w:rFonts w:hint="eastAsia" w:ascii="宋体" w:hAnsi="宋体" w:eastAsia="宋体" w:cs="宋体"/>
                <w:b/>
                <w:bCs w:val="0"/>
                <w:color w:val="auto"/>
                <w:kern w:val="0"/>
                <w:sz w:val="21"/>
                <w:szCs w:val="21"/>
                <w:u w:val="single"/>
                <w:lang w:val="en-US" w:eastAsia="zh-CN" w:bidi="ar"/>
              </w:rPr>
              <w:t>5</w:t>
            </w:r>
            <w:r>
              <w:rPr>
                <w:rFonts w:hint="eastAsia" w:ascii="宋体" w:hAnsi="宋体" w:eastAsia="宋体" w:cs="宋体"/>
                <w:b/>
                <w:bCs w:val="0"/>
                <w:color w:val="auto"/>
                <w:kern w:val="0"/>
                <w:sz w:val="21"/>
                <w:szCs w:val="21"/>
                <w:u w:val="single"/>
                <w:lang w:bidi="ar"/>
              </w:rPr>
              <w:t>分。</w:t>
            </w:r>
          </w:p>
          <w:p>
            <w:pPr>
              <w:pStyle w:val="39"/>
              <w:spacing w:beforeLines="0" w:afterLines="0"/>
              <w:rPr>
                <w:rFonts w:hint="eastAsia" w:ascii="宋体" w:hAnsi="宋体" w:eastAsia="宋体" w:cs="宋体"/>
                <w:b w:val="0"/>
                <w:bCs/>
                <w:color w:val="auto"/>
                <w:sz w:val="21"/>
                <w:szCs w:val="21"/>
                <w:u w:val="none"/>
                <w:lang w:bidi="ar"/>
              </w:rPr>
            </w:pPr>
            <w:r>
              <w:rPr>
                <w:rFonts w:hint="eastAsia" w:ascii="宋体" w:hAnsi="宋体" w:eastAsia="宋体" w:cs="宋体"/>
                <w:b w:val="0"/>
                <w:bCs/>
                <w:sz w:val="21"/>
                <w:szCs w:val="21"/>
                <w:u w:val="none"/>
                <w:lang w:val="en-US" w:eastAsia="zh-CN"/>
              </w:rPr>
              <w:t>注：</w:t>
            </w:r>
            <w:r>
              <w:rPr>
                <w:rFonts w:hint="eastAsia" w:ascii="宋体" w:hAnsi="宋体" w:eastAsia="宋体" w:cs="宋体"/>
                <w:b w:val="0"/>
                <w:bCs/>
                <w:sz w:val="21"/>
                <w:szCs w:val="21"/>
                <w:u w:val="none"/>
                <w:lang w:eastAsia="zh-CN"/>
              </w:rPr>
              <w:t>监理业绩获奖以获奖证书或获奖通报证明材料的清晰扫描件为准，需提供获奖证书扫描件或获奖通报证明材料的清晰扫描件并加盖投标人电子印章，获奖时间以获奖证书或获奖通报发出日期为准；国家级奖项指的是中国建设工程鲁班奖、国家优质工程金质奖、国家优质工程奖、中国土木工程詹天佑奖，省(含直辖市)或市（含副省级）级奖项包括：由省(含直辖市)、市（含副省级）级建设行政主管部门或行业协会（行业协会须在民政部门备案）颁发的质量类工程奖项，同一工程获得多个奖项的，按最高奖项计取，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lang w:bidi="ar"/>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rPr>
            </w:pPr>
          </w:p>
        </w:tc>
        <w:tc>
          <w:tcPr>
            <w:tcW w:w="1185" w:type="pct"/>
            <w:tcBorders>
              <w:top w:val="single" w:color="auto" w:sz="4" w:space="0"/>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项目建设管理团队</w:t>
            </w:r>
          </w:p>
          <w:p>
            <w:pPr>
              <w:snapToGrid w:val="0"/>
              <w:spacing w:beforeLines="0" w:afterLines="0" w:line="240" w:lineRule="auto"/>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sz w:val="21"/>
                <w:szCs w:val="21"/>
                <w:u w:val="none"/>
              </w:rPr>
              <w:t>（5分）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ind w:leftChars="0" w:hanging="21" w:hangingChars="10"/>
              <w:jc w:val="left"/>
              <w:rPr>
                <w:rFonts w:hint="eastAsia" w:ascii="宋体" w:hAnsi="宋体" w:eastAsia="宋体" w:cs="宋体"/>
                <w:b/>
                <w:bCs w:val="0"/>
                <w:sz w:val="21"/>
                <w:szCs w:val="21"/>
                <w:u w:val="single"/>
              </w:rPr>
            </w:pPr>
            <w:r>
              <w:rPr>
                <w:rFonts w:hint="eastAsia" w:ascii="宋体" w:hAnsi="宋体" w:eastAsia="宋体" w:cs="宋体"/>
                <w:b/>
                <w:bCs w:val="0"/>
                <w:sz w:val="21"/>
                <w:szCs w:val="21"/>
                <w:u w:val="single"/>
              </w:rPr>
              <w:t>1.项目建设管理负责人</w:t>
            </w:r>
            <w:r>
              <w:rPr>
                <w:rFonts w:hint="eastAsia" w:ascii="宋体" w:hAnsi="宋体" w:cs="宋体"/>
                <w:b/>
                <w:bCs w:val="0"/>
                <w:color w:val="auto"/>
                <w:szCs w:val="21"/>
                <w:highlight w:val="none"/>
                <w:u w:val="single"/>
              </w:rPr>
              <w:t>（若为联合体投标，由承担项目建设管理任务的单位委派）</w:t>
            </w:r>
            <w:r>
              <w:rPr>
                <w:rFonts w:hint="eastAsia" w:ascii="宋体" w:hAnsi="宋体" w:eastAsia="宋体" w:cs="宋体"/>
                <w:b/>
                <w:bCs w:val="0"/>
                <w:sz w:val="21"/>
                <w:szCs w:val="21"/>
                <w:u w:val="single"/>
              </w:rPr>
              <w:t>：具有一级注册建筑师</w:t>
            </w:r>
            <w:r>
              <w:rPr>
                <w:rFonts w:hint="eastAsia" w:ascii="宋体" w:hAnsi="宋体" w:eastAsia="宋体" w:cs="宋体"/>
                <w:b/>
                <w:bCs w:val="0"/>
                <w:sz w:val="21"/>
                <w:szCs w:val="21"/>
                <w:u w:val="single"/>
                <w:lang w:val="en-US" w:eastAsia="zh-CN"/>
              </w:rPr>
              <w:t>注册证书</w:t>
            </w:r>
            <w:r>
              <w:rPr>
                <w:rFonts w:hint="eastAsia" w:ascii="宋体" w:hAnsi="宋体" w:eastAsia="宋体" w:cs="宋体"/>
                <w:b/>
                <w:bCs w:val="0"/>
                <w:sz w:val="21"/>
                <w:szCs w:val="21"/>
                <w:u w:val="single"/>
              </w:rPr>
              <w:t>、一级注册结构工程师注册执业证书、注册监理工程师</w:t>
            </w:r>
            <w:r>
              <w:rPr>
                <w:rFonts w:hint="eastAsia" w:ascii="宋体" w:hAnsi="宋体" w:eastAsia="宋体" w:cs="宋体"/>
                <w:b/>
                <w:bCs w:val="0"/>
                <w:sz w:val="21"/>
                <w:szCs w:val="21"/>
                <w:u w:val="single"/>
                <w:lang w:val="en-US" w:eastAsia="zh-CN"/>
              </w:rPr>
              <w:t>注册执业证书</w:t>
            </w:r>
            <w:r>
              <w:rPr>
                <w:rFonts w:hint="eastAsia" w:ascii="宋体" w:hAnsi="宋体" w:eastAsia="宋体" w:cs="宋体"/>
                <w:b/>
                <w:bCs w:val="0"/>
                <w:sz w:val="21"/>
                <w:szCs w:val="21"/>
                <w:u w:val="single"/>
              </w:rPr>
              <w:t>、一级注册建造师注册证书</w:t>
            </w:r>
            <w:r>
              <w:rPr>
                <w:rFonts w:hint="eastAsia" w:ascii="宋体" w:hAnsi="宋体" w:eastAsia="宋体" w:cs="宋体"/>
                <w:b/>
                <w:bCs w:val="0"/>
                <w:sz w:val="21"/>
                <w:szCs w:val="21"/>
                <w:u w:val="single"/>
                <w:lang w:eastAsia="zh-CN"/>
              </w:rPr>
              <w:t>、</w:t>
            </w:r>
            <w:r>
              <w:rPr>
                <w:rFonts w:hint="eastAsia" w:ascii="宋体" w:hAnsi="宋体" w:eastAsia="宋体" w:cs="宋体"/>
                <w:b/>
                <w:bCs w:val="0"/>
                <w:sz w:val="21"/>
                <w:szCs w:val="21"/>
                <w:u w:val="single"/>
              </w:rPr>
              <w:t>一级注册造价工程师注册证书、</w:t>
            </w:r>
            <w:r>
              <w:rPr>
                <w:rFonts w:hint="eastAsia" w:ascii="宋体" w:hAnsi="宋体" w:eastAsia="宋体" w:cs="宋体"/>
                <w:b/>
                <w:bCs w:val="0"/>
                <w:sz w:val="21"/>
                <w:szCs w:val="21"/>
                <w:u w:val="single"/>
                <w:lang w:val="zh-TW" w:eastAsia="zh-TW"/>
              </w:rPr>
              <w:t>注册安全工程师（建筑施工安全）注册证书</w:t>
            </w:r>
            <w:r>
              <w:rPr>
                <w:rFonts w:hint="eastAsia" w:ascii="宋体" w:hAnsi="宋体" w:eastAsia="宋体" w:cs="宋体"/>
                <w:b/>
                <w:bCs w:val="0"/>
                <w:sz w:val="21"/>
                <w:szCs w:val="21"/>
                <w:u w:val="single"/>
              </w:rPr>
              <w:t>中</w:t>
            </w:r>
            <w:r>
              <w:rPr>
                <w:rFonts w:hint="eastAsia" w:ascii="宋体" w:hAnsi="宋体" w:eastAsia="宋体" w:cs="宋体"/>
                <w:b/>
                <w:bCs w:val="0"/>
                <w:sz w:val="21"/>
                <w:szCs w:val="21"/>
                <w:u w:val="single"/>
                <w:lang w:val="en-US" w:eastAsia="zh-CN"/>
              </w:rPr>
              <w:t>任意一种证书</w:t>
            </w:r>
            <w:r>
              <w:rPr>
                <w:rFonts w:hint="eastAsia" w:ascii="宋体" w:hAnsi="宋体" w:eastAsia="宋体" w:cs="宋体"/>
                <w:b/>
                <w:bCs w:val="0"/>
                <w:sz w:val="21"/>
                <w:szCs w:val="21"/>
                <w:u w:val="single"/>
              </w:rPr>
              <w:t>的，得</w:t>
            </w:r>
            <w:r>
              <w:rPr>
                <w:rFonts w:hint="eastAsia" w:ascii="宋体" w:hAnsi="宋体" w:eastAsia="宋体" w:cs="宋体"/>
                <w:b/>
                <w:bCs w:val="0"/>
                <w:sz w:val="21"/>
                <w:szCs w:val="21"/>
                <w:u w:val="single"/>
                <w:lang w:val="en-US" w:eastAsia="zh-CN"/>
              </w:rPr>
              <w:t>0.5</w:t>
            </w:r>
            <w:r>
              <w:rPr>
                <w:rFonts w:hint="eastAsia" w:ascii="宋体" w:hAnsi="宋体" w:eastAsia="宋体" w:cs="宋体"/>
                <w:b/>
                <w:bCs w:val="0"/>
                <w:sz w:val="21"/>
                <w:szCs w:val="21"/>
                <w:u w:val="single"/>
              </w:rPr>
              <w:t>分；具有</w:t>
            </w:r>
            <w:r>
              <w:rPr>
                <w:rFonts w:hint="eastAsia" w:ascii="宋体" w:hAnsi="宋体" w:eastAsia="宋体" w:cs="宋体"/>
                <w:b/>
                <w:bCs w:val="0"/>
                <w:sz w:val="21"/>
                <w:szCs w:val="21"/>
                <w:u w:val="single"/>
                <w:lang w:val="en-US" w:eastAsia="zh-CN"/>
              </w:rPr>
              <w:t>上述任意二种</w:t>
            </w:r>
            <w:r>
              <w:rPr>
                <w:rFonts w:hint="eastAsia" w:ascii="宋体" w:hAnsi="宋体" w:eastAsia="宋体" w:cs="宋体"/>
                <w:b/>
                <w:bCs w:val="0"/>
                <w:sz w:val="21"/>
                <w:szCs w:val="21"/>
                <w:u w:val="single"/>
              </w:rPr>
              <w:t>或以上</w:t>
            </w:r>
            <w:r>
              <w:rPr>
                <w:rFonts w:hint="eastAsia" w:ascii="宋体" w:hAnsi="宋体" w:eastAsia="宋体" w:cs="宋体"/>
                <w:b/>
                <w:bCs w:val="0"/>
                <w:sz w:val="21"/>
                <w:szCs w:val="21"/>
                <w:u w:val="single"/>
                <w:lang w:val="en-US" w:eastAsia="zh-CN"/>
              </w:rPr>
              <w:t>证书</w:t>
            </w:r>
            <w:r>
              <w:rPr>
                <w:rFonts w:hint="eastAsia" w:ascii="宋体" w:hAnsi="宋体" w:eastAsia="宋体" w:cs="宋体"/>
                <w:b/>
                <w:bCs w:val="0"/>
                <w:sz w:val="21"/>
                <w:szCs w:val="21"/>
                <w:u w:val="single"/>
              </w:rPr>
              <w:t>的，得</w:t>
            </w:r>
            <w:r>
              <w:rPr>
                <w:rFonts w:hint="eastAsia" w:ascii="宋体" w:hAnsi="宋体" w:eastAsia="宋体" w:cs="宋体"/>
                <w:b/>
                <w:bCs w:val="0"/>
                <w:sz w:val="21"/>
                <w:szCs w:val="21"/>
                <w:u w:val="single"/>
                <w:lang w:val="en-US" w:eastAsia="zh-CN"/>
              </w:rPr>
              <w:t>1</w:t>
            </w:r>
            <w:r>
              <w:rPr>
                <w:rFonts w:hint="eastAsia" w:ascii="宋体" w:hAnsi="宋体" w:eastAsia="宋体" w:cs="宋体"/>
                <w:b/>
                <w:bCs w:val="0"/>
                <w:sz w:val="21"/>
                <w:szCs w:val="21"/>
                <w:u w:val="single"/>
              </w:rPr>
              <w:t>分。本</w:t>
            </w:r>
            <w:r>
              <w:rPr>
                <w:rFonts w:hint="eastAsia" w:ascii="宋体" w:hAnsi="宋体" w:eastAsia="宋体" w:cs="宋体"/>
                <w:b/>
                <w:bCs w:val="0"/>
                <w:sz w:val="21"/>
                <w:szCs w:val="21"/>
                <w:u w:val="single"/>
                <w:lang w:val="en-US" w:eastAsia="zh-CN"/>
              </w:rPr>
              <w:t>小</w:t>
            </w:r>
            <w:r>
              <w:rPr>
                <w:rFonts w:hint="eastAsia" w:ascii="宋体" w:hAnsi="宋体" w:eastAsia="宋体" w:cs="宋体"/>
                <w:b/>
                <w:bCs w:val="0"/>
                <w:sz w:val="21"/>
                <w:szCs w:val="21"/>
                <w:u w:val="single"/>
              </w:rPr>
              <w:t>项最多得</w:t>
            </w:r>
            <w:r>
              <w:rPr>
                <w:rFonts w:hint="eastAsia" w:ascii="宋体" w:hAnsi="宋体" w:eastAsia="宋体" w:cs="宋体"/>
                <w:b/>
                <w:bCs w:val="0"/>
                <w:sz w:val="21"/>
                <w:szCs w:val="21"/>
                <w:u w:val="single"/>
                <w:lang w:val="en-US" w:eastAsia="zh-CN"/>
              </w:rPr>
              <w:t>1</w:t>
            </w:r>
            <w:r>
              <w:rPr>
                <w:rFonts w:hint="eastAsia" w:ascii="宋体" w:hAnsi="宋体" w:eastAsia="宋体" w:cs="宋体"/>
                <w:b/>
                <w:bCs w:val="0"/>
                <w:sz w:val="21"/>
                <w:szCs w:val="21"/>
                <w:u w:val="single"/>
              </w:rPr>
              <w:t>分。</w:t>
            </w:r>
          </w:p>
          <w:p>
            <w:pPr>
              <w:widowControl/>
              <w:snapToGrid w:val="0"/>
              <w:spacing w:beforeLines="0" w:afterLines="0" w:line="240" w:lineRule="auto"/>
              <w:ind w:leftChars="0" w:hanging="21" w:hangingChars="10"/>
              <w:jc w:val="left"/>
              <w:rPr>
                <w:rFonts w:hint="eastAsia" w:ascii="宋体" w:hAnsi="宋体" w:eastAsia="宋体" w:cs="宋体"/>
                <w:b/>
                <w:bCs w:val="0"/>
                <w:sz w:val="21"/>
                <w:szCs w:val="21"/>
                <w:u w:val="single"/>
              </w:rPr>
            </w:pPr>
            <w:r>
              <w:rPr>
                <w:rFonts w:hint="eastAsia" w:ascii="宋体" w:hAnsi="宋体" w:eastAsia="宋体" w:cs="宋体"/>
                <w:b/>
                <w:bCs w:val="0"/>
                <w:sz w:val="21"/>
                <w:szCs w:val="21"/>
                <w:u w:val="single"/>
              </w:rPr>
              <w:t>2.其他项目管理主要人员（除项目建设管理负责人外）</w:t>
            </w:r>
            <w:r>
              <w:rPr>
                <w:rFonts w:hint="eastAsia" w:ascii="宋体" w:hAnsi="宋体" w:cs="宋体"/>
                <w:b/>
                <w:bCs/>
                <w:color w:val="auto"/>
                <w:szCs w:val="21"/>
                <w:highlight w:val="none"/>
                <w:u w:val="single"/>
              </w:rPr>
              <w:t>（若为联合体投标，由承担项目建设管理任务的单位委派）</w:t>
            </w:r>
            <w:r>
              <w:rPr>
                <w:rFonts w:hint="eastAsia" w:ascii="宋体" w:hAnsi="宋体" w:eastAsia="宋体" w:cs="宋体"/>
                <w:b/>
                <w:bCs w:val="0"/>
                <w:sz w:val="21"/>
                <w:szCs w:val="21"/>
                <w:u w:val="single"/>
              </w:rPr>
              <w:t>，</w:t>
            </w:r>
            <w:r>
              <w:rPr>
                <w:rFonts w:hint="eastAsia" w:ascii="宋体" w:hAnsi="宋体" w:eastAsia="宋体" w:cs="宋体"/>
                <w:b/>
                <w:bCs w:val="0"/>
                <w:sz w:val="21"/>
                <w:szCs w:val="21"/>
                <w:u w:val="single"/>
                <w:lang w:val="en-US" w:eastAsia="zh-CN"/>
              </w:rPr>
              <w:t>每提供1名</w:t>
            </w:r>
            <w:r>
              <w:rPr>
                <w:rFonts w:hint="eastAsia" w:ascii="宋体" w:hAnsi="宋体" w:eastAsia="宋体" w:cs="宋体"/>
                <w:b/>
                <w:bCs w:val="0"/>
                <w:sz w:val="21"/>
                <w:szCs w:val="21"/>
                <w:u w:val="single"/>
              </w:rPr>
              <w:t>具备一级注册建筑师注册证书或一级注册结构工程师注册执业证书</w:t>
            </w:r>
            <w:r>
              <w:rPr>
                <w:rFonts w:hint="eastAsia" w:ascii="宋体" w:hAnsi="宋体" w:eastAsia="宋体" w:cs="宋体"/>
                <w:b/>
                <w:bCs w:val="0"/>
                <w:sz w:val="21"/>
                <w:szCs w:val="21"/>
                <w:u w:val="single"/>
                <w:lang w:val="en-US" w:eastAsia="zh-CN"/>
              </w:rPr>
              <w:t>的</w:t>
            </w:r>
            <w:r>
              <w:rPr>
                <w:rFonts w:hint="eastAsia" w:ascii="宋体" w:hAnsi="宋体" w:eastAsia="宋体" w:cs="宋体"/>
                <w:b/>
                <w:bCs w:val="0"/>
                <w:sz w:val="21"/>
                <w:szCs w:val="21"/>
                <w:u w:val="single"/>
              </w:rPr>
              <w:t>得</w:t>
            </w:r>
            <w:r>
              <w:rPr>
                <w:rFonts w:hint="eastAsia" w:ascii="宋体" w:hAnsi="宋体" w:eastAsia="宋体" w:cs="宋体"/>
                <w:b/>
                <w:bCs w:val="0"/>
                <w:sz w:val="21"/>
                <w:szCs w:val="21"/>
                <w:u w:val="single"/>
                <w:lang w:val="en-US" w:eastAsia="zh-CN"/>
              </w:rPr>
              <w:t>2</w:t>
            </w:r>
            <w:r>
              <w:rPr>
                <w:rFonts w:hint="eastAsia" w:ascii="宋体" w:hAnsi="宋体" w:eastAsia="宋体" w:cs="宋体"/>
                <w:b/>
                <w:bCs w:val="0"/>
                <w:sz w:val="21"/>
                <w:szCs w:val="21"/>
                <w:u w:val="single"/>
              </w:rPr>
              <w:t>分，本</w:t>
            </w:r>
            <w:r>
              <w:rPr>
                <w:rFonts w:hint="eastAsia" w:ascii="宋体" w:hAnsi="宋体" w:eastAsia="宋体" w:cs="宋体"/>
                <w:b/>
                <w:bCs w:val="0"/>
                <w:sz w:val="21"/>
                <w:szCs w:val="21"/>
                <w:u w:val="single"/>
                <w:lang w:val="en-US" w:eastAsia="zh-CN"/>
              </w:rPr>
              <w:t>小</w:t>
            </w:r>
            <w:r>
              <w:rPr>
                <w:rFonts w:hint="eastAsia" w:ascii="宋体" w:hAnsi="宋体" w:eastAsia="宋体" w:cs="宋体"/>
                <w:b/>
                <w:bCs w:val="0"/>
                <w:sz w:val="21"/>
                <w:szCs w:val="21"/>
                <w:u w:val="single"/>
              </w:rPr>
              <w:t>项最多得</w:t>
            </w:r>
            <w:r>
              <w:rPr>
                <w:rFonts w:hint="eastAsia" w:ascii="宋体" w:hAnsi="宋体" w:eastAsia="宋体" w:cs="宋体"/>
                <w:b/>
                <w:bCs w:val="0"/>
                <w:sz w:val="21"/>
                <w:szCs w:val="21"/>
                <w:u w:val="single"/>
                <w:lang w:val="en-US" w:eastAsia="zh-CN"/>
              </w:rPr>
              <w:t>4</w:t>
            </w:r>
            <w:r>
              <w:rPr>
                <w:rFonts w:hint="eastAsia" w:ascii="宋体" w:hAnsi="宋体" w:eastAsia="宋体" w:cs="宋体"/>
                <w:b/>
                <w:bCs w:val="0"/>
                <w:sz w:val="21"/>
                <w:szCs w:val="21"/>
                <w:u w:val="single"/>
              </w:rPr>
              <w:t>分。</w:t>
            </w:r>
          </w:p>
          <w:p>
            <w:pPr>
              <w:pStyle w:val="15"/>
              <w:spacing w:beforeLines="0" w:afterLines="0"/>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注：须按评审标准相应提供注册证书等证明材料及其在本单位2024年12月缴纳社保证明文件扫描件，并加盖投标人电子印章。上述人员中同一人多个证书不累计计算得分。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lang w:bidi="ar"/>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rPr>
            </w:pPr>
          </w:p>
        </w:tc>
        <w:tc>
          <w:tcPr>
            <w:tcW w:w="1185" w:type="pct"/>
            <w:tcBorders>
              <w:top w:val="single" w:color="auto" w:sz="4" w:space="0"/>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u w:val="none"/>
                <w:lang w:bidi="ar"/>
              </w:rPr>
              <w:t>监理管理团队</w:t>
            </w:r>
          </w:p>
          <w:p>
            <w:pPr>
              <w:snapToGrid w:val="0"/>
              <w:spacing w:beforeLines="0" w:afterLines="0" w:line="240" w:lineRule="auto"/>
              <w:jc w:val="center"/>
              <w:rPr>
                <w:rFonts w:hint="eastAsia" w:ascii="宋体" w:hAnsi="宋体" w:eastAsia="宋体" w:cs="宋体"/>
                <w:b w:val="0"/>
                <w:bCs/>
                <w:color w:val="auto"/>
                <w:sz w:val="21"/>
                <w:szCs w:val="21"/>
                <w:u w:val="none"/>
              </w:rPr>
            </w:pPr>
            <w:r>
              <w:rPr>
                <w:rFonts w:hint="eastAsia" w:ascii="宋体" w:hAnsi="宋体" w:eastAsia="宋体" w:cs="宋体"/>
                <w:b w:val="0"/>
                <w:bCs/>
                <w:color w:val="auto"/>
                <w:sz w:val="21"/>
                <w:szCs w:val="21"/>
                <w:u w:val="none"/>
                <w:lang w:bidi="ar"/>
              </w:rPr>
              <w:t>（5分）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Lines="0" w:afterLines="0"/>
              <w:ind w:right="0" w:rightChars="0" w:firstLine="0" w:firstLineChars="0"/>
              <w:jc w:val="lef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1.拟派项目总监理工程师：具有建筑工程类</w:t>
            </w:r>
            <w:r>
              <w:rPr>
                <w:rFonts w:hint="eastAsia" w:ascii="宋体" w:hAnsi="宋体" w:eastAsia="宋体" w:cs="宋体"/>
                <w:b w:val="0"/>
                <w:bCs/>
                <w:sz w:val="21"/>
                <w:szCs w:val="21"/>
                <w:u w:val="none"/>
                <w:lang w:val="en-US" w:eastAsia="zh-CN"/>
              </w:rPr>
              <w:t>专业</w:t>
            </w:r>
            <w:r>
              <w:rPr>
                <w:rFonts w:hint="eastAsia" w:ascii="宋体" w:hAnsi="宋体" w:eastAsia="宋体" w:cs="宋体"/>
                <w:b w:val="0"/>
                <w:bCs/>
                <w:sz w:val="21"/>
                <w:szCs w:val="21"/>
                <w:u w:val="none"/>
              </w:rPr>
              <w:t>中级技术职称</w:t>
            </w:r>
            <w:r>
              <w:rPr>
                <w:rFonts w:hint="eastAsia" w:ascii="宋体" w:hAnsi="宋体" w:eastAsia="宋体" w:cs="宋体"/>
                <w:b w:val="0"/>
                <w:bCs/>
                <w:sz w:val="21"/>
                <w:szCs w:val="21"/>
                <w:u w:val="none"/>
                <w:lang w:val="en-US" w:eastAsia="zh-CN"/>
              </w:rPr>
              <w:t>的</w:t>
            </w:r>
            <w:r>
              <w:rPr>
                <w:rFonts w:hint="eastAsia" w:ascii="宋体" w:hAnsi="宋体" w:eastAsia="宋体" w:cs="宋体"/>
                <w:b w:val="0"/>
                <w:bCs/>
                <w:sz w:val="21"/>
                <w:szCs w:val="21"/>
                <w:u w:val="none"/>
              </w:rPr>
              <w:t>得</w:t>
            </w:r>
            <w:r>
              <w:rPr>
                <w:rFonts w:hint="eastAsia" w:ascii="宋体" w:hAnsi="宋体" w:eastAsia="宋体" w:cs="宋体"/>
                <w:b w:val="0"/>
                <w:bCs/>
                <w:sz w:val="21"/>
                <w:szCs w:val="21"/>
                <w:u w:val="none"/>
                <w:lang w:val="en-US" w:eastAsia="zh-CN"/>
              </w:rPr>
              <w:t>0.5</w:t>
            </w:r>
            <w:r>
              <w:rPr>
                <w:rFonts w:hint="eastAsia" w:ascii="宋体" w:hAnsi="宋体" w:eastAsia="宋体" w:cs="宋体"/>
                <w:b w:val="0"/>
                <w:bCs/>
                <w:sz w:val="21"/>
                <w:szCs w:val="21"/>
                <w:u w:val="none"/>
              </w:rPr>
              <w:t>分</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具有建筑工程类</w:t>
            </w:r>
            <w:r>
              <w:rPr>
                <w:rFonts w:hint="eastAsia" w:ascii="宋体" w:hAnsi="宋体" w:eastAsia="宋体" w:cs="宋体"/>
                <w:b w:val="0"/>
                <w:bCs/>
                <w:sz w:val="21"/>
                <w:szCs w:val="21"/>
                <w:u w:val="none"/>
                <w:lang w:val="en-US" w:eastAsia="zh-CN"/>
              </w:rPr>
              <w:t>专业高</w:t>
            </w:r>
            <w:r>
              <w:rPr>
                <w:rFonts w:hint="eastAsia" w:ascii="宋体" w:hAnsi="宋体" w:eastAsia="宋体" w:cs="宋体"/>
                <w:b w:val="0"/>
                <w:bCs/>
                <w:sz w:val="21"/>
                <w:szCs w:val="21"/>
                <w:u w:val="none"/>
              </w:rPr>
              <w:t>级</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或以上</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技术职称</w:t>
            </w:r>
            <w:r>
              <w:rPr>
                <w:rFonts w:hint="eastAsia" w:ascii="宋体" w:hAnsi="宋体" w:eastAsia="宋体" w:cs="宋体"/>
                <w:b w:val="0"/>
                <w:bCs/>
                <w:sz w:val="21"/>
                <w:szCs w:val="21"/>
                <w:u w:val="none"/>
                <w:lang w:val="en-US" w:eastAsia="zh-CN"/>
              </w:rPr>
              <w:t>的</w:t>
            </w:r>
            <w:r>
              <w:rPr>
                <w:rFonts w:hint="eastAsia" w:ascii="宋体" w:hAnsi="宋体" w:eastAsia="宋体" w:cs="宋体"/>
                <w:b w:val="0"/>
                <w:bCs/>
                <w:sz w:val="21"/>
                <w:szCs w:val="21"/>
                <w:u w:val="none"/>
              </w:rPr>
              <w:t>得</w:t>
            </w:r>
            <w:r>
              <w:rPr>
                <w:rFonts w:hint="eastAsia" w:ascii="宋体" w:hAnsi="宋体" w:eastAsia="宋体" w:cs="宋体"/>
                <w:b w:val="0"/>
                <w:bCs/>
                <w:sz w:val="21"/>
                <w:szCs w:val="21"/>
                <w:u w:val="none"/>
                <w:lang w:val="en-US" w:eastAsia="zh-CN"/>
              </w:rPr>
              <w:t>1</w:t>
            </w:r>
            <w:r>
              <w:rPr>
                <w:rFonts w:hint="eastAsia" w:ascii="宋体" w:hAnsi="宋体" w:eastAsia="宋体" w:cs="宋体"/>
                <w:b w:val="0"/>
                <w:bCs/>
                <w:sz w:val="21"/>
                <w:szCs w:val="21"/>
                <w:u w:val="none"/>
              </w:rPr>
              <w:t>分；</w:t>
            </w:r>
          </w:p>
          <w:p>
            <w:pPr>
              <w:spacing w:beforeLines="0" w:afterLines="0"/>
              <w:ind w:right="0" w:rightChars="0" w:firstLine="0" w:firstLineChars="0"/>
              <w:jc w:val="left"/>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rPr>
              <w:t>注：需提供职称</w:t>
            </w:r>
            <w:r>
              <w:rPr>
                <w:rFonts w:hint="eastAsia" w:ascii="宋体" w:hAnsi="宋体" w:eastAsia="宋体" w:cs="宋体"/>
                <w:b w:val="0"/>
                <w:bCs/>
                <w:sz w:val="21"/>
                <w:szCs w:val="21"/>
                <w:u w:val="none"/>
                <w:lang w:val="en-US" w:eastAsia="zh-CN"/>
              </w:rPr>
              <w:t>证书</w:t>
            </w:r>
            <w:r>
              <w:rPr>
                <w:rFonts w:hint="eastAsia" w:ascii="宋体" w:hAnsi="宋体" w:eastAsia="宋体" w:cs="宋体"/>
                <w:b w:val="0"/>
                <w:bCs/>
                <w:sz w:val="21"/>
                <w:szCs w:val="21"/>
                <w:u w:val="none"/>
              </w:rPr>
              <w:t>原件扫描件</w:t>
            </w:r>
            <w:r>
              <w:rPr>
                <w:rFonts w:hint="eastAsia" w:ascii="宋体" w:hAnsi="宋体" w:eastAsia="宋体" w:cs="宋体"/>
                <w:b w:val="0"/>
                <w:bCs/>
                <w:sz w:val="21"/>
                <w:szCs w:val="21"/>
                <w:u w:val="none"/>
                <w:lang w:val="en-US" w:eastAsia="zh-CN"/>
              </w:rPr>
              <w:t>并加盖电子印章，否则不得分</w:t>
            </w:r>
            <w:r>
              <w:rPr>
                <w:rFonts w:hint="eastAsia" w:ascii="宋体" w:hAnsi="宋体" w:eastAsia="宋体" w:cs="宋体"/>
                <w:b w:val="0"/>
                <w:bCs/>
                <w:sz w:val="21"/>
                <w:szCs w:val="21"/>
                <w:u w:val="none"/>
              </w:rPr>
              <w:t>。</w:t>
            </w:r>
            <w:r>
              <w:rPr>
                <w:rFonts w:hint="eastAsia" w:ascii="宋体" w:hAnsi="宋体" w:cs="宋体"/>
                <w:b w:val="0"/>
                <w:bCs/>
                <w:sz w:val="21"/>
                <w:szCs w:val="21"/>
                <w:u w:val="none"/>
                <w:lang w:val="en-US" w:eastAsia="zh-CN"/>
              </w:rPr>
              <w:t xml:space="preserve"> </w:t>
            </w:r>
          </w:p>
          <w:p>
            <w:pPr>
              <w:spacing w:beforeLines="0" w:afterLines="0"/>
              <w:ind w:right="0" w:rightChars="0" w:firstLine="0" w:firstLineChars="0"/>
              <w:jc w:val="left"/>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2.</w:t>
            </w:r>
            <w:r>
              <w:rPr>
                <w:rFonts w:hint="eastAsia" w:ascii="宋体" w:hAnsi="宋体" w:eastAsia="宋体" w:cs="宋体"/>
                <w:b/>
                <w:bCs w:val="0"/>
                <w:sz w:val="21"/>
                <w:szCs w:val="21"/>
                <w:u w:val="single"/>
              </w:rPr>
              <w:t>拟派项目总监理工程师</w:t>
            </w:r>
            <w:r>
              <w:rPr>
                <w:rFonts w:hint="eastAsia" w:ascii="宋体" w:hAnsi="宋体" w:eastAsia="宋体" w:cs="宋体"/>
                <w:b w:val="0"/>
                <w:bCs/>
                <w:sz w:val="21"/>
                <w:szCs w:val="21"/>
                <w:u w:val="none"/>
                <w:lang w:val="en-US" w:eastAsia="zh-CN"/>
              </w:rPr>
              <w:t>自</w:t>
            </w:r>
            <w:r>
              <w:rPr>
                <w:rFonts w:hint="eastAsia" w:ascii="宋体" w:hAnsi="宋体" w:eastAsia="宋体" w:cs="宋体"/>
                <w:b w:val="0"/>
                <w:bCs/>
                <w:sz w:val="21"/>
                <w:szCs w:val="21"/>
                <w:u w:val="none"/>
              </w:rPr>
              <w:t>2019年1月1日至今以总监理工程师身份</w:t>
            </w:r>
            <w:r>
              <w:rPr>
                <w:rFonts w:hint="eastAsia" w:ascii="宋体" w:hAnsi="宋体" w:eastAsia="宋体" w:cs="宋体"/>
                <w:b w:val="0"/>
                <w:bCs/>
                <w:sz w:val="21"/>
                <w:szCs w:val="21"/>
                <w:u w:val="none"/>
                <w:lang w:val="en-US" w:eastAsia="zh-CN"/>
              </w:rPr>
              <w:t>承接过</w:t>
            </w:r>
            <w:r>
              <w:rPr>
                <w:rFonts w:hint="eastAsia" w:ascii="宋体" w:hAnsi="宋体" w:eastAsia="宋体" w:cs="宋体"/>
                <w:b w:val="0"/>
                <w:bCs/>
                <w:sz w:val="21"/>
                <w:szCs w:val="21"/>
                <w:u w:val="none"/>
              </w:rPr>
              <w:t>房屋建筑工程监理业绩的得1分，本</w:t>
            </w:r>
            <w:r>
              <w:rPr>
                <w:rFonts w:hint="eastAsia" w:ascii="宋体" w:hAnsi="宋体" w:eastAsia="宋体" w:cs="宋体"/>
                <w:b w:val="0"/>
                <w:bCs/>
                <w:sz w:val="21"/>
                <w:szCs w:val="21"/>
                <w:u w:val="none"/>
                <w:lang w:val="en-US" w:eastAsia="zh-CN"/>
              </w:rPr>
              <w:t>小</w:t>
            </w:r>
            <w:r>
              <w:rPr>
                <w:rFonts w:hint="eastAsia" w:ascii="宋体" w:hAnsi="宋体" w:eastAsia="宋体" w:cs="宋体"/>
                <w:b w:val="0"/>
                <w:bCs/>
                <w:sz w:val="21"/>
                <w:szCs w:val="21"/>
                <w:u w:val="none"/>
              </w:rPr>
              <w:t>项最多得</w:t>
            </w:r>
            <w:r>
              <w:rPr>
                <w:rFonts w:hint="eastAsia" w:ascii="宋体" w:hAnsi="宋体" w:eastAsia="宋体" w:cs="宋体"/>
                <w:b w:val="0"/>
                <w:bCs/>
                <w:sz w:val="21"/>
                <w:szCs w:val="21"/>
                <w:u w:val="none"/>
                <w:lang w:val="en-US" w:eastAsia="zh-CN"/>
              </w:rPr>
              <w:t>1</w:t>
            </w:r>
            <w:r>
              <w:rPr>
                <w:rFonts w:hint="eastAsia" w:ascii="宋体" w:hAnsi="宋体" w:eastAsia="宋体" w:cs="宋体"/>
                <w:b w:val="0"/>
                <w:bCs/>
                <w:sz w:val="21"/>
                <w:szCs w:val="21"/>
                <w:u w:val="none"/>
              </w:rPr>
              <w:t>分</w:t>
            </w:r>
            <w:r>
              <w:rPr>
                <w:rFonts w:hint="eastAsia" w:ascii="宋体" w:hAnsi="宋体" w:eastAsia="宋体" w:cs="宋体"/>
                <w:b w:val="0"/>
                <w:bCs/>
                <w:sz w:val="21"/>
                <w:szCs w:val="21"/>
                <w:u w:val="none"/>
                <w:lang w:eastAsia="zh-CN"/>
              </w:rPr>
              <w:t>。</w:t>
            </w:r>
          </w:p>
          <w:p>
            <w:pPr>
              <w:pStyle w:val="15"/>
              <w:spacing w:beforeLines="0" w:afterLines="0"/>
              <w:ind w:firstLine="0" w:firstLineChars="0"/>
              <w:jc w:val="left"/>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注：业绩需同时</w:t>
            </w:r>
            <w:r>
              <w:rPr>
                <w:rFonts w:hint="eastAsia" w:ascii="宋体" w:hAnsi="宋体" w:eastAsia="宋体" w:cs="宋体"/>
                <w:b w:val="0"/>
                <w:bCs/>
                <w:sz w:val="21"/>
                <w:szCs w:val="21"/>
                <w:u w:val="none"/>
                <w:lang w:bidi="ar-SA"/>
              </w:rPr>
              <w:t>提供中标通知书或免招标的相关证明</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lang w:bidi="ar-SA"/>
              </w:rPr>
              <w:t>施工监理合同</w:t>
            </w:r>
            <w:r>
              <w:rPr>
                <w:rFonts w:hint="eastAsia" w:ascii="宋体" w:hAnsi="宋体" w:eastAsia="宋体" w:cs="宋体"/>
                <w:b w:val="0"/>
                <w:bCs/>
                <w:sz w:val="21"/>
                <w:szCs w:val="21"/>
                <w:u w:val="none"/>
                <w:lang w:val="en-US" w:eastAsia="zh-CN"/>
              </w:rPr>
              <w:t>原件扫描件加盖投标人电子印章。时间、姓名及职务以合同载明的信息为准，若合同无明确姓名及职务，需另提供业主出具的加盖业主单位公章的证明材料扫描件加盖投标人电子印章。</w:t>
            </w:r>
          </w:p>
          <w:p>
            <w:pPr>
              <w:widowControl/>
              <w:snapToGrid w:val="0"/>
              <w:spacing w:beforeLines="0" w:afterLines="0" w:line="240" w:lineRule="auto"/>
              <w:ind w:leftChars="0" w:firstLine="0" w:firstLineChars="0"/>
              <w:jc w:val="left"/>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lang w:val="en-US" w:eastAsia="zh-CN"/>
              </w:rPr>
              <w:t>3</w:t>
            </w:r>
            <w:r>
              <w:rPr>
                <w:rFonts w:hint="eastAsia" w:ascii="宋体" w:hAnsi="宋体" w:eastAsia="宋体" w:cs="宋体"/>
                <w:b w:val="0"/>
                <w:bCs/>
                <w:sz w:val="21"/>
                <w:szCs w:val="21"/>
                <w:u w:val="none"/>
                <w:lang w:eastAsia="zh-CN"/>
              </w:rPr>
              <w:t>.</w:t>
            </w:r>
            <w:r>
              <w:rPr>
                <w:rFonts w:hint="eastAsia" w:ascii="宋体" w:hAnsi="宋体" w:eastAsia="宋体" w:cs="宋体"/>
                <w:b/>
                <w:bCs w:val="0"/>
                <w:sz w:val="21"/>
                <w:szCs w:val="21"/>
                <w:u w:val="single"/>
                <w:lang w:eastAsia="zh-CN"/>
              </w:rPr>
              <w:t>其他监理管理主要人员（除总监理工程师外）</w:t>
            </w:r>
            <w:r>
              <w:rPr>
                <w:rFonts w:hint="eastAsia" w:ascii="宋体" w:hAnsi="宋体" w:eastAsia="宋体" w:cs="宋体"/>
                <w:b/>
                <w:bCs w:val="0"/>
                <w:sz w:val="21"/>
                <w:szCs w:val="21"/>
                <w:u w:val="single"/>
                <w:lang w:val="en-US" w:eastAsia="zh-CN"/>
              </w:rPr>
              <w:t>（若为联合体投标，指承担施工监理任务的单位）</w:t>
            </w:r>
            <w:r>
              <w:rPr>
                <w:rFonts w:hint="eastAsia" w:ascii="宋体" w:hAnsi="宋体" w:eastAsia="宋体" w:cs="宋体"/>
                <w:b/>
                <w:bCs w:val="0"/>
                <w:sz w:val="21"/>
                <w:szCs w:val="21"/>
                <w:u w:val="single"/>
                <w:lang w:eastAsia="zh-CN"/>
              </w:rPr>
              <w:t>，</w:t>
            </w:r>
            <w:r>
              <w:rPr>
                <w:rFonts w:hint="eastAsia" w:ascii="宋体" w:hAnsi="宋体" w:eastAsia="宋体" w:cs="宋体"/>
                <w:b/>
                <w:bCs w:val="0"/>
                <w:sz w:val="21"/>
                <w:szCs w:val="21"/>
                <w:u w:val="single"/>
                <w:lang w:val="en-US" w:eastAsia="zh-CN"/>
              </w:rPr>
              <w:t>每提供1名</w:t>
            </w:r>
            <w:r>
              <w:rPr>
                <w:rFonts w:hint="eastAsia" w:ascii="宋体" w:hAnsi="宋体" w:eastAsia="宋体" w:cs="宋体"/>
                <w:b/>
                <w:bCs w:val="0"/>
                <w:sz w:val="21"/>
                <w:szCs w:val="21"/>
                <w:u w:val="single"/>
              </w:rPr>
              <w:t>具有建筑工程类</w:t>
            </w:r>
            <w:r>
              <w:rPr>
                <w:rFonts w:hint="eastAsia" w:ascii="宋体" w:hAnsi="宋体" w:eastAsia="宋体" w:cs="宋体"/>
                <w:b/>
                <w:bCs w:val="0"/>
                <w:sz w:val="21"/>
                <w:szCs w:val="21"/>
                <w:u w:val="single"/>
                <w:lang w:val="en-US" w:eastAsia="zh-CN"/>
              </w:rPr>
              <w:t>专业高</w:t>
            </w:r>
            <w:r>
              <w:rPr>
                <w:rFonts w:hint="eastAsia" w:ascii="宋体" w:hAnsi="宋体" w:eastAsia="宋体" w:cs="宋体"/>
                <w:b/>
                <w:bCs w:val="0"/>
                <w:sz w:val="21"/>
                <w:szCs w:val="21"/>
                <w:u w:val="single"/>
              </w:rPr>
              <w:t>级</w:t>
            </w:r>
            <w:r>
              <w:rPr>
                <w:rFonts w:hint="eastAsia" w:ascii="宋体" w:hAnsi="宋体" w:eastAsia="宋体" w:cs="宋体"/>
                <w:b/>
                <w:bCs w:val="0"/>
                <w:sz w:val="21"/>
                <w:szCs w:val="21"/>
                <w:u w:val="single"/>
                <w:lang w:eastAsia="zh-CN"/>
              </w:rPr>
              <w:t>（</w:t>
            </w:r>
            <w:r>
              <w:rPr>
                <w:rFonts w:hint="eastAsia" w:ascii="宋体" w:hAnsi="宋体" w:eastAsia="宋体" w:cs="宋体"/>
                <w:b/>
                <w:bCs w:val="0"/>
                <w:sz w:val="21"/>
                <w:szCs w:val="21"/>
                <w:u w:val="single"/>
                <w:lang w:val="en-US" w:eastAsia="zh-CN"/>
              </w:rPr>
              <w:t>或以上</w:t>
            </w:r>
            <w:r>
              <w:rPr>
                <w:rFonts w:hint="eastAsia" w:ascii="宋体" w:hAnsi="宋体" w:eastAsia="宋体" w:cs="宋体"/>
                <w:b/>
                <w:bCs w:val="0"/>
                <w:sz w:val="21"/>
                <w:szCs w:val="21"/>
                <w:u w:val="single"/>
                <w:lang w:eastAsia="zh-CN"/>
              </w:rPr>
              <w:t>）</w:t>
            </w:r>
            <w:r>
              <w:rPr>
                <w:rFonts w:hint="eastAsia" w:ascii="宋体" w:hAnsi="宋体" w:eastAsia="宋体" w:cs="宋体"/>
                <w:b/>
                <w:bCs w:val="0"/>
                <w:sz w:val="21"/>
                <w:szCs w:val="21"/>
                <w:u w:val="single"/>
              </w:rPr>
              <w:t>技术职称</w:t>
            </w:r>
            <w:r>
              <w:rPr>
                <w:rFonts w:hint="eastAsia" w:ascii="宋体" w:hAnsi="宋体" w:eastAsia="宋体" w:cs="宋体"/>
                <w:b/>
                <w:bCs w:val="0"/>
                <w:sz w:val="21"/>
                <w:szCs w:val="21"/>
                <w:u w:val="single"/>
                <w:lang w:val="en-US" w:eastAsia="zh-CN"/>
              </w:rPr>
              <w:t>或注册执业证书</w:t>
            </w:r>
            <w:r>
              <w:rPr>
                <w:rFonts w:hint="eastAsia" w:ascii="宋体" w:hAnsi="宋体" w:eastAsia="宋体" w:cs="宋体"/>
                <w:b/>
                <w:bCs w:val="0"/>
                <w:sz w:val="21"/>
                <w:szCs w:val="21"/>
                <w:u w:val="single"/>
                <w:lang w:eastAsia="zh-CN"/>
              </w:rPr>
              <w:t>的得1分，</w:t>
            </w:r>
            <w:r>
              <w:rPr>
                <w:rFonts w:hint="eastAsia" w:ascii="宋体" w:hAnsi="宋体" w:eastAsia="宋体" w:cs="宋体"/>
                <w:b/>
                <w:bCs w:val="0"/>
                <w:sz w:val="21"/>
                <w:szCs w:val="21"/>
                <w:u w:val="single"/>
              </w:rPr>
              <w:t>本</w:t>
            </w:r>
            <w:r>
              <w:rPr>
                <w:rFonts w:hint="eastAsia" w:ascii="宋体" w:hAnsi="宋体" w:eastAsia="宋体" w:cs="宋体"/>
                <w:b/>
                <w:bCs w:val="0"/>
                <w:sz w:val="21"/>
                <w:szCs w:val="21"/>
                <w:u w:val="single"/>
                <w:lang w:val="en-US" w:eastAsia="zh-CN"/>
              </w:rPr>
              <w:t>小</w:t>
            </w:r>
            <w:r>
              <w:rPr>
                <w:rFonts w:hint="eastAsia" w:ascii="宋体" w:hAnsi="宋体" w:eastAsia="宋体" w:cs="宋体"/>
                <w:b/>
                <w:bCs w:val="0"/>
                <w:sz w:val="21"/>
                <w:szCs w:val="21"/>
                <w:u w:val="single"/>
              </w:rPr>
              <w:t>项最多得</w:t>
            </w:r>
            <w:r>
              <w:rPr>
                <w:rFonts w:hint="eastAsia" w:ascii="宋体" w:hAnsi="宋体" w:eastAsia="宋体" w:cs="宋体"/>
                <w:b/>
                <w:bCs w:val="0"/>
                <w:sz w:val="21"/>
                <w:szCs w:val="21"/>
                <w:u w:val="single"/>
                <w:lang w:val="en-US" w:eastAsia="zh-CN"/>
              </w:rPr>
              <w:t>3</w:t>
            </w:r>
            <w:r>
              <w:rPr>
                <w:rFonts w:hint="eastAsia" w:ascii="宋体" w:hAnsi="宋体" w:eastAsia="宋体" w:cs="宋体"/>
                <w:b/>
                <w:bCs w:val="0"/>
                <w:sz w:val="21"/>
                <w:szCs w:val="21"/>
                <w:u w:val="single"/>
              </w:rPr>
              <w:t>分</w:t>
            </w:r>
            <w:r>
              <w:rPr>
                <w:rFonts w:hint="eastAsia" w:ascii="宋体" w:hAnsi="宋体" w:eastAsia="宋体" w:cs="宋体"/>
                <w:b/>
                <w:bCs w:val="0"/>
                <w:sz w:val="21"/>
                <w:szCs w:val="21"/>
                <w:u w:val="single"/>
                <w:lang w:eastAsia="zh-CN"/>
              </w:rPr>
              <w:t>。</w:t>
            </w:r>
          </w:p>
          <w:p>
            <w:pPr>
              <w:pStyle w:val="15"/>
              <w:spacing w:beforeLines="0" w:afterLines="0"/>
              <w:ind w:firstLine="0" w:firstLineChars="0"/>
              <w:jc w:val="left"/>
              <w:rPr>
                <w:rFonts w:hint="eastAsia" w:ascii="宋体" w:hAnsi="宋体" w:eastAsia="宋体" w:cs="宋体"/>
                <w:b w:val="0"/>
                <w:bCs/>
                <w:sz w:val="21"/>
                <w:szCs w:val="21"/>
                <w:u w:val="none"/>
                <w:lang w:val="en-US" w:eastAsia="zh-CN"/>
              </w:rPr>
            </w:pPr>
            <w:r>
              <w:rPr>
                <w:rFonts w:hint="eastAsia" w:ascii="宋体" w:hAnsi="宋体" w:eastAsia="宋体" w:cs="宋体"/>
                <w:b w:val="0"/>
                <w:bCs/>
                <w:sz w:val="21"/>
                <w:szCs w:val="21"/>
                <w:u w:val="none"/>
                <w:lang w:val="en-US" w:eastAsia="zh-CN"/>
              </w:rPr>
              <w:t>注：须按评审标准相应提供职称证书、注册证书等材料及其在本单位2024年12月缴纳社保证明文件扫描件，并加盖投标人电子印章。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restart"/>
            <w:tcBorders>
              <w:top w:val="single" w:color="auto" w:sz="4" w:space="0"/>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sz w:val="21"/>
                <w:szCs w:val="21"/>
                <w:u w:val="none"/>
              </w:rPr>
            </w:pPr>
            <w:r>
              <w:rPr>
                <w:rFonts w:hint="eastAsia" w:ascii="宋体" w:hAnsi="宋体" w:eastAsia="宋体" w:cs="宋体"/>
                <w:b w:val="0"/>
                <w:bCs/>
                <w:color w:val="auto"/>
                <w:kern w:val="0"/>
                <w:sz w:val="21"/>
                <w:szCs w:val="21"/>
                <w:u w:val="none"/>
                <w:lang w:bidi="ar"/>
              </w:rPr>
              <w:t>2.2.4（2）</w:t>
            </w:r>
          </w:p>
        </w:tc>
        <w:tc>
          <w:tcPr>
            <w:tcW w:w="624" w:type="pct"/>
            <w:vMerge w:val="restart"/>
            <w:tcBorders>
              <w:top w:val="single" w:color="auto" w:sz="4" w:space="0"/>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rPr>
            </w:pPr>
            <w:r>
              <w:rPr>
                <w:rFonts w:hint="eastAsia" w:ascii="宋体" w:hAnsi="宋体" w:eastAsia="宋体" w:cs="宋体"/>
                <w:b w:val="0"/>
                <w:bCs/>
                <w:color w:val="auto"/>
                <w:sz w:val="21"/>
                <w:szCs w:val="21"/>
                <w:u w:val="none"/>
              </w:rPr>
              <w:t>监理大纲部分（30分）</w:t>
            </w:r>
          </w:p>
        </w:tc>
        <w:tc>
          <w:tcPr>
            <w:tcW w:w="118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rPr>
                <w:rFonts w:hint="eastAsia" w:ascii="宋体" w:hAnsi="宋体" w:eastAsia="宋体" w:cs="宋体"/>
                <w:b w:val="0"/>
                <w:bCs/>
                <w:sz w:val="21"/>
                <w:szCs w:val="21"/>
                <w:u w:val="none"/>
              </w:rPr>
            </w:pPr>
          </w:p>
          <w:p>
            <w:pPr>
              <w:spacing w:beforeLines="0" w:afterLine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项目建设管理方案</w:t>
            </w:r>
          </w:p>
          <w:p>
            <w:pPr>
              <w:spacing w:beforeLines="0" w:afterLines="0"/>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sz w:val="21"/>
                <w:szCs w:val="21"/>
                <w:u w:val="none"/>
              </w:rPr>
              <w:t>（10分）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adjustRightInd w:val="0"/>
              <w:snapToGrid w:val="0"/>
              <w:spacing w:beforeLines="0" w:afterLines="0"/>
              <w:ind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1</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项目建设管理方案完整，包括本项目从前期工作到最终验收交付全过程管理服务工作，包括但不限于：设计全阶段管理、工程报建、工程监理、施工过程质量安全监督、合同管理、施工管理、信息管理，及最终的验收手续办理直至缺陷责任期结束的所有环节，方案完整，措施得当，管理细节到位，具有可执行性，符合本项目特点（更新改造）。得</w:t>
            </w:r>
            <w:r>
              <w:rPr>
                <w:rFonts w:hint="eastAsia" w:ascii="宋体" w:hAnsi="宋体" w:eastAsia="宋体" w:cs="宋体"/>
                <w:b w:val="0"/>
                <w:bCs/>
                <w:sz w:val="21"/>
                <w:szCs w:val="21"/>
                <w:u w:val="none"/>
                <w:lang w:val="en-US" w:eastAsia="zh-CN"/>
              </w:rPr>
              <w:t>(7,</w:t>
            </w:r>
            <w:r>
              <w:rPr>
                <w:rFonts w:hint="eastAsia" w:ascii="宋体" w:hAnsi="宋体" w:eastAsia="宋体" w:cs="宋体"/>
                <w:b w:val="0"/>
                <w:bCs/>
                <w:sz w:val="21"/>
                <w:szCs w:val="21"/>
                <w:u w:val="none"/>
              </w:rPr>
              <w:t>10</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分；</w:t>
            </w:r>
          </w:p>
          <w:p>
            <w:pPr>
              <w:adjustRightInd w:val="0"/>
              <w:snapToGrid w:val="0"/>
              <w:spacing w:beforeLines="0" w:afterLines="0"/>
              <w:ind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2</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项目建设管理方案较完整，项目建设管理方案包括项目统筹及总体管理、项目设计管理、项目进度管理、项目质量管理等，得</w:t>
            </w:r>
            <w:r>
              <w:rPr>
                <w:rFonts w:hint="eastAsia" w:ascii="宋体" w:hAnsi="宋体" w:eastAsia="宋体" w:cs="宋体"/>
                <w:b w:val="0"/>
                <w:bCs/>
                <w:sz w:val="21"/>
                <w:szCs w:val="21"/>
                <w:u w:val="none"/>
                <w:lang w:val="en-US" w:eastAsia="zh-CN"/>
              </w:rPr>
              <w:t>(4,</w:t>
            </w:r>
            <w:r>
              <w:rPr>
                <w:rFonts w:hint="eastAsia" w:ascii="宋体" w:hAnsi="宋体" w:eastAsia="宋体" w:cs="宋体"/>
                <w:b w:val="0"/>
                <w:bCs/>
                <w:sz w:val="21"/>
                <w:szCs w:val="21"/>
                <w:u w:val="none"/>
              </w:rPr>
              <w:t>7</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分；</w:t>
            </w:r>
          </w:p>
          <w:p>
            <w:pPr>
              <w:adjustRightInd w:val="0"/>
              <w:snapToGrid w:val="0"/>
              <w:spacing w:beforeLines="0" w:afterLines="0"/>
              <w:ind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3</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项目建设管理方案不够完整，项目建设管理方案包括项目统筹及总体管理等，得</w:t>
            </w:r>
            <w:r>
              <w:rPr>
                <w:rFonts w:hint="eastAsia" w:ascii="宋体" w:hAnsi="宋体" w:eastAsia="宋体" w:cs="宋体"/>
                <w:b w:val="0"/>
                <w:bCs/>
                <w:sz w:val="21"/>
                <w:szCs w:val="21"/>
                <w:u w:val="none"/>
                <w:lang w:val="en-US" w:eastAsia="zh-CN"/>
              </w:rPr>
              <w:t>(0,</w:t>
            </w:r>
            <w:r>
              <w:rPr>
                <w:rFonts w:hint="eastAsia" w:ascii="宋体" w:hAnsi="宋体" w:eastAsia="宋体" w:cs="宋体"/>
                <w:b w:val="0"/>
                <w:bCs/>
                <w:sz w:val="21"/>
                <w:szCs w:val="21"/>
                <w:u w:val="none"/>
              </w:rPr>
              <w:t>4</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分；</w:t>
            </w:r>
          </w:p>
          <w:p>
            <w:pPr>
              <w:adjustRightInd w:val="0"/>
              <w:snapToGrid w:val="0"/>
              <w:spacing w:beforeLines="0" w:afterLines="0"/>
              <w:ind w:firstLine="0" w:firstLineChars="0"/>
              <w:rPr>
                <w:rFonts w:hint="eastAsia" w:ascii="宋体" w:hAnsi="宋体" w:eastAsia="宋体" w:cs="宋体"/>
                <w:b w:val="0"/>
                <w:bCs/>
                <w:color w:val="auto"/>
                <w:sz w:val="21"/>
                <w:szCs w:val="21"/>
                <w:u w:val="none"/>
                <w:lang w:bidi="ar"/>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4</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无提供项目建设管理方案，得0分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lang w:bidi="ar"/>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lang w:bidi="ar"/>
              </w:rPr>
            </w:pPr>
          </w:p>
        </w:tc>
        <w:tc>
          <w:tcPr>
            <w:tcW w:w="118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监理方案</w:t>
            </w:r>
          </w:p>
          <w:p>
            <w:pPr>
              <w:spacing w:beforeLines="0" w:afterLines="0"/>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sz w:val="21"/>
                <w:szCs w:val="21"/>
                <w:u w:val="none"/>
              </w:rPr>
              <w:t>（10分）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adjustRightInd w:val="0"/>
              <w:snapToGrid w:val="0"/>
              <w:spacing w:beforeLines="0" w:afterLines="0"/>
              <w:ind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lang w:val="en-US" w:eastAsia="zh-CN"/>
              </w:rPr>
              <w:t>（1）</w:t>
            </w:r>
            <w:r>
              <w:rPr>
                <w:rFonts w:hint="eastAsia" w:ascii="宋体" w:hAnsi="宋体" w:eastAsia="宋体" w:cs="宋体"/>
                <w:b w:val="0"/>
                <w:bCs/>
                <w:sz w:val="21"/>
                <w:szCs w:val="21"/>
                <w:u w:val="none"/>
              </w:rPr>
              <w:t>监理工作方案完整，监理工作方案包括监理工作总程序、质量控制监理工作程序、安全管理监理工作程序、进度控制监理工作程序、投资控制监理工作程序、组织协调监理工作程序、合同管理监理工作程序、监理工作制度等内容，得</w:t>
            </w:r>
            <w:r>
              <w:rPr>
                <w:rFonts w:hint="eastAsia" w:ascii="宋体" w:hAnsi="宋体" w:eastAsia="宋体" w:cs="宋体"/>
                <w:b w:val="0"/>
                <w:bCs/>
                <w:sz w:val="21"/>
                <w:szCs w:val="21"/>
                <w:u w:val="none"/>
                <w:lang w:val="en-US" w:eastAsia="zh-CN"/>
              </w:rPr>
              <w:t>(7,</w:t>
            </w:r>
            <w:r>
              <w:rPr>
                <w:rFonts w:hint="eastAsia" w:ascii="宋体" w:hAnsi="宋体" w:eastAsia="宋体" w:cs="宋体"/>
                <w:b w:val="0"/>
                <w:bCs/>
                <w:sz w:val="21"/>
                <w:szCs w:val="21"/>
                <w:u w:val="none"/>
              </w:rPr>
              <w:t>10</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分；</w:t>
            </w:r>
          </w:p>
          <w:p>
            <w:pPr>
              <w:adjustRightInd w:val="0"/>
              <w:snapToGrid w:val="0"/>
              <w:spacing w:beforeLines="0" w:afterLines="0"/>
              <w:ind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2</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监理工作方案较完整，监理工作方案包括监理工作总程序、质量控制监理工作程序、安全管理监理工作程序、进度控制监理工作程序、投资控制监理工作程序、合同管理监理工作程序等内容，得</w:t>
            </w:r>
            <w:r>
              <w:rPr>
                <w:rFonts w:hint="eastAsia" w:ascii="宋体" w:hAnsi="宋体" w:eastAsia="宋体" w:cs="宋体"/>
                <w:b w:val="0"/>
                <w:bCs/>
                <w:sz w:val="21"/>
                <w:szCs w:val="21"/>
                <w:u w:val="none"/>
                <w:lang w:val="en-US" w:eastAsia="zh-CN"/>
              </w:rPr>
              <w:t>(4,</w:t>
            </w:r>
            <w:r>
              <w:rPr>
                <w:rFonts w:hint="eastAsia" w:ascii="宋体" w:hAnsi="宋体" w:eastAsia="宋体" w:cs="宋体"/>
                <w:b w:val="0"/>
                <w:bCs/>
                <w:sz w:val="21"/>
                <w:szCs w:val="21"/>
                <w:u w:val="none"/>
              </w:rPr>
              <w:t>7</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分；</w:t>
            </w:r>
          </w:p>
          <w:p>
            <w:pPr>
              <w:adjustRightInd w:val="0"/>
              <w:snapToGrid w:val="0"/>
              <w:spacing w:beforeLines="0" w:afterLines="0"/>
              <w:ind w:firstLine="0" w:firstLineChars="0"/>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3</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监理工作方案不完整，监理工作方案包括质量控制监理工作程序、安全管理监理工作程序、进度控制监理工作程序等内容，得</w:t>
            </w:r>
            <w:r>
              <w:rPr>
                <w:rFonts w:hint="eastAsia" w:ascii="宋体" w:hAnsi="宋体" w:eastAsia="宋体" w:cs="宋体"/>
                <w:b w:val="0"/>
                <w:bCs/>
                <w:sz w:val="21"/>
                <w:szCs w:val="21"/>
                <w:u w:val="none"/>
                <w:lang w:val="en-US" w:eastAsia="zh-CN"/>
              </w:rPr>
              <w:t>(0,</w:t>
            </w:r>
            <w:r>
              <w:rPr>
                <w:rFonts w:hint="eastAsia" w:ascii="宋体" w:hAnsi="宋体" w:eastAsia="宋体" w:cs="宋体"/>
                <w:b w:val="0"/>
                <w:bCs/>
                <w:sz w:val="21"/>
                <w:szCs w:val="21"/>
                <w:u w:val="none"/>
              </w:rPr>
              <w:t>4</w:t>
            </w:r>
            <w:r>
              <w:rPr>
                <w:rFonts w:hint="eastAsia" w:ascii="宋体" w:hAnsi="宋体" w:eastAsia="宋体" w:cs="宋体"/>
                <w:b w:val="0"/>
                <w:bCs/>
                <w:sz w:val="21"/>
                <w:szCs w:val="21"/>
                <w:u w:val="none"/>
                <w:lang w:val="en-US" w:eastAsia="zh-CN"/>
              </w:rPr>
              <w:t>]</w:t>
            </w:r>
            <w:r>
              <w:rPr>
                <w:rFonts w:hint="eastAsia" w:ascii="宋体" w:hAnsi="宋体" w:eastAsia="宋体" w:cs="宋体"/>
                <w:b w:val="0"/>
                <w:bCs/>
                <w:sz w:val="21"/>
                <w:szCs w:val="21"/>
                <w:u w:val="none"/>
              </w:rPr>
              <w:t>分；</w:t>
            </w:r>
          </w:p>
          <w:p>
            <w:pPr>
              <w:adjustRightInd w:val="0"/>
              <w:snapToGrid w:val="0"/>
              <w:spacing w:beforeLines="0" w:afterLines="0"/>
              <w:ind w:firstLine="0" w:firstLineChars="0"/>
              <w:rPr>
                <w:rFonts w:hint="eastAsia" w:ascii="宋体" w:hAnsi="宋体" w:eastAsia="宋体" w:cs="宋体"/>
                <w:b w:val="0"/>
                <w:bCs/>
                <w:color w:val="auto"/>
                <w:sz w:val="21"/>
                <w:szCs w:val="21"/>
                <w:u w:val="none"/>
                <w:lang w:bidi="ar"/>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4</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无提供监理工作方案，得0分。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lang w:bidi="ar"/>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lang w:bidi="ar"/>
              </w:rPr>
            </w:pPr>
          </w:p>
        </w:tc>
        <w:tc>
          <w:tcPr>
            <w:tcW w:w="118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对本项目重点及难点分析及解决措施</w:t>
            </w:r>
          </w:p>
          <w:p>
            <w:pPr>
              <w:spacing w:beforeLines="0" w:afterLines="0"/>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sz w:val="21"/>
                <w:szCs w:val="21"/>
                <w:u w:val="none"/>
              </w:rPr>
              <w:t>（5分）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Lines="0" w:afterLines="0" w:line="240" w:lineRule="auto"/>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针对本项目建设特点（更新改造）开展项目建设管理与监理服务监的重点难点分析，提出具有针对性的解决方案与措施。</w:t>
            </w:r>
          </w:p>
          <w:p>
            <w:pPr>
              <w:spacing w:beforeLines="0" w:afterLines="0" w:line="240" w:lineRule="auto"/>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highlight w:val="none"/>
                <w:u w:val="none"/>
              </w:rPr>
              <w:t>要求针对性强、措施具体、可操作。方案为优得</w:t>
            </w:r>
            <w:r>
              <w:rPr>
                <w:rFonts w:hint="eastAsia" w:ascii="宋体" w:hAnsi="宋体" w:eastAsia="宋体" w:cs="宋体"/>
                <w:b w:val="0"/>
                <w:bCs/>
                <w:sz w:val="21"/>
                <w:szCs w:val="21"/>
                <w:u w:val="none"/>
                <w:lang w:val="en-US" w:eastAsia="zh-CN"/>
              </w:rPr>
              <w:t>[4,5]</w:t>
            </w:r>
            <w:r>
              <w:rPr>
                <w:rFonts w:hint="eastAsia" w:ascii="宋体" w:hAnsi="宋体" w:eastAsia="宋体" w:cs="宋体"/>
                <w:b w:val="0"/>
                <w:bCs/>
                <w:color w:val="auto"/>
                <w:sz w:val="21"/>
                <w:szCs w:val="21"/>
                <w:highlight w:val="none"/>
                <w:u w:val="none"/>
              </w:rPr>
              <w:t>分，方案为良得</w:t>
            </w:r>
            <w:r>
              <w:rPr>
                <w:rFonts w:hint="eastAsia" w:ascii="宋体" w:hAnsi="宋体" w:eastAsia="宋体" w:cs="宋体"/>
                <w:b w:val="0"/>
                <w:bCs/>
                <w:sz w:val="21"/>
                <w:szCs w:val="21"/>
                <w:u w:val="none"/>
                <w:lang w:val="en-US" w:eastAsia="zh-CN"/>
              </w:rPr>
              <w:t>[2,4)</w:t>
            </w:r>
            <w:r>
              <w:rPr>
                <w:rFonts w:hint="eastAsia" w:ascii="宋体" w:hAnsi="宋体" w:eastAsia="宋体" w:cs="宋体"/>
                <w:b w:val="0"/>
                <w:bCs/>
                <w:color w:val="auto"/>
                <w:sz w:val="21"/>
                <w:szCs w:val="21"/>
                <w:highlight w:val="none"/>
                <w:u w:val="none"/>
              </w:rPr>
              <w:t>分，方案为一般得</w:t>
            </w:r>
            <w:r>
              <w:rPr>
                <w:rFonts w:hint="eastAsia" w:ascii="宋体" w:hAnsi="宋体" w:eastAsia="宋体" w:cs="宋体"/>
                <w:b w:val="0"/>
                <w:bCs/>
                <w:sz w:val="21"/>
                <w:szCs w:val="21"/>
                <w:u w:val="none"/>
                <w:lang w:val="en-US" w:eastAsia="zh-CN"/>
              </w:rPr>
              <w:t>(0,2)</w:t>
            </w:r>
            <w:r>
              <w:rPr>
                <w:rFonts w:hint="eastAsia" w:ascii="宋体" w:hAnsi="宋体" w:eastAsia="宋体" w:cs="宋体"/>
                <w:b w:val="0"/>
                <w:bCs/>
                <w:color w:val="auto"/>
                <w:sz w:val="21"/>
                <w:szCs w:val="21"/>
                <w:highlight w:val="none"/>
                <w:u w:val="none"/>
              </w:rPr>
              <w:t>分，方案为差</w:t>
            </w:r>
            <w:r>
              <w:rPr>
                <w:rFonts w:hint="eastAsia" w:ascii="宋体" w:hAnsi="宋体" w:eastAsia="宋体" w:cs="宋体"/>
                <w:b w:val="0"/>
                <w:bCs/>
                <w:color w:val="auto"/>
                <w:sz w:val="21"/>
                <w:szCs w:val="21"/>
                <w:highlight w:val="none"/>
                <w:u w:val="none"/>
                <w:lang w:val="en-US" w:eastAsia="zh-CN"/>
              </w:rPr>
              <w:t>或</w:t>
            </w:r>
            <w:r>
              <w:rPr>
                <w:rFonts w:hint="eastAsia" w:ascii="宋体" w:hAnsi="宋体" w:eastAsia="宋体" w:cs="宋体"/>
                <w:b w:val="0"/>
                <w:bCs/>
                <w:color w:val="auto"/>
                <w:sz w:val="21"/>
                <w:szCs w:val="21"/>
                <w:highlight w:val="none"/>
                <w:u w:val="none"/>
              </w:rPr>
              <w:t>无提供</w:t>
            </w:r>
            <w:r>
              <w:rPr>
                <w:rFonts w:hint="eastAsia" w:ascii="宋体" w:hAnsi="宋体" w:eastAsia="宋体" w:cs="宋体"/>
                <w:b w:val="0"/>
                <w:bCs/>
                <w:sz w:val="21"/>
                <w:szCs w:val="21"/>
                <w:u w:val="none"/>
              </w:rPr>
              <w:t>得0分</w:t>
            </w:r>
            <w:r>
              <w:rPr>
                <w:rFonts w:hint="eastAsia" w:ascii="宋体" w:hAnsi="宋体" w:eastAsia="宋体" w:cs="宋体"/>
                <w:b w:val="0"/>
                <w:bCs/>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vMerge w:val="continue"/>
            <w:tcBorders>
              <w:left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lang w:bidi="ar"/>
              </w:rPr>
            </w:pPr>
          </w:p>
        </w:tc>
        <w:tc>
          <w:tcPr>
            <w:tcW w:w="624" w:type="pct"/>
            <w:vMerge w:val="continue"/>
            <w:tcBorders>
              <w:left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jc w:val="center"/>
              <w:rPr>
                <w:rFonts w:hint="eastAsia" w:ascii="宋体" w:hAnsi="宋体" w:eastAsia="宋体" w:cs="宋体"/>
                <w:b w:val="0"/>
                <w:bCs/>
                <w:color w:val="auto"/>
                <w:sz w:val="21"/>
                <w:szCs w:val="21"/>
                <w:u w:val="none"/>
                <w:lang w:bidi="ar"/>
              </w:rPr>
            </w:pPr>
          </w:p>
        </w:tc>
        <w:tc>
          <w:tcPr>
            <w:tcW w:w="118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before="0" w:beforeLines="0" w:beforeAutospacing="0" w:after="0" w:afterLines="0" w:afterAutospacing="0"/>
              <w:ind w:left="210" w:leftChars="0" w:hanging="210" w:hangingChars="100"/>
              <w:jc w:val="center"/>
              <w:rPr>
                <w:rFonts w:hint="eastAsia" w:ascii="宋体" w:hAnsi="宋体" w:eastAsia="宋体" w:cs="宋体"/>
                <w:b w:val="0"/>
                <w:bCs/>
                <w:color w:val="auto"/>
                <w:kern w:val="2"/>
                <w:sz w:val="21"/>
                <w:szCs w:val="21"/>
                <w:u w:val="none"/>
                <w:lang w:val="en-US" w:eastAsia="zh-CN" w:bidi="ar"/>
              </w:rPr>
            </w:pPr>
            <w:r>
              <w:rPr>
                <w:rFonts w:hint="eastAsia" w:ascii="宋体" w:hAnsi="宋体" w:eastAsia="宋体" w:cs="宋体"/>
                <w:b w:val="0"/>
                <w:bCs/>
                <w:sz w:val="21"/>
                <w:szCs w:val="21"/>
                <w:u w:val="none"/>
              </w:rPr>
              <w:t>合理化建议（5分）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Lines="0" w:afterLines="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提出针对性解决技术措施方案。</w:t>
            </w:r>
          </w:p>
          <w:p>
            <w:pPr>
              <w:spacing w:beforeLines="0" w:afterLines="0"/>
              <w:rPr>
                <w:rFonts w:hint="eastAsia" w:ascii="宋体" w:hAnsi="宋体" w:eastAsia="宋体" w:cs="宋体"/>
                <w:b w:val="0"/>
                <w:bCs/>
                <w:color w:val="auto"/>
                <w:kern w:val="2"/>
                <w:sz w:val="21"/>
                <w:szCs w:val="21"/>
                <w:u w:val="none"/>
                <w:lang w:val="en-US" w:eastAsia="zh-CN" w:bidi="ar"/>
              </w:rPr>
            </w:pPr>
            <w:r>
              <w:rPr>
                <w:rFonts w:hint="eastAsia" w:ascii="宋体" w:hAnsi="宋体" w:eastAsia="宋体" w:cs="宋体"/>
                <w:b w:val="0"/>
                <w:bCs/>
                <w:color w:val="auto"/>
                <w:sz w:val="21"/>
                <w:szCs w:val="21"/>
                <w:highlight w:val="none"/>
                <w:u w:val="none"/>
              </w:rPr>
              <w:t>具有科学、合理、可行及具体措施的建议并经评委分析论证认同的。建议为优得</w:t>
            </w:r>
            <w:r>
              <w:rPr>
                <w:rFonts w:hint="eastAsia" w:ascii="宋体" w:hAnsi="宋体" w:eastAsia="宋体" w:cs="宋体"/>
                <w:b w:val="0"/>
                <w:bCs/>
                <w:sz w:val="21"/>
                <w:szCs w:val="21"/>
                <w:u w:val="none"/>
                <w:lang w:val="en-US" w:eastAsia="zh-CN"/>
              </w:rPr>
              <w:t>[4,5]</w:t>
            </w:r>
            <w:r>
              <w:rPr>
                <w:rFonts w:hint="eastAsia" w:ascii="宋体" w:hAnsi="宋体" w:eastAsia="宋体" w:cs="宋体"/>
                <w:b w:val="0"/>
                <w:bCs/>
                <w:color w:val="auto"/>
                <w:sz w:val="21"/>
                <w:szCs w:val="21"/>
                <w:highlight w:val="none"/>
                <w:u w:val="none"/>
              </w:rPr>
              <w:t>分，建议为良得</w:t>
            </w:r>
            <w:r>
              <w:rPr>
                <w:rFonts w:hint="eastAsia" w:ascii="宋体" w:hAnsi="宋体" w:eastAsia="宋体" w:cs="宋体"/>
                <w:b w:val="0"/>
                <w:bCs/>
                <w:sz w:val="21"/>
                <w:szCs w:val="21"/>
                <w:u w:val="none"/>
                <w:lang w:val="en-US" w:eastAsia="zh-CN"/>
              </w:rPr>
              <w:t>[2,4)</w:t>
            </w:r>
            <w:r>
              <w:rPr>
                <w:rFonts w:hint="eastAsia" w:ascii="宋体" w:hAnsi="宋体" w:eastAsia="宋体" w:cs="宋体"/>
                <w:b w:val="0"/>
                <w:bCs/>
                <w:color w:val="auto"/>
                <w:sz w:val="21"/>
                <w:szCs w:val="21"/>
                <w:highlight w:val="none"/>
                <w:u w:val="none"/>
              </w:rPr>
              <w:t>分，建议为一般得</w:t>
            </w:r>
            <w:r>
              <w:rPr>
                <w:rFonts w:hint="eastAsia" w:ascii="宋体" w:hAnsi="宋体" w:eastAsia="宋体" w:cs="宋体"/>
                <w:b w:val="0"/>
                <w:bCs/>
                <w:sz w:val="21"/>
                <w:szCs w:val="21"/>
                <w:u w:val="none"/>
                <w:lang w:val="en-US" w:eastAsia="zh-CN"/>
              </w:rPr>
              <w:t>(0,2)</w:t>
            </w:r>
            <w:r>
              <w:rPr>
                <w:rFonts w:hint="eastAsia" w:ascii="宋体" w:hAnsi="宋体" w:eastAsia="宋体" w:cs="宋体"/>
                <w:b w:val="0"/>
                <w:bCs/>
                <w:color w:val="auto"/>
                <w:sz w:val="21"/>
                <w:szCs w:val="21"/>
                <w:highlight w:val="none"/>
                <w:u w:val="none"/>
              </w:rPr>
              <w:t>分，建议为差</w:t>
            </w:r>
            <w:r>
              <w:rPr>
                <w:rFonts w:hint="eastAsia" w:ascii="宋体" w:hAnsi="宋体" w:eastAsia="宋体" w:cs="宋体"/>
                <w:b w:val="0"/>
                <w:bCs/>
                <w:color w:val="auto"/>
                <w:sz w:val="21"/>
                <w:szCs w:val="21"/>
                <w:highlight w:val="none"/>
                <w:u w:val="none"/>
                <w:lang w:val="en-US" w:eastAsia="zh-CN"/>
              </w:rPr>
              <w:t>或</w:t>
            </w:r>
            <w:r>
              <w:rPr>
                <w:rFonts w:hint="eastAsia" w:ascii="宋体" w:hAnsi="宋体" w:eastAsia="宋体" w:cs="宋体"/>
                <w:b w:val="0"/>
                <w:bCs/>
                <w:color w:val="auto"/>
                <w:sz w:val="21"/>
                <w:szCs w:val="21"/>
                <w:highlight w:val="none"/>
                <w:u w:val="none"/>
              </w:rPr>
              <w:t>无提供</w:t>
            </w:r>
            <w:r>
              <w:rPr>
                <w:rFonts w:hint="eastAsia" w:ascii="宋体" w:hAnsi="宋体" w:eastAsia="宋体" w:cs="宋体"/>
                <w:b w:val="0"/>
                <w:bCs/>
                <w:sz w:val="21"/>
                <w:szCs w:val="21"/>
                <w:u w:val="none"/>
              </w:rPr>
              <w:t>得0分</w:t>
            </w:r>
            <w:r>
              <w:rPr>
                <w:rFonts w:hint="eastAsia" w:ascii="宋体" w:hAnsi="宋体" w:eastAsia="宋体" w:cs="宋体"/>
                <w:b w:val="0"/>
                <w:bCs/>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Lines="0" w:afterLines="0" w:line="240" w:lineRule="auto"/>
              <w:jc w:val="center"/>
              <w:rPr>
                <w:rFonts w:hint="eastAsia" w:ascii="宋体" w:hAnsi="宋体" w:eastAsia="宋体" w:cs="宋体"/>
                <w:b w:val="0"/>
                <w:bCs/>
                <w:color w:val="auto"/>
                <w:kern w:val="0"/>
                <w:sz w:val="21"/>
                <w:szCs w:val="21"/>
                <w:u w:val="none"/>
                <w:lang w:bidi="ar"/>
              </w:rPr>
            </w:pPr>
            <w:r>
              <w:rPr>
                <w:rFonts w:hint="eastAsia" w:ascii="宋体" w:hAnsi="宋体" w:eastAsia="宋体" w:cs="宋体"/>
                <w:b w:val="0"/>
                <w:bCs/>
                <w:color w:val="auto"/>
                <w:kern w:val="0"/>
                <w:sz w:val="21"/>
                <w:szCs w:val="21"/>
                <w:u w:val="none"/>
                <w:lang w:bidi="ar"/>
              </w:rPr>
              <w:t>2.2.4</w:t>
            </w:r>
          </w:p>
          <w:p>
            <w:pPr>
              <w:snapToGrid w:val="0"/>
              <w:spacing w:beforeLines="0" w:afterLines="0" w:line="240" w:lineRule="auto"/>
              <w:jc w:val="center"/>
              <w:rPr>
                <w:rFonts w:hint="eastAsia" w:ascii="宋体" w:hAnsi="宋体" w:eastAsia="宋体" w:cs="宋体"/>
                <w:b w:val="0"/>
                <w:bCs/>
                <w:color w:val="auto"/>
                <w:sz w:val="21"/>
                <w:szCs w:val="21"/>
                <w:u w:val="none"/>
              </w:rPr>
            </w:pPr>
            <w:r>
              <w:rPr>
                <w:rFonts w:hint="eastAsia" w:ascii="宋体" w:hAnsi="宋体" w:eastAsia="宋体" w:cs="宋体"/>
                <w:b w:val="0"/>
                <w:bCs/>
                <w:color w:val="auto"/>
                <w:kern w:val="0"/>
                <w:sz w:val="21"/>
                <w:szCs w:val="21"/>
                <w:u w:val="none"/>
                <w:lang w:bidi="ar"/>
              </w:rPr>
              <w:t>（3）</w:t>
            </w:r>
          </w:p>
        </w:tc>
        <w:tc>
          <w:tcPr>
            <w:tcW w:w="62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Lines="0" w:afterLines="0"/>
              <w:jc w:val="center"/>
              <w:rPr>
                <w:rFonts w:hint="eastAsia" w:ascii="宋体" w:hAnsi="宋体" w:eastAsia="宋体" w:cs="宋体"/>
                <w:b w:val="0"/>
                <w:bCs/>
                <w:color w:val="auto"/>
                <w:sz w:val="21"/>
                <w:szCs w:val="21"/>
                <w:u w:val="none"/>
              </w:rPr>
            </w:pPr>
            <w:r>
              <w:rPr>
                <w:rFonts w:hint="eastAsia" w:ascii="宋体" w:hAnsi="宋体" w:eastAsia="宋体" w:cs="宋体"/>
                <w:b w:val="0"/>
                <w:bCs/>
                <w:color w:val="auto"/>
                <w:sz w:val="21"/>
                <w:szCs w:val="21"/>
                <w:u w:val="none"/>
              </w:rPr>
              <w:t>投标报价评分标准</w:t>
            </w:r>
          </w:p>
          <w:p>
            <w:pPr>
              <w:snapToGrid w:val="0"/>
              <w:spacing w:beforeLines="0" w:afterLines="0"/>
              <w:jc w:val="center"/>
              <w:rPr>
                <w:rFonts w:hint="eastAsia" w:ascii="宋体" w:hAnsi="宋体" w:eastAsia="宋体" w:cs="宋体"/>
                <w:b w:val="0"/>
                <w:bCs/>
                <w:color w:val="auto"/>
                <w:sz w:val="21"/>
                <w:szCs w:val="21"/>
                <w:u w:val="none"/>
              </w:rPr>
            </w:pPr>
            <w:r>
              <w:rPr>
                <w:rFonts w:hint="eastAsia" w:ascii="宋体" w:hAnsi="宋体" w:eastAsia="宋体" w:cs="宋体"/>
                <w:b w:val="0"/>
                <w:bCs/>
                <w:color w:val="auto"/>
                <w:sz w:val="21"/>
                <w:szCs w:val="21"/>
                <w:u w:val="none"/>
              </w:rPr>
              <w:t>（</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rPr>
              <w:t>0分）</w:t>
            </w:r>
          </w:p>
        </w:tc>
        <w:tc>
          <w:tcPr>
            <w:tcW w:w="118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beforeLines="0" w:afterLines="0" w:line="240" w:lineRule="auto"/>
              <w:ind w:left="0" w:leftChars="0" w:right="0" w:rightChars="0"/>
              <w:jc w:val="center"/>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u w:val="none"/>
              </w:rPr>
              <w:t>报价得分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napToGrid w:val="0"/>
              <w:spacing w:beforeLines="0" w:afterLines="0" w:line="240" w:lineRule="auto"/>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u w:val="none"/>
              </w:rPr>
              <w:t>以评标基准价作为计算各有效投标价得分的基础，当有效投标价等于评标基准价时得</w:t>
            </w:r>
            <w:r>
              <w:rPr>
                <w:rFonts w:hint="eastAsia" w:ascii="宋体" w:hAnsi="宋体" w:eastAsia="宋体" w:cs="宋体"/>
                <w:b w:val="0"/>
                <w:bCs/>
                <w:color w:val="auto"/>
                <w:sz w:val="21"/>
                <w:szCs w:val="21"/>
                <w:u w:val="none"/>
                <w:lang w:val="en-US" w:eastAsia="zh-CN"/>
              </w:rPr>
              <w:t>10</w:t>
            </w:r>
            <w:r>
              <w:rPr>
                <w:rFonts w:hint="eastAsia" w:ascii="宋体" w:hAnsi="宋体" w:eastAsia="宋体" w:cs="宋体"/>
                <w:b w:val="0"/>
                <w:bCs/>
                <w:color w:val="auto"/>
                <w:sz w:val="21"/>
                <w:szCs w:val="21"/>
                <w:u w:val="none"/>
              </w:rPr>
              <w:t>分；投标有效投价与评标基准价相比，每上偏 1 %扣</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rPr>
              <w:t>分，每下偏 1 %扣</w:t>
            </w:r>
            <w:r>
              <w:rPr>
                <w:rFonts w:hint="eastAsia" w:ascii="宋体" w:hAnsi="宋体" w:eastAsia="宋体" w:cs="宋体"/>
                <w:b w:val="0"/>
                <w:bCs/>
                <w:color w:val="auto"/>
                <w:sz w:val="21"/>
                <w:szCs w:val="21"/>
                <w:u w:val="none"/>
                <w:lang w:val="en-US" w:eastAsia="zh-CN"/>
              </w:rPr>
              <w:t>0.5</w:t>
            </w:r>
            <w:r>
              <w:rPr>
                <w:rFonts w:hint="eastAsia" w:ascii="宋体" w:hAnsi="宋体" w:eastAsia="宋体" w:cs="宋体"/>
                <w:b w:val="0"/>
                <w:bCs/>
                <w:color w:val="auto"/>
                <w:sz w:val="21"/>
                <w:szCs w:val="21"/>
                <w:u w:val="none"/>
              </w:rPr>
              <w:t>分。最多扣</w:t>
            </w:r>
            <w:r>
              <w:rPr>
                <w:rFonts w:hint="eastAsia" w:ascii="宋体" w:hAnsi="宋体" w:eastAsia="宋体" w:cs="宋体"/>
                <w:b w:val="0"/>
                <w:bCs/>
                <w:color w:val="auto"/>
                <w:sz w:val="21"/>
                <w:szCs w:val="21"/>
                <w:u w:val="none"/>
                <w:lang w:val="en-US" w:eastAsia="zh-CN"/>
              </w:rPr>
              <w:t>10</w:t>
            </w:r>
            <w:r>
              <w:rPr>
                <w:rFonts w:hint="eastAsia" w:ascii="宋体" w:hAnsi="宋体" w:eastAsia="宋体" w:cs="宋体"/>
                <w:b w:val="0"/>
                <w:bCs/>
                <w:color w:val="auto"/>
                <w:sz w:val="21"/>
                <w:szCs w:val="21"/>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2.2.4（4）</w:t>
            </w:r>
          </w:p>
        </w:tc>
        <w:tc>
          <w:tcPr>
            <w:tcW w:w="1809"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center"/>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其他评分因素</w:t>
            </w:r>
            <w:r>
              <w:rPr>
                <w:rFonts w:hint="eastAsia" w:ascii="宋体" w:hAnsi="宋体" w:eastAsia="宋体" w:cs="宋体"/>
                <w:b w:val="0"/>
                <w:bCs/>
                <w:color w:val="auto"/>
                <w:sz w:val="21"/>
                <w:szCs w:val="21"/>
                <w:u w:val="none"/>
                <w:lang w:bidi="ar"/>
              </w:rPr>
              <w:t>（</w:t>
            </w:r>
            <w:r>
              <w:rPr>
                <w:rFonts w:hint="eastAsia" w:ascii="宋体" w:hAnsi="宋体" w:cs="宋体"/>
                <w:b w:val="0"/>
                <w:bCs/>
                <w:color w:val="auto"/>
                <w:sz w:val="21"/>
                <w:szCs w:val="21"/>
                <w:u w:val="none"/>
                <w:lang w:val="en-US" w:eastAsia="zh-CN" w:bidi="ar"/>
              </w:rPr>
              <w:t>1</w:t>
            </w:r>
            <w:r>
              <w:rPr>
                <w:rFonts w:hint="eastAsia" w:ascii="宋体" w:hAnsi="宋体" w:eastAsia="宋体" w:cs="宋体"/>
                <w:b w:val="0"/>
                <w:bCs/>
                <w:color w:val="auto"/>
                <w:sz w:val="21"/>
                <w:szCs w:val="21"/>
                <w:u w:val="none"/>
                <w:lang w:val="en-US" w:eastAsia="zh-CN" w:bidi="ar"/>
              </w:rPr>
              <w:t>5</w:t>
            </w:r>
            <w:r>
              <w:rPr>
                <w:rFonts w:hint="eastAsia" w:ascii="宋体" w:hAnsi="宋体" w:eastAsia="宋体" w:cs="宋体"/>
                <w:b w:val="0"/>
                <w:bCs/>
                <w:color w:val="auto"/>
                <w:sz w:val="21"/>
                <w:szCs w:val="21"/>
                <w:u w:val="none"/>
                <w:lang w:bidi="ar"/>
              </w:rPr>
              <w:t>分）</w:t>
            </w:r>
          </w:p>
        </w:tc>
        <w:tc>
          <w:tcPr>
            <w:tcW w:w="27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rPr>
              <w:t>投标人诚信得分=企业的诚信综合评价排名得分*</w:t>
            </w:r>
            <w:r>
              <w:rPr>
                <w:rFonts w:hint="eastAsia" w:ascii="宋体" w:hAnsi="宋体" w:cs="宋体"/>
                <w:b w:val="0"/>
                <w:bCs/>
                <w:color w:val="auto"/>
                <w:kern w:val="0"/>
                <w:sz w:val="21"/>
                <w:szCs w:val="21"/>
                <w:u w:val="none"/>
                <w:lang w:val="en-US" w:eastAsia="zh-CN"/>
              </w:rPr>
              <w:t>1</w:t>
            </w:r>
            <w:r>
              <w:rPr>
                <w:rFonts w:hint="eastAsia" w:ascii="宋体" w:hAnsi="宋体" w:eastAsia="宋体" w:cs="宋体"/>
                <w:b w:val="0"/>
                <w:bCs/>
                <w:color w:val="auto"/>
                <w:kern w:val="0"/>
                <w:sz w:val="21"/>
                <w:szCs w:val="21"/>
                <w:u w:val="none"/>
                <w:lang w:val="en-US" w:eastAsia="zh-CN"/>
              </w:rPr>
              <w:t>5</w:t>
            </w:r>
            <w:r>
              <w:rPr>
                <w:rFonts w:hint="eastAsia" w:ascii="宋体" w:hAnsi="宋体" w:eastAsia="宋体" w:cs="宋体"/>
                <w:b w:val="0"/>
                <w:bCs/>
                <w:color w:val="auto"/>
                <w:kern w:val="0"/>
                <w:sz w:val="21"/>
                <w:szCs w:val="21"/>
                <w:u w:val="none"/>
              </w:rPr>
              <w:t>%。企业的诚信综合评价排名得分以投标截止当日广州市工程招标行业协会网站监理企业专栏上公布的企业60日诚信分得分为准。企业诚信综合诚信评价排名得分以监理-房建排名得分为准</w:t>
            </w:r>
            <w:r>
              <w:rPr>
                <w:rFonts w:hint="eastAsia" w:ascii="宋体" w:hAnsi="宋体" w:cs="宋体"/>
                <w:b/>
                <w:bCs/>
                <w:szCs w:val="21"/>
                <w:u w:val="single"/>
                <w:shd w:val="clear" w:color="auto" w:fill="FFFFFF"/>
              </w:rPr>
              <w:t>（联合体投标的，以联合体</w:t>
            </w:r>
            <w:r>
              <w:rPr>
                <w:rFonts w:hint="eastAsia" w:asciiTheme="minorEastAsia" w:hAnsiTheme="minorEastAsia" w:eastAsiaTheme="minorEastAsia" w:cstheme="minorEastAsia"/>
                <w:b/>
                <w:bCs/>
                <w:color w:val="auto"/>
                <w:szCs w:val="21"/>
                <w:highlight w:val="none"/>
                <w:u w:val="single"/>
                <w:lang w:val="en-US" w:eastAsia="zh-CN"/>
              </w:rPr>
              <w:t>负责工程监理服务工作的一方</w:t>
            </w:r>
            <w:r>
              <w:rPr>
                <w:rFonts w:hint="eastAsia" w:ascii="宋体" w:hAnsi="宋体" w:cs="宋体"/>
                <w:b/>
                <w:bCs/>
                <w:szCs w:val="21"/>
                <w:u w:val="single"/>
                <w:shd w:val="clear" w:color="auto" w:fill="FFFFFF"/>
              </w:rPr>
              <w:t>的企业综合诚信评价分数为准）</w:t>
            </w:r>
            <w:r>
              <w:rPr>
                <w:rFonts w:hint="eastAsia" w:ascii="宋体" w:hAnsi="宋体" w:eastAsia="宋体" w:cs="宋体"/>
                <w:b w:val="0"/>
                <w:bCs/>
                <w:color w:val="auto"/>
                <w:kern w:val="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napToGrid w:val="0"/>
              <w:spacing w:beforeLines="0" w:afterLines="0" w:line="240" w:lineRule="auto"/>
              <w:jc w:val="left"/>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2.2.4说明</w:t>
            </w:r>
          </w:p>
        </w:tc>
        <w:tc>
          <w:tcPr>
            <w:tcW w:w="4564" w:type="pct"/>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adjustRightInd w:val="0"/>
              <w:snapToGrid w:val="0"/>
              <w:spacing w:beforeLines="0" w:afterLines="0" w:line="240" w:lineRule="auto"/>
              <w:ind w:firstLine="210" w:firstLineChars="100"/>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kern w:val="0"/>
                <w:sz w:val="21"/>
                <w:szCs w:val="21"/>
                <w:u w:val="none"/>
                <w:lang w:bidi="ar"/>
              </w:rPr>
              <w:t>说明：</w:t>
            </w:r>
          </w:p>
          <w:p>
            <w:pPr>
              <w:widowControl/>
              <w:adjustRightInd w:val="0"/>
              <w:snapToGrid w:val="0"/>
              <w:spacing w:beforeLines="0" w:afterLines="0" w:line="240" w:lineRule="auto"/>
              <w:ind w:firstLine="210" w:firstLineChars="100"/>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u w:val="none"/>
                <w:lang w:bidi="ar"/>
              </w:rPr>
              <w:t>（</w:t>
            </w:r>
            <w:r>
              <w:rPr>
                <w:rFonts w:hint="eastAsia" w:ascii="宋体" w:hAnsi="宋体" w:eastAsia="宋体" w:cs="宋体"/>
                <w:b w:val="0"/>
                <w:bCs/>
                <w:color w:val="auto"/>
                <w:sz w:val="21"/>
                <w:szCs w:val="21"/>
                <w:u w:val="none"/>
                <w:lang w:val="en-US" w:eastAsia="zh-CN" w:bidi="ar"/>
              </w:rPr>
              <w:t>1</w:t>
            </w:r>
            <w:r>
              <w:rPr>
                <w:rFonts w:hint="eastAsia" w:ascii="宋体" w:hAnsi="宋体" w:eastAsia="宋体" w:cs="宋体"/>
                <w:b w:val="0"/>
                <w:bCs/>
                <w:color w:val="auto"/>
                <w:sz w:val="21"/>
                <w:szCs w:val="21"/>
                <w:u w:val="none"/>
                <w:lang w:bidi="ar"/>
              </w:rPr>
              <w:t>）监理大纲评分区间的“[”、“]”是指包含本数，“(”、“)”是指不包含本数；区间评分分数出现小数点时，保留小数点后一位小数。</w:t>
            </w:r>
          </w:p>
          <w:p>
            <w:pPr>
              <w:widowControl/>
              <w:adjustRightInd w:val="0"/>
              <w:snapToGrid w:val="0"/>
              <w:spacing w:beforeLines="0" w:afterLines="0" w:line="240" w:lineRule="auto"/>
              <w:ind w:firstLine="210" w:firstLineChars="100"/>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u w:val="none"/>
                <w:lang w:bidi="ar"/>
              </w:rPr>
              <w:t>（</w:t>
            </w:r>
            <w:r>
              <w:rPr>
                <w:rFonts w:hint="eastAsia" w:ascii="宋体" w:hAnsi="宋体" w:eastAsia="宋体" w:cs="宋体"/>
                <w:b w:val="0"/>
                <w:bCs/>
                <w:color w:val="auto"/>
                <w:sz w:val="21"/>
                <w:szCs w:val="21"/>
                <w:u w:val="none"/>
                <w:lang w:val="en-US" w:eastAsia="zh-CN" w:bidi="ar"/>
              </w:rPr>
              <w:t>2</w:t>
            </w:r>
            <w:r>
              <w:rPr>
                <w:rFonts w:hint="eastAsia" w:ascii="宋体" w:hAnsi="宋体" w:eastAsia="宋体" w:cs="宋体"/>
                <w:b w:val="0"/>
                <w:bCs/>
                <w:color w:val="auto"/>
                <w:sz w:val="21"/>
                <w:szCs w:val="21"/>
                <w:u w:val="none"/>
                <w:lang w:bidi="ar"/>
              </w:rPr>
              <w:t>）投标人的得分为各评委的评分的算术平均值，评分分数出现小数点时，保留小数点后二位，第三位小数四舍五入。</w:t>
            </w:r>
          </w:p>
          <w:p>
            <w:pPr>
              <w:widowControl/>
              <w:adjustRightInd w:val="0"/>
              <w:snapToGrid w:val="0"/>
              <w:spacing w:beforeLines="0" w:afterLines="0" w:line="240" w:lineRule="auto"/>
              <w:ind w:firstLine="210" w:firstLineChars="100"/>
              <w:rPr>
                <w:rFonts w:hint="eastAsia" w:ascii="宋体" w:hAnsi="宋体" w:eastAsia="宋体" w:cs="宋体"/>
                <w:b w:val="0"/>
                <w:bCs/>
                <w:color w:val="auto"/>
                <w:sz w:val="21"/>
                <w:szCs w:val="21"/>
                <w:u w:val="none"/>
                <w:lang w:bidi="ar"/>
              </w:rPr>
            </w:pPr>
            <w:r>
              <w:rPr>
                <w:rFonts w:hint="eastAsia" w:ascii="宋体" w:hAnsi="宋体" w:eastAsia="宋体" w:cs="宋体"/>
                <w:b w:val="0"/>
                <w:bCs/>
                <w:color w:val="auto"/>
                <w:sz w:val="21"/>
                <w:szCs w:val="21"/>
                <w:u w:val="none"/>
                <w:lang w:bidi="ar"/>
              </w:rPr>
              <w:t>（</w:t>
            </w:r>
            <w:r>
              <w:rPr>
                <w:rFonts w:hint="eastAsia" w:ascii="宋体" w:hAnsi="宋体" w:eastAsia="宋体" w:cs="宋体"/>
                <w:b w:val="0"/>
                <w:bCs/>
                <w:color w:val="auto"/>
                <w:sz w:val="21"/>
                <w:szCs w:val="21"/>
                <w:u w:val="none"/>
                <w:lang w:val="en-US" w:eastAsia="zh-CN" w:bidi="ar"/>
              </w:rPr>
              <w:t>3</w:t>
            </w:r>
            <w:r>
              <w:rPr>
                <w:rFonts w:hint="eastAsia" w:ascii="宋体" w:hAnsi="宋体" w:eastAsia="宋体" w:cs="宋体"/>
                <w:b w:val="0"/>
                <w:bCs/>
                <w:color w:val="auto"/>
                <w:sz w:val="21"/>
                <w:szCs w:val="21"/>
                <w:u w:val="none"/>
                <w:lang w:bidi="ar"/>
              </w:rPr>
              <w:t>）根据原人事部、原建设部发布的《造价工程师执业资格制度暂行规定》（人发〔1996〕77号）取得的造价工程师执业资格，并经注册且在有效期内的注册造价工程师等同于注册一级造价工程师。</w:t>
            </w:r>
          </w:p>
          <w:p>
            <w:pPr>
              <w:widowControl/>
              <w:adjustRightInd w:val="0"/>
              <w:snapToGrid w:val="0"/>
              <w:spacing w:beforeLines="0" w:afterLines="0" w:line="240" w:lineRule="auto"/>
              <w:ind w:firstLine="210" w:firstLineChars="100"/>
              <w:rPr>
                <w:rFonts w:hint="eastAsia" w:ascii="宋体" w:hAnsi="宋体" w:eastAsia="宋体" w:cs="宋体"/>
                <w:b w:val="0"/>
                <w:bCs/>
                <w:color w:val="auto"/>
                <w:kern w:val="0"/>
                <w:sz w:val="21"/>
                <w:szCs w:val="21"/>
                <w:u w:val="none"/>
              </w:rPr>
            </w:pPr>
            <w:r>
              <w:rPr>
                <w:rFonts w:hint="eastAsia" w:ascii="宋体" w:hAnsi="宋体" w:eastAsia="宋体" w:cs="宋体"/>
                <w:b w:val="0"/>
                <w:bCs/>
                <w:color w:val="auto"/>
                <w:sz w:val="21"/>
                <w:szCs w:val="21"/>
                <w:u w:val="none"/>
                <w:lang w:eastAsia="zh-CN" w:bidi="ar"/>
              </w:rPr>
              <w:t>（</w:t>
            </w:r>
            <w:r>
              <w:rPr>
                <w:rFonts w:hint="eastAsia" w:ascii="宋体" w:hAnsi="宋体" w:eastAsia="宋体" w:cs="宋体"/>
                <w:b w:val="0"/>
                <w:bCs/>
                <w:color w:val="auto"/>
                <w:sz w:val="21"/>
                <w:szCs w:val="21"/>
                <w:u w:val="none"/>
                <w:lang w:val="en-US" w:eastAsia="zh-CN" w:bidi="ar"/>
              </w:rPr>
              <w:t>4</w:t>
            </w:r>
            <w:r>
              <w:rPr>
                <w:rFonts w:hint="eastAsia" w:ascii="宋体" w:hAnsi="宋体" w:eastAsia="宋体" w:cs="宋体"/>
                <w:b w:val="0"/>
                <w:bCs/>
                <w:color w:val="auto"/>
                <w:sz w:val="21"/>
                <w:szCs w:val="21"/>
                <w:u w:val="none"/>
                <w:lang w:eastAsia="zh-CN" w:bidi="ar"/>
              </w:rPr>
              <w:t>）</w:t>
            </w:r>
            <w:r>
              <w:rPr>
                <w:rFonts w:hint="eastAsia" w:ascii="宋体" w:hAnsi="宋体" w:eastAsia="宋体" w:cs="宋体"/>
                <w:b w:val="0"/>
                <w:bCs/>
                <w:color w:val="auto"/>
                <w:sz w:val="21"/>
                <w:szCs w:val="21"/>
                <w:u w:val="none"/>
                <w:lang w:bidi="ar"/>
              </w:rPr>
              <w:t>不得将文件顺序、明显的文字错误等列为否决投标的情形。评委发现投标文件中含义不明确、对同类问题表述不一致、有明显文字和计算错误的，应当要求投标人作必要的澄清、说明后再判定投标人是否通过初步评审，不得直接否决投标，若出现评标委员会否决投标的，应在评标报告中载明否决投标的具体情形、原因。若评委意见不一致时，则按少数服从多数的原则，作出评审结论。</w:t>
            </w:r>
          </w:p>
        </w:tc>
      </w:tr>
    </w:tbl>
    <w:p>
      <w:pPr>
        <w:snapToGrid/>
        <w:spacing w:before="0" w:beforeLines="-2147483648" w:line="240" w:lineRule="auto"/>
        <w:jc w:val="center"/>
        <w:outlineLvl w:val="9"/>
        <w:rPr>
          <w:rFonts w:ascii="宋体" w:hAnsi="宋体"/>
          <w:b/>
          <w:bCs/>
          <w:color w:val="auto"/>
          <w:sz w:val="28"/>
          <w:szCs w:val="32"/>
        </w:rPr>
      </w:pPr>
      <w:r>
        <w:rPr>
          <w:rFonts w:hint="eastAsia" w:ascii="宋体" w:hAnsi="宋体" w:cs="宋体"/>
          <w:b/>
          <w:color w:val="auto"/>
          <w:sz w:val="28"/>
          <w:szCs w:val="28"/>
          <w:lang w:bidi="ar"/>
        </w:rPr>
        <w:br w:type="page"/>
      </w:r>
      <w:bookmarkStart w:id="429" w:name="_Toc38"/>
      <w:bookmarkStart w:id="430" w:name="_Toc4005"/>
      <w:bookmarkStart w:id="431" w:name="_Toc16311"/>
      <w:r>
        <w:rPr>
          <w:rFonts w:hint="eastAsia" w:ascii="宋体" w:hAnsi="宋体"/>
          <w:b/>
          <w:bCs/>
          <w:color w:val="auto"/>
          <w:sz w:val="28"/>
          <w:szCs w:val="32"/>
        </w:rPr>
        <w:t>第三章 正文详见《中华人民共和国标准监理招标文件》（2017版）</w:t>
      </w:r>
      <w:bookmarkEnd w:id="429"/>
      <w:bookmarkEnd w:id="430"/>
      <w:bookmarkEnd w:id="431"/>
    </w:p>
    <w:p>
      <w:pPr>
        <w:snapToGrid w:val="0"/>
        <w:spacing w:line="360" w:lineRule="auto"/>
        <w:ind w:firstLine="420" w:firstLineChars="200"/>
        <w:rPr>
          <w:rFonts w:ascii="宋体" w:hAnsi="宋体" w:cs="宋体"/>
          <w:color w:val="auto"/>
          <w:szCs w:val="21"/>
        </w:rPr>
      </w:pPr>
    </w:p>
    <w:p>
      <w:pPr>
        <w:snapToGrid w:val="0"/>
        <w:spacing w:line="360" w:lineRule="auto"/>
        <w:outlineLvl w:val="2"/>
        <w:rPr>
          <w:rFonts w:ascii="宋体" w:hAnsi="宋体" w:cs="宋体"/>
          <w:b/>
          <w:color w:val="auto"/>
          <w:szCs w:val="21"/>
        </w:rPr>
      </w:pPr>
      <w:bookmarkStart w:id="432" w:name="_Toc529196583"/>
      <w:bookmarkStart w:id="433" w:name="_Toc515205256"/>
      <w:bookmarkStart w:id="434" w:name="_Toc5323"/>
      <w:bookmarkStart w:id="435" w:name="_Toc5714"/>
      <w:bookmarkStart w:id="436" w:name="_Toc7547"/>
      <w:r>
        <w:rPr>
          <w:rFonts w:hint="eastAsia" w:ascii="宋体" w:hAnsi="宋体" w:cs="宋体"/>
          <w:b/>
          <w:color w:val="auto"/>
          <w:szCs w:val="21"/>
        </w:rPr>
        <w:t>1. 评标方法</w:t>
      </w:r>
      <w:bookmarkEnd w:id="432"/>
      <w:bookmarkEnd w:id="433"/>
      <w:bookmarkEnd w:id="434"/>
      <w:bookmarkEnd w:id="435"/>
      <w:bookmarkEnd w:id="436"/>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snapToGrid w:val="0"/>
        <w:spacing w:line="360" w:lineRule="auto"/>
        <w:ind w:firstLine="420" w:firstLineChars="200"/>
        <w:rPr>
          <w:rFonts w:ascii="宋体" w:hAnsi="宋体" w:cs="宋体"/>
          <w:strike/>
          <w:color w:val="auto"/>
          <w:szCs w:val="21"/>
        </w:rPr>
      </w:pPr>
    </w:p>
    <w:p>
      <w:pPr>
        <w:snapToGrid w:val="0"/>
        <w:spacing w:line="360" w:lineRule="auto"/>
        <w:outlineLvl w:val="2"/>
        <w:rPr>
          <w:rFonts w:ascii="宋体" w:hAnsi="宋体" w:cs="宋体"/>
          <w:b/>
          <w:color w:val="auto"/>
          <w:szCs w:val="21"/>
        </w:rPr>
      </w:pPr>
      <w:bookmarkStart w:id="437" w:name="_Toc529196584"/>
      <w:bookmarkStart w:id="438" w:name="_Toc8084"/>
      <w:bookmarkStart w:id="439" w:name="_Toc26008"/>
      <w:bookmarkStart w:id="440" w:name="_Toc515205257"/>
      <w:bookmarkStart w:id="441" w:name="_Toc27078"/>
      <w:r>
        <w:rPr>
          <w:rFonts w:hint="eastAsia" w:ascii="宋体" w:hAnsi="宋体" w:cs="宋体"/>
          <w:b/>
          <w:color w:val="auto"/>
          <w:szCs w:val="21"/>
        </w:rPr>
        <w:t>2. 评审标准</w:t>
      </w:r>
      <w:bookmarkEnd w:id="437"/>
      <w:bookmarkEnd w:id="438"/>
      <w:bookmarkEnd w:id="439"/>
      <w:bookmarkEnd w:id="440"/>
      <w:bookmarkEnd w:id="441"/>
    </w:p>
    <w:p>
      <w:pPr>
        <w:snapToGrid w:val="0"/>
        <w:spacing w:line="360" w:lineRule="auto"/>
        <w:rPr>
          <w:rFonts w:ascii="宋体" w:hAnsi="宋体" w:cs="宋体"/>
          <w:b/>
          <w:color w:val="auto"/>
          <w:szCs w:val="21"/>
        </w:rPr>
      </w:pPr>
      <w:bookmarkStart w:id="442" w:name="_Toc515205258"/>
      <w:bookmarkStart w:id="443" w:name="_Toc529196585"/>
      <w:r>
        <w:rPr>
          <w:rFonts w:hint="eastAsia" w:ascii="宋体" w:hAnsi="宋体" w:cs="宋体"/>
          <w:b/>
          <w:color w:val="auto"/>
          <w:szCs w:val="21"/>
        </w:rPr>
        <w:t>2.1 初步评审标准</w:t>
      </w:r>
      <w:bookmarkEnd w:id="442"/>
      <w:bookmarkEnd w:id="443"/>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2.1.1 形式评审标准：见评标办法前附表。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2.1.2 资格评审标准：见评标办法前附表。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2.1.3 响应性评审标准：见评标办法前附表。</w:t>
      </w:r>
    </w:p>
    <w:p>
      <w:pPr>
        <w:snapToGrid w:val="0"/>
        <w:spacing w:line="360" w:lineRule="auto"/>
        <w:rPr>
          <w:rFonts w:ascii="宋体" w:hAnsi="宋体" w:cs="宋体"/>
          <w:b/>
          <w:color w:val="auto"/>
          <w:szCs w:val="21"/>
        </w:rPr>
      </w:pPr>
      <w:bookmarkStart w:id="444" w:name="_Toc515205259"/>
      <w:bookmarkStart w:id="445" w:name="_Toc529196586"/>
      <w:r>
        <w:rPr>
          <w:rFonts w:hint="eastAsia" w:ascii="宋体" w:hAnsi="宋体" w:cs="宋体"/>
          <w:b/>
          <w:color w:val="auto"/>
          <w:szCs w:val="21"/>
        </w:rPr>
        <w:t>2.2 分值构成与评分标准</w:t>
      </w:r>
      <w:bookmarkEnd w:id="444"/>
      <w:bookmarkEnd w:id="445"/>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2.2.1 分值构成：</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（1）资信业绩部分：见评标办法前附表；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（2）监理大纲部分：见评标办法前附表；</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（3）投标报价：见评标办法前附表；</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（4）其他评分因素：见评标办法前附表。</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2.2.2 评标基准价计算</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评标基准价计算方法：见评标办法前附表。</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2.2.3 投标报价的偏差率计算</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投标报价的偏差率计算公式：见评标办法前附表。</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2.2.4 评分标准</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（1）资信业绩评分标准：见评标办法前附表；</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（2）监理大纲评分标准：见评标办法前附表；</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（3）投标报价评分标准：见评标办法前附表；</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（4）其他因素评分标准：见评标办法前附表。</w:t>
      </w:r>
    </w:p>
    <w:p>
      <w:pPr>
        <w:snapToGrid w:val="0"/>
        <w:spacing w:line="360" w:lineRule="auto"/>
        <w:ind w:firstLine="420" w:firstLineChars="200"/>
        <w:rPr>
          <w:rFonts w:ascii="宋体" w:hAnsi="宋体" w:cs="宋体"/>
          <w:color w:val="auto"/>
          <w:szCs w:val="21"/>
        </w:rPr>
      </w:pPr>
    </w:p>
    <w:p>
      <w:pPr>
        <w:snapToGrid w:val="0"/>
        <w:spacing w:line="360" w:lineRule="auto"/>
        <w:outlineLvl w:val="2"/>
        <w:rPr>
          <w:rFonts w:ascii="宋体" w:hAnsi="宋体" w:cs="宋体"/>
          <w:b/>
          <w:color w:val="auto"/>
          <w:szCs w:val="21"/>
        </w:rPr>
      </w:pPr>
      <w:bookmarkStart w:id="446" w:name="_Toc529196587"/>
      <w:bookmarkStart w:id="447" w:name="_Toc31780"/>
      <w:bookmarkStart w:id="448" w:name="_Toc6668"/>
      <w:bookmarkStart w:id="449" w:name="_Toc11115"/>
      <w:bookmarkStart w:id="450" w:name="_Toc515205260"/>
      <w:r>
        <w:rPr>
          <w:rFonts w:hint="eastAsia" w:ascii="宋体" w:hAnsi="宋体" w:cs="宋体"/>
          <w:b/>
          <w:color w:val="auto"/>
          <w:szCs w:val="21"/>
        </w:rPr>
        <w:t>3. 评标程序</w:t>
      </w:r>
      <w:bookmarkEnd w:id="446"/>
      <w:bookmarkEnd w:id="447"/>
      <w:bookmarkEnd w:id="448"/>
      <w:bookmarkEnd w:id="449"/>
      <w:bookmarkEnd w:id="450"/>
    </w:p>
    <w:p>
      <w:pPr>
        <w:snapToGrid w:val="0"/>
        <w:spacing w:line="360" w:lineRule="auto"/>
        <w:rPr>
          <w:rFonts w:ascii="宋体" w:hAnsi="宋体" w:cs="宋体"/>
          <w:b/>
          <w:color w:val="auto"/>
          <w:szCs w:val="21"/>
        </w:rPr>
      </w:pPr>
      <w:bookmarkStart w:id="451" w:name="_Toc515205261"/>
      <w:bookmarkStart w:id="452" w:name="_Toc529196588"/>
      <w:r>
        <w:rPr>
          <w:rFonts w:hint="eastAsia" w:ascii="宋体" w:hAnsi="宋体" w:cs="宋体"/>
          <w:b/>
          <w:color w:val="auto"/>
          <w:szCs w:val="21"/>
        </w:rPr>
        <w:t>3.1 初步评审</w:t>
      </w:r>
      <w:bookmarkEnd w:id="451"/>
      <w:bookmarkEnd w:id="452"/>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3.1.2 投标人有以下情形之一的，评标委员会应当否决其投标：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（1）投标文件没有对招标文件的实质性要求和条件作出响应，或者对招标文件的偏差超出招标文件规定的偏差范围或最高项数；</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（2）有串通投标、弄虚作假、行贿等违法行为。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3.1.3 投标报价有算术错误及其他错误的，评标委员会按以下原则要求投标人对投标报价进</w:t>
      </w:r>
      <w:bookmarkStart w:id="453" w:name="_Toc384308277"/>
      <w:bookmarkStart w:id="454" w:name="_Toc144974570"/>
      <w:bookmarkStart w:id="455" w:name="_Toc247527628"/>
      <w:bookmarkStart w:id="456" w:name="_Toc361508651"/>
      <w:bookmarkStart w:id="457" w:name="_Toc300835013"/>
      <w:bookmarkStart w:id="458" w:name="_Toc247514027"/>
      <w:bookmarkStart w:id="459" w:name="_Toc352691538"/>
      <w:bookmarkStart w:id="460" w:name="_Toc152045603"/>
      <w:bookmarkStart w:id="461" w:name="_Toc152042380"/>
      <w:bookmarkStart w:id="462" w:name="_Toc2907"/>
      <w:bookmarkStart w:id="463" w:name="_Toc369531582"/>
      <w:r>
        <w:rPr>
          <w:rFonts w:hint="eastAsia" w:ascii="宋体" w:hAnsi="宋体" w:cs="宋体"/>
          <w:color w:val="auto"/>
          <w:szCs w:val="21"/>
        </w:rPr>
        <w:t>行修正，并要求投标人书面澄清确认。</w:t>
      </w:r>
      <w:bookmarkEnd w:id="453"/>
      <w:bookmarkEnd w:id="454"/>
      <w:bookmarkEnd w:id="455"/>
      <w:bookmarkEnd w:id="456"/>
      <w:bookmarkEnd w:id="457"/>
      <w:bookmarkEnd w:id="458"/>
      <w:bookmarkEnd w:id="459"/>
      <w:bookmarkEnd w:id="460"/>
      <w:bookmarkEnd w:id="461"/>
      <w:bookmarkEnd w:id="462"/>
      <w:bookmarkEnd w:id="463"/>
      <w:r>
        <w:rPr>
          <w:rFonts w:hint="eastAsia" w:ascii="宋体" w:hAnsi="宋体" w:cs="宋体"/>
          <w:color w:val="auto"/>
          <w:szCs w:val="21"/>
        </w:rPr>
        <w:t>投标人拒不澄清确认的，评标委员会应当否决其投标：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（1）投标文件中的大写金额与小写金额不一致的，以大写金额为准；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（2）总价金额与单价金额不一致的，以单价金额为准，但单价金额小数点有明显错误的除外。</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3）当本项目</w:t>
      </w:r>
      <w:r>
        <w:rPr>
          <w:rFonts w:hint="eastAsia" w:ascii="宋体" w:hAnsi="宋体" w:cs="宋体"/>
          <w:color w:val="auto"/>
          <w:szCs w:val="21"/>
          <w:highlight w:val="none"/>
        </w:rPr>
        <w:t>最高投标限价</w:t>
      </w:r>
      <w:r>
        <w:rPr>
          <w:rFonts w:ascii="宋体" w:hAnsi="宋体" w:cs="宋体"/>
          <w:color w:val="auto"/>
          <w:szCs w:val="21"/>
          <w:highlight w:val="none"/>
        </w:rPr>
        <w:t>×</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下浮率</w:t>
      </w:r>
      <w:r>
        <w:rPr>
          <w:rFonts w:ascii="宋体" w:hAnsi="宋体" w:cs="宋体"/>
          <w:color w:val="auto"/>
          <w:szCs w:val="21"/>
          <w:highlight w:val="none"/>
        </w:rPr>
        <w:t>与投标人填报的投标报价不一致时，按</w:t>
      </w:r>
      <w:r>
        <w:rPr>
          <w:rFonts w:hint="eastAsia" w:ascii="宋体" w:hAnsi="宋体" w:cs="宋体"/>
          <w:color w:val="auto"/>
          <w:szCs w:val="21"/>
          <w:highlight w:val="none"/>
        </w:rPr>
        <w:t>最高投标限价</w:t>
      </w:r>
      <w:r>
        <w:rPr>
          <w:rFonts w:ascii="宋体" w:hAnsi="宋体" w:cs="宋体"/>
          <w:color w:val="auto"/>
          <w:szCs w:val="21"/>
          <w:highlight w:val="none"/>
        </w:rPr>
        <w:t>×</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下浮率</w:t>
      </w:r>
      <w:r>
        <w:rPr>
          <w:rFonts w:ascii="宋体" w:hAnsi="宋体" w:cs="宋体"/>
          <w:color w:val="auto"/>
          <w:szCs w:val="21"/>
          <w:highlight w:val="none"/>
        </w:rPr>
        <w:t>修正投标人的投标报价。</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①评委发现投标文件中含义不明确、对同类问题表述不一致、有明显文字和计算错误、投标报价可能低于成本影响履约的，应当要求投标人作必要的澄清、说明后再判定投标人是否通过初步评审，不得认定其不通过初步评审或直接否决投标。</w:t>
      </w:r>
    </w:p>
    <w:p>
      <w:pPr>
        <w:snapToGrid w:val="0"/>
        <w:spacing w:line="360" w:lineRule="auto"/>
        <w:ind w:firstLine="420" w:firstLineChars="200"/>
        <w:rPr>
          <w:rFonts w:ascii="宋体" w:hAnsi="宋体" w:cs="宋体"/>
          <w:color w:val="auto"/>
          <w:szCs w:val="21"/>
          <w:highlight w:val="yellow"/>
        </w:rPr>
      </w:pPr>
      <w:r>
        <w:rPr>
          <w:rFonts w:hint="eastAsia" w:ascii="宋体" w:hAnsi="宋体" w:cs="宋体"/>
          <w:color w:val="auto"/>
          <w:szCs w:val="21"/>
        </w:rPr>
        <w:t>②不得将文件顺序、明显的文字错误等列为否决投标的情形。若出现评标委员会否决投标的，应在评标报告中载明否决投标的具体情形、原因。</w:t>
      </w:r>
    </w:p>
    <w:p>
      <w:pPr>
        <w:snapToGrid w:val="0"/>
        <w:spacing w:line="360" w:lineRule="auto"/>
        <w:rPr>
          <w:rFonts w:ascii="宋体" w:hAnsi="宋体" w:cs="宋体"/>
          <w:b/>
          <w:color w:val="auto"/>
          <w:szCs w:val="21"/>
        </w:rPr>
      </w:pPr>
      <w:bookmarkStart w:id="464" w:name="_Toc529196589"/>
      <w:bookmarkStart w:id="465" w:name="_Toc515205262"/>
      <w:r>
        <w:rPr>
          <w:rFonts w:hint="eastAsia" w:ascii="宋体" w:hAnsi="宋体" w:cs="宋体"/>
          <w:b/>
          <w:color w:val="auto"/>
          <w:szCs w:val="21"/>
        </w:rPr>
        <w:t>3.2 详细评审</w:t>
      </w:r>
      <w:bookmarkEnd w:id="464"/>
      <w:bookmarkEnd w:id="465"/>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3.2.1 评标委员会按本章第2.2款规定的量化因素和分值进行打分，并计算出综合评估得分。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（1）按本章第 2.2.4（1）目规定的评审因素和分值对资信业绩部分计算出得分 A；</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（2）按本章第 2.2.4（2）目规定的评审因素和分值对监理大纲部分计算出得分 B；</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（3）按本章第 2.2.4（3）目规定的评审因素和分值对投标报价计算出得分 C；</w:t>
      </w:r>
    </w:p>
    <w:p>
      <w:pPr>
        <w:snapToGrid w:val="0"/>
        <w:spacing w:line="360" w:lineRule="auto"/>
        <w:ind w:firstLine="420" w:firstLineChars="200"/>
        <w:rPr>
          <w:rFonts w:ascii="宋体" w:hAnsi="宋体" w:cs="宋体"/>
          <w:strike w:val="0"/>
          <w:color w:val="auto"/>
          <w:szCs w:val="21"/>
        </w:rPr>
      </w:pPr>
      <w:r>
        <w:rPr>
          <w:rFonts w:hint="eastAsia" w:ascii="宋体" w:hAnsi="宋体" w:cs="宋体"/>
          <w:strike w:val="0"/>
          <w:color w:val="auto"/>
          <w:szCs w:val="21"/>
        </w:rPr>
        <w:t>（4）按本章第 2.2.4（4）目规定的评审因素和分值对其他部分计算出得分 D。</w:t>
      </w:r>
    </w:p>
    <w:p>
      <w:pPr>
        <w:snapToGrid w:val="0"/>
        <w:spacing w:line="360" w:lineRule="auto"/>
        <w:ind w:firstLine="420" w:firstLineChars="200"/>
        <w:rPr>
          <w:rFonts w:ascii="宋体" w:hAnsi="宋体" w:cs="宋体"/>
          <w:color w:val="auto"/>
          <w:szCs w:val="21"/>
        </w:rPr>
      </w:pPr>
      <w:r>
        <w:rPr>
          <w:rFonts w:hint="eastAsia" w:ascii="宋体" w:hAnsi="宋体" w:cs="宋体"/>
          <w:strike w:val="0"/>
          <w:color w:val="auto"/>
          <w:szCs w:val="21"/>
        </w:rPr>
        <w:t>3.2.2 评分分值计算保留小数点后两位，小数点后第三位“四舍五</w:t>
      </w:r>
      <w:r>
        <w:rPr>
          <w:rFonts w:hint="eastAsia" w:ascii="宋体" w:hAnsi="宋体" w:cs="宋体"/>
          <w:color w:val="auto"/>
          <w:szCs w:val="21"/>
        </w:rPr>
        <w:t>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3.2.3 投标人得</w:t>
      </w:r>
      <w:r>
        <w:rPr>
          <w:rFonts w:hint="eastAsia" w:ascii="宋体" w:hAnsi="宋体" w:cs="宋体"/>
          <w:strike w:val="0"/>
          <w:color w:val="auto"/>
          <w:szCs w:val="21"/>
          <w:u w:val="none"/>
        </w:rPr>
        <w:t>分=A+B+C+D</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napToGrid w:val="0"/>
        <w:spacing w:line="360" w:lineRule="auto"/>
        <w:rPr>
          <w:rFonts w:ascii="宋体" w:hAnsi="宋体" w:cs="宋体"/>
          <w:b/>
          <w:color w:val="auto"/>
          <w:szCs w:val="21"/>
        </w:rPr>
      </w:pPr>
      <w:bookmarkStart w:id="466" w:name="_Toc529196590"/>
      <w:bookmarkStart w:id="467" w:name="_Toc515205263"/>
      <w:r>
        <w:rPr>
          <w:rFonts w:hint="eastAsia" w:ascii="宋体" w:hAnsi="宋体" w:cs="宋体"/>
          <w:b/>
          <w:color w:val="auto"/>
          <w:szCs w:val="21"/>
        </w:rPr>
        <w:t>3.3 投标文件的澄清</w:t>
      </w:r>
      <w:bookmarkEnd w:id="466"/>
      <w:bookmarkEnd w:id="467"/>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3.3.2 澄清、说明或补正不得超出投标文件的范围且不得改变投标文件的实质性内容，并构成投标文件的组成部分。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3.3.3 评标委员会对投标人提交的澄清、说明或补正有疑问的，可以要求投标人进一步澄清、说明或补正，直至满足评标委员会的要求。</w:t>
      </w:r>
    </w:p>
    <w:p>
      <w:pPr>
        <w:snapToGrid w:val="0"/>
        <w:spacing w:line="360" w:lineRule="auto"/>
        <w:rPr>
          <w:rFonts w:ascii="宋体" w:hAnsi="宋体" w:cs="宋体"/>
          <w:b/>
          <w:color w:val="auto"/>
          <w:szCs w:val="21"/>
        </w:rPr>
      </w:pPr>
      <w:bookmarkStart w:id="468" w:name="_Toc515205264"/>
      <w:bookmarkStart w:id="469" w:name="_Toc529196591"/>
      <w:r>
        <w:rPr>
          <w:rFonts w:hint="eastAsia" w:ascii="宋体" w:hAnsi="宋体" w:cs="宋体"/>
          <w:b/>
          <w:color w:val="auto"/>
          <w:szCs w:val="21"/>
        </w:rPr>
        <w:t>3.4 评标结果</w:t>
      </w:r>
      <w:bookmarkEnd w:id="468"/>
      <w:bookmarkEnd w:id="469"/>
    </w:p>
    <w:p>
      <w:pPr>
        <w:snapToGrid w:val="0"/>
        <w:spacing w:line="360" w:lineRule="auto"/>
        <w:ind w:firstLine="420" w:firstLineChars="200"/>
        <w:rPr>
          <w:rFonts w:ascii="宋体" w:hAnsi="宋体" w:cs="宋体"/>
          <w:b/>
          <w:color w:val="auto"/>
          <w:szCs w:val="21"/>
        </w:rPr>
      </w:pPr>
      <w:r>
        <w:rPr>
          <w:rFonts w:hint="eastAsia" w:ascii="宋体" w:hAnsi="宋体" w:cs="宋体"/>
          <w:color w:val="auto"/>
          <w:szCs w:val="21"/>
        </w:rPr>
        <w:t xml:space="preserve">3.4.1 </w:t>
      </w:r>
      <w:r>
        <w:rPr>
          <w:rFonts w:hint="eastAsia" w:ascii="宋体" w:hAnsi="宋体" w:cs="宋体"/>
          <w:color w:val="auto"/>
          <w:szCs w:val="21"/>
          <w:lang w:bidi="ar"/>
        </w:rPr>
        <w:t>除第二章“投标人须知”前附表授权直接确定中标人外，评标委员会按照得分由高到低的顺序推荐中标候选人，并标明排序。</w:t>
      </w:r>
    </w:p>
    <w:p>
      <w:pPr>
        <w:snapToGrid w:val="0"/>
        <w:spacing w:line="360" w:lineRule="auto"/>
        <w:ind w:firstLine="482"/>
        <w:rPr>
          <w:rFonts w:ascii="宋体" w:hAnsi="宋体" w:cs="宋体"/>
          <w:b/>
          <w:color w:val="auto"/>
          <w:szCs w:val="21"/>
        </w:rPr>
      </w:pPr>
      <w:r>
        <w:rPr>
          <w:rFonts w:hint="eastAsia" w:ascii="宋体" w:hAnsi="宋体" w:cs="宋体"/>
          <w:color w:val="auto"/>
          <w:szCs w:val="21"/>
        </w:rPr>
        <w:t>3.4.2 评标委员会完成评标后，应当向招标人提交书面评标报告和中标候选人名单。</w:t>
      </w:r>
    </w:p>
    <w:p>
      <w:pPr>
        <w:snapToGrid w:val="0"/>
        <w:rPr>
          <w:rFonts w:ascii="宋体" w:hAnsi="宋体"/>
          <w:b/>
          <w:color w:val="auto"/>
          <w:sz w:val="28"/>
        </w:rPr>
      </w:pPr>
      <w:r>
        <w:rPr>
          <w:rFonts w:hint="eastAsia" w:ascii="宋体" w:hAnsi="宋体"/>
          <w:b/>
          <w:color w:val="auto"/>
          <w:sz w:val="28"/>
        </w:rPr>
        <w:br w:type="page"/>
      </w:r>
    </w:p>
    <w:p>
      <w:pPr>
        <w:snapToGrid w:val="0"/>
        <w:spacing w:line="360" w:lineRule="auto"/>
        <w:jc w:val="center"/>
        <w:outlineLvl w:val="0"/>
        <w:rPr>
          <w:rFonts w:ascii="宋体" w:hAnsi="宋体"/>
          <w:b/>
          <w:color w:val="auto"/>
          <w:kern w:val="44"/>
          <w:sz w:val="32"/>
          <w:szCs w:val="32"/>
        </w:rPr>
      </w:pPr>
      <w:bookmarkStart w:id="470" w:name="_Toc63769816"/>
      <w:bookmarkStart w:id="471" w:name="_Toc14329"/>
      <w:bookmarkStart w:id="472" w:name="_Toc12348"/>
      <w:bookmarkStart w:id="473" w:name="_Toc24724"/>
      <w:bookmarkStart w:id="474" w:name="_Toc21632"/>
      <w:bookmarkStart w:id="475" w:name="_Toc22184"/>
      <w:bookmarkStart w:id="476" w:name="_Toc32626"/>
      <w:r>
        <w:rPr>
          <w:rFonts w:hint="eastAsia" w:ascii="宋体" w:hAnsi="宋体"/>
          <w:b/>
          <w:color w:val="auto"/>
          <w:kern w:val="44"/>
          <w:sz w:val="32"/>
          <w:szCs w:val="32"/>
        </w:rPr>
        <w:t>第四章 合同条款及格式</w:t>
      </w:r>
      <w:bookmarkEnd w:id="470"/>
      <w:bookmarkEnd w:id="471"/>
      <w:bookmarkEnd w:id="472"/>
      <w:bookmarkEnd w:id="473"/>
      <w:bookmarkEnd w:id="474"/>
      <w:bookmarkEnd w:id="475"/>
      <w:bookmarkEnd w:id="476"/>
    </w:p>
    <w:p>
      <w:pPr>
        <w:snapToGrid w:val="0"/>
        <w:spacing w:line="360" w:lineRule="auto"/>
        <w:jc w:val="center"/>
        <w:rPr>
          <w:b/>
          <w:color w:val="auto"/>
          <w:sz w:val="28"/>
          <w:szCs w:val="28"/>
        </w:rPr>
      </w:pPr>
      <w:r>
        <w:rPr>
          <w:rFonts w:hint="eastAsia"/>
          <w:b/>
          <w:color w:val="auto"/>
          <w:sz w:val="28"/>
          <w:szCs w:val="28"/>
        </w:rPr>
        <w:t>（另附）</w:t>
      </w:r>
    </w:p>
    <w:p>
      <w:pPr>
        <w:widowControl/>
        <w:snapToGrid w:val="0"/>
        <w:jc w:val="left"/>
        <w:rPr>
          <w:color w:val="auto"/>
          <w:sz w:val="18"/>
        </w:rPr>
      </w:pPr>
    </w:p>
    <w:p>
      <w:pPr>
        <w:widowControl/>
        <w:snapToGrid w:val="0"/>
        <w:jc w:val="left"/>
        <w:rPr>
          <w:color w:val="auto"/>
          <w:sz w:val="18"/>
        </w:rPr>
        <w:sectPr>
          <w:pgSz w:w="11905" w:h="16838"/>
          <w:pgMar w:top="1440" w:right="1083" w:bottom="1440" w:left="1083" w:header="0" w:footer="748" w:gutter="0"/>
          <w:cols w:space="720" w:num="1"/>
          <w:rtlGutter w:val="1"/>
          <w:docGrid w:type="linesAndChars" w:linePitch="1" w:charSpace="0"/>
        </w:sectPr>
      </w:pPr>
    </w:p>
    <w:p>
      <w:pPr>
        <w:snapToGrid w:val="0"/>
        <w:spacing w:line="360" w:lineRule="auto"/>
        <w:jc w:val="center"/>
        <w:outlineLvl w:val="0"/>
        <w:rPr>
          <w:b/>
          <w:color w:val="auto"/>
          <w:sz w:val="36"/>
          <w:szCs w:val="36"/>
        </w:rPr>
      </w:pPr>
      <w:bookmarkStart w:id="477" w:name="_Toc19049"/>
      <w:bookmarkStart w:id="478" w:name="_Toc18279"/>
      <w:bookmarkStart w:id="479" w:name="_Toc23034"/>
      <w:bookmarkStart w:id="480" w:name="_Toc4924"/>
      <w:bookmarkStart w:id="481" w:name="_Toc63769817"/>
      <w:bookmarkStart w:id="482" w:name="_Toc2872"/>
      <w:bookmarkStart w:id="483" w:name="_Toc12856"/>
      <w:bookmarkStart w:id="484" w:name="_Toc246996338"/>
      <w:bookmarkStart w:id="485" w:name="_Toc247085853"/>
      <w:bookmarkStart w:id="486" w:name="_Toc179632787"/>
      <w:bookmarkStart w:id="487" w:name="_Toc246997081"/>
      <w:bookmarkStart w:id="488" w:name="_Toc152042388"/>
      <w:bookmarkStart w:id="489" w:name="_Toc144974829"/>
      <w:bookmarkStart w:id="490" w:name="_Toc247527798"/>
      <w:bookmarkStart w:id="491" w:name="_Toc247514197"/>
      <w:bookmarkStart w:id="492" w:name="_Toc144974578"/>
      <w:bookmarkStart w:id="493" w:name="_Toc300835199"/>
      <w:bookmarkStart w:id="494" w:name="_Toc152045610"/>
      <w:bookmarkStart w:id="495" w:name="_Toc152042549"/>
      <w:bookmarkStart w:id="496" w:name="_Toc184635122"/>
      <w:r>
        <w:rPr>
          <w:rFonts w:hint="eastAsia"/>
          <w:b/>
          <w:color w:val="auto"/>
          <w:sz w:val="36"/>
          <w:szCs w:val="36"/>
        </w:rPr>
        <w:t>第二卷</w:t>
      </w:r>
      <w:bookmarkEnd w:id="477"/>
      <w:bookmarkEnd w:id="478"/>
      <w:bookmarkEnd w:id="479"/>
      <w:bookmarkEnd w:id="480"/>
      <w:bookmarkEnd w:id="481"/>
      <w:bookmarkEnd w:id="482"/>
      <w:bookmarkEnd w:id="483"/>
    </w:p>
    <w:p>
      <w:pPr>
        <w:snapToGrid w:val="0"/>
        <w:jc w:val="left"/>
        <w:rPr>
          <w:rFonts w:ascii="宋体" w:hAnsi="宋体" w:cs="宋体"/>
          <w:b/>
          <w:bCs/>
          <w:color w:val="auto"/>
          <w:kern w:val="0"/>
          <w:sz w:val="32"/>
          <w:szCs w:val="32"/>
        </w:rPr>
      </w:pPr>
      <w:bookmarkStart w:id="497" w:name="_Toc63769818"/>
      <w:r>
        <w:rPr>
          <w:rFonts w:hint="eastAsia" w:ascii="宋体" w:hAnsi="宋体" w:cs="宋体"/>
          <w:b/>
          <w:bCs/>
          <w:color w:val="auto"/>
          <w:kern w:val="0"/>
          <w:sz w:val="32"/>
          <w:szCs w:val="32"/>
        </w:rPr>
        <w:br w:type="page"/>
      </w:r>
    </w:p>
    <w:p>
      <w:pPr>
        <w:snapToGrid w:val="0"/>
        <w:spacing w:line="360" w:lineRule="auto"/>
        <w:jc w:val="center"/>
        <w:outlineLvl w:val="0"/>
        <w:rPr>
          <w:rFonts w:ascii="宋体" w:hAnsi="宋体"/>
          <w:b/>
          <w:color w:val="auto"/>
          <w:kern w:val="44"/>
          <w:sz w:val="32"/>
          <w:szCs w:val="32"/>
        </w:rPr>
      </w:pPr>
      <w:bookmarkStart w:id="498" w:name="_Toc22185"/>
      <w:bookmarkStart w:id="499" w:name="_Toc507"/>
      <w:bookmarkStart w:id="500" w:name="_Toc6881"/>
      <w:bookmarkStart w:id="501" w:name="_Toc15663"/>
      <w:r>
        <w:rPr>
          <w:rFonts w:hint="eastAsia" w:ascii="宋体" w:hAnsi="宋体"/>
          <w:b/>
          <w:color w:val="auto"/>
          <w:kern w:val="44"/>
          <w:sz w:val="32"/>
          <w:szCs w:val="32"/>
        </w:rPr>
        <w:t>第五章 委托人要求</w:t>
      </w:r>
      <w:bookmarkEnd w:id="484"/>
      <w:bookmarkEnd w:id="485"/>
      <w:bookmarkEnd w:id="486"/>
      <w:bookmarkEnd w:id="487"/>
      <w:bookmarkEnd w:id="497"/>
      <w:bookmarkEnd w:id="498"/>
      <w:bookmarkEnd w:id="499"/>
      <w:bookmarkEnd w:id="500"/>
      <w:bookmarkEnd w:id="501"/>
      <w:bookmarkStart w:id="502" w:name="_Toc530470634"/>
      <w:bookmarkStart w:id="503" w:name="_Toc386995907"/>
      <w:bookmarkStart w:id="504" w:name="_Toc497745189"/>
      <w:bookmarkStart w:id="505" w:name="_Toc525828225"/>
      <w:bookmarkStart w:id="506" w:name="_Toc535938725"/>
      <w:bookmarkStart w:id="507" w:name="_Toc529196595"/>
      <w:bookmarkStart w:id="508" w:name="_Toc525827491"/>
    </w:p>
    <w:bookmarkEnd w:id="502"/>
    <w:bookmarkEnd w:id="503"/>
    <w:bookmarkEnd w:id="504"/>
    <w:bookmarkEnd w:id="505"/>
    <w:bookmarkEnd w:id="506"/>
    <w:bookmarkEnd w:id="507"/>
    <w:bookmarkEnd w:id="508"/>
    <w:p>
      <w:pPr>
        <w:spacing w:line="360" w:lineRule="auto"/>
        <w:ind w:firstLine="420" w:firstLineChars="200"/>
        <w:rPr>
          <w:rFonts w:hint="eastAsia" w:ascii="宋体" w:hAnsi="宋体" w:eastAsia="宋体" w:cs="宋体"/>
          <w:color w:val="auto"/>
          <w:sz w:val="21"/>
          <w:szCs w:val="21"/>
          <w:lang w:val="af-ZA"/>
        </w:rPr>
      </w:pPr>
      <w:bookmarkStart w:id="509" w:name="_Toc63769819"/>
      <w:r>
        <w:rPr>
          <w:rFonts w:hint="eastAsia" w:ascii="宋体" w:hAnsi="宋体" w:eastAsia="宋体" w:cs="宋体"/>
          <w:color w:val="auto"/>
          <w:sz w:val="21"/>
          <w:szCs w:val="21"/>
          <w:lang w:val="af-ZA"/>
        </w:rPr>
        <w:t>一、项目概况</w:t>
      </w:r>
    </w:p>
    <w:p>
      <w:pPr>
        <w:pStyle w:val="36"/>
        <w:ind w:firstLine="496"/>
        <w:rPr>
          <w:rFonts w:hint="eastAsia" w:ascii="宋体" w:hAnsi="宋体" w:cs="宋体"/>
          <w:i w:val="0"/>
          <w:iCs w:val="0"/>
          <w:color w:val="auto"/>
          <w:spacing w:val="0"/>
          <w:kern w:val="2"/>
          <w:sz w:val="21"/>
          <w:szCs w:val="21"/>
        </w:rPr>
      </w:pPr>
      <w:r>
        <w:rPr>
          <w:rFonts w:hint="eastAsia" w:ascii="宋体" w:hAnsi="宋体" w:cs="宋体"/>
          <w:color w:val="auto"/>
          <w:spacing w:val="0"/>
          <w:kern w:val="2"/>
          <w:sz w:val="21"/>
          <w:szCs w:val="21"/>
        </w:rPr>
        <w:t>1.1工程名称：广东省中医院国家中医药传承创新中心项目管理与监理服</w:t>
      </w:r>
      <w:r>
        <w:rPr>
          <w:rFonts w:hint="eastAsia" w:ascii="宋体" w:hAnsi="宋体" w:cs="宋体"/>
          <w:i w:val="0"/>
          <w:iCs w:val="0"/>
          <w:color w:val="auto"/>
          <w:spacing w:val="0"/>
          <w:kern w:val="2"/>
          <w:sz w:val="21"/>
          <w:szCs w:val="21"/>
        </w:rPr>
        <w:t>务。</w:t>
      </w:r>
    </w:p>
    <w:p>
      <w:pPr>
        <w:pStyle w:val="36"/>
        <w:ind w:firstLine="496"/>
        <w:rPr>
          <w:rFonts w:hint="eastAsia" w:ascii="宋体" w:hAnsi="宋体" w:cs="宋体"/>
          <w:color w:val="auto"/>
          <w:spacing w:val="0"/>
          <w:kern w:val="2"/>
          <w:sz w:val="21"/>
          <w:szCs w:val="21"/>
        </w:rPr>
      </w:pPr>
      <w:r>
        <w:rPr>
          <w:rFonts w:hint="eastAsia" w:ascii="宋体" w:hAnsi="宋体" w:cs="宋体"/>
          <w:color w:val="auto"/>
          <w:spacing w:val="0"/>
          <w:kern w:val="2"/>
          <w:sz w:val="21"/>
          <w:szCs w:val="21"/>
        </w:rPr>
        <w:t>1.2.工程地点：广州市番禺区小谷围街内环西路55号广东省中医院大学城医院</w:t>
      </w:r>
    </w:p>
    <w:p>
      <w:pPr>
        <w:pStyle w:val="36"/>
        <w:tabs>
          <w:tab w:val="left" w:pos="7513"/>
        </w:tabs>
        <w:ind w:firstLine="496"/>
        <w:rPr>
          <w:rFonts w:hint="eastAsia" w:ascii="宋体" w:hAnsi="宋体" w:cs="宋体"/>
          <w:color w:val="auto"/>
          <w:spacing w:val="0"/>
          <w:kern w:val="2"/>
          <w:sz w:val="21"/>
          <w:szCs w:val="21"/>
          <w:u w:val="none"/>
        </w:rPr>
      </w:pPr>
      <w:r>
        <w:rPr>
          <w:rFonts w:hint="eastAsia" w:ascii="宋体" w:hAnsi="宋体" w:cs="宋体"/>
          <w:color w:val="auto"/>
          <w:spacing w:val="0"/>
          <w:kern w:val="2"/>
          <w:sz w:val="21"/>
          <w:szCs w:val="21"/>
        </w:rPr>
        <w:t>1.3工程规模：大学城医院住院部保健楼1-8楼改造升级总建筑面积11774.24平方米，改造内容包括装修工程、电气工程、给排水工程等相关工程，并配备相关设施，改造后规划布局研究型病床92张。</w:t>
      </w:r>
    </w:p>
    <w:p>
      <w:pPr>
        <w:pStyle w:val="36"/>
        <w:ind w:firstLine="496"/>
        <w:rPr>
          <w:rFonts w:hint="eastAsia" w:ascii="宋体" w:hAnsi="宋体" w:cs="宋体"/>
          <w:color w:val="auto"/>
          <w:spacing w:val="0"/>
          <w:kern w:val="2"/>
          <w:sz w:val="21"/>
          <w:szCs w:val="21"/>
        </w:rPr>
      </w:pPr>
      <w:r>
        <w:rPr>
          <w:rFonts w:hint="eastAsia" w:ascii="宋体" w:hAnsi="宋体" w:cs="宋体"/>
          <w:color w:val="auto"/>
          <w:spacing w:val="0"/>
          <w:kern w:val="2"/>
          <w:sz w:val="21"/>
          <w:szCs w:val="21"/>
        </w:rPr>
        <w:t>1.4.工程总投资：项目总投资29577万元以内，其中大学城医院保健楼改造建设投资5917.07万元(包括工程费用4989.81万元，工程建设其他费用645.49万元，基本预备费281.77万元)。</w:t>
      </w:r>
    </w:p>
    <w:p>
      <w:pPr>
        <w:pStyle w:val="36"/>
        <w:ind w:firstLine="496"/>
        <w:rPr>
          <w:rFonts w:hint="eastAsia" w:ascii="宋体" w:hAnsi="宋体" w:cs="宋体"/>
          <w:color w:val="auto"/>
          <w:spacing w:val="0"/>
          <w:kern w:val="2"/>
          <w:sz w:val="21"/>
          <w:szCs w:val="21"/>
        </w:rPr>
      </w:pPr>
      <w:r>
        <w:rPr>
          <w:rFonts w:hint="eastAsia" w:ascii="宋体" w:hAnsi="宋体" w:cs="宋体"/>
          <w:color w:val="auto"/>
          <w:spacing w:val="0"/>
          <w:kern w:val="2"/>
          <w:sz w:val="21"/>
          <w:szCs w:val="21"/>
        </w:rPr>
        <w:t xml:space="preserve">（最终以有权审定部门批复概算为准） </w:t>
      </w:r>
    </w:p>
    <w:p>
      <w:pPr>
        <w:pStyle w:val="36"/>
        <w:ind w:firstLine="496"/>
        <w:rPr>
          <w:rFonts w:hint="eastAsia" w:ascii="宋体" w:hAnsi="宋体" w:cs="宋体"/>
          <w:strike w:val="0"/>
          <w:color w:val="auto"/>
          <w:spacing w:val="0"/>
          <w:kern w:val="2"/>
          <w:sz w:val="21"/>
          <w:szCs w:val="21"/>
        </w:rPr>
      </w:pPr>
      <w:r>
        <w:rPr>
          <w:rFonts w:hint="eastAsia" w:ascii="宋体" w:hAnsi="宋体" w:cs="宋体"/>
          <w:color w:val="auto"/>
          <w:spacing w:val="0"/>
          <w:kern w:val="2"/>
          <w:sz w:val="21"/>
          <w:szCs w:val="21"/>
        </w:rPr>
        <w:t>1.5质量目标：一次竣工验收合格。</w:t>
      </w:r>
    </w:p>
    <w:p>
      <w:pPr>
        <w:pStyle w:val="36"/>
        <w:ind w:firstLine="496"/>
        <w:rPr>
          <w:rFonts w:hint="eastAsia" w:ascii="宋体" w:hAnsi="宋体" w:cs="宋体"/>
          <w:color w:val="auto"/>
          <w:spacing w:val="0"/>
          <w:kern w:val="2"/>
          <w:sz w:val="21"/>
          <w:szCs w:val="21"/>
        </w:rPr>
      </w:pPr>
      <w:r>
        <w:rPr>
          <w:rFonts w:hint="eastAsia" w:ascii="宋体" w:hAnsi="宋体" w:cs="宋体"/>
          <w:color w:val="auto"/>
          <w:spacing w:val="0"/>
          <w:kern w:val="2"/>
          <w:sz w:val="21"/>
          <w:szCs w:val="21"/>
        </w:rPr>
        <w:t>1.6职业健康安全管理目标：</w:t>
      </w:r>
    </w:p>
    <w:p>
      <w:pPr>
        <w:pStyle w:val="36"/>
        <w:ind w:firstLine="496"/>
        <w:rPr>
          <w:rFonts w:hint="eastAsia" w:ascii="宋体" w:hAnsi="宋体" w:cs="宋体"/>
          <w:color w:val="auto"/>
          <w:spacing w:val="0"/>
          <w:kern w:val="2"/>
          <w:sz w:val="21"/>
          <w:szCs w:val="21"/>
        </w:rPr>
      </w:pPr>
      <w:r>
        <w:rPr>
          <w:rFonts w:hint="eastAsia" w:ascii="宋体" w:hAnsi="宋体" w:cs="宋体"/>
          <w:color w:val="auto"/>
          <w:spacing w:val="0"/>
          <w:kern w:val="2"/>
          <w:sz w:val="21"/>
          <w:szCs w:val="21"/>
        </w:rPr>
        <w:t>事故隐患排查治理覆盖率100%，一般事故隐患整改率100%，重大事故隐患挂牌督办率100%，整改率100%；安全生产非法违法行为举报投诉查办率达到100%。杜绝一般事故等级以上的伤亡事故且工伤责任事故死亡人数为零。</w:t>
      </w:r>
    </w:p>
    <w:p>
      <w:pPr>
        <w:pStyle w:val="36"/>
        <w:ind w:firstLine="496"/>
        <w:rPr>
          <w:rFonts w:hint="eastAsia" w:ascii="宋体" w:hAnsi="宋体" w:cs="宋体"/>
          <w:color w:val="auto"/>
          <w:spacing w:val="0"/>
          <w:kern w:val="2"/>
          <w:sz w:val="21"/>
          <w:szCs w:val="21"/>
        </w:rPr>
      </w:pPr>
      <w:r>
        <w:rPr>
          <w:rFonts w:hint="eastAsia" w:ascii="宋体" w:hAnsi="宋体" w:cs="宋体"/>
          <w:color w:val="auto"/>
          <w:spacing w:val="0"/>
          <w:kern w:val="2"/>
          <w:sz w:val="21"/>
          <w:szCs w:val="21"/>
        </w:rPr>
        <w:t>1.7环境管理目标：严格执行《广州市建设工程现场文明施工管理办法》（穗建质〔2008〕937号）、《广州市城乡建设委员会关于印发广州市加强建筑工地环保管理工作方案的通知》(穗建质〔2014〕754号) 、《广州市提升建设工程安全文明施工管理水平的工作指引》（穗建质〔2017〕815号）、《广州市建设工程安全文明施工规程（试行版）》（穗建质〔2021) 316 号）、《危险性较大的分部分项工程安全管理规定》(中华人民共和国住房和城乡建设部令第37号)、《关于加强建设工程安全生产管理 落实建设各方主体责任的暂行规定》（穗建规字〔2020〕34号）、《广州市住房和城乡建设局等 8 部门关于印发建设工程扬尘防治“6 个 100%”管理标准图集（V2.0版）的通知》《广州市住房和城乡建设委员会关于印发建设工程扬尘防治“6个100%”管理标准细化措施的通知》（穗建质〔2018〕1394号）、广州市住房和城乡建设局关于印发广州市房屋建筑工程安全防护指导图集（防高坠篇）的通知、《广州市建设工程绿色施工围蔽指导图集（V2.0版）》（穗建质〔2020〕1号）和《广东省建筑垃圾管理条例》（广东省第十三届人民代表大会常务委员会公告第126号）等国家、省、市现行标准、规定和文件要求，加强建筑工地文明施工管理，控制施工扬尘、噪声污染，推进生态文明建设；确保噪声污染、扬尘污染等环境污染问题零投诉。</w:t>
      </w:r>
    </w:p>
    <w:p>
      <w:pPr>
        <w:widowControl/>
        <w:spacing w:line="360" w:lineRule="auto"/>
        <w:ind w:firstLine="420" w:firstLineChars="200"/>
        <w:jc w:val="both"/>
        <w:rPr>
          <w:rFonts w:hint="eastAsia" w:ascii="宋体" w:hAnsi="宋体" w:cs="宋体"/>
          <w:color w:val="auto"/>
          <w:sz w:val="21"/>
          <w:szCs w:val="21"/>
          <w:lang w:val="en-US" w:eastAsia="zh-CN" w:bidi="mn-Mong-CN"/>
        </w:rPr>
      </w:pPr>
      <w:r>
        <w:rPr>
          <w:rFonts w:hint="eastAsia" w:ascii="宋体" w:hAnsi="宋体" w:cs="宋体"/>
          <w:color w:val="auto"/>
          <w:kern w:val="2"/>
          <w:szCs w:val="21"/>
        </w:rPr>
        <w:t>1.8投资控制目标：工程结算金额不得超过广东省发改委批复的概算对应金额。</w:t>
      </w:r>
    </w:p>
    <w:p>
      <w:pPr>
        <w:widowControl/>
        <w:spacing w:line="360" w:lineRule="auto"/>
        <w:ind w:firstLine="420" w:firstLineChars="2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bidi="mn-Mong-CN"/>
        </w:rPr>
        <w:t>二</w:t>
      </w:r>
      <w:r>
        <w:rPr>
          <w:rFonts w:hint="eastAsia" w:ascii="宋体" w:hAnsi="宋体" w:eastAsia="宋体" w:cs="宋体"/>
          <w:color w:val="auto"/>
          <w:sz w:val="21"/>
          <w:szCs w:val="21"/>
          <w:lang w:bidi="mn-Mong-CN"/>
        </w:rPr>
        <w:t>、</w:t>
      </w:r>
      <w:r>
        <w:rPr>
          <w:rFonts w:hint="eastAsia" w:ascii="宋体" w:hAnsi="宋体" w:eastAsia="宋体" w:cs="宋体"/>
          <w:color w:val="auto"/>
          <w:sz w:val="21"/>
          <w:szCs w:val="21"/>
        </w:rPr>
        <w:t>服务期</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项目建设管理与监理服务期自乙方收到中标通知书或参加由甲方组织的第一次进场动员会之日起算，至本项目工程保修期结束且本合同工程结算金额经有权结算终审部门审定之日止。</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服务期包括项目设计阶段、施工准备阶段、施工阶段、工程收尾阶段（包括但不限于竣工验收、整改、工程移交、工程结算等）及工程质量保修阶段，乙方须实行全过程项目建设管理服务。</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服务期内，项目建设管理与监理服务团队应在甲方指定的场所开展驻场服务工作，并按甲方要求纳入出勤考核管理，施工期阶段项目建设管理与监理服务工作人员须在工程现场开展监理服务工作。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乙方根据项目进度情况，每月20日前以书面形式向甲方申报下月驻场人员名录。</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工程收尾期、竣工结算阶段造价人员、资料员须在工程现场或甲方指定场所开展为期6个月的工程收尾相关监理服务工作。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若本项目施工总承包合同未能在此期限内完成结算送审的，则乙方的造价人员在本阶段的驻场服务工作期限相应延长至本项目施工总承包合同结算送达财政评审时止。</w:t>
      </w:r>
    </w:p>
    <w:p>
      <w:pPr>
        <w:pStyle w:val="12"/>
        <w:widowControl/>
        <w:numPr>
          <w:ilvl w:val="0"/>
          <w:numId w:val="0"/>
        </w:numPr>
        <w:spacing w:line="360" w:lineRule="auto"/>
        <w:ind w:firstLine="420" w:firstLineChars="200"/>
        <w:jc w:val="both"/>
        <w:rPr>
          <w:rFonts w:hint="eastAsia" w:ascii="宋体" w:hAnsi="宋体" w:eastAsia="宋体" w:cs="宋体"/>
          <w:color w:val="auto"/>
          <w:sz w:val="21"/>
          <w:szCs w:val="21"/>
          <w:lang w:bidi="mn-Mong-CN"/>
        </w:rPr>
      </w:pPr>
      <w:r>
        <w:rPr>
          <w:rFonts w:hint="eastAsia" w:ascii="宋体" w:hAnsi="宋体" w:cs="宋体"/>
          <w:color w:val="auto"/>
          <w:sz w:val="21"/>
          <w:szCs w:val="21"/>
          <w:lang w:val="en-US" w:eastAsia="zh-CN" w:bidi="mn-Mong-CN"/>
        </w:rPr>
        <w:t>三、服务工作内容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3.1  项目管理工作内容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3.1.1 项目计划统筹及总体管理工作内容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1.建立项目建设管理与监理服务组织机构，制订项目总体控制目标，及各阶段目标。</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2.协调项目设计单位、参建单位各项工作关系，协调项目外部关系。</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3.定期（每周）组织召开工程例会或专题会，汇报项目总体进展，研究解决存在问题。</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3.1.2 需求管理</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1.对项目建设功能、规模、标准进行充分研究，实施过程中与甲方沟通协调，将甲方的功能需求落实到设计文件、造价文件中。</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2.对项目初步设计与概算文件、施工图设计与施工图预算进行分析，确保在不突破各项目投资估算及概算的前提下完成建设内容。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3.对项目的建设条件进行分析，了解场地周边情况，如交通、临时设施、施工条件向承包人作好交底工作，会同承包人共同研究施工组织方案的可行性。</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3.1.3 报建报批管理</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1.对各项目建设需要开展的相关专题研究以及需要办理的相关手续进行梳理，根据总体工作计划要求进行报批报建工作策划。</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2.根据各项目建设内容编制报建报批工作计划，督促审核承包人及时办理项目前期及工程建设期间的各项报批报建手续。</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3.1.4 设计管理</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对本项目设计全过程的设计质量和进度、投资控制等进行全过程管理，制定设计管理工作各项制度，明确设计管理的工作目标、管理模式、管理方法等，使工程项目建设达到预期的质量、工期和经济目标。审查设计进度计划，若与阶段目标相违背，应采取纠偏措施。</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2.根据使用功能需求条件，要求设计单位按时提交合格的设计成果，检查并控制设计单位的设计进度，检查设计的功能性是否满足使用要求。</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参与各阶段设计图纸评审或专题会议，提出相关优化意见。审核设计变更的技术、经济合理性、设计质量和深度，发布变更指令，对重大设计变更要有详细报告，包括涉及的费用变更、技术问题、承包方案的变化和工期影响等，必要时开展价值工程研究解决。</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4.协助甲方组织专项审查。</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5.负责编写设计阶段各类管理文件、设置预控要点，制定有关设计管理工作制度及工作标准，编写设计管理规划等，并采用各项设计管理控制措施以保证勘察设计管理工作的顺利实施。</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6.组织周/月进度例会及专设计例会，按时甲方报送设计管理简报及建设管理简报。</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7.对项目全过程进行投资控制管理。负责组织承包人/设计单位进行工程设计优化、技术经济方案比选并进行投资控制，要求限额设计。</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8.进行设计施工总承包合同的设计有关条款跟踪管理，处理工程设计条款中有关的索赔与反索赔事宜，处理勘察设计合同纠纷，为仲裁提供正确的全面的维护甲方正当权益的法律凭证。</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9对重要的需求、设计调整及相关的专题会议、协调会议应做好完备的台帐管理，做到易查看、可追溯。</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3.1.5 项目总体进度计划管理</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1.确定进度管理总体目标及节点目标，编制项目进度计划及控制措施，分析影响进度的主要因素，对进度计划的实施进行检查和调整，确保项目进展符合总体目标要求。</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审核承包人编制的工作进度计划和保证措施，分析节点目标的可实现性，动态跟踪计划实施进展并进行分析，并提出应对措施和意见，最后形成项目的总体进度计划报甲方审批，并负责按审批后的计划落实，落实相关单位实施。</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记录各节点要求进度的具体时间，对预判工期超出的情况应及时预警；对非承包人原因造成工期延误的情况，应及时办理工期延期记录和工期签证（在延误事件发生时当天记录，结束后10日内办结，包括相关单位签认并形成书面记录）。</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4.须按照经审核的进度网络图对关键线路严格管控，每周向甲方提供各项目进度分析报告和进度纠偏建议。</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3.1.6 投资管理</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确定投资控制目标，制订投资管理制度、措施和工作程序，做好决策、设计、招标、施工、结算各阶段的投资控制。对造价咨询单位审核的工程概算、承包人编制的施工图预算、工程量清单等经济技术指标进行审核。</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2.按甲方要求和规定审批工程进度款支付，审核工程变更及签证并送甲方审批，做好用款计划、月报、年报、年度投资计划等统计工作，建立各项目的合同、支付、变更、预结算等各种台帐；</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3.工程投资控制月报制度</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① 每月25日前，应向甲方提供当月的投资控制月报。</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②对于甲方有特殊要求的情况，应向甲方及时提供投资控制报告，如周报、专题报告等。</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③投资控制工作总结制度</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在工程竣工验收后，应向甲方提交该项目的工程投资工作总结，该总结作为工程咨询工作的一项竣工验收资料，并报甲方备案。</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  服务工作内容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3.2.1 建设工程监理一般规定</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1.乙方应公正、独立、自主地开展监理工作，维护甲方和承包人的合法权益。</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2.建设工程监理除应符合《建设工程监理规范》（GB/T 50319-2013）外，还应符合国家现行的有关强制性标准、规范的规定。</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3.乙方应督促承包人严格执行《广东省建筑垃圾管理条例》（广东省第十三届人民代表大会常务委员会公告第126号）等环境卫生管理相关规定。</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3.2.2 施工准备阶段的监理工作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施工准备阶段的工作包括但不限于以下内容：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1.在设计交底前，应组织项目建设管理及监理服务人员熟悉设计文件，并对图纸中存在的问题向甲方及设计单位提出书面意见和建议。</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2.项目建设管理与监理服务人员应参加由甲方组织的设计技术交底会，应组织人员编写设计技术交底会议纪要并提交给甲方。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3.组织图纸会审，并做好图纸会审记录和并提交给甲方。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4.工程项目开工前，应组织审查承包人报送的施工组织设计（方案）报审表，提出审查意见。</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5.工程项目开工前，应审查承包人现场项目管理机构的质量管理体系、环境管理体系和安全管理体系，在确能保证工程项目施工质量时予以确认。</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6.应审查承包人报送的工程开工报审表及相关资料，具备以下开工条件时，签发开工许可，并报甲方。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7.编制项目建设管理与监理服务工作制度。</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3.2.3 施工阶段的工作（包括但不限于以下内容）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32.3.1 工程质量控制工作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1.在施工过程中，当承包人对已批准的施工组织设计进行调整、补充或变动时，应经专业监理工程师审查，并应由项目负责人或总监理工程师签认。</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2.应要求承包人报送重点部位、关键工序的施工方案或作业指导和确保工程质量的措施，审核同意后予以签认。</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3.当承包人采用新材料、新工艺、新技术、新设备时，专业监理工程师应要求承包人报送相应的施工工艺措施和证明材料，组织专题论证，经审定后予以签认。</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4.乙方应对承包人在施工过程中报送的施工测量放线成果进行复验和确认。</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5.乙方应对材料、设备的进场验收负主要责任。专业监理工程师应对承包人报送的拟进场工程材料、构配件和设备的工程材料/构配件/设备报审表及其质量证明资料进行审核，并对进场的实物按照本合同约定或有关工程质量管理文件规定的比例采用平行检验或见证取样方式进行抽检。</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对未经甲方乙方验收或验收不合格的工程材料、构配件、设备，应拒绝签认，并应签发监理工程师通知单，书面通知承包人限期将不合格的工程材料、构配件、设备撤出现场。</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6.乙方须定期检查承包人的直接影响工程质量的计量设备的技术状况。</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7.乙方须对建筑材料设备的进场检验的全过程进行见证，对施工过程进行巡视和检查（包括重点检查、抽查及专项检查）。</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8.乙方应根据承包人报送的隐蔽工程报验申请表和自检结果进行现场检查，符合要求后予以签认。</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对未经甲方确认且未经乙方验收或验收不合格的工序，乙方人员应拒绝签认，并要求承包人严禁进行下一道工序的施工。</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9.应对承包人报送的分项工程质量验评资料进行审核，符合要求后予以签认；组织对承包人报送的分部工程和单位工程质量验评资料进行审核和现场检查，符合要求后予以签认。</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10.乙方应按照基建程序从工程建设前期法定建设程序资料、施工过程质量控制技术资料、工程验收及备案资料按照与工程同步的原则进行及时收集，保证保管一套完整的工程技术资料。</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11.施工阶段的工程质量控制中的其他监理工作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①对施工过程中出现的质量缺陷，应及时要求承包人整改，并检查整改结果。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②乙方应在本合同工程的施工阶段开始之前向甲方提交质量事故处理程序。乙方及其工作人员发现施工存在重大质量隐患，可能造成质量事故或已经造成质量事故时，应通过即时下达工程暂停令，要求承包人停工整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整改完毕并已经甲乙双方按规定和相关指令符合，乙方应及时签署工程复工报审表。</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乙方下达工程暂停令和签署工程复工报审表，应事先向甲方报告。</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③对需要返工处理或加固补强的质量事故，乙方应责令承包人报送质量事故调查报告和经设计单位等相关单位认可的处理方案，项目建设管理英语监理服务机构应对质量事故的处理过程和处理结果进行跟踪检查和验收。</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④乙方应及时提交有关质量事故的书面报告，并应将完整的质量事故处理记录整理归档。</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3.2.3.2 工程造价控制工作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乙方应对项目施工阶段全过程进行造价控制，包括但不限于：主材单价、综合单价、签证费用、工程预算审核、结算审核、工程量（含钢筋抽料）审核、费用索赔等。</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1.乙方应按下列程序进行工程计量和工程款支付工作：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①乙方应每日统计承包人实际完成的工程量，并记录于监理日志中；</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②乙方应进行现场计量，复核当期验收合格的工程量，按施工合同的约定审核承包人提交的工程量清单和工程款支付申请表，并报甲方指定部门审定。</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③乙方对工程量清单和工程款支付申请表进行复核，并报甲方审定；</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2.乙方应依据施工合同有关条款、施工图，对工程项目造价目标进行风险分析，并应制定防范性对策。</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3.乙方应按施工合同约定的工程量计算规则和支付条款进行工程量计量和工程款支付。</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4.乙方应及时建立月完成工程量和工作量统计表，对实际完成量与计划完成量进行比较、分析，制定调整措施，并提交甲方指定部门。</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5.未经甲方质量验收合格的工程量，或不符合施工合同规定的工程量，乙方应拒绝计量和该部分的工程款支付申请。</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6.工程变更的管理</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乙方应从造价、项目的功能要求、质量和工期等方面审查工程变更的方案，并在工程变更实施前与甲方及施工企业确定工程变更的价款。</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3.2.3.3 工程进度控制工作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乙方应依据施工合同有关条款、施工图及经过批准的施工组织设计制定进度控制方案，对进度目标进行风险分析，制定防范性对策，及时报送甲方。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3.2.3.4 工程职业健康安全控制工作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1.编制安全监理实施细则，对施工中人的不安全行为、物的不安全状态、作业环境的不安全因素和管理缺陷进行相应的安全控制。</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2.检查项目施工安全目标的要求配置的资源是否满足需要。</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3.要求承包人对结构复杂、施工难度大、专业性强的项目和达到一定规模的危险性较大的分部分项工程编制专项施工方案，必要时，组织专家进行论证、审查：</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4.定期组织安全控制计划的执行情况并进行检查考核和评价，对施工中存在的不安全行为和隐患，分析原因并制定相应整改防范措施。</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5.采取随机抽样、现场观察、实地检测相结合的方法进行安全检查，并记录检测结果。对现场管理人员的违章指挥和操作人员的违章作业行为应进行纠正。</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6.对检查结果进行分析，找出安全隐患部位，确定危险程度。</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7.对检查出的隐患立即发出安全隐患整改通知单。受检单位应对安全隐患原因进行分析，制定和落实纠正和预防措施。</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8.对纠正预防措施的实施过程和实施效果应进行跟踪检查，保存验证记录。</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9.职业健康安全质量事故的处理</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对于发生的安全质量事故，应第一时间向当地政府及甲方报告，同时应积极保护事故现场，收集相关的原始资料。</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乙方在调查事故情况并分析原因、责任后，并将事故调查分析报告提交甲方及政府相关部门。应同时提交相应的防范措施建议书以防止同类事故再次发生。</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3.2.3.5 工程材料设备控制工作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1.审核工程总体材料设备使用计划和月度材料设备分批使用计划；</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2.审核承包人选定的材料设备合格供货商并对样品进行封存；</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3.审核承包人签订材料设备供货合同；</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4.组织承包人拟定准确的材料设备进场计划，及时进行材料设备的采购及供货；</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5.组织承包人认真清点到货材料设备，在安装材料设备过程中及安装后应进行监督、检验，把好质量关；</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6.对承包人所定材料设备规格、型号、数量、质量必须严格把关，发现货不对板情况应及时向甲方汇报；</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7.负责材料设备安装、调试、验收过程中的投资、质量、进度控制；</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3.2.3.6 工程合同管理工作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1.建立合同实施的保证体系，使工程项目的全部合同事件处于控制中，保证合同目标的实现。</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2.建立合同管理文档系统。应建立与相适应的编码系统和文档系统，便于各种合同资料的保存与查询。</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3.建立合同文件沟通方式。承包人和甲方、监理工程师、分包人之间的有关合同的文件沟通都应以书面形式进行。</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4.合同实施监督。包括：监督总承包人、分包人严格执行合同，并做好各分包人的协调和管理工作。同时也应督促甲方执行其合同责任，以保证工程顺利进行。同时，乙方需对承包人的专业分包执行情况加强过程监督：包括但不限于在施工阶段进行现场排查并形成相应的专业分包执行情况的专项报告、对未按合同要求完善分包审批手续的责任单位要求限期完成整改以及提出相应的违约处理意见等；如发现涉嫌违法分包情况，需一个工作日内内将相关信息材料报告甲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5.合同跟踪和诊断。对合同履行情况做出诊断。合同诊断包括：合同执行差异的原因分析、合同差异责任分析、合同实施趋向预测。及时通报合同实施情况及问题，提出合同实施方面的意见、建议、甚至警告。</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6.严格合同变更管理。包括：变更谈判、变更的处理程序，落实变更的措施，修改变更相关的资料，检查变更措施的落实情况。</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 xml:space="preserve">7.乙方应甲方要求参与本合同工程施工、采购等招投标文件（含招投标修改、澄清等文件）的审查工作，对相关合同及施工组织设计等文件进行审核， </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3.2.3.7 工程项目协调</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 xml:space="preserve">定期组织召开建设单位、设计、监理、质监站、安监站、承包人参加的工地现场会，协调施工过程中出现的各种矛盾和问题。 </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3.2.3.8 环境管理工作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乙方应对施工过程中影响环境的活动进行监督管理，以满足相关的法律法规对环境保护的要求。根据相关的法律、法规、制度及程序等，对工程建设过程中污染环境、破坏生态的行为进行监督管理。 </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3.2.4 工程收尾阶段的工作（包括但不限于以下内容）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3.2.4.1 工程收尾阶段包括竣工扫尾、验收、整改、移交、结算、考核评价等方面的管理。乙方应制定工作计划，提出各项管理要求。工程收尾阶段管理应包括以下内容：</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1.项目的竣工扫尾；</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2.项目的竣工验收、整改及移交；</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3.项目的竣工结算；</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4.项目的回访维护；</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5.项目的考核评价。</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3.2.4.2 竣工验收</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1.乙方依据有关法律、法规、工程建设强制性标准、设计文件及施工合同，对承包人报送的竣工资料进行审查，并对工程质量进行竣工预验收。</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对存在的问题，应及时要求承包人整改。整改完毕后签署工程竣工报验单，并应在此基础上提出工程质量评估报告。</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乙方应负责组织系统联动调试、试运行及各专项验收及检测。应参加由甲方组织的竣工验收，并提供相关监理资料。对验收中提出的整改问题，项目监理机构应要求承包人进行整改。工程质量符合要求，由总监理工程师会同参加验收的各方签署竣工验收报告。</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3.2.4.3 审核竣工结算</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1.结算的总体要求</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乙方应根据有关合同约定及工程进展的实际情况，于竣工后2周内编制工程竣工结算计划报甲方批准后实施。</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乙方负责组织有关单位按核准的结算计划中的时间要求提交竣工结算书及竣工结算资料。</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乙方须根据甲方的要求审核承包人提交的工程结算书，确保工程结算资料的完整性，并对其提交给甲方的结算审核结果负责。</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2.工程结算资料必须实事求是、完整、真实准确，工程资料的主要内容包括：</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①合同（组成包括：协议书、中标通知书或委托书、投标文件澄清纪要、投标文件及其附件、合同专用条件、合同标准条件、招标文件及补遗书、本合同履行期间合同各方间签订的补充合同（协议）、其它）；</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②结算书及电子文档；</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③招标图纸及竣工图纸；</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④图纸会审（交底）的会议纪要；</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⑤工程量计算书（或钢筋抽料表）及电子文档；</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⑥工程变更图纸、变更指令及工程变更申报审批表；</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⑦施工现场变更签证及工程变更申报审批表；</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⑧工程竣工验收证明；</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⑨开、竣工报告；</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⑩中间计量资料；</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及其它竣工结算资料。</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3.2.5工程质量保修期的工作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（1）乙方应依据本合同约定的工程质量保修期监理工作的时间、范围和内容开展工作。</w:t>
      </w:r>
    </w:p>
    <w:p>
      <w:pPr>
        <w:wordWrap w:val="0"/>
        <w:spacing w:line="360" w:lineRule="auto"/>
        <w:ind w:firstLine="436" w:firstLineChars="208"/>
        <w:rPr>
          <w:rFonts w:hint="eastAsia" w:ascii="宋体" w:hAnsi="宋体" w:eastAsia="宋体" w:cs="宋体"/>
          <w:color w:val="auto"/>
          <w:sz w:val="21"/>
          <w:szCs w:val="21"/>
        </w:rPr>
      </w:pPr>
      <w:r>
        <w:rPr>
          <w:rFonts w:hint="eastAsia" w:ascii="宋体" w:hAnsi="宋体" w:eastAsia="宋体" w:cs="宋体"/>
          <w:color w:val="auto"/>
          <w:sz w:val="21"/>
          <w:szCs w:val="21"/>
        </w:rPr>
        <w:t>（2）承担质量保修期监理工作时，乙方应对甲方提出的工程质量缺陷进行检查和记录，对承包人进行修复的工程质量进行验收，合格后予以签认。</w:t>
      </w:r>
    </w:p>
    <w:p>
      <w:pPr>
        <w:wordWrap w:val="0"/>
        <w:spacing w:line="360" w:lineRule="auto"/>
        <w:ind w:firstLine="436" w:firstLineChars="208"/>
        <w:rPr>
          <w:rFonts w:hint="eastAsia" w:ascii="方正仿宋_GB2312" w:hAnsi="方正仿宋_GB2312" w:eastAsia="方正仿宋_GB2312" w:cs="方正仿宋_GB2312"/>
          <w:color w:val="auto"/>
          <w:sz w:val="32"/>
          <w:szCs w:val="32"/>
          <w:highlight w:val="none"/>
        </w:rPr>
      </w:pPr>
      <w:r>
        <w:rPr>
          <w:rFonts w:hint="eastAsia" w:ascii="宋体" w:hAnsi="宋体" w:eastAsia="宋体" w:cs="宋体"/>
          <w:color w:val="auto"/>
          <w:sz w:val="21"/>
          <w:szCs w:val="21"/>
        </w:rPr>
        <w:t>（3）乙方应对工程质量缺陷原因进行调查分析并确定责任归属，对非承包人原因造成的工程质量缺陷，应核实修复工程的费用和签署工程款支付证书，并报甲方。</w:t>
      </w:r>
      <w:r>
        <w:rPr>
          <w:rFonts w:hint="eastAsia" w:ascii="方正仿宋_GB2312" w:hAnsi="方正仿宋_GB2312" w:eastAsia="方正仿宋_GB2312" w:cs="方正仿宋_GB2312"/>
          <w:color w:val="auto"/>
          <w:sz w:val="32"/>
          <w:szCs w:val="32"/>
          <w:highlight w:val="none"/>
        </w:rPr>
        <w:br w:type="page"/>
      </w:r>
    </w:p>
    <w:p>
      <w:pPr>
        <w:spacing w:line="360" w:lineRule="auto"/>
        <w:jc w:val="left"/>
        <w:rPr>
          <w:b/>
          <w:color w:val="auto"/>
          <w:sz w:val="36"/>
          <w:szCs w:val="36"/>
        </w:rPr>
      </w:pPr>
      <w:bookmarkStart w:id="510" w:name="_Toc4946"/>
      <w:bookmarkStart w:id="511" w:name="_Toc15854"/>
      <w:bookmarkStart w:id="512" w:name="_Toc19173"/>
      <w:bookmarkStart w:id="513" w:name="_Toc12481"/>
      <w:bookmarkStart w:id="514" w:name="_Toc8021"/>
      <w:bookmarkStart w:id="515" w:name="_Toc11677"/>
    </w:p>
    <w:p>
      <w:pPr>
        <w:snapToGrid w:val="0"/>
        <w:spacing w:line="360" w:lineRule="auto"/>
        <w:jc w:val="center"/>
        <w:outlineLvl w:val="0"/>
        <w:rPr>
          <w:b/>
          <w:color w:val="auto"/>
          <w:sz w:val="36"/>
          <w:szCs w:val="36"/>
        </w:rPr>
      </w:pPr>
      <w:r>
        <w:rPr>
          <w:rFonts w:hint="eastAsia"/>
          <w:b/>
          <w:color w:val="auto"/>
          <w:sz w:val="36"/>
          <w:szCs w:val="36"/>
        </w:rPr>
        <w:t>第三卷</w:t>
      </w:r>
      <w:bookmarkEnd w:id="509"/>
      <w:bookmarkEnd w:id="510"/>
      <w:bookmarkEnd w:id="511"/>
      <w:bookmarkEnd w:id="512"/>
      <w:bookmarkEnd w:id="513"/>
      <w:bookmarkEnd w:id="514"/>
      <w:bookmarkEnd w:id="515"/>
    </w:p>
    <w:p>
      <w:pPr>
        <w:jc w:val="left"/>
        <w:rPr>
          <w:rFonts w:ascii="宋体" w:hAnsi="宋体" w:cs="宋体"/>
          <w:b/>
          <w:bCs/>
          <w:color w:val="auto"/>
          <w:kern w:val="0"/>
          <w:sz w:val="32"/>
          <w:szCs w:val="32"/>
        </w:rPr>
      </w:pPr>
      <w:bookmarkStart w:id="516" w:name="_Toc63769820"/>
      <w:bookmarkStart w:id="517" w:name="_Toc17505"/>
      <w:r>
        <w:rPr>
          <w:rFonts w:hint="eastAsia" w:ascii="宋体" w:hAnsi="宋体" w:cs="宋体"/>
          <w:b/>
          <w:bCs/>
          <w:color w:val="auto"/>
          <w:kern w:val="0"/>
          <w:sz w:val="32"/>
          <w:szCs w:val="32"/>
        </w:rPr>
        <w:br w:type="page"/>
      </w:r>
    </w:p>
    <w:p>
      <w:pPr>
        <w:snapToGrid w:val="0"/>
        <w:spacing w:line="360" w:lineRule="auto"/>
        <w:jc w:val="center"/>
        <w:outlineLvl w:val="1"/>
        <w:rPr>
          <w:rFonts w:ascii="宋体" w:hAnsi="宋体" w:cs="宋体"/>
          <w:b/>
          <w:bCs/>
          <w:color w:val="auto"/>
          <w:kern w:val="0"/>
          <w:sz w:val="32"/>
          <w:szCs w:val="32"/>
        </w:rPr>
      </w:pPr>
      <w:bookmarkStart w:id="518" w:name="_Toc14847"/>
      <w:bookmarkStart w:id="519" w:name="_Toc29257"/>
      <w:bookmarkStart w:id="520" w:name="_Toc21421"/>
      <w:r>
        <w:rPr>
          <w:rFonts w:hint="eastAsia" w:ascii="宋体" w:hAnsi="宋体" w:cs="宋体"/>
          <w:b/>
          <w:bCs/>
          <w:color w:val="auto"/>
          <w:kern w:val="0"/>
          <w:sz w:val="32"/>
          <w:szCs w:val="32"/>
        </w:rPr>
        <w:t>第六章 投标文件格式</w:t>
      </w:r>
      <w:bookmarkEnd w:id="516"/>
      <w:bookmarkEnd w:id="517"/>
      <w:bookmarkEnd w:id="518"/>
      <w:bookmarkEnd w:id="519"/>
      <w:bookmarkEnd w:id="520"/>
    </w:p>
    <w:p>
      <w:pPr>
        <w:snapToGrid w:val="0"/>
        <w:jc w:val="center"/>
        <w:rPr>
          <w:rFonts w:ascii="宋体" w:hAnsi="宋体"/>
          <w:color w:val="auto"/>
          <w:sz w:val="28"/>
          <w:szCs w:val="28"/>
          <w:u w:val="single"/>
        </w:rPr>
      </w:pPr>
    </w:p>
    <w:p>
      <w:pPr>
        <w:snapToGrid w:val="0"/>
        <w:jc w:val="center"/>
        <w:rPr>
          <w:rFonts w:ascii="宋体" w:hAnsi="宋体"/>
          <w:b/>
          <w:color w:val="auto"/>
          <w:sz w:val="40"/>
          <w:szCs w:val="36"/>
          <w:u w:val="single"/>
        </w:rPr>
      </w:pPr>
    </w:p>
    <w:p>
      <w:pPr>
        <w:snapToGrid w:val="0"/>
        <w:jc w:val="center"/>
        <w:rPr>
          <w:rFonts w:ascii="宋体" w:hAnsi="宋体"/>
          <w:b/>
          <w:color w:val="auto"/>
          <w:sz w:val="40"/>
          <w:szCs w:val="36"/>
          <w:u w:val="single"/>
        </w:rPr>
      </w:pPr>
      <w:r>
        <w:rPr>
          <w:rFonts w:hint="eastAsia" w:ascii="宋体" w:hAnsi="宋体"/>
          <w:b/>
          <w:color w:val="auto"/>
          <w:sz w:val="40"/>
          <w:szCs w:val="36"/>
          <w:u w:val="single"/>
        </w:rPr>
        <w:t>广东省中医院国家中医药传承创新中心项目管理与监理服务</w:t>
      </w:r>
    </w:p>
    <w:p>
      <w:pPr>
        <w:snapToGrid w:val="0"/>
        <w:jc w:val="center"/>
        <w:rPr>
          <w:rFonts w:ascii="宋体" w:hAnsi="宋体"/>
          <w:color w:val="auto"/>
          <w:sz w:val="36"/>
          <w:szCs w:val="36"/>
        </w:rPr>
      </w:pPr>
      <w:r>
        <w:rPr>
          <w:rFonts w:hint="eastAsia" w:ascii="宋体" w:hAnsi="宋体"/>
          <w:color w:val="auto"/>
          <w:sz w:val="36"/>
          <w:szCs w:val="36"/>
        </w:rPr>
        <w:t>(</w:t>
      </w:r>
      <w:r>
        <w:rPr>
          <w:rFonts w:hint="eastAsia" w:ascii="宋体" w:hAnsi="宋体" w:cs="宋体"/>
          <w:b/>
          <w:color w:val="auto"/>
          <w:kern w:val="44"/>
          <w:sz w:val="24"/>
          <w:szCs w:val="24"/>
        </w:rPr>
        <w:t xml:space="preserve"> </w:t>
      </w:r>
      <w:r>
        <w:rPr>
          <w:rFonts w:hint="eastAsia" w:ascii="宋体" w:hAnsi="宋体"/>
          <w:color w:val="auto"/>
          <w:sz w:val="36"/>
          <w:szCs w:val="36"/>
        </w:rPr>
        <w:t>项目编号：</w:t>
      </w:r>
      <w:r>
        <w:rPr>
          <w:rFonts w:hint="eastAsia" w:ascii="宋体" w:hAnsi="宋体"/>
          <w:color w:val="auto"/>
          <w:sz w:val="36"/>
          <w:szCs w:val="36"/>
          <w:u w:val="single"/>
        </w:rPr>
        <w:t xml:space="preserve">       </w:t>
      </w:r>
      <w:r>
        <w:rPr>
          <w:rFonts w:hint="eastAsia" w:ascii="宋体" w:hAnsi="宋体"/>
          <w:color w:val="auto"/>
          <w:sz w:val="36"/>
          <w:szCs w:val="36"/>
        </w:rPr>
        <w:t>)</w:t>
      </w: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112"/>
          <w:szCs w:val="48"/>
        </w:rPr>
      </w:pPr>
      <w:r>
        <w:rPr>
          <w:rFonts w:hint="eastAsia" w:ascii="宋体" w:hAnsi="宋体"/>
          <w:b/>
          <w:color w:val="auto"/>
          <w:sz w:val="112"/>
          <w:szCs w:val="48"/>
        </w:rPr>
        <w:t>投标文件</w:t>
      </w: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jc w:val="center"/>
        <w:rPr>
          <w:rFonts w:ascii="宋体" w:hAnsi="宋体"/>
          <w:b/>
          <w:color w:val="auto"/>
          <w:sz w:val="32"/>
          <w:szCs w:val="28"/>
          <w:u w:val="single"/>
        </w:rPr>
      </w:pPr>
    </w:p>
    <w:p>
      <w:pPr>
        <w:snapToGrid w:val="0"/>
        <w:spacing w:line="360" w:lineRule="auto"/>
        <w:ind w:firstLine="2100" w:firstLineChars="750"/>
        <w:rPr>
          <w:rFonts w:ascii="宋体" w:hAnsi="宋体"/>
          <w:color w:val="auto"/>
          <w:sz w:val="28"/>
          <w:u w:val="single"/>
        </w:rPr>
      </w:pPr>
      <w:r>
        <w:rPr>
          <w:rFonts w:hint="eastAsia" w:ascii="宋体" w:hAnsi="宋体"/>
          <w:color w:val="auto"/>
          <w:sz w:val="28"/>
        </w:rPr>
        <w:t>投标人：</w:t>
      </w:r>
      <w:r>
        <w:rPr>
          <w:rFonts w:hint="eastAsia" w:ascii="宋体" w:hAnsi="宋体"/>
          <w:color w:val="auto"/>
          <w:sz w:val="28"/>
          <w:u w:val="single"/>
        </w:rPr>
        <w:t xml:space="preserve">               </w:t>
      </w:r>
      <w:r>
        <w:rPr>
          <w:rFonts w:hint="eastAsia" w:ascii="宋体" w:hAnsi="宋体"/>
          <w:color w:val="auto"/>
          <w:sz w:val="28"/>
        </w:rPr>
        <w:t>（盖单位章）</w:t>
      </w:r>
    </w:p>
    <w:p>
      <w:pPr>
        <w:snapToGrid w:val="0"/>
        <w:spacing w:line="360" w:lineRule="auto"/>
        <w:ind w:firstLine="2100" w:firstLineChars="750"/>
        <w:jc w:val="left"/>
        <w:rPr>
          <w:rFonts w:ascii="宋体" w:hAnsi="宋体"/>
          <w:color w:val="auto"/>
          <w:sz w:val="28"/>
        </w:rPr>
      </w:pPr>
      <w:r>
        <w:rPr>
          <w:rFonts w:hint="eastAsia" w:ascii="宋体" w:hAnsi="宋体"/>
          <w:color w:val="auto"/>
          <w:sz w:val="28"/>
        </w:rPr>
        <w:t>法定代表人或其委托代理人：</w:t>
      </w:r>
      <w:r>
        <w:rPr>
          <w:rFonts w:hint="eastAsia" w:ascii="宋体" w:hAnsi="宋体"/>
          <w:color w:val="auto"/>
          <w:sz w:val="28"/>
          <w:u w:val="single"/>
        </w:rPr>
        <w:t xml:space="preserve">       </w:t>
      </w:r>
      <w:r>
        <w:rPr>
          <w:rFonts w:hint="eastAsia" w:ascii="宋体" w:hAnsi="宋体"/>
          <w:color w:val="auto"/>
          <w:sz w:val="28"/>
        </w:rPr>
        <w:t>（签字或盖章）</w:t>
      </w:r>
    </w:p>
    <w:p>
      <w:pPr>
        <w:snapToGrid w:val="0"/>
        <w:ind w:firstLine="2520" w:firstLineChars="900"/>
        <w:jc w:val="center"/>
        <w:rPr>
          <w:rFonts w:ascii="宋体" w:hAnsi="宋体"/>
          <w:color w:val="auto"/>
          <w:sz w:val="28"/>
        </w:rPr>
      </w:pPr>
    </w:p>
    <w:p>
      <w:pPr>
        <w:snapToGrid w:val="0"/>
        <w:spacing w:line="400" w:lineRule="exact"/>
        <w:jc w:val="center"/>
        <w:rPr>
          <w:rFonts w:ascii="宋体" w:hAnsi="宋体"/>
          <w:color w:val="auto"/>
        </w:rPr>
      </w:pPr>
      <w:r>
        <w:rPr>
          <w:rFonts w:hint="eastAsia" w:ascii="宋体" w:hAnsi="宋体"/>
          <w:color w:val="auto"/>
          <w:sz w:val="28"/>
        </w:rPr>
        <w:t>年   月   日</w:t>
      </w:r>
    </w:p>
    <w:p>
      <w:pPr>
        <w:snapToGrid w:val="0"/>
        <w:rPr>
          <w:rFonts w:ascii="宋体" w:hAnsi="宋体"/>
          <w:color w:val="auto"/>
        </w:rPr>
      </w:pPr>
    </w:p>
    <w:p>
      <w:pPr>
        <w:snapToGrid w:val="0"/>
        <w:rPr>
          <w:rFonts w:ascii="宋体" w:hAnsi="宋体"/>
          <w:color w:val="auto"/>
        </w:rPr>
      </w:pPr>
    </w:p>
    <w:p>
      <w:pPr>
        <w:snapToGrid w:val="0"/>
        <w:jc w:val="center"/>
        <w:outlineLvl w:val="1"/>
        <w:rPr>
          <w:rFonts w:ascii="宋体" w:hAnsi="宋体"/>
          <w:b/>
          <w:bCs/>
          <w:color w:val="auto"/>
          <w:kern w:val="0"/>
          <w:sz w:val="36"/>
          <w:szCs w:val="32"/>
        </w:rPr>
      </w:pPr>
      <w:r>
        <w:rPr>
          <w:rFonts w:hint="eastAsia" w:ascii="宋体" w:hAnsi="宋体" w:eastAsia="黑体"/>
          <w:color w:val="auto"/>
          <w:kern w:val="0"/>
          <w:sz w:val="36"/>
          <w:szCs w:val="32"/>
        </w:rPr>
        <w:br w:type="page"/>
      </w:r>
      <w:bookmarkStart w:id="521" w:name="_Toc18460"/>
      <w:bookmarkStart w:id="522" w:name="_Toc12957"/>
      <w:bookmarkStart w:id="523" w:name="_Toc529196598"/>
      <w:bookmarkStart w:id="524" w:name="_Toc535938750"/>
      <w:bookmarkStart w:id="525" w:name="_Toc530470640"/>
      <w:bookmarkStart w:id="526" w:name="_Toc8403"/>
      <w:r>
        <w:rPr>
          <w:rFonts w:hint="eastAsia" w:ascii="宋体" w:hAnsi="宋体"/>
          <w:b/>
          <w:bCs/>
          <w:color w:val="auto"/>
          <w:kern w:val="0"/>
          <w:sz w:val="32"/>
          <w:szCs w:val="28"/>
        </w:rPr>
        <w:t>目   录</w:t>
      </w:r>
      <w:bookmarkEnd w:id="521"/>
      <w:bookmarkEnd w:id="522"/>
      <w:bookmarkEnd w:id="523"/>
      <w:bookmarkEnd w:id="524"/>
      <w:bookmarkEnd w:id="525"/>
      <w:bookmarkEnd w:id="526"/>
    </w:p>
    <w:p>
      <w:pPr>
        <w:snapToGrid w:val="0"/>
        <w:spacing w:line="360" w:lineRule="auto"/>
        <w:ind w:firstLine="420" w:firstLineChars="200"/>
        <w:rPr>
          <w:rFonts w:ascii="宋体" w:hAnsi="宋体"/>
          <w:color w:val="auto"/>
          <w:szCs w:val="21"/>
        </w:rPr>
      </w:pPr>
    </w:p>
    <w:p>
      <w:pPr>
        <w:snapToGrid w:val="0"/>
        <w:spacing w:beforeLines="0" w:afterLines="0" w:line="360" w:lineRule="auto"/>
        <w:ind w:firstLine="480" w:firstLineChars="200"/>
        <w:jc w:val="left"/>
        <w:rPr>
          <w:rFonts w:ascii="宋体" w:hAnsi="宋体"/>
          <w:b w:val="0"/>
          <w:bCs w:val="0"/>
          <w:color w:val="auto"/>
          <w:sz w:val="24"/>
          <w:szCs w:val="24"/>
        </w:rPr>
      </w:pPr>
      <w:bookmarkStart w:id="527" w:name="_Toc352691655"/>
      <w:bookmarkStart w:id="528" w:name="_Toc7039"/>
      <w:bookmarkStart w:id="529" w:name="_Toc369531691"/>
      <w:r>
        <w:rPr>
          <w:rFonts w:hint="eastAsia" w:ascii="宋体" w:hAnsi="宋体"/>
          <w:b w:val="0"/>
          <w:bCs w:val="0"/>
          <w:color w:val="auto"/>
          <w:sz w:val="24"/>
          <w:szCs w:val="24"/>
        </w:rPr>
        <w:t>一、投标函及投标函附录</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二、法定代表人身份证明（适用于无委托代理人的情况）</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二、授权委托书（适用于有委托代理人的情况）</w:t>
      </w:r>
    </w:p>
    <w:p>
      <w:pPr>
        <w:snapToGrid w:val="0"/>
        <w:spacing w:beforeLines="0" w:afterLines="0" w:line="360" w:lineRule="auto"/>
        <w:ind w:firstLine="480" w:firstLineChars="200"/>
        <w:jc w:val="left"/>
        <w:rPr>
          <w:rFonts w:ascii="宋体" w:hAnsi="宋体"/>
          <w:b w:val="0"/>
          <w:bCs w:val="0"/>
          <w:strike/>
          <w:color w:val="auto"/>
          <w:sz w:val="24"/>
          <w:szCs w:val="24"/>
        </w:rPr>
      </w:pPr>
      <w:r>
        <w:rPr>
          <w:rFonts w:hint="eastAsia" w:ascii="宋体" w:hAnsi="宋体"/>
          <w:b w:val="0"/>
          <w:bCs w:val="0"/>
          <w:strike/>
          <w:color w:val="auto"/>
          <w:sz w:val="24"/>
          <w:szCs w:val="24"/>
        </w:rPr>
        <w:t>三、投标保证金</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四、监理报酬清单</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监理费用成本明细</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五、资格审查资料</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六、监理大纲</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七、其他资料（包括但不限制于以下内容）</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①工程监理服务承诺书；</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②工程监理合同响应承诺书；</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③工程监理人员到位承诺书</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④工程监理人员任职承诺书；</w:t>
      </w:r>
    </w:p>
    <w:p>
      <w:pPr>
        <w:snapToGrid w:val="0"/>
        <w:spacing w:beforeLines="0" w:afterLines="0" w:line="360" w:lineRule="auto"/>
        <w:ind w:firstLine="480" w:firstLineChars="200"/>
        <w:jc w:val="left"/>
        <w:rPr>
          <w:rFonts w:ascii="宋体" w:hAnsi="宋体"/>
          <w:b w:val="0"/>
          <w:bCs w:val="0"/>
          <w:color w:val="auto"/>
          <w:sz w:val="24"/>
          <w:szCs w:val="24"/>
        </w:rPr>
      </w:pPr>
      <w:r>
        <w:rPr>
          <w:rFonts w:hint="eastAsia" w:ascii="宋体" w:hAnsi="宋体"/>
          <w:b w:val="0"/>
          <w:bCs w:val="0"/>
          <w:color w:val="auto"/>
          <w:sz w:val="24"/>
          <w:szCs w:val="24"/>
        </w:rPr>
        <w:t>⑤拟投入的设备仪器到位承诺书；</w:t>
      </w:r>
    </w:p>
    <w:p>
      <w:pPr>
        <w:snapToGrid/>
        <w:spacing w:beforeLines="0" w:afterLines="0" w:line="360" w:lineRule="auto"/>
        <w:ind w:firstLine="480" w:firstLineChars="200"/>
        <w:jc w:val="left"/>
        <w:rPr>
          <w:rFonts w:hint="eastAsia" w:ascii="宋体" w:hAnsi="宋体"/>
          <w:b w:val="0"/>
          <w:bCs w:val="0"/>
          <w:color w:val="auto"/>
          <w:sz w:val="24"/>
          <w:szCs w:val="24"/>
        </w:rPr>
      </w:pPr>
      <w:r>
        <w:rPr>
          <w:rFonts w:hint="eastAsia" w:ascii="宋体" w:hAnsi="宋体"/>
          <w:b w:val="0"/>
          <w:bCs w:val="0"/>
          <w:color w:val="auto"/>
          <w:sz w:val="24"/>
          <w:szCs w:val="24"/>
        </w:rPr>
        <w:t>⑥投标人认为需要提供的资料（如有）。</w:t>
      </w:r>
    </w:p>
    <w:p>
      <w:pPr>
        <w:snapToGrid/>
        <w:spacing w:beforeLines="0" w:afterLines="0" w:line="360" w:lineRule="auto"/>
        <w:ind w:firstLine="482" w:firstLineChars="200"/>
        <w:jc w:val="left"/>
        <w:outlineLvl w:val="9"/>
        <w:rPr>
          <w:rFonts w:ascii="宋体" w:hAnsi="宋体"/>
          <w:b/>
          <w:bCs/>
          <w:color w:val="auto"/>
          <w:kern w:val="0"/>
          <w:sz w:val="28"/>
          <w:szCs w:val="28"/>
        </w:rPr>
      </w:pPr>
      <w:r>
        <w:rPr>
          <w:rFonts w:hint="eastAsia" w:ascii="宋体" w:hAnsi="宋体"/>
          <w:b/>
          <w:bCs/>
          <w:color w:val="auto"/>
          <w:sz w:val="24"/>
          <w:szCs w:val="24"/>
          <w:u w:val="single"/>
        </w:rPr>
        <w:t>八、联合体协议书（如有）</w:t>
      </w:r>
      <w:bookmarkEnd w:id="527"/>
      <w:bookmarkEnd w:id="528"/>
      <w:bookmarkEnd w:id="529"/>
      <w:bookmarkStart w:id="530" w:name="_Toc530470642"/>
      <w:bookmarkStart w:id="531" w:name="_Toc529196600"/>
      <w:bookmarkStart w:id="532" w:name="_Toc535938751"/>
      <w:r>
        <w:rPr>
          <w:rFonts w:ascii="宋体" w:hAnsi="宋体"/>
          <w:b/>
          <w:bCs/>
          <w:color w:val="auto"/>
          <w:kern w:val="0"/>
          <w:sz w:val="36"/>
          <w:szCs w:val="32"/>
        </w:rPr>
        <w:br w:type="page"/>
      </w:r>
      <w:bookmarkStart w:id="533" w:name="_Toc30150"/>
      <w:bookmarkStart w:id="534" w:name="_Toc9573"/>
      <w:bookmarkStart w:id="535" w:name="_Toc25402"/>
      <w:r>
        <w:rPr>
          <w:rFonts w:hint="eastAsia" w:ascii="宋体" w:hAnsi="宋体"/>
          <w:b/>
          <w:bCs/>
          <w:color w:val="auto"/>
          <w:kern w:val="0"/>
          <w:sz w:val="28"/>
          <w:szCs w:val="28"/>
        </w:rPr>
        <w:t>一、投标</w:t>
      </w:r>
      <w:bookmarkStart w:id="536" w:name="_Toc369531692"/>
      <w:bookmarkStart w:id="537" w:name="_Toc352691656"/>
      <w:bookmarkStart w:id="538" w:name="_Toc6931"/>
      <w:r>
        <w:rPr>
          <w:rFonts w:hint="eastAsia" w:ascii="宋体" w:hAnsi="宋体"/>
          <w:b/>
          <w:bCs/>
          <w:color w:val="auto"/>
          <w:kern w:val="0"/>
          <w:sz w:val="28"/>
          <w:szCs w:val="28"/>
        </w:rPr>
        <w:t>函及投标函附录</w:t>
      </w:r>
      <w:bookmarkEnd w:id="530"/>
      <w:bookmarkEnd w:id="531"/>
      <w:bookmarkEnd w:id="532"/>
      <w:bookmarkEnd w:id="533"/>
      <w:bookmarkEnd w:id="534"/>
      <w:bookmarkEnd w:id="535"/>
    </w:p>
    <w:bookmarkEnd w:id="536"/>
    <w:bookmarkEnd w:id="537"/>
    <w:bookmarkEnd w:id="538"/>
    <w:p>
      <w:pPr>
        <w:snapToGrid w:val="0"/>
        <w:spacing w:line="360" w:lineRule="auto"/>
        <w:ind w:left="118"/>
        <w:jc w:val="left"/>
        <w:outlineLvl w:val="2"/>
        <w:rPr>
          <w:rFonts w:ascii="宋体" w:hAnsi="宋体"/>
          <w:b w:val="0"/>
          <w:bCs w:val="0"/>
          <w:color w:val="auto"/>
          <w:kern w:val="0"/>
          <w:sz w:val="24"/>
        </w:rPr>
      </w:pPr>
      <w:bookmarkStart w:id="539" w:name="_Toc370676426"/>
      <w:bookmarkStart w:id="540" w:name="_Toc535938752"/>
      <w:bookmarkStart w:id="541" w:name="_Toc530470643"/>
      <w:bookmarkStart w:id="542" w:name="_Toc9569"/>
      <w:bookmarkStart w:id="543" w:name="_Toc529196601"/>
      <w:bookmarkStart w:id="544" w:name="_Toc359594235"/>
      <w:bookmarkStart w:id="545" w:name="_Toc2421"/>
      <w:bookmarkStart w:id="546" w:name="_Toc391394111"/>
      <w:bookmarkStart w:id="547" w:name="_Toc385943065"/>
      <w:bookmarkStart w:id="548" w:name="_Toc482188651"/>
      <w:bookmarkStart w:id="549" w:name="_Toc27637"/>
      <w:r>
        <w:rPr>
          <w:rFonts w:hint="eastAsia" w:ascii="宋体" w:hAnsi="宋体"/>
          <w:b w:val="0"/>
          <w:bCs w:val="0"/>
          <w:color w:val="auto"/>
          <w:kern w:val="0"/>
          <w:sz w:val="24"/>
        </w:rPr>
        <w:t>（一）投标函</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（招标人名称）：</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1．我方已仔细研究了</w:t>
      </w:r>
      <w:r>
        <w:rPr>
          <w:rFonts w:hint="eastAsia" w:ascii="宋体" w:hAnsi="宋体" w:cs="宋体"/>
          <w:color w:val="auto"/>
          <w:szCs w:val="21"/>
          <w:u w:val="single"/>
        </w:rPr>
        <w:t xml:space="preserve">          </w:t>
      </w:r>
      <w:r>
        <w:rPr>
          <w:rFonts w:hint="eastAsia" w:ascii="宋体" w:hAnsi="宋体" w:cs="宋体"/>
          <w:color w:val="auto"/>
          <w:szCs w:val="21"/>
        </w:rPr>
        <w:t>（项目名称）监理招标项目招标文件的全部内容，愿意以《投标函附录》中的投标报价和监理服务期限，按合同约定完成监理工作。</w:t>
      </w:r>
    </w:p>
    <w:p>
      <w:pPr>
        <w:snapToGrid w:val="0"/>
        <w:spacing w:line="360" w:lineRule="auto"/>
        <w:ind w:firstLine="420" w:firstLineChars="200"/>
        <w:rPr>
          <w:rFonts w:ascii="宋体" w:hAnsi="宋体"/>
          <w:color w:val="auto"/>
          <w:szCs w:val="21"/>
        </w:rPr>
      </w:pPr>
      <w:r>
        <w:rPr>
          <w:rFonts w:hint="eastAsia" w:ascii="宋体" w:hAnsi="宋体"/>
          <w:color w:val="auto"/>
          <w:szCs w:val="21"/>
        </w:rPr>
        <w:t>2. 我方的投标文件包括下列内容：</w:t>
      </w:r>
    </w:p>
    <w:p>
      <w:pPr>
        <w:snapToGrid w:val="0"/>
        <w:spacing w:line="360" w:lineRule="auto"/>
        <w:ind w:firstLine="405"/>
        <w:rPr>
          <w:rFonts w:ascii="宋体" w:hAnsi="宋体"/>
          <w:color w:val="auto"/>
          <w:szCs w:val="21"/>
        </w:rPr>
      </w:pPr>
      <w:r>
        <w:rPr>
          <w:rFonts w:hint="eastAsia" w:ascii="宋体" w:hAnsi="宋体"/>
          <w:color w:val="auto"/>
          <w:szCs w:val="21"/>
        </w:rPr>
        <w:t>（1）投标函及投标函附录；</w:t>
      </w:r>
    </w:p>
    <w:p>
      <w:pPr>
        <w:snapToGrid w:val="0"/>
        <w:spacing w:line="360" w:lineRule="auto"/>
        <w:ind w:firstLine="405"/>
        <w:rPr>
          <w:rFonts w:ascii="宋体" w:hAnsi="宋体"/>
          <w:color w:val="auto"/>
          <w:szCs w:val="21"/>
        </w:rPr>
      </w:pPr>
      <w:r>
        <w:rPr>
          <w:rFonts w:hint="eastAsia" w:ascii="宋体" w:hAnsi="宋体"/>
          <w:color w:val="auto"/>
          <w:szCs w:val="21"/>
        </w:rPr>
        <w:t>（2）法定代表人身份证明或授权委托书（如有）；</w:t>
      </w:r>
    </w:p>
    <w:p>
      <w:pPr>
        <w:snapToGrid w:val="0"/>
        <w:spacing w:line="360" w:lineRule="auto"/>
        <w:ind w:firstLine="405"/>
        <w:rPr>
          <w:rFonts w:ascii="宋体" w:hAnsi="宋体"/>
          <w:color w:val="auto"/>
          <w:szCs w:val="21"/>
        </w:rPr>
      </w:pPr>
      <w:r>
        <w:rPr>
          <w:rFonts w:hint="eastAsia" w:ascii="宋体" w:hAnsi="宋体"/>
          <w:strike/>
          <w:color w:val="auto"/>
          <w:szCs w:val="21"/>
        </w:rPr>
        <w:t>（</w:t>
      </w:r>
      <w:r>
        <w:rPr>
          <w:rFonts w:ascii="宋体" w:hAnsi="宋体"/>
          <w:strike/>
          <w:color w:val="auto"/>
          <w:szCs w:val="21"/>
        </w:rPr>
        <w:t>3）投标保证金</w:t>
      </w:r>
      <w:r>
        <w:rPr>
          <w:rFonts w:hint="eastAsia" w:ascii="宋体" w:hAnsi="宋体"/>
          <w:color w:val="auto"/>
          <w:szCs w:val="21"/>
        </w:rPr>
        <w:t>；</w:t>
      </w:r>
    </w:p>
    <w:p>
      <w:pPr>
        <w:snapToGrid w:val="0"/>
        <w:spacing w:line="360" w:lineRule="auto"/>
        <w:ind w:firstLine="405"/>
        <w:rPr>
          <w:rFonts w:ascii="宋体" w:hAnsi="宋体"/>
          <w:strike/>
          <w:color w:val="auto"/>
          <w:szCs w:val="21"/>
        </w:rPr>
      </w:pPr>
      <w:r>
        <w:rPr>
          <w:rFonts w:hint="eastAsia" w:ascii="宋体" w:hAnsi="宋体"/>
          <w:color w:val="auto"/>
          <w:szCs w:val="21"/>
        </w:rPr>
        <w:t>（4）监理报酬清单；</w:t>
      </w:r>
    </w:p>
    <w:p>
      <w:pPr>
        <w:snapToGrid w:val="0"/>
        <w:spacing w:line="360" w:lineRule="auto"/>
        <w:ind w:firstLine="405"/>
        <w:rPr>
          <w:rFonts w:ascii="宋体" w:hAnsi="宋体"/>
          <w:color w:val="auto"/>
          <w:szCs w:val="21"/>
        </w:rPr>
      </w:pPr>
      <w:r>
        <w:rPr>
          <w:rFonts w:hint="eastAsia" w:ascii="宋体" w:hAnsi="宋体"/>
          <w:color w:val="auto"/>
          <w:szCs w:val="21"/>
        </w:rPr>
        <w:t>（5）资格审查资料</w:t>
      </w:r>
    </w:p>
    <w:p>
      <w:pPr>
        <w:snapToGrid w:val="0"/>
        <w:spacing w:line="360" w:lineRule="auto"/>
        <w:ind w:firstLine="405"/>
        <w:rPr>
          <w:rFonts w:ascii="宋体" w:hAnsi="宋体"/>
          <w:color w:val="auto"/>
          <w:szCs w:val="21"/>
        </w:rPr>
      </w:pPr>
      <w:r>
        <w:rPr>
          <w:rFonts w:hint="eastAsia" w:ascii="宋体" w:hAnsi="宋体"/>
          <w:color w:val="auto"/>
          <w:szCs w:val="21"/>
        </w:rPr>
        <w:t>（6）监理大纲；</w:t>
      </w:r>
    </w:p>
    <w:p>
      <w:pPr>
        <w:snapToGrid w:val="0"/>
        <w:spacing w:line="360" w:lineRule="auto"/>
        <w:ind w:firstLine="420" w:firstLineChars="200"/>
        <w:rPr>
          <w:rFonts w:ascii="宋体" w:hAnsi="宋体"/>
          <w:color w:val="auto"/>
          <w:szCs w:val="21"/>
        </w:rPr>
      </w:pPr>
      <w:r>
        <w:rPr>
          <w:rFonts w:hint="eastAsia" w:ascii="宋体" w:hAnsi="宋体"/>
          <w:color w:val="auto"/>
          <w:szCs w:val="21"/>
        </w:rPr>
        <w:t>（7）其他资料。</w:t>
      </w:r>
    </w:p>
    <w:p>
      <w:pPr>
        <w:snapToGrid w:val="0"/>
        <w:spacing w:line="360" w:lineRule="auto"/>
        <w:ind w:left="848" w:leftChars="404" w:firstLine="1"/>
        <w:rPr>
          <w:rFonts w:ascii="宋体" w:hAnsi="宋体"/>
          <w:color w:val="auto"/>
          <w:szCs w:val="21"/>
        </w:rPr>
      </w:pPr>
      <w:r>
        <w:rPr>
          <w:rFonts w:hint="eastAsia" w:ascii="宋体" w:hAnsi="宋体" w:cs="宋体"/>
          <w:color w:val="auto"/>
          <w:szCs w:val="21"/>
        </w:rPr>
        <w:t>①</w:t>
      </w:r>
      <w:r>
        <w:rPr>
          <w:rFonts w:hint="eastAsia" w:ascii="宋体" w:hAnsi="宋体"/>
          <w:color w:val="auto"/>
          <w:szCs w:val="21"/>
        </w:rPr>
        <w:t>工程监理服务承诺书；</w:t>
      </w:r>
    </w:p>
    <w:p>
      <w:pPr>
        <w:snapToGrid w:val="0"/>
        <w:spacing w:line="360" w:lineRule="auto"/>
        <w:ind w:left="848" w:leftChars="404" w:firstLine="1"/>
        <w:rPr>
          <w:rFonts w:ascii="宋体" w:hAnsi="宋体"/>
          <w:color w:val="auto"/>
          <w:szCs w:val="21"/>
        </w:rPr>
      </w:pPr>
      <w:r>
        <w:rPr>
          <w:rFonts w:hint="eastAsia" w:ascii="宋体" w:hAnsi="宋体" w:cs="宋体"/>
          <w:color w:val="auto"/>
          <w:szCs w:val="21"/>
        </w:rPr>
        <w:t>②</w:t>
      </w:r>
      <w:r>
        <w:rPr>
          <w:rFonts w:hint="eastAsia" w:ascii="宋体" w:hAnsi="宋体"/>
          <w:color w:val="auto"/>
          <w:szCs w:val="21"/>
        </w:rPr>
        <w:t>工程监理合同响应承诺书；</w:t>
      </w:r>
    </w:p>
    <w:p>
      <w:pPr>
        <w:snapToGrid w:val="0"/>
        <w:spacing w:line="360" w:lineRule="auto"/>
        <w:ind w:left="848" w:leftChars="404" w:firstLine="1"/>
        <w:rPr>
          <w:rFonts w:ascii="宋体" w:hAnsi="宋体"/>
          <w:color w:val="auto"/>
          <w:szCs w:val="21"/>
        </w:rPr>
      </w:pPr>
      <w:r>
        <w:rPr>
          <w:rFonts w:hint="eastAsia" w:ascii="宋体" w:hAnsi="宋体" w:cs="宋体"/>
          <w:color w:val="auto"/>
          <w:szCs w:val="21"/>
        </w:rPr>
        <w:t>③</w:t>
      </w:r>
      <w:r>
        <w:rPr>
          <w:rFonts w:hint="eastAsia" w:ascii="宋体" w:hAnsi="宋体"/>
          <w:color w:val="auto"/>
          <w:szCs w:val="21"/>
        </w:rPr>
        <w:t>工程监理人员到位承诺书</w:t>
      </w:r>
    </w:p>
    <w:p>
      <w:pPr>
        <w:snapToGrid w:val="0"/>
        <w:spacing w:line="360" w:lineRule="auto"/>
        <w:ind w:left="848" w:leftChars="404" w:firstLine="1"/>
        <w:rPr>
          <w:rFonts w:ascii="宋体" w:hAnsi="宋体"/>
          <w:color w:val="auto"/>
          <w:szCs w:val="21"/>
        </w:rPr>
      </w:pPr>
      <w:r>
        <w:rPr>
          <w:rFonts w:hint="eastAsia" w:ascii="宋体" w:hAnsi="宋体" w:cs="宋体"/>
          <w:color w:val="auto"/>
          <w:szCs w:val="21"/>
        </w:rPr>
        <w:t>④</w:t>
      </w:r>
      <w:r>
        <w:rPr>
          <w:rFonts w:hint="eastAsia" w:ascii="宋体" w:hAnsi="宋体"/>
          <w:color w:val="auto"/>
          <w:szCs w:val="21"/>
        </w:rPr>
        <w:t>工程监理人员任职承诺书；</w:t>
      </w:r>
    </w:p>
    <w:p>
      <w:pPr>
        <w:snapToGrid w:val="0"/>
        <w:spacing w:line="360" w:lineRule="auto"/>
        <w:ind w:left="848" w:leftChars="404" w:firstLine="1"/>
        <w:rPr>
          <w:rFonts w:ascii="宋体" w:hAnsi="宋体"/>
          <w:color w:val="auto"/>
          <w:szCs w:val="21"/>
        </w:rPr>
      </w:pPr>
      <w:r>
        <w:rPr>
          <w:rFonts w:hint="eastAsia" w:ascii="宋体" w:hAnsi="宋体" w:cs="宋体"/>
          <w:color w:val="auto"/>
          <w:szCs w:val="21"/>
        </w:rPr>
        <w:t>⑤</w:t>
      </w:r>
      <w:r>
        <w:rPr>
          <w:rFonts w:hint="eastAsia" w:ascii="宋体" w:hAnsi="宋体"/>
          <w:color w:val="auto"/>
          <w:szCs w:val="21"/>
        </w:rPr>
        <w:t>拟投入的设备仪器到位承诺书；</w:t>
      </w:r>
    </w:p>
    <w:p>
      <w:pPr>
        <w:snapToGrid w:val="0"/>
        <w:spacing w:line="360" w:lineRule="auto"/>
        <w:ind w:left="848" w:leftChars="404" w:firstLine="1"/>
        <w:rPr>
          <w:rFonts w:ascii="宋体" w:hAnsi="宋体"/>
          <w:color w:val="auto"/>
          <w:szCs w:val="21"/>
        </w:rPr>
      </w:pPr>
      <w:r>
        <w:rPr>
          <w:rFonts w:hint="eastAsia" w:ascii="宋体" w:hAnsi="宋体" w:cs="宋体"/>
          <w:color w:val="auto"/>
          <w:szCs w:val="21"/>
        </w:rPr>
        <w:t>⑥</w:t>
      </w:r>
      <w:r>
        <w:rPr>
          <w:rFonts w:hint="eastAsia" w:ascii="宋体" w:hAnsi="宋体"/>
          <w:color w:val="auto"/>
          <w:szCs w:val="21"/>
        </w:rPr>
        <w:t>投标人认为需要提供的资料（如有）。</w:t>
      </w:r>
    </w:p>
    <w:p>
      <w:pPr>
        <w:snapToGrid w:val="0"/>
        <w:spacing w:line="360" w:lineRule="auto"/>
        <w:ind w:firstLine="422" w:firstLineChars="200"/>
        <w:rPr>
          <w:rFonts w:hint="eastAsia" w:ascii="宋体" w:hAnsi="宋体" w:eastAsia="宋体"/>
          <w:b/>
          <w:bCs/>
          <w:color w:val="auto"/>
          <w:szCs w:val="21"/>
          <w:u w:val="single"/>
          <w:lang w:eastAsia="zh-CN"/>
        </w:rPr>
      </w:pPr>
      <w:r>
        <w:rPr>
          <w:rFonts w:hint="eastAsia" w:ascii="宋体" w:hAnsi="宋体"/>
          <w:b/>
          <w:bCs/>
          <w:color w:val="auto"/>
          <w:szCs w:val="21"/>
          <w:u w:val="single"/>
          <w:lang w:eastAsia="zh-CN"/>
        </w:rPr>
        <w:t>（</w:t>
      </w:r>
      <w:r>
        <w:rPr>
          <w:rFonts w:hint="eastAsia" w:ascii="宋体" w:hAnsi="宋体"/>
          <w:b/>
          <w:bCs/>
          <w:color w:val="auto"/>
          <w:szCs w:val="21"/>
          <w:u w:val="single"/>
          <w:lang w:val="en-US" w:eastAsia="zh-CN"/>
        </w:rPr>
        <w:t>8</w:t>
      </w:r>
      <w:r>
        <w:rPr>
          <w:rFonts w:hint="eastAsia" w:ascii="宋体" w:hAnsi="宋体"/>
          <w:b/>
          <w:bCs/>
          <w:color w:val="auto"/>
          <w:szCs w:val="21"/>
          <w:u w:val="single"/>
          <w:lang w:eastAsia="zh-CN"/>
        </w:rPr>
        <w:t>）联合体协议书（如有）。</w:t>
      </w:r>
    </w:p>
    <w:p>
      <w:pPr>
        <w:snapToGrid w:val="0"/>
        <w:spacing w:line="360" w:lineRule="auto"/>
        <w:ind w:firstLine="420" w:firstLineChars="200"/>
        <w:rPr>
          <w:rFonts w:ascii="宋体" w:hAnsi="宋体"/>
          <w:color w:val="auto"/>
          <w:szCs w:val="21"/>
        </w:rPr>
      </w:pPr>
      <w:r>
        <w:rPr>
          <w:rFonts w:hint="eastAsia" w:ascii="宋体" w:hAnsi="宋体"/>
          <w:color w:val="auto"/>
          <w:szCs w:val="21"/>
        </w:rPr>
        <w:t>投标文件的上述组成部分如存在内容不一致的，以投标函为准。</w:t>
      </w:r>
    </w:p>
    <w:p>
      <w:pPr>
        <w:snapToGrid w:val="0"/>
        <w:spacing w:line="360" w:lineRule="auto"/>
        <w:ind w:firstLine="420" w:firstLineChars="200"/>
        <w:rPr>
          <w:rFonts w:ascii="宋体" w:hAnsi="宋体"/>
          <w:color w:val="auto"/>
          <w:szCs w:val="21"/>
        </w:rPr>
      </w:pPr>
      <w:r>
        <w:rPr>
          <w:rFonts w:hint="eastAsia" w:ascii="宋体" w:hAnsi="宋体"/>
          <w:color w:val="auto"/>
          <w:szCs w:val="21"/>
        </w:rPr>
        <w:t>3．我方承诺在招标文件规定的投标有效期</w:t>
      </w:r>
      <w:r>
        <w:rPr>
          <w:rFonts w:hint="eastAsia" w:ascii="宋体" w:hAnsi="宋体"/>
          <w:color w:val="auto"/>
          <w:szCs w:val="21"/>
          <w:u w:val="single"/>
          <w:lang w:val="en-US" w:eastAsia="zh-CN"/>
        </w:rPr>
        <w:t>90</w:t>
      </w:r>
      <w:r>
        <w:rPr>
          <w:rFonts w:hint="eastAsia" w:ascii="宋体" w:hAnsi="宋体"/>
          <w:color w:val="auto"/>
          <w:szCs w:val="21"/>
        </w:rPr>
        <w:t>日历天内不撤销投标文件。</w:t>
      </w:r>
    </w:p>
    <w:p>
      <w:pPr>
        <w:snapToGrid w:val="0"/>
        <w:spacing w:line="360" w:lineRule="auto"/>
        <w:ind w:firstLine="420" w:firstLineChars="200"/>
        <w:rPr>
          <w:rFonts w:ascii="宋体" w:hAnsi="宋体"/>
          <w:color w:val="auto"/>
          <w:szCs w:val="21"/>
        </w:rPr>
      </w:pPr>
      <w:r>
        <w:rPr>
          <w:rFonts w:hint="eastAsia" w:ascii="宋体" w:hAnsi="宋体"/>
          <w:color w:val="auto"/>
          <w:szCs w:val="21"/>
        </w:rPr>
        <w:t>4．如我方中标，我方承诺：</w:t>
      </w:r>
    </w:p>
    <w:p>
      <w:pPr>
        <w:snapToGrid w:val="0"/>
        <w:spacing w:line="360" w:lineRule="auto"/>
        <w:ind w:firstLine="619" w:firstLineChars="295"/>
        <w:rPr>
          <w:rFonts w:ascii="宋体" w:hAnsi="宋体"/>
          <w:color w:val="auto"/>
          <w:szCs w:val="21"/>
        </w:rPr>
      </w:pPr>
      <w:r>
        <w:rPr>
          <w:rFonts w:hint="eastAsia" w:ascii="宋体" w:hAnsi="宋体"/>
          <w:color w:val="auto"/>
          <w:szCs w:val="21"/>
        </w:rPr>
        <w:t>（1）在收到中标通知书后，在中标通知书规定的期限内与你方签订合同；</w:t>
      </w:r>
    </w:p>
    <w:p>
      <w:pPr>
        <w:snapToGrid w:val="0"/>
        <w:spacing w:line="360" w:lineRule="auto"/>
        <w:ind w:firstLine="619" w:firstLineChars="295"/>
        <w:rPr>
          <w:rFonts w:ascii="宋体" w:hAnsi="宋体"/>
          <w:color w:val="auto"/>
          <w:szCs w:val="21"/>
        </w:rPr>
      </w:pPr>
      <w:r>
        <w:rPr>
          <w:rFonts w:hint="eastAsia" w:ascii="宋体" w:hAnsi="宋体"/>
          <w:color w:val="auto"/>
          <w:szCs w:val="21"/>
        </w:rPr>
        <w:t>（2）在签订合同时不向你方提出附加条件；</w:t>
      </w:r>
    </w:p>
    <w:p>
      <w:pPr>
        <w:snapToGrid w:val="0"/>
        <w:spacing w:line="360" w:lineRule="auto"/>
        <w:ind w:firstLine="619" w:firstLineChars="295"/>
        <w:rPr>
          <w:rFonts w:ascii="宋体" w:hAnsi="宋体"/>
          <w:color w:val="auto"/>
          <w:szCs w:val="21"/>
        </w:rPr>
      </w:pPr>
      <w:r>
        <w:rPr>
          <w:rFonts w:hint="eastAsia" w:ascii="宋体" w:hAnsi="宋体"/>
          <w:color w:val="auto"/>
          <w:szCs w:val="21"/>
        </w:rPr>
        <w:t>（3）按照招标文件要求提交履约保证金；</w:t>
      </w:r>
    </w:p>
    <w:p>
      <w:pPr>
        <w:snapToGrid w:val="0"/>
        <w:spacing w:line="360" w:lineRule="auto"/>
        <w:ind w:firstLine="619" w:firstLineChars="295"/>
        <w:rPr>
          <w:rFonts w:ascii="宋体" w:hAnsi="宋体"/>
          <w:color w:val="auto"/>
          <w:szCs w:val="21"/>
        </w:rPr>
      </w:pPr>
      <w:r>
        <w:rPr>
          <w:rFonts w:hint="eastAsia" w:ascii="宋体" w:hAnsi="宋体"/>
          <w:color w:val="auto"/>
          <w:szCs w:val="21"/>
        </w:rPr>
        <w:t>（4）在合同约定的期限内完成合同规定的全部义务。</w:t>
      </w:r>
    </w:p>
    <w:p>
      <w:pPr>
        <w:snapToGrid w:val="0"/>
        <w:spacing w:line="360" w:lineRule="auto"/>
        <w:ind w:firstLine="619" w:firstLineChars="295"/>
        <w:rPr>
          <w:rFonts w:ascii="宋体" w:hAnsi="宋体"/>
          <w:color w:val="auto"/>
          <w:szCs w:val="21"/>
        </w:rPr>
      </w:pPr>
      <w:r>
        <w:rPr>
          <w:rFonts w:hint="eastAsia" w:ascii="宋体" w:hAnsi="宋体"/>
          <w:color w:val="auto"/>
          <w:szCs w:val="21"/>
        </w:rPr>
        <w:t>（5）除伤亡、吊销监理工程师执业资格等合法原因不能再从事监理工作情形外，如我方更换项目总监，接受贵单位1年内拒绝我方参与贵单位后续工程投标的处理。</w:t>
      </w:r>
    </w:p>
    <w:p>
      <w:pPr>
        <w:snapToGrid w:val="0"/>
        <w:spacing w:line="360" w:lineRule="auto"/>
        <w:ind w:firstLine="420" w:firstLineChars="200"/>
        <w:rPr>
          <w:rFonts w:ascii="宋体" w:hAnsi="宋体"/>
          <w:color w:val="auto"/>
          <w:szCs w:val="21"/>
        </w:rPr>
      </w:pPr>
      <w:r>
        <w:rPr>
          <w:rFonts w:hint="eastAsia" w:ascii="宋体" w:hAnsi="宋体"/>
          <w:color w:val="auto"/>
          <w:szCs w:val="21"/>
        </w:rPr>
        <w:t>5．我方在此声明，所递交的投标文件及有关资料内容完整、真实和准确，且不存在第二章“投标人须知”第1.4.3项规定的任何一种情形。</w:t>
      </w:r>
    </w:p>
    <w:p>
      <w:pPr>
        <w:snapToGrid w:val="0"/>
        <w:spacing w:line="360" w:lineRule="auto"/>
        <w:ind w:firstLine="420" w:firstLineChars="200"/>
        <w:rPr>
          <w:rFonts w:ascii="宋体" w:hAnsi="宋体"/>
          <w:color w:val="auto"/>
          <w:szCs w:val="21"/>
        </w:rPr>
      </w:pPr>
      <w:r>
        <w:rPr>
          <w:rFonts w:hint="eastAsia" w:ascii="宋体" w:hAnsi="宋体"/>
          <w:color w:val="auto"/>
          <w:szCs w:val="21"/>
        </w:rPr>
        <w:t>6. 如我方中标，我方承诺，满足“委托人要求”中的所有内容。</w:t>
      </w:r>
    </w:p>
    <w:p>
      <w:pPr>
        <w:snapToGrid w:val="0"/>
        <w:spacing w:line="360" w:lineRule="auto"/>
        <w:ind w:firstLine="420" w:firstLineChars="200"/>
        <w:rPr>
          <w:rFonts w:ascii="宋体" w:hAnsi="宋体"/>
          <w:color w:val="auto"/>
          <w:szCs w:val="21"/>
        </w:rPr>
      </w:pPr>
      <w:r>
        <w:rPr>
          <w:rFonts w:hint="eastAsia" w:ascii="宋体" w:hAnsi="宋体"/>
          <w:color w:val="auto"/>
          <w:szCs w:val="21"/>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w:t>
      </w:r>
      <w:r>
        <w:rPr>
          <w:rFonts w:hint="eastAsia" w:ascii="宋体" w:hAnsi="宋体"/>
          <w:strike/>
          <w:color w:val="auto"/>
          <w:szCs w:val="21"/>
        </w:rPr>
        <w:t>没收投标保证金、</w:t>
      </w:r>
      <w:r>
        <w:rPr>
          <w:rFonts w:hint="eastAsia" w:ascii="宋体" w:hAnsi="宋体"/>
          <w:color w:val="auto"/>
          <w:szCs w:val="21"/>
        </w:rPr>
        <w:t xml:space="preserve">接受行政监督部门的行政处罚等。 </w:t>
      </w:r>
    </w:p>
    <w:p>
      <w:pPr>
        <w:snapToGrid w:val="0"/>
        <w:spacing w:line="360" w:lineRule="auto"/>
        <w:ind w:firstLine="2520" w:firstLineChars="1200"/>
        <w:jc w:val="left"/>
        <w:rPr>
          <w:rFonts w:ascii="宋体" w:hAnsi="宋体" w:cs="宋体"/>
          <w:color w:val="auto"/>
          <w:szCs w:val="21"/>
        </w:rPr>
      </w:pPr>
    </w:p>
    <w:p>
      <w:pPr>
        <w:snapToGrid w:val="0"/>
        <w:spacing w:line="360" w:lineRule="auto"/>
        <w:ind w:firstLine="2520" w:firstLineChars="1200"/>
        <w:jc w:val="left"/>
        <w:rPr>
          <w:rFonts w:ascii="宋体" w:hAnsi="宋体" w:cs="宋体"/>
          <w:color w:val="auto"/>
          <w:szCs w:val="21"/>
        </w:rPr>
      </w:pPr>
    </w:p>
    <w:p>
      <w:pPr>
        <w:snapToGrid w:val="0"/>
        <w:spacing w:line="360" w:lineRule="auto"/>
        <w:ind w:firstLine="0" w:firstLineChars="0"/>
        <w:jc w:val="right"/>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napToGrid w:val="0"/>
        <w:spacing w:line="360" w:lineRule="auto"/>
        <w:ind w:firstLine="0" w:firstLineChars="0"/>
        <w:jc w:val="right"/>
        <w:rPr>
          <w:rFonts w:ascii="宋体" w:hAnsi="宋体" w:cs="宋体"/>
          <w:color w:val="auto"/>
          <w:szCs w:val="21"/>
          <w:u w:val="single"/>
        </w:rPr>
      </w:pPr>
      <w:r>
        <w:rPr>
          <w:rFonts w:hint="eastAsia" w:ascii="宋体" w:hAnsi="宋体" w:cs="宋体"/>
          <w:color w:val="auto"/>
          <w:szCs w:val="21"/>
        </w:rPr>
        <w:t>法定代表人(或被授权人)：</w:t>
      </w:r>
      <w:r>
        <w:rPr>
          <w:rFonts w:hint="eastAsia" w:ascii="宋体" w:hAnsi="宋体" w:cs="宋体"/>
          <w:color w:val="auto"/>
          <w:szCs w:val="21"/>
          <w:u w:val="single"/>
        </w:rPr>
        <w:t xml:space="preserve">       </w:t>
      </w:r>
      <w:r>
        <w:rPr>
          <w:rFonts w:hint="eastAsia" w:ascii="宋体" w:hAnsi="宋体" w:cs="宋体"/>
          <w:color w:val="auto"/>
          <w:szCs w:val="21"/>
        </w:rPr>
        <w:t>（签名或盖章）</w:t>
      </w:r>
    </w:p>
    <w:p>
      <w:pPr>
        <w:snapToGrid w:val="0"/>
        <w:spacing w:line="360" w:lineRule="auto"/>
        <w:ind w:firstLine="4418" w:firstLineChars="2104"/>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napToGrid w:val="0"/>
        <w:spacing w:line="360" w:lineRule="auto"/>
        <w:ind w:firstLine="4418" w:firstLineChars="2104"/>
        <w:rPr>
          <w:rFonts w:ascii="宋体" w:hAnsi="宋体" w:cs="宋体"/>
          <w:color w:val="auto"/>
          <w:szCs w:val="21"/>
        </w:rPr>
      </w:pPr>
      <w:r>
        <w:rPr>
          <w:rFonts w:hint="eastAsia" w:ascii="宋体" w:hAnsi="宋体" w:cs="宋体"/>
          <w:color w:val="auto"/>
          <w:szCs w:val="21"/>
        </w:rPr>
        <w:t>网址：</w:t>
      </w:r>
      <w:r>
        <w:rPr>
          <w:rFonts w:hint="eastAsia" w:ascii="宋体" w:hAnsi="宋体" w:cs="宋体"/>
          <w:color w:val="auto"/>
          <w:szCs w:val="21"/>
          <w:u w:val="single"/>
        </w:rPr>
        <w:t xml:space="preserve">                                       </w:t>
      </w:r>
    </w:p>
    <w:p>
      <w:pPr>
        <w:snapToGrid w:val="0"/>
        <w:spacing w:line="360" w:lineRule="auto"/>
        <w:ind w:right="85" w:firstLine="4418" w:firstLineChars="2104"/>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u w:val="single"/>
        </w:rPr>
        <w:t xml:space="preserve">                                       </w:t>
      </w:r>
    </w:p>
    <w:p>
      <w:pPr>
        <w:snapToGrid w:val="0"/>
        <w:spacing w:line="360" w:lineRule="auto"/>
        <w:ind w:firstLine="4418" w:firstLineChars="2104"/>
        <w:rPr>
          <w:rFonts w:ascii="宋体" w:hAnsi="宋体" w:cs="宋体"/>
          <w:color w:val="auto"/>
          <w:szCs w:val="21"/>
        </w:rPr>
      </w:pPr>
      <w:r>
        <w:rPr>
          <w:rFonts w:hint="eastAsia" w:ascii="宋体" w:hAnsi="宋体" w:cs="宋体"/>
          <w:color w:val="auto"/>
          <w:szCs w:val="21"/>
        </w:rPr>
        <w:t>传真：</w:t>
      </w:r>
      <w:r>
        <w:rPr>
          <w:rFonts w:hint="eastAsia" w:ascii="宋体" w:hAnsi="宋体" w:cs="宋体"/>
          <w:color w:val="auto"/>
          <w:szCs w:val="21"/>
          <w:u w:val="single"/>
        </w:rPr>
        <w:t xml:space="preserve">                                       </w:t>
      </w:r>
    </w:p>
    <w:p>
      <w:pPr>
        <w:snapToGrid w:val="0"/>
        <w:spacing w:line="360" w:lineRule="auto"/>
        <w:ind w:firstLine="4418" w:firstLineChars="2104"/>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p>
    <w:p>
      <w:pPr>
        <w:snapToGrid w:val="0"/>
        <w:spacing w:line="360" w:lineRule="auto"/>
        <w:ind w:firstLine="5775" w:firstLineChars="275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olor w:val="auto"/>
          <w:highlight w:val="none"/>
        </w:rPr>
      </w:pPr>
    </w:p>
    <w:p>
      <w:pPr>
        <w:rPr>
          <w:rFonts w:hint="eastAsia" w:ascii="宋体" w:hAnsi="宋体"/>
          <w:b/>
          <w:bCs/>
          <w:color w:val="auto"/>
          <w:highlight w:val="none"/>
          <w:u w:val="single"/>
        </w:rPr>
      </w:pPr>
      <w:r>
        <w:rPr>
          <w:rFonts w:hint="eastAsia" w:ascii="宋体" w:hAnsi="宋体"/>
          <w:b/>
          <w:bCs/>
          <w:color w:val="auto"/>
          <w:highlight w:val="none"/>
          <w:u w:val="single"/>
        </w:rPr>
        <w:t>注：联合体投标的，“投标人名称”一栏需填写联合体各方的单位全称【格式为：（主）XXXX公司（成）XXXX公司】，由联合体主办方按要求签字或盖章即可。</w:t>
      </w:r>
    </w:p>
    <w:p>
      <w:pPr>
        <w:snapToGrid w:val="0"/>
        <w:spacing w:line="360" w:lineRule="auto"/>
        <w:ind w:left="0"/>
        <w:jc w:val="both"/>
        <w:outlineLvl w:val="2"/>
        <w:rPr>
          <w:rFonts w:ascii="宋体" w:hAnsi="宋体"/>
          <w:b w:val="0"/>
          <w:bCs w:val="0"/>
          <w:color w:val="auto"/>
          <w:kern w:val="0"/>
          <w:sz w:val="32"/>
          <w:szCs w:val="32"/>
        </w:rPr>
      </w:pPr>
      <w:r>
        <w:rPr>
          <w:rFonts w:hint="eastAsia" w:ascii="宋体" w:hAnsi="宋体" w:eastAsia="黑体"/>
          <w:color w:val="auto"/>
          <w:kern w:val="0"/>
          <w:sz w:val="32"/>
          <w:szCs w:val="32"/>
        </w:rPr>
        <w:br w:type="page"/>
      </w:r>
      <w:r>
        <w:rPr>
          <w:rFonts w:hint="eastAsia" w:ascii="宋体" w:hAnsi="宋体" w:eastAsia="宋体" w:cs="Times New Roman"/>
          <w:b w:val="0"/>
          <w:bCs w:val="0"/>
          <w:color w:val="auto"/>
          <w:kern w:val="0"/>
          <w:sz w:val="24"/>
          <w:szCs w:val="24"/>
        </w:rPr>
        <w:t>（二）投标函附录</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604"/>
        <w:gridCol w:w="2991"/>
        <w:gridCol w:w="3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jc w:val="center"/>
              <w:rPr>
                <w:rFonts w:ascii="宋体" w:hAnsi="宋体" w:cs="宋体"/>
                <w:b w:val="0"/>
                <w:bCs w:val="0"/>
                <w:color w:val="auto"/>
                <w:szCs w:val="21"/>
              </w:rPr>
            </w:pPr>
            <w:r>
              <w:rPr>
                <w:rFonts w:hint="eastAsia" w:ascii="宋体" w:hAnsi="宋体" w:cs="宋体"/>
                <w:b w:val="0"/>
                <w:bCs w:val="0"/>
                <w:color w:val="auto"/>
                <w:szCs w:val="21"/>
              </w:rPr>
              <w:t>序号</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jc w:val="center"/>
              <w:rPr>
                <w:rFonts w:ascii="宋体" w:hAnsi="宋体" w:cs="宋体"/>
                <w:b w:val="0"/>
                <w:bCs w:val="0"/>
                <w:color w:val="auto"/>
                <w:szCs w:val="21"/>
              </w:rPr>
            </w:pPr>
            <w:r>
              <w:rPr>
                <w:rFonts w:hint="eastAsia" w:ascii="宋体" w:hAnsi="宋体" w:cs="宋体"/>
                <w:b w:val="0"/>
                <w:bCs w:val="0"/>
                <w:color w:val="auto"/>
                <w:szCs w:val="21"/>
              </w:rPr>
              <w:t>条款名称</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jc w:val="center"/>
              <w:rPr>
                <w:rFonts w:ascii="宋体" w:hAnsi="宋体" w:cs="宋体"/>
                <w:b w:val="0"/>
                <w:bCs w:val="0"/>
                <w:color w:val="auto"/>
                <w:szCs w:val="21"/>
              </w:rPr>
            </w:pPr>
            <w:r>
              <w:rPr>
                <w:rFonts w:hint="eastAsia" w:ascii="宋体" w:hAnsi="宋体" w:cs="宋体"/>
                <w:b w:val="0"/>
                <w:bCs w:val="0"/>
                <w:color w:val="auto"/>
                <w:szCs w:val="21"/>
              </w:rPr>
              <w:t>约定内容</w:t>
            </w:r>
          </w:p>
        </w:tc>
        <w:tc>
          <w:tcPr>
            <w:tcW w:w="19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jc w:val="center"/>
              <w:rPr>
                <w:rFonts w:ascii="宋体" w:hAnsi="宋体" w:cs="宋体"/>
                <w:b w:val="0"/>
                <w:bCs w:val="0"/>
                <w:color w:val="auto"/>
                <w:szCs w:val="21"/>
              </w:rPr>
            </w:pPr>
            <w:r>
              <w:rPr>
                <w:rFonts w:hint="eastAsia" w:ascii="宋体" w:hAnsi="宋体" w:cs="宋体"/>
                <w:b w:val="0"/>
                <w:bCs w:val="0"/>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0" w:beforeLines="0" w:beforeAutospacing="0" w:after="0" w:afterLines="0" w:afterAutospacing="0" w:line="240" w:lineRule="auto"/>
              <w:contextualSpacing/>
              <w:jc w:val="center"/>
              <w:rPr>
                <w:rFonts w:hint="eastAsia" w:ascii="宋体" w:hAnsi="宋体" w:eastAsia="宋体" w:cs="宋体"/>
                <w:b/>
                <w:bCs/>
                <w:color w:val="auto"/>
                <w:szCs w:val="21"/>
                <w:u w:val="single"/>
                <w:lang w:val="en-US" w:eastAsia="zh-CN"/>
              </w:rPr>
            </w:pPr>
            <w:r>
              <w:rPr>
                <w:rFonts w:hint="eastAsia" w:ascii="宋体" w:hAnsi="宋体" w:cs="宋体"/>
                <w:b/>
                <w:bCs/>
                <w:color w:val="auto"/>
                <w:szCs w:val="21"/>
                <w:u w:val="single"/>
                <w:lang w:val="en-US" w:eastAsia="zh-CN"/>
              </w:rPr>
              <w:t>1</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0" w:beforeLines="0" w:beforeAutospacing="0" w:after="0" w:afterLines="0" w:afterAutospacing="0" w:line="240" w:lineRule="auto"/>
              <w:contextualSpacing/>
              <w:jc w:val="center"/>
              <w:rPr>
                <w:rFonts w:hint="eastAsia" w:ascii="宋体" w:hAnsi="宋体" w:cs="宋体"/>
                <w:b/>
                <w:bCs/>
                <w:color w:val="auto"/>
                <w:szCs w:val="21"/>
                <w:u w:val="single"/>
                <w:lang w:val="en-US" w:eastAsia="zh-CN"/>
              </w:rPr>
            </w:pPr>
            <w:r>
              <w:rPr>
                <w:rFonts w:hint="eastAsia" w:ascii="宋体" w:hAnsi="宋体" w:cs="宋体"/>
                <w:b/>
                <w:bCs/>
                <w:color w:val="auto"/>
                <w:szCs w:val="21"/>
                <w:u w:val="single"/>
                <w:lang w:val="en-US" w:eastAsia="zh-CN"/>
              </w:rPr>
              <w:t>项目负责人</w:t>
            </w:r>
          </w:p>
          <w:p>
            <w:pPr>
              <w:snapToGrid w:val="0"/>
              <w:spacing w:before="0" w:beforeLines="0" w:beforeAutospacing="0" w:after="0" w:afterLines="0" w:afterAutospacing="0" w:line="240" w:lineRule="auto"/>
              <w:contextualSpacing/>
              <w:jc w:val="center"/>
              <w:rPr>
                <w:rFonts w:hint="eastAsia" w:ascii="宋体" w:hAnsi="宋体" w:eastAsia="宋体" w:cs="宋体"/>
                <w:b/>
                <w:bCs/>
                <w:color w:val="auto"/>
                <w:szCs w:val="21"/>
                <w:u w:val="single"/>
                <w:lang w:val="en-US" w:eastAsia="zh-CN"/>
              </w:rPr>
            </w:pPr>
            <w:r>
              <w:rPr>
                <w:rFonts w:hint="eastAsia" w:ascii="宋体" w:hAnsi="宋体" w:cs="宋体"/>
                <w:b/>
                <w:bCs/>
                <w:color w:val="auto"/>
                <w:szCs w:val="21"/>
                <w:u w:val="single"/>
                <w:lang w:val="en-US" w:eastAsia="zh-CN"/>
              </w:rPr>
              <w:t>（兼任项目建设管理负责人）</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rPr>
                <w:rFonts w:ascii="宋体" w:hAnsi="宋体" w:cs="宋体"/>
                <w:b/>
                <w:bCs/>
                <w:color w:val="auto"/>
                <w:szCs w:val="21"/>
                <w:u w:val="single"/>
              </w:rPr>
            </w:pPr>
            <w:r>
              <w:rPr>
                <w:rFonts w:hint="eastAsia" w:ascii="宋体" w:hAnsi="宋体" w:cs="宋体"/>
                <w:b/>
                <w:bCs/>
                <w:color w:val="auto"/>
                <w:szCs w:val="21"/>
                <w:u w:val="single"/>
              </w:rPr>
              <w:t>姓名：</w:t>
            </w:r>
          </w:p>
          <w:p>
            <w:pPr>
              <w:snapToGrid w:val="0"/>
              <w:spacing w:beforeLines="0" w:afterLines="0" w:line="240" w:lineRule="auto"/>
              <w:contextualSpacing/>
              <w:rPr>
                <w:rFonts w:ascii="宋体" w:hAnsi="宋体" w:cs="宋体"/>
                <w:b/>
                <w:bCs/>
                <w:color w:val="auto"/>
                <w:szCs w:val="21"/>
                <w:u w:val="single"/>
              </w:rPr>
            </w:pPr>
            <w:r>
              <w:rPr>
                <w:rFonts w:hint="eastAsia" w:ascii="宋体" w:hAnsi="宋体" w:cs="宋体"/>
                <w:b/>
                <w:bCs/>
                <w:color w:val="auto"/>
                <w:szCs w:val="21"/>
                <w:u w:val="single"/>
              </w:rPr>
              <w:t>技术职称：</w:t>
            </w:r>
          </w:p>
          <w:p>
            <w:pPr>
              <w:topLinePunct/>
              <w:snapToGrid w:val="0"/>
              <w:spacing w:beforeLines="0" w:afterLines="0" w:line="240" w:lineRule="auto"/>
              <w:contextualSpacing/>
              <w:rPr>
                <w:rFonts w:hint="eastAsia" w:ascii="宋体" w:hAnsi="宋体" w:cs="宋体"/>
                <w:b/>
                <w:bCs/>
                <w:color w:val="auto"/>
                <w:kern w:val="0"/>
                <w:szCs w:val="21"/>
                <w:u w:val="single"/>
              </w:rPr>
            </w:pPr>
            <w:r>
              <w:rPr>
                <w:rFonts w:hint="eastAsia" w:ascii="宋体" w:hAnsi="宋体" w:cs="宋体"/>
                <w:b/>
                <w:bCs/>
                <w:color w:val="auto"/>
                <w:kern w:val="0"/>
                <w:szCs w:val="21"/>
                <w:u w:val="single"/>
              </w:rPr>
              <w:t>注册证号：</w:t>
            </w:r>
          </w:p>
        </w:tc>
        <w:tc>
          <w:tcPr>
            <w:tcW w:w="19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ind w:firstLine="0" w:firstLineChars="0"/>
              <w:contextualSpacing/>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0" w:beforeLines="0" w:beforeAutospacing="0" w:after="0" w:afterLines="0" w:afterAutospacing="0" w:line="240" w:lineRule="auto"/>
              <w:contextualSpacing/>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val="en-US" w:eastAsia="zh-CN"/>
              </w:rPr>
              <w:t>2</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0" w:beforeLines="0" w:beforeAutospacing="0" w:after="0" w:afterLines="0" w:afterAutospacing="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总监理工程师</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rPr>
                <w:rFonts w:ascii="宋体" w:hAnsi="宋体" w:cs="宋体"/>
                <w:b w:val="0"/>
                <w:bCs w:val="0"/>
                <w:color w:val="auto"/>
                <w:szCs w:val="21"/>
              </w:rPr>
            </w:pPr>
            <w:r>
              <w:rPr>
                <w:rFonts w:hint="eastAsia" w:ascii="宋体" w:hAnsi="宋体" w:cs="宋体"/>
                <w:b w:val="0"/>
                <w:bCs w:val="0"/>
                <w:color w:val="auto"/>
                <w:szCs w:val="21"/>
              </w:rPr>
              <w:t>姓名：</w:t>
            </w:r>
          </w:p>
          <w:p>
            <w:pPr>
              <w:snapToGrid w:val="0"/>
              <w:spacing w:beforeLines="0" w:afterLines="0" w:line="240" w:lineRule="auto"/>
              <w:contextualSpacing/>
              <w:rPr>
                <w:rFonts w:ascii="宋体" w:hAnsi="宋体" w:cs="宋体"/>
                <w:b w:val="0"/>
                <w:bCs w:val="0"/>
                <w:color w:val="auto"/>
                <w:szCs w:val="21"/>
              </w:rPr>
            </w:pPr>
            <w:r>
              <w:rPr>
                <w:rFonts w:hint="eastAsia" w:ascii="宋体" w:hAnsi="宋体" w:cs="宋体"/>
                <w:b w:val="0"/>
                <w:bCs w:val="0"/>
                <w:color w:val="auto"/>
                <w:szCs w:val="21"/>
              </w:rPr>
              <w:t>技术职称：</w:t>
            </w:r>
          </w:p>
          <w:p>
            <w:pPr>
              <w:topLinePunct/>
              <w:snapToGrid w:val="0"/>
              <w:spacing w:beforeLines="0" w:afterLines="0" w:line="240" w:lineRule="auto"/>
              <w:contextualSpacing/>
              <w:rPr>
                <w:rFonts w:ascii="宋体" w:hAnsi="宋体" w:cs="宋体"/>
                <w:b w:val="0"/>
                <w:bCs w:val="0"/>
                <w:color w:val="auto"/>
                <w:szCs w:val="21"/>
              </w:rPr>
            </w:pPr>
            <w:r>
              <w:rPr>
                <w:rFonts w:hint="eastAsia" w:ascii="宋体" w:hAnsi="宋体" w:cs="宋体"/>
                <w:b w:val="0"/>
                <w:bCs w:val="0"/>
                <w:color w:val="auto"/>
                <w:kern w:val="0"/>
                <w:szCs w:val="21"/>
              </w:rPr>
              <w:t>注册证号：</w:t>
            </w:r>
          </w:p>
        </w:tc>
        <w:tc>
          <w:tcPr>
            <w:tcW w:w="19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ind w:firstLine="0" w:firstLineChars="0"/>
              <w:contextualSpacing/>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val="en-US" w:eastAsia="zh-CN"/>
              </w:rPr>
              <w:t>3</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0" w:beforeLines="0" w:beforeAutospacing="0" w:after="0" w:afterLines="0" w:afterAutospacing="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监理服务期限</w:t>
            </w:r>
          </w:p>
        </w:tc>
        <w:tc>
          <w:tcPr>
            <w:tcW w:w="1502"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Lines="0" w:afterLines="0" w:line="240" w:lineRule="auto"/>
              <w:contextualSpacing/>
              <w:rPr>
                <w:rFonts w:ascii="宋体" w:hAnsi="宋体" w:cs="宋体"/>
                <w:b w:val="0"/>
                <w:bCs w:val="0"/>
                <w:color w:val="auto"/>
                <w:szCs w:val="21"/>
              </w:rPr>
            </w:pPr>
            <w:r>
              <w:rPr>
                <w:rFonts w:hint="eastAsia" w:ascii="宋体" w:hAnsi="宋体" w:cs="宋体"/>
                <w:b w:val="0"/>
                <w:bCs w:val="0"/>
                <w:color w:val="auto"/>
                <w:szCs w:val="21"/>
                <w:u w:val="single"/>
              </w:rPr>
              <w:t>按招标文件要求</w:t>
            </w:r>
          </w:p>
        </w:tc>
        <w:tc>
          <w:tcPr>
            <w:tcW w:w="19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tabs>
                <w:tab w:val="left" w:pos="360"/>
              </w:tabs>
              <w:snapToGrid w:val="0"/>
              <w:spacing w:beforeLines="0" w:afterLines="0" w:line="240" w:lineRule="auto"/>
              <w:contextualSpacing/>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val="en-US" w:eastAsia="zh-CN"/>
              </w:rPr>
              <w:t>4</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0" w:beforeLines="0" w:beforeAutospacing="0" w:after="0" w:afterLines="0" w:afterAutospacing="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合同价款确定方式</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rPr>
                <w:rFonts w:ascii="宋体" w:hAnsi="宋体" w:cs="宋体"/>
                <w:b w:val="0"/>
                <w:bCs w:val="0"/>
                <w:color w:val="auto"/>
                <w:szCs w:val="21"/>
              </w:rPr>
            </w:pPr>
            <w:r>
              <w:rPr>
                <w:rFonts w:hint="eastAsia" w:ascii="宋体" w:hAnsi="宋体" w:cs="宋体"/>
                <w:b w:val="0"/>
                <w:bCs w:val="0"/>
                <w:color w:val="auto"/>
                <w:szCs w:val="21"/>
                <w:u w:val="single"/>
              </w:rPr>
              <w:t>按合同约定</w:t>
            </w:r>
          </w:p>
        </w:tc>
        <w:tc>
          <w:tcPr>
            <w:tcW w:w="1908" w:type="pct"/>
            <w:tcBorders>
              <w:top w:val="single" w:color="auto" w:sz="4" w:space="0"/>
              <w:left w:val="single" w:color="auto" w:sz="4" w:space="0"/>
              <w:bottom w:val="single" w:color="auto" w:sz="4" w:space="0"/>
              <w:right w:val="single" w:color="auto" w:sz="4" w:space="0"/>
            </w:tcBorders>
            <w:noWrap/>
            <w:vAlign w:val="center"/>
          </w:tcPr>
          <w:p>
            <w:pPr>
              <w:tabs>
                <w:tab w:val="left" w:pos="360"/>
              </w:tabs>
              <w:snapToGrid w:val="0"/>
              <w:spacing w:beforeLines="0" w:afterLines="0" w:line="240" w:lineRule="auto"/>
              <w:contextualSpacing/>
              <w:jc w:val="center"/>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val="en-US" w:eastAsia="zh-CN"/>
              </w:rPr>
              <w:t>5</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质量标准</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rPr>
                <w:rFonts w:ascii="宋体" w:hAnsi="宋体" w:cs="宋体"/>
                <w:b w:val="0"/>
                <w:bCs w:val="0"/>
                <w:color w:val="auto"/>
                <w:szCs w:val="21"/>
              </w:rPr>
            </w:pPr>
            <w:r>
              <w:rPr>
                <w:rFonts w:hint="eastAsia" w:ascii="宋体" w:hAnsi="宋体" w:cs="宋体"/>
                <w:b w:val="0"/>
                <w:bCs w:val="0"/>
                <w:color w:val="auto"/>
                <w:szCs w:val="21"/>
                <w:u w:val="single"/>
              </w:rPr>
              <w:t>按招标文件要求</w:t>
            </w:r>
          </w:p>
        </w:tc>
        <w:tc>
          <w:tcPr>
            <w:tcW w:w="1908" w:type="pct"/>
            <w:tcBorders>
              <w:top w:val="single" w:color="auto" w:sz="4" w:space="0"/>
              <w:left w:val="single" w:color="auto" w:sz="4" w:space="0"/>
              <w:bottom w:val="single" w:color="auto" w:sz="4" w:space="0"/>
              <w:right w:val="single" w:color="auto" w:sz="4" w:space="0"/>
            </w:tcBorders>
            <w:noWrap/>
            <w:vAlign w:val="center"/>
          </w:tcPr>
          <w:p>
            <w:pPr>
              <w:tabs>
                <w:tab w:val="left" w:pos="360"/>
              </w:tabs>
              <w:snapToGrid w:val="0"/>
              <w:spacing w:beforeLines="0" w:afterLines="0" w:line="240" w:lineRule="auto"/>
              <w:contextualSpacing/>
              <w:jc w:val="center"/>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val="en-US" w:eastAsia="zh-CN"/>
              </w:rPr>
              <w:t>6</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本项目监理机构人数</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rPr>
                <w:rFonts w:ascii="宋体" w:hAnsi="宋体" w:cs="宋体"/>
                <w:b w:val="0"/>
                <w:bCs w:val="0"/>
                <w:color w:val="auto"/>
                <w:szCs w:val="21"/>
              </w:rPr>
            </w:pPr>
            <w:r>
              <w:rPr>
                <w:rFonts w:hint="eastAsia" w:ascii="宋体" w:hAnsi="宋体" w:cs="宋体"/>
                <w:b w:val="0"/>
                <w:bCs w:val="0"/>
                <w:color w:val="auto"/>
                <w:szCs w:val="21"/>
              </w:rPr>
              <w:t>人数：</w:t>
            </w:r>
          </w:p>
        </w:tc>
        <w:tc>
          <w:tcPr>
            <w:tcW w:w="1908" w:type="pct"/>
            <w:tcBorders>
              <w:top w:val="single" w:color="auto" w:sz="4" w:space="0"/>
              <w:left w:val="single" w:color="auto" w:sz="4" w:space="0"/>
              <w:bottom w:val="single" w:color="auto" w:sz="4" w:space="0"/>
              <w:right w:val="single" w:color="auto" w:sz="4" w:space="0"/>
            </w:tcBorders>
            <w:noWrap/>
            <w:vAlign w:val="center"/>
          </w:tcPr>
          <w:p>
            <w:pPr>
              <w:tabs>
                <w:tab w:val="left" w:pos="360"/>
              </w:tabs>
              <w:snapToGrid w:val="0"/>
              <w:spacing w:beforeLines="0" w:afterLines="0" w:line="240" w:lineRule="auto"/>
              <w:contextualSpacing/>
              <w:jc w:val="center"/>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val="en-US" w:eastAsia="zh-CN"/>
              </w:rPr>
              <w:t>7</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投标报价（含税）</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0" w:beforeLines="0" w:after="0" w:afterLines="0" w:line="240" w:lineRule="auto"/>
              <w:contextualSpacing/>
              <w:rPr>
                <w:rFonts w:ascii="宋体" w:hAnsi="宋体" w:cs="宋体"/>
                <w:b w:val="0"/>
                <w:bCs w:val="0"/>
                <w:color w:val="auto"/>
                <w:szCs w:val="21"/>
                <w:u w:val="single"/>
              </w:rPr>
            </w:pPr>
            <w:r>
              <w:rPr>
                <w:rFonts w:hint="eastAsia" w:ascii="宋体" w:hAnsi="宋体" w:cs="宋体"/>
                <w:b w:val="0"/>
                <w:bCs w:val="0"/>
                <w:color w:val="auto"/>
                <w:szCs w:val="21"/>
                <w:u w:val="single"/>
              </w:rPr>
              <w:t xml:space="preserve">小写：          元 </w:t>
            </w:r>
          </w:p>
          <w:p>
            <w:pPr>
              <w:snapToGrid w:val="0"/>
              <w:spacing w:before="0" w:beforeLines="0" w:after="0" w:afterLines="0" w:line="240" w:lineRule="auto"/>
              <w:contextualSpacing/>
              <w:rPr>
                <w:rFonts w:ascii="宋体" w:hAnsi="宋体" w:cs="宋体"/>
                <w:b w:val="0"/>
                <w:bCs w:val="0"/>
                <w:color w:val="auto"/>
                <w:szCs w:val="21"/>
                <w:u w:val="single"/>
              </w:rPr>
            </w:pPr>
            <w:r>
              <w:rPr>
                <w:rFonts w:hint="eastAsia" w:ascii="宋体" w:hAnsi="宋体" w:cs="宋体"/>
                <w:b w:val="0"/>
                <w:bCs w:val="0"/>
                <w:color w:val="auto"/>
                <w:szCs w:val="21"/>
                <w:u w:val="single"/>
              </w:rPr>
              <w:t>大写：</w:t>
            </w:r>
          </w:p>
        </w:tc>
        <w:tc>
          <w:tcPr>
            <w:tcW w:w="1908" w:type="pct"/>
            <w:tcBorders>
              <w:top w:val="single" w:color="auto" w:sz="4" w:space="0"/>
              <w:left w:val="single" w:color="auto" w:sz="4" w:space="0"/>
              <w:bottom w:val="single" w:color="auto" w:sz="4" w:space="0"/>
              <w:right w:val="single" w:color="auto" w:sz="4" w:space="0"/>
            </w:tcBorders>
            <w:noWrap/>
            <w:vAlign w:val="center"/>
          </w:tcPr>
          <w:p>
            <w:pPr>
              <w:tabs>
                <w:tab w:val="left" w:pos="360"/>
              </w:tabs>
              <w:snapToGrid w:val="0"/>
              <w:spacing w:beforeLines="0" w:afterLines="0" w:line="240" w:lineRule="auto"/>
              <w:contextualSpacing/>
              <w:jc w:val="center"/>
              <w:rPr>
                <w:rFonts w:ascii="宋体" w:hAnsi="宋体" w:cs="宋体"/>
                <w:b w:val="0"/>
                <w:bCs w:val="0"/>
                <w:color w:val="auto"/>
                <w:szCs w:val="21"/>
              </w:rPr>
            </w:pPr>
            <w:r>
              <w:rPr>
                <w:rFonts w:hint="eastAsia"/>
                <w:b w:val="0"/>
                <w:bCs w:val="0"/>
                <w:color w:val="auto"/>
                <w:szCs w:val="21"/>
              </w:rPr>
              <w:t>投标报价不得超过最高投标限价（</w:t>
            </w:r>
            <w:r>
              <w:rPr>
                <w:rFonts w:hint="eastAsia" w:ascii="宋体" w:hAnsi="宋体"/>
                <w:b w:val="0"/>
                <w:bCs w:val="0"/>
                <w:color w:val="auto"/>
                <w:szCs w:val="21"/>
              </w:rPr>
              <w:t>小数点后保留两位小数，第三位小数四舍五入）。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hint="default" w:ascii="宋体" w:hAnsi="宋体" w:eastAsia="宋体" w:cs="宋体"/>
                <w:b/>
                <w:bCs/>
                <w:color w:val="auto"/>
                <w:szCs w:val="21"/>
                <w:u w:val="single"/>
                <w:lang w:val="en-US" w:eastAsia="zh-CN"/>
              </w:rPr>
            </w:pPr>
            <w:r>
              <w:rPr>
                <w:rFonts w:hint="eastAsia" w:ascii="宋体" w:hAnsi="宋体" w:cs="宋体"/>
                <w:b/>
                <w:bCs/>
                <w:color w:val="auto"/>
                <w:szCs w:val="21"/>
                <w:u w:val="single"/>
                <w:lang w:val="en-US" w:eastAsia="zh-CN"/>
              </w:rPr>
              <w:t>8</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hint="eastAsia" w:ascii="宋体" w:hAnsi="宋体" w:cs="宋体"/>
                <w:b/>
                <w:bCs/>
                <w:color w:val="auto"/>
                <w:szCs w:val="21"/>
                <w:u w:val="single"/>
              </w:rPr>
            </w:pPr>
            <w:r>
              <w:rPr>
                <w:rFonts w:hint="eastAsia" w:ascii="宋体" w:hAnsi="宋体" w:cs="宋体"/>
                <w:b/>
                <w:bCs/>
                <w:color w:val="auto"/>
                <w:szCs w:val="21"/>
                <w:u w:val="single"/>
                <w:lang w:val="en-US" w:eastAsia="zh-CN"/>
              </w:rPr>
              <w:t>其中：</w:t>
            </w:r>
            <w:r>
              <w:rPr>
                <w:rFonts w:hint="eastAsia" w:ascii="宋体" w:hAnsi="宋体" w:cs="宋体"/>
                <w:b/>
                <w:bCs/>
                <w:color w:val="auto"/>
                <w:szCs w:val="21"/>
                <w:u w:val="single"/>
              </w:rPr>
              <w:t>项目建设管理费（含税）</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0" w:beforeLines="0" w:after="0" w:afterLines="0" w:line="240" w:lineRule="auto"/>
              <w:contextualSpacing/>
              <w:rPr>
                <w:rFonts w:ascii="宋体" w:hAnsi="宋体" w:cs="宋体"/>
                <w:b/>
                <w:bCs/>
                <w:color w:val="auto"/>
                <w:szCs w:val="21"/>
                <w:u w:val="single"/>
              </w:rPr>
            </w:pPr>
            <w:r>
              <w:rPr>
                <w:rFonts w:hint="eastAsia" w:ascii="宋体" w:hAnsi="宋体" w:cs="宋体"/>
                <w:b/>
                <w:bCs/>
                <w:color w:val="auto"/>
                <w:szCs w:val="21"/>
                <w:u w:val="single"/>
              </w:rPr>
              <w:t xml:space="preserve">小写：          元 </w:t>
            </w:r>
          </w:p>
          <w:p>
            <w:pPr>
              <w:snapToGrid w:val="0"/>
              <w:spacing w:before="0" w:beforeLines="0" w:after="0" w:afterLines="0" w:line="240" w:lineRule="auto"/>
              <w:contextualSpacing/>
              <w:rPr>
                <w:rFonts w:hint="eastAsia" w:ascii="宋体" w:hAnsi="宋体" w:cs="宋体"/>
                <w:b/>
                <w:bCs/>
                <w:color w:val="auto"/>
                <w:szCs w:val="21"/>
                <w:u w:val="single"/>
              </w:rPr>
            </w:pPr>
            <w:r>
              <w:rPr>
                <w:rFonts w:hint="eastAsia" w:ascii="宋体" w:hAnsi="宋体" w:cs="宋体"/>
                <w:b/>
                <w:bCs/>
                <w:color w:val="auto"/>
                <w:szCs w:val="21"/>
                <w:u w:val="single"/>
              </w:rPr>
              <w:t>大写：</w:t>
            </w:r>
          </w:p>
        </w:tc>
        <w:tc>
          <w:tcPr>
            <w:tcW w:w="1908" w:type="pct"/>
            <w:tcBorders>
              <w:top w:val="single" w:color="auto" w:sz="4" w:space="0"/>
              <w:left w:val="single" w:color="auto" w:sz="4" w:space="0"/>
              <w:bottom w:val="single" w:color="auto" w:sz="4" w:space="0"/>
              <w:right w:val="single" w:color="auto" w:sz="4" w:space="0"/>
            </w:tcBorders>
            <w:noWrap/>
            <w:vAlign w:val="center"/>
          </w:tcPr>
          <w:p>
            <w:pPr>
              <w:tabs>
                <w:tab w:val="left" w:pos="360"/>
              </w:tabs>
              <w:snapToGrid w:val="0"/>
              <w:spacing w:beforeLines="0" w:afterLines="0" w:line="240" w:lineRule="auto"/>
              <w:contextualSpacing/>
              <w:jc w:val="center"/>
              <w:rPr>
                <w:rFonts w:hint="eastAsia"/>
                <w:b/>
                <w:bCs/>
                <w:color w:val="auto"/>
                <w:szCs w:val="21"/>
                <w:u w:val="single"/>
              </w:rPr>
            </w:pPr>
            <w:r>
              <w:rPr>
                <w:rFonts w:hint="eastAsia"/>
                <w:b/>
                <w:bCs/>
                <w:color w:val="auto"/>
                <w:szCs w:val="21"/>
                <w:u w:val="single"/>
              </w:rPr>
              <w:t>报价不得超过项目建设管理费最高投标限价（</w:t>
            </w:r>
            <w:r>
              <w:rPr>
                <w:rFonts w:hint="eastAsia" w:ascii="宋体" w:hAnsi="宋体"/>
                <w:b/>
                <w:bCs/>
                <w:color w:val="auto"/>
                <w:szCs w:val="21"/>
                <w:u w:val="single"/>
              </w:rPr>
              <w:t>小数点后保留两位小数，第三位小数四舍五入）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hint="default" w:ascii="宋体" w:hAnsi="宋体" w:eastAsia="宋体" w:cs="宋体"/>
                <w:b/>
                <w:bCs/>
                <w:color w:val="auto"/>
                <w:szCs w:val="21"/>
                <w:u w:val="single"/>
                <w:lang w:val="en-US" w:eastAsia="zh-CN"/>
              </w:rPr>
            </w:pPr>
            <w:r>
              <w:rPr>
                <w:rFonts w:hint="eastAsia" w:ascii="宋体" w:hAnsi="宋体" w:cs="宋体"/>
                <w:b/>
                <w:bCs/>
                <w:color w:val="auto"/>
                <w:szCs w:val="21"/>
                <w:u w:val="single"/>
                <w:lang w:val="en-US" w:eastAsia="zh-CN"/>
              </w:rPr>
              <w:t>9</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hint="eastAsia" w:ascii="宋体" w:hAnsi="宋体" w:cs="宋体"/>
                <w:b/>
                <w:bCs/>
                <w:color w:val="auto"/>
                <w:szCs w:val="21"/>
                <w:u w:val="single"/>
              </w:rPr>
            </w:pPr>
            <w:r>
              <w:rPr>
                <w:rFonts w:hint="eastAsia" w:ascii="宋体" w:hAnsi="宋体" w:cs="宋体"/>
                <w:b/>
                <w:bCs/>
                <w:color w:val="auto"/>
                <w:szCs w:val="21"/>
                <w:u w:val="single"/>
                <w:lang w:val="en-US" w:eastAsia="zh-CN"/>
              </w:rPr>
              <w:t>其中：</w:t>
            </w:r>
            <w:r>
              <w:rPr>
                <w:rFonts w:hint="eastAsia" w:ascii="宋体" w:hAnsi="宋体" w:cs="宋体"/>
                <w:b/>
                <w:bCs/>
                <w:color w:val="auto"/>
                <w:szCs w:val="21"/>
                <w:u w:val="single"/>
              </w:rPr>
              <w:t>监理服务费（含税）</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0" w:beforeLines="0" w:after="0" w:afterLines="0" w:line="240" w:lineRule="auto"/>
              <w:contextualSpacing/>
              <w:rPr>
                <w:rFonts w:ascii="宋体" w:hAnsi="宋体" w:cs="宋体"/>
                <w:b/>
                <w:bCs/>
                <w:color w:val="auto"/>
                <w:szCs w:val="21"/>
                <w:u w:val="single"/>
              </w:rPr>
            </w:pPr>
            <w:r>
              <w:rPr>
                <w:rFonts w:hint="eastAsia" w:ascii="宋体" w:hAnsi="宋体" w:cs="宋体"/>
                <w:b/>
                <w:bCs/>
                <w:color w:val="auto"/>
                <w:szCs w:val="21"/>
                <w:u w:val="single"/>
              </w:rPr>
              <w:t xml:space="preserve">小写：          元 </w:t>
            </w:r>
          </w:p>
          <w:p>
            <w:pPr>
              <w:snapToGrid w:val="0"/>
              <w:spacing w:before="0" w:beforeLines="0" w:after="0" w:afterLines="0" w:line="240" w:lineRule="auto"/>
              <w:contextualSpacing/>
              <w:rPr>
                <w:rFonts w:hint="eastAsia" w:ascii="宋体" w:hAnsi="宋体" w:cs="宋体"/>
                <w:b/>
                <w:bCs/>
                <w:color w:val="auto"/>
                <w:szCs w:val="21"/>
                <w:u w:val="single"/>
              </w:rPr>
            </w:pPr>
            <w:r>
              <w:rPr>
                <w:rFonts w:hint="eastAsia" w:ascii="宋体" w:hAnsi="宋体" w:cs="宋体"/>
                <w:b/>
                <w:bCs/>
                <w:color w:val="auto"/>
                <w:szCs w:val="21"/>
                <w:u w:val="single"/>
              </w:rPr>
              <w:t>大写：</w:t>
            </w:r>
          </w:p>
        </w:tc>
        <w:tc>
          <w:tcPr>
            <w:tcW w:w="1908" w:type="pct"/>
            <w:tcBorders>
              <w:top w:val="single" w:color="auto" w:sz="4" w:space="0"/>
              <w:left w:val="single" w:color="auto" w:sz="4" w:space="0"/>
              <w:bottom w:val="single" w:color="auto" w:sz="4" w:space="0"/>
              <w:right w:val="single" w:color="auto" w:sz="4" w:space="0"/>
            </w:tcBorders>
            <w:noWrap/>
            <w:vAlign w:val="center"/>
          </w:tcPr>
          <w:p>
            <w:pPr>
              <w:tabs>
                <w:tab w:val="left" w:pos="360"/>
              </w:tabs>
              <w:snapToGrid w:val="0"/>
              <w:spacing w:beforeLines="0" w:afterLines="0" w:line="240" w:lineRule="auto"/>
              <w:contextualSpacing/>
              <w:jc w:val="center"/>
              <w:rPr>
                <w:rFonts w:hint="eastAsia"/>
                <w:b/>
                <w:bCs/>
                <w:color w:val="auto"/>
                <w:szCs w:val="21"/>
                <w:u w:val="single"/>
              </w:rPr>
            </w:pPr>
            <w:r>
              <w:rPr>
                <w:rFonts w:hint="eastAsia"/>
                <w:b/>
                <w:bCs/>
                <w:color w:val="auto"/>
                <w:szCs w:val="21"/>
                <w:u w:val="single"/>
              </w:rPr>
              <w:t>报价不得超过</w:t>
            </w:r>
            <w:r>
              <w:rPr>
                <w:rFonts w:hint="eastAsia" w:ascii="宋体" w:hAnsi="宋体" w:cs="宋体"/>
                <w:b/>
                <w:bCs/>
                <w:color w:val="auto"/>
                <w:szCs w:val="21"/>
                <w:u w:val="single"/>
              </w:rPr>
              <w:t>监理服务费</w:t>
            </w:r>
            <w:r>
              <w:rPr>
                <w:rFonts w:hint="eastAsia"/>
                <w:b/>
                <w:bCs/>
                <w:color w:val="auto"/>
                <w:szCs w:val="21"/>
                <w:u w:val="single"/>
              </w:rPr>
              <w:t>最高投标限价（</w:t>
            </w:r>
            <w:r>
              <w:rPr>
                <w:rFonts w:hint="eastAsia" w:ascii="宋体" w:hAnsi="宋体"/>
                <w:b/>
                <w:bCs/>
                <w:color w:val="auto"/>
                <w:szCs w:val="21"/>
                <w:u w:val="single"/>
              </w:rPr>
              <w:t>小数点后保留两位小数，第三位小数四舍五入）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10</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法 人 营 业</w:t>
            </w:r>
          </w:p>
          <w:p>
            <w:pPr>
              <w:snapToGrid w:val="0"/>
              <w:spacing w:beforeLines="0" w:afterLines="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执 照 证 号</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rPr>
                <w:rFonts w:ascii="宋体" w:hAnsi="宋体" w:cs="宋体"/>
                <w:b w:val="0"/>
                <w:bCs w:val="0"/>
                <w:color w:val="auto"/>
                <w:szCs w:val="21"/>
              </w:rPr>
            </w:pPr>
            <w:r>
              <w:rPr>
                <w:rFonts w:hint="eastAsia" w:ascii="宋体" w:hAnsi="宋体" w:cs="宋体"/>
                <w:b w:val="0"/>
                <w:bCs w:val="0"/>
                <w:color w:val="auto"/>
                <w:szCs w:val="21"/>
              </w:rPr>
              <w:t>法 人 营 业</w:t>
            </w:r>
          </w:p>
          <w:p>
            <w:pPr>
              <w:snapToGrid w:val="0"/>
              <w:spacing w:beforeLines="0" w:afterLines="0" w:line="240" w:lineRule="auto"/>
              <w:contextualSpacing/>
              <w:rPr>
                <w:rFonts w:ascii="宋体" w:hAnsi="宋体" w:cs="宋体"/>
                <w:b w:val="0"/>
                <w:bCs w:val="0"/>
                <w:color w:val="auto"/>
                <w:szCs w:val="21"/>
              </w:rPr>
            </w:pPr>
            <w:r>
              <w:rPr>
                <w:rFonts w:hint="eastAsia" w:ascii="宋体" w:hAnsi="宋体" w:cs="宋体"/>
                <w:b w:val="0"/>
                <w:bCs w:val="0"/>
                <w:color w:val="auto"/>
                <w:szCs w:val="21"/>
              </w:rPr>
              <w:t>执 照 证 号：</w:t>
            </w:r>
          </w:p>
        </w:tc>
        <w:tc>
          <w:tcPr>
            <w:tcW w:w="19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11</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资 质 等 级</w:t>
            </w:r>
          </w:p>
          <w:p>
            <w:pPr>
              <w:snapToGrid w:val="0"/>
              <w:spacing w:beforeLines="0" w:afterLines="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及 证 书 号</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rPr>
                <w:rFonts w:ascii="宋体" w:hAnsi="宋体" w:cs="宋体"/>
                <w:b w:val="0"/>
                <w:bCs w:val="0"/>
                <w:color w:val="auto"/>
                <w:szCs w:val="21"/>
              </w:rPr>
            </w:pPr>
            <w:r>
              <w:rPr>
                <w:rFonts w:hint="eastAsia" w:ascii="宋体" w:hAnsi="宋体" w:cs="宋体"/>
                <w:b w:val="0"/>
                <w:bCs w:val="0"/>
                <w:color w:val="auto"/>
                <w:szCs w:val="21"/>
              </w:rPr>
              <w:t>资质等级：</w:t>
            </w:r>
          </w:p>
          <w:p>
            <w:pPr>
              <w:snapToGrid w:val="0"/>
              <w:spacing w:beforeLines="0" w:afterLines="0" w:line="240" w:lineRule="auto"/>
              <w:contextualSpacing/>
              <w:rPr>
                <w:rFonts w:ascii="宋体" w:hAnsi="宋体" w:cs="宋体"/>
                <w:b w:val="0"/>
                <w:bCs w:val="0"/>
                <w:color w:val="auto"/>
                <w:szCs w:val="21"/>
              </w:rPr>
            </w:pPr>
            <w:r>
              <w:rPr>
                <w:rFonts w:hint="eastAsia" w:ascii="宋体" w:hAnsi="宋体" w:cs="宋体"/>
                <w:b w:val="0"/>
                <w:bCs w:val="0"/>
                <w:color w:val="auto"/>
                <w:szCs w:val="21"/>
              </w:rPr>
              <w:t>资质证书号：</w:t>
            </w:r>
          </w:p>
        </w:tc>
        <w:tc>
          <w:tcPr>
            <w:tcW w:w="19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81"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12</w:t>
            </w:r>
          </w:p>
        </w:tc>
        <w:tc>
          <w:tcPr>
            <w:tcW w:w="13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需要建设单位提</w:t>
            </w:r>
          </w:p>
          <w:p>
            <w:pPr>
              <w:snapToGrid w:val="0"/>
              <w:spacing w:beforeLines="0" w:afterLines="0" w:line="240" w:lineRule="auto"/>
              <w:contextualSpacing/>
              <w:jc w:val="center"/>
              <w:rPr>
                <w:rFonts w:ascii="宋体" w:hAnsi="宋体" w:cs="宋体"/>
                <w:b w:val="0"/>
                <w:bCs w:val="0"/>
                <w:color w:val="auto"/>
                <w:szCs w:val="21"/>
              </w:rPr>
            </w:pPr>
            <w:r>
              <w:rPr>
                <w:rFonts w:hint="eastAsia" w:ascii="宋体" w:hAnsi="宋体" w:cs="宋体"/>
                <w:b w:val="0"/>
                <w:bCs w:val="0"/>
                <w:color w:val="auto"/>
                <w:szCs w:val="21"/>
              </w:rPr>
              <w:t>供的配合条件（如有）</w:t>
            </w:r>
          </w:p>
        </w:tc>
        <w:tc>
          <w:tcPr>
            <w:tcW w:w="1502"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rPr>
                <w:rFonts w:ascii="宋体" w:hAnsi="宋体" w:cs="宋体"/>
                <w:b w:val="0"/>
                <w:bCs w:val="0"/>
                <w:color w:val="auto"/>
                <w:szCs w:val="21"/>
              </w:rPr>
            </w:pPr>
          </w:p>
        </w:tc>
        <w:tc>
          <w:tcPr>
            <w:tcW w:w="1908" w:type="pct"/>
            <w:tcBorders>
              <w:top w:val="single" w:color="auto" w:sz="4" w:space="0"/>
              <w:left w:val="single" w:color="auto" w:sz="4" w:space="0"/>
              <w:bottom w:val="single" w:color="auto" w:sz="4" w:space="0"/>
              <w:right w:val="single" w:color="auto" w:sz="4" w:space="0"/>
            </w:tcBorders>
            <w:noWrap/>
            <w:vAlign w:val="center"/>
          </w:tcPr>
          <w:p>
            <w:pPr>
              <w:snapToGrid w:val="0"/>
              <w:spacing w:beforeLines="0" w:afterLines="0" w:line="240" w:lineRule="auto"/>
              <w:contextualSpacing/>
              <w:jc w:val="center"/>
              <w:rPr>
                <w:rFonts w:ascii="宋体" w:hAnsi="宋体" w:cs="宋体"/>
                <w:b w:val="0"/>
                <w:bCs w:val="0"/>
                <w:color w:val="auto"/>
                <w:szCs w:val="21"/>
              </w:rPr>
            </w:pPr>
          </w:p>
        </w:tc>
      </w:tr>
    </w:tbl>
    <w:p>
      <w:pPr>
        <w:snapToGrid w:val="0"/>
        <w:spacing w:line="360" w:lineRule="auto"/>
        <w:ind w:firstLine="2730" w:firstLineChars="1300"/>
        <w:jc w:val="left"/>
        <w:rPr>
          <w:rFonts w:hint="eastAsia" w:ascii="宋体" w:hAnsi="宋体"/>
          <w:color w:val="auto"/>
          <w:szCs w:val="21"/>
          <w:lang w:val="en-US" w:eastAsia="zh-CN"/>
        </w:rPr>
      </w:pPr>
    </w:p>
    <w:p>
      <w:pPr>
        <w:snapToGrid w:val="0"/>
        <w:spacing w:line="360" w:lineRule="auto"/>
        <w:ind w:firstLine="0" w:firstLineChars="0"/>
        <w:jc w:val="right"/>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（盖单位章）</w:t>
      </w:r>
    </w:p>
    <w:p>
      <w:pPr>
        <w:snapToGrid w:val="0"/>
        <w:spacing w:line="360" w:lineRule="auto"/>
        <w:ind w:firstLine="0" w:firstLineChars="0"/>
        <w:jc w:val="right"/>
        <w:rPr>
          <w:rFonts w:hint="eastAsia" w:ascii="宋体" w:hAnsi="宋体"/>
          <w:color w:val="auto"/>
          <w:szCs w:val="21"/>
        </w:rPr>
      </w:pPr>
    </w:p>
    <w:p>
      <w:pPr>
        <w:snapToGrid w:val="0"/>
        <w:spacing w:line="360" w:lineRule="auto"/>
        <w:ind w:firstLine="0" w:firstLineChars="0"/>
        <w:jc w:val="right"/>
        <w:rPr>
          <w:rFonts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（签字或盖章）</w:t>
      </w:r>
    </w:p>
    <w:p>
      <w:pPr>
        <w:spacing w:line="240" w:lineRule="auto"/>
        <w:jc w:val="right"/>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240" w:lineRule="auto"/>
        <w:jc w:val="right"/>
        <w:rPr>
          <w:rFonts w:hint="eastAsia" w:ascii="宋体" w:hAnsi="宋体"/>
          <w:color w:val="auto"/>
          <w:szCs w:val="21"/>
        </w:rPr>
      </w:pPr>
    </w:p>
    <w:p>
      <w:pPr>
        <w:rPr>
          <w:rFonts w:hint="eastAsia" w:ascii="宋体" w:hAnsi="宋体"/>
          <w:color w:val="auto"/>
          <w:highlight w:val="none"/>
        </w:rPr>
      </w:pPr>
    </w:p>
    <w:p>
      <w:pPr>
        <w:rPr>
          <w:rFonts w:hint="eastAsia" w:ascii="宋体" w:hAnsi="宋体"/>
          <w:b/>
          <w:bCs/>
          <w:color w:val="auto"/>
          <w:highlight w:val="none"/>
          <w:u w:val="single"/>
        </w:rPr>
      </w:pPr>
      <w:r>
        <w:rPr>
          <w:rFonts w:hint="eastAsia" w:ascii="宋体" w:hAnsi="宋体"/>
          <w:b/>
          <w:bCs/>
          <w:color w:val="auto"/>
          <w:highlight w:val="none"/>
          <w:u w:val="single"/>
        </w:rPr>
        <w:t>注：联合体投标的，“投标人名称”一栏需填写联合体各方的单位全称【格式为：（主）XXXX公司（成）XXXX公司】，由联合体主办方按要求签字或盖章即可。</w:t>
      </w:r>
    </w:p>
    <w:bookmarkEnd w:id="488"/>
    <w:bookmarkEnd w:id="489"/>
    <w:bookmarkEnd w:id="490"/>
    <w:bookmarkEnd w:id="491"/>
    <w:bookmarkEnd w:id="492"/>
    <w:bookmarkEnd w:id="493"/>
    <w:bookmarkEnd w:id="494"/>
    <w:bookmarkEnd w:id="495"/>
    <w:bookmarkEnd w:id="496"/>
    <w:bookmarkEnd w:id="539"/>
    <w:bookmarkEnd w:id="540"/>
    <w:bookmarkEnd w:id="541"/>
    <w:bookmarkEnd w:id="542"/>
    <w:bookmarkEnd w:id="543"/>
    <w:bookmarkEnd w:id="544"/>
    <w:bookmarkEnd w:id="545"/>
    <w:bookmarkEnd w:id="546"/>
    <w:bookmarkEnd w:id="547"/>
    <w:bookmarkEnd w:id="548"/>
    <w:bookmarkEnd w:id="549"/>
    <w:p>
      <w:pPr>
        <w:wordWrap w:val="0"/>
        <w:snapToGrid w:val="0"/>
        <w:spacing w:line="360" w:lineRule="auto"/>
        <w:ind w:firstLine="4725" w:firstLineChars="2250"/>
        <w:jc w:val="right"/>
        <w:rPr>
          <w:rFonts w:ascii="宋体" w:hAnsi="宋体"/>
          <w:color w:val="auto"/>
          <w:szCs w:val="21"/>
        </w:rPr>
      </w:pPr>
      <w:bookmarkStart w:id="550" w:name="_Toc247514246"/>
      <w:bookmarkStart w:id="551" w:name="_Toc247527827"/>
      <w:bookmarkStart w:id="552" w:name="_Toc352691661"/>
      <w:bookmarkStart w:id="553" w:name="_Toc17960"/>
      <w:bookmarkStart w:id="554" w:name="_Toc152045787"/>
      <w:bookmarkStart w:id="555" w:name="_Toc300835209"/>
      <w:bookmarkStart w:id="556" w:name="_Toc384308375"/>
      <w:bookmarkStart w:id="557" w:name="_Toc361508752"/>
      <w:bookmarkStart w:id="558" w:name="_Toc152042576"/>
      <w:bookmarkStart w:id="559" w:name="_Toc369531697"/>
      <w:bookmarkStart w:id="560" w:name="_Toc144974856"/>
      <w:r>
        <w:rPr>
          <w:rFonts w:hint="eastAsia" w:ascii="宋体" w:hAnsi="宋体"/>
          <w:color w:val="auto"/>
          <w:szCs w:val="21"/>
        </w:rPr>
        <w:t xml:space="preserve">              </w:t>
      </w:r>
    </w:p>
    <w:p>
      <w:pPr>
        <w:snapToGrid w:val="0"/>
        <w:spacing w:line="360" w:lineRule="auto"/>
        <w:jc w:val="left"/>
        <w:outlineLvl w:val="1"/>
        <w:rPr>
          <w:rFonts w:ascii="宋体" w:hAnsi="宋体"/>
          <w:b/>
          <w:bCs/>
          <w:color w:val="auto"/>
          <w:kern w:val="0"/>
          <w:sz w:val="28"/>
          <w:szCs w:val="28"/>
        </w:rPr>
      </w:pPr>
      <w:r>
        <w:rPr>
          <w:rFonts w:hint="eastAsia" w:ascii="宋体" w:hAnsi="宋体" w:eastAsia="黑体"/>
          <w:color w:val="auto"/>
          <w:kern w:val="0"/>
          <w:sz w:val="36"/>
          <w:szCs w:val="32"/>
        </w:rPr>
        <w:br w:type="page"/>
      </w:r>
      <w:bookmarkStart w:id="561" w:name="_Toc535938754"/>
      <w:bookmarkStart w:id="562" w:name="_Toc530470646"/>
      <w:bookmarkStart w:id="563" w:name="_Toc27516"/>
      <w:bookmarkStart w:id="564" w:name="_Toc20809"/>
      <w:bookmarkStart w:id="565" w:name="_Toc24099"/>
      <w:bookmarkStart w:id="566" w:name="_Toc529196603"/>
      <w:r>
        <w:rPr>
          <w:rFonts w:hint="eastAsia" w:ascii="宋体" w:hAnsi="宋体"/>
          <w:b/>
          <w:bCs/>
          <w:color w:val="auto"/>
          <w:kern w:val="0"/>
          <w:sz w:val="28"/>
          <w:szCs w:val="28"/>
        </w:rPr>
        <w:t>二</w:t>
      </w:r>
      <w:bookmarkEnd w:id="550"/>
      <w:bookmarkEnd w:id="551"/>
      <w:bookmarkEnd w:id="552"/>
      <w:bookmarkEnd w:id="553"/>
      <w:bookmarkEnd w:id="554"/>
      <w:bookmarkEnd w:id="555"/>
      <w:bookmarkEnd w:id="556"/>
      <w:bookmarkEnd w:id="557"/>
      <w:bookmarkEnd w:id="558"/>
      <w:bookmarkEnd w:id="559"/>
      <w:bookmarkEnd w:id="560"/>
      <w:r>
        <w:rPr>
          <w:rFonts w:hint="eastAsia" w:ascii="宋体" w:hAnsi="宋体"/>
          <w:b/>
          <w:bCs/>
          <w:color w:val="auto"/>
          <w:kern w:val="0"/>
          <w:sz w:val="28"/>
          <w:szCs w:val="28"/>
        </w:rPr>
        <w:t>、法定代表人身份证明或授权委托书（格式可自定）</w:t>
      </w:r>
      <w:bookmarkEnd w:id="561"/>
      <w:bookmarkEnd w:id="562"/>
      <w:bookmarkEnd w:id="563"/>
      <w:bookmarkEnd w:id="564"/>
      <w:bookmarkEnd w:id="565"/>
      <w:bookmarkEnd w:id="566"/>
    </w:p>
    <w:p>
      <w:pPr>
        <w:snapToGrid w:val="0"/>
        <w:spacing w:line="360" w:lineRule="auto"/>
        <w:jc w:val="center"/>
        <w:rPr>
          <w:rFonts w:ascii="宋体" w:hAnsi="宋体"/>
          <w:b/>
          <w:color w:val="auto"/>
          <w:sz w:val="28"/>
          <w:szCs w:val="28"/>
        </w:rPr>
      </w:pPr>
      <w:r>
        <w:rPr>
          <w:rFonts w:hint="eastAsia" w:ascii="宋体" w:hAnsi="宋体"/>
          <w:b/>
          <w:color w:val="auto"/>
          <w:sz w:val="28"/>
          <w:szCs w:val="28"/>
        </w:rPr>
        <w:t>法定代表人身份证明</w:t>
      </w:r>
    </w:p>
    <w:p>
      <w:pPr>
        <w:snapToGrid w:val="0"/>
        <w:spacing w:line="44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pPr>
        <w:snapToGrid w:val="0"/>
        <w:spacing w:line="440" w:lineRule="exact"/>
        <w:rPr>
          <w:rFonts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pPr>
        <w:snapToGrid w:val="0"/>
        <w:spacing w:line="440" w:lineRule="exact"/>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rPr>
        <w:t>（投标人名称）的法定代表人。</w:t>
      </w:r>
    </w:p>
    <w:p>
      <w:pPr>
        <w:snapToGrid w:val="0"/>
        <w:spacing w:line="440" w:lineRule="exact"/>
        <w:ind w:firstLine="420" w:firstLineChars="200"/>
        <w:rPr>
          <w:rFonts w:ascii="宋体" w:hAnsi="宋体"/>
          <w:color w:val="auto"/>
          <w:szCs w:val="21"/>
        </w:rPr>
      </w:pPr>
      <w:r>
        <w:rPr>
          <w:rFonts w:hint="eastAsia" w:ascii="宋体" w:hAnsi="宋体"/>
          <w:color w:val="auto"/>
          <w:szCs w:val="21"/>
        </w:rPr>
        <w:t>特此证明。</w:t>
      </w:r>
    </w:p>
    <w:p>
      <w:pPr>
        <w:snapToGrid w:val="0"/>
        <w:spacing w:line="440" w:lineRule="exact"/>
        <w:rPr>
          <w:rFonts w:ascii="宋体" w:hAnsi="宋体"/>
          <w:color w:val="auto"/>
          <w:szCs w:val="21"/>
        </w:rPr>
      </w:pPr>
    </w:p>
    <w:p>
      <w:pPr>
        <w:snapToGrid w:val="0"/>
        <w:spacing w:line="440" w:lineRule="exact"/>
        <w:rPr>
          <w:rFonts w:ascii="宋体" w:hAnsi="宋体"/>
          <w:color w:val="auto"/>
          <w:szCs w:val="21"/>
        </w:rPr>
      </w:pPr>
      <w:r>
        <w:rPr>
          <w:rFonts w:hint="eastAsia" w:ascii="宋体" w:hAnsi="宋体"/>
          <w:color w:val="auto"/>
          <w:szCs w:val="21"/>
        </w:rPr>
        <w:t>附：法定代表人身份证原件正反面清晰彩色扫描件。</w:t>
      </w:r>
    </w:p>
    <w:p>
      <w:pPr>
        <w:snapToGrid w:val="0"/>
        <w:spacing w:line="440" w:lineRule="exact"/>
        <w:ind w:firstLine="420" w:firstLineChars="200"/>
        <w:rPr>
          <w:rFonts w:ascii="宋体" w:hAnsi="宋体"/>
          <w:color w:val="auto"/>
          <w:szCs w:val="21"/>
        </w:rPr>
      </w:pPr>
    </w:p>
    <w:p>
      <w:pPr>
        <w:snapToGrid w:val="0"/>
        <w:spacing w:line="440" w:lineRule="exact"/>
        <w:rPr>
          <w:rFonts w:ascii="宋体" w:hAnsi="宋体"/>
          <w:color w:val="auto"/>
          <w:szCs w:val="21"/>
        </w:rPr>
      </w:pPr>
      <w:r>
        <w:rPr>
          <w:rFonts w:hint="eastAsia" w:ascii="宋体" w:hAnsi="宋体"/>
          <w:color w:val="auto"/>
          <w:szCs w:val="21"/>
        </w:rPr>
        <w:t>注：本身份证明需由投标人加盖电子印章。</w:t>
      </w:r>
    </w:p>
    <w:p>
      <w:pPr>
        <w:snapToGrid w:val="0"/>
        <w:spacing w:line="440" w:lineRule="exact"/>
        <w:rPr>
          <w:rFonts w:ascii="宋体" w:hAnsi="宋体"/>
          <w:color w:val="auto"/>
          <w:szCs w:val="21"/>
        </w:rPr>
      </w:pPr>
    </w:p>
    <w:p>
      <w:pPr>
        <w:snapToGrid w:val="0"/>
        <w:spacing w:line="440" w:lineRule="exact"/>
        <w:rPr>
          <w:rFonts w:ascii="宋体" w:hAnsi="宋体"/>
          <w:color w:val="auto"/>
          <w:szCs w:val="21"/>
        </w:rPr>
      </w:pPr>
    </w:p>
    <w:p>
      <w:pPr>
        <w:snapToGrid w:val="0"/>
        <w:spacing w:line="440" w:lineRule="exact"/>
        <w:jc w:val="right"/>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（盖单位章）</w:t>
      </w:r>
    </w:p>
    <w:p>
      <w:pPr>
        <w:snapToGrid w:val="0"/>
        <w:spacing w:line="440" w:lineRule="exact"/>
        <w:jc w:val="right"/>
        <w:rPr>
          <w:rFonts w:ascii="宋体" w:hAnsi="宋体"/>
          <w:color w:val="auto"/>
          <w:szCs w:val="21"/>
        </w:rPr>
      </w:pPr>
    </w:p>
    <w:p>
      <w:pPr>
        <w:wordWrap w:val="0"/>
        <w:snapToGrid w:val="0"/>
        <w:spacing w:line="440" w:lineRule="exact"/>
        <w:ind w:firstLine="4620" w:firstLineChars="2200"/>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p>
    <w:p>
      <w:pPr>
        <w:snapToGrid w:val="0"/>
        <w:spacing w:line="440" w:lineRule="exact"/>
        <w:jc w:val="center"/>
        <w:rPr>
          <w:rFonts w:ascii="宋体" w:hAnsi="宋体"/>
          <w:color w:val="auto"/>
          <w:szCs w:val="21"/>
        </w:rPr>
      </w:pPr>
    </w:p>
    <w:p>
      <w:pPr>
        <w:snapToGrid w:val="0"/>
        <w:spacing w:line="360" w:lineRule="auto"/>
        <w:jc w:val="center"/>
        <w:rPr>
          <w:rFonts w:ascii="宋体" w:hAnsi="宋体"/>
          <w:b/>
          <w:color w:val="auto"/>
          <w:sz w:val="24"/>
          <w:szCs w:val="24"/>
        </w:rPr>
      </w:pPr>
      <w:r>
        <w:rPr>
          <w:rFonts w:hint="eastAsia" w:ascii="宋体" w:hAnsi="宋体"/>
          <w:b/>
          <w:bCs/>
          <w:color w:val="auto"/>
          <w:sz w:val="20"/>
        </w:rPr>
        <w:br w:type="page"/>
      </w:r>
      <w:bookmarkStart w:id="567" w:name="_Toc530470647"/>
      <w:bookmarkEnd w:id="567"/>
      <w:bookmarkStart w:id="568" w:name="_Toc535938755"/>
      <w:bookmarkEnd w:id="568"/>
      <w:bookmarkStart w:id="569" w:name="_Toc529196604"/>
      <w:bookmarkEnd w:id="569"/>
      <w:r>
        <w:rPr>
          <w:rFonts w:hint="eastAsia" w:ascii="宋体" w:hAnsi="宋体"/>
          <w:b/>
          <w:color w:val="auto"/>
          <w:sz w:val="24"/>
          <w:szCs w:val="24"/>
        </w:rPr>
        <w:t>授权委托书</w:t>
      </w:r>
    </w:p>
    <w:p>
      <w:pPr>
        <w:topLinePunct/>
        <w:snapToGrid w:val="0"/>
        <w:spacing w:line="440" w:lineRule="exact"/>
        <w:ind w:firstLine="420" w:firstLineChars="200"/>
        <w:rPr>
          <w:rFonts w:ascii="宋体" w:hAnsi="宋体"/>
          <w:color w:val="auto"/>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（投标人名称）的法定代表人，现委托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（姓名）为我方代理人。代理人根据授权，以我方名义签署、澄清确认、递交、撤回、修改招标项目投标文件、签订合同和处理有关事宜，其法律后果由我方承担。</w:t>
      </w:r>
    </w:p>
    <w:p>
      <w:pPr>
        <w:snapToGrid w:val="0"/>
        <w:spacing w:line="440" w:lineRule="exact"/>
        <w:ind w:firstLine="420" w:firstLineChars="200"/>
        <w:rPr>
          <w:rFonts w:ascii="宋体" w:hAnsi="宋体"/>
          <w:color w:val="auto"/>
          <w:szCs w:val="21"/>
        </w:rPr>
      </w:pPr>
      <w:r>
        <w:rPr>
          <w:rFonts w:hint="eastAsia" w:ascii="宋体" w:hAnsi="宋体"/>
          <w:color w:val="auto"/>
          <w:szCs w:val="21"/>
        </w:rPr>
        <w:t>委托期限：</w:t>
      </w:r>
      <w:r>
        <w:rPr>
          <w:rFonts w:hint="eastAsia" w:ascii="宋体" w:hAnsi="宋体"/>
          <w:color w:val="auto"/>
          <w:szCs w:val="21"/>
          <w:u w:val="single"/>
        </w:rPr>
        <w:t xml:space="preserve">        </w:t>
      </w:r>
      <w:r>
        <w:rPr>
          <w:rFonts w:hint="eastAsia" w:ascii="宋体" w:hAnsi="宋体"/>
          <w:color w:val="auto"/>
          <w:szCs w:val="21"/>
        </w:rPr>
        <w:t>。</w:t>
      </w:r>
    </w:p>
    <w:p>
      <w:pPr>
        <w:snapToGrid w:val="0"/>
        <w:spacing w:line="440" w:lineRule="exact"/>
        <w:ind w:firstLine="420" w:firstLineChars="200"/>
        <w:rPr>
          <w:rFonts w:ascii="宋体" w:hAnsi="宋体"/>
          <w:color w:val="auto"/>
          <w:szCs w:val="21"/>
        </w:rPr>
      </w:pPr>
      <w:r>
        <w:rPr>
          <w:rFonts w:hint="eastAsia" w:ascii="宋体" w:hAnsi="宋体"/>
          <w:color w:val="auto"/>
          <w:szCs w:val="21"/>
        </w:rPr>
        <w:t>代理人无转委托权。</w:t>
      </w:r>
    </w:p>
    <w:p>
      <w:pPr>
        <w:snapToGrid w:val="0"/>
        <w:spacing w:line="440" w:lineRule="exact"/>
        <w:ind w:firstLine="420" w:firstLineChars="200"/>
        <w:rPr>
          <w:rFonts w:ascii="宋体" w:hAnsi="宋体"/>
          <w:color w:val="auto"/>
          <w:szCs w:val="21"/>
        </w:rPr>
      </w:pPr>
    </w:p>
    <w:p>
      <w:pPr>
        <w:snapToGrid w:val="0"/>
        <w:spacing w:line="440" w:lineRule="exact"/>
        <w:rPr>
          <w:rFonts w:ascii="宋体" w:hAnsi="宋体"/>
          <w:color w:val="auto"/>
          <w:szCs w:val="21"/>
        </w:rPr>
      </w:pPr>
      <w:r>
        <w:rPr>
          <w:rFonts w:hint="eastAsia" w:ascii="宋体" w:hAnsi="宋体"/>
          <w:color w:val="auto"/>
          <w:szCs w:val="21"/>
        </w:rPr>
        <w:t>附：法定代表人身份证扫描件及委托代理人身份证原件正反面清晰彩色扫描件</w:t>
      </w:r>
    </w:p>
    <w:p>
      <w:pPr>
        <w:snapToGrid w:val="0"/>
        <w:spacing w:line="440" w:lineRule="exact"/>
        <w:rPr>
          <w:rFonts w:ascii="宋体" w:hAnsi="宋体"/>
          <w:color w:val="auto"/>
          <w:szCs w:val="21"/>
        </w:rPr>
      </w:pPr>
    </w:p>
    <w:p>
      <w:pPr>
        <w:snapToGrid w:val="0"/>
        <w:spacing w:line="440" w:lineRule="exact"/>
        <w:rPr>
          <w:rFonts w:ascii="宋体" w:hAnsi="宋体"/>
          <w:color w:val="auto"/>
          <w:szCs w:val="21"/>
        </w:rPr>
      </w:pPr>
      <w:r>
        <w:rPr>
          <w:rFonts w:hint="eastAsia" w:ascii="宋体" w:hAnsi="宋体"/>
          <w:color w:val="auto"/>
          <w:szCs w:val="21"/>
        </w:rPr>
        <w:t>注：本授权委托书需由投标人加盖电子印章并由其法定代表人和委托代理人签字或盖章。</w:t>
      </w:r>
    </w:p>
    <w:p>
      <w:pPr>
        <w:snapToGrid w:val="0"/>
        <w:spacing w:line="440" w:lineRule="exact"/>
        <w:rPr>
          <w:rFonts w:ascii="宋体" w:hAnsi="宋体"/>
          <w:color w:val="auto"/>
          <w:szCs w:val="21"/>
        </w:rPr>
      </w:pPr>
    </w:p>
    <w:p>
      <w:pPr>
        <w:snapToGrid w:val="0"/>
        <w:spacing w:line="440" w:lineRule="exact"/>
        <w:ind w:firstLine="4200" w:firstLineChars="2000"/>
        <w:rPr>
          <w:rFonts w:ascii="宋体" w:hAnsi="宋体"/>
          <w:color w:val="auto"/>
          <w:szCs w:val="21"/>
        </w:rPr>
      </w:pPr>
      <w:r>
        <w:rPr>
          <w:rFonts w:hint="eastAsia" w:ascii="宋体" w:hAnsi="宋体"/>
          <w:color w:val="auto"/>
          <w:szCs w:val="21"/>
        </w:rPr>
        <w:t>投  标  人：</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rPr>
        <w:t>（盖单位章）</w:t>
      </w:r>
    </w:p>
    <w:p>
      <w:pPr>
        <w:snapToGrid w:val="0"/>
        <w:spacing w:line="440" w:lineRule="exact"/>
        <w:ind w:firstLine="4200" w:firstLineChars="2000"/>
        <w:rPr>
          <w:rFonts w:ascii="宋体" w:hAnsi="宋体"/>
          <w:color w:val="auto"/>
          <w:szCs w:val="21"/>
        </w:rPr>
      </w:pPr>
    </w:p>
    <w:p>
      <w:pPr>
        <w:snapToGrid w:val="0"/>
        <w:spacing w:line="440" w:lineRule="exact"/>
        <w:ind w:firstLine="4200" w:firstLineChars="200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rPr>
        <w:t>（签字或盖章）</w:t>
      </w:r>
    </w:p>
    <w:p>
      <w:pPr>
        <w:snapToGrid w:val="0"/>
        <w:spacing w:line="440" w:lineRule="exact"/>
        <w:ind w:firstLine="4200" w:firstLineChars="2000"/>
        <w:rPr>
          <w:rFonts w:ascii="宋体" w:hAnsi="宋体"/>
          <w:color w:val="auto"/>
          <w:szCs w:val="21"/>
        </w:rPr>
      </w:pPr>
    </w:p>
    <w:p>
      <w:pPr>
        <w:snapToGrid w:val="0"/>
        <w:spacing w:line="440" w:lineRule="exact"/>
        <w:ind w:firstLine="4200" w:firstLineChars="200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p>
    <w:p>
      <w:pPr>
        <w:snapToGrid w:val="0"/>
        <w:spacing w:line="440" w:lineRule="exact"/>
        <w:ind w:firstLine="4200" w:firstLineChars="2000"/>
        <w:rPr>
          <w:rFonts w:ascii="宋体" w:hAnsi="宋体"/>
          <w:color w:val="auto"/>
          <w:szCs w:val="21"/>
        </w:rPr>
      </w:pPr>
    </w:p>
    <w:p>
      <w:pPr>
        <w:snapToGrid w:val="0"/>
        <w:spacing w:line="440" w:lineRule="exact"/>
        <w:ind w:firstLine="4200" w:firstLineChars="200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rPr>
        <w:t>（签字或盖章）</w:t>
      </w:r>
    </w:p>
    <w:p>
      <w:pPr>
        <w:snapToGrid w:val="0"/>
        <w:spacing w:line="440" w:lineRule="exact"/>
        <w:ind w:firstLine="4200" w:firstLineChars="2000"/>
        <w:rPr>
          <w:rFonts w:ascii="宋体" w:hAnsi="宋体"/>
          <w:color w:val="auto"/>
          <w:szCs w:val="21"/>
        </w:rPr>
      </w:pPr>
    </w:p>
    <w:p>
      <w:pPr>
        <w:snapToGrid w:val="0"/>
        <w:spacing w:line="440" w:lineRule="exact"/>
        <w:ind w:firstLine="4200" w:firstLineChars="200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p>
    <w:p>
      <w:pPr>
        <w:snapToGrid w:val="0"/>
        <w:spacing w:line="440" w:lineRule="exact"/>
        <w:ind w:firstLine="2692" w:firstLineChars="1282"/>
        <w:rPr>
          <w:rFonts w:ascii="宋体" w:hAnsi="宋体"/>
          <w:color w:val="auto"/>
          <w:szCs w:val="21"/>
        </w:rPr>
      </w:pPr>
    </w:p>
    <w:p>
      <w:pPr>
        <w:wordWrap w:val="0"/>
        <w:snapToGrid w:val="0"/>
        <w:spacing w:line="440" w:lineRule="exact"/>
        <w:ind w:firstLine="4057" w:firstLineChars="1932"/>
        <w:jc w:val="right"/>
        <w:rPr>
          <w:rFonts w:ascii="宋体" w:hAnsi="宋体"/>
          <w:color w:val="auto"/>
          <w:szCs w:val="21"/>
        </w:rPr>
      </w:pPr>
      <w:r>
        <w:rPr>
          <w:rFonts w:hint="eastAsia" w:ascii="宋体" w:hAnsi="宋体"/>
          <w:color w:val="auto"/>
          <w:szCs w:val="21"/>
          <w:u w:val="single"/>
        </w:rPr>
        <w:tab/>
      </w:r>
      <w:r>
        <w:rPr>
          <w:rFonts w:hint="eastAsia" w:ascii="宋体" w:hAnsi="宋体"/>
          <w:color w:val="auto"/>
          <w:szCs w:val="21"/>
        </w:rPr>
        <w:t>年</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 xml:space="preserve">日                   </w:t>
      </w:r>
    </w:p>
    <w:p>
      <w:pPr>
        <w:snapToGrid w:val="0"/>
        <w:rPr>
          <w:color w:val="auto"/>
        </w:rPr>
      </w:pPr>
    </w:p>
    <w:p>
      <w:pPr>
        <w:snapToGrid w:val="0"/>
        <w:spacing w:line="360" w:lineRule="auto"/>
        <w:jc w:val="left"/>
        <w:outlineLvl w:val="1"/>
        <w:rPr>
          <w:rFonts w:ascii="宋体" w:hAnsi="宋体"/>
          <w:b/>
          <w:bCs/>
          <w:strike/>
          <w:color w:val="auto"/>
          <w:kern w:val="0"/>
          <w:sz w:val="28"/>
          <w:szCs w:val="28"/>
        </w:rPr>
      </w:pPr>
      <w:r>
        <w:rPr>
          <w:rFonts w:hint="eastAsia" w:ascii="宋体" w:hAnsi="宋体" w:eastAsia="黑体"/>
          <w:color w:val="auto"/>
          <w:kern w:val="0"/>
          <w:sz w:val="36"/>
          <w:szCs w:val="32"/>
        </w:rPr>
        <w:br w:type="page"/>
      </w:r>
      <w:bookmarkStart w:id="570" w:name="_Toc21413"/>
      <w:bookmarkStart w:id="571" w:name="_Toc231"/>
      <w:bookmarkStart w:id="572" w:name="_Toc529196605"/>
      <w:bookmarkStart w:id="573" w:name="_Toc530470648"/>
      <w:bookmarkStart w:id="574" w:name="_Toc2355"/>
      <w:bookmarkStart w:id="575" w:name="_Toc535938756"/>
      <w:r>
        <w:rPr>
          <w:rFonts w:hint="eastAsia" w:ascii="宋体" w:hAnsi="宋体"/>
          <w:b/>
          <w:bCs/>
          <w:strike/>
          <w:color w:val="auto"/>
          <w:kern w:val="0"/>
          <w:sz w:val="28"/>
          <w:szCs w:val="28"/>
        </w:rPr>
        <w:t>三、投标保证金（格式可自定）</w:t>
      </w:r>
      <w:bookmarkEnd w:id="570"/>
      <w:bookmarkEnd w:id="571"/>
      <w:bookmarkEnd w:id="572"/>
      <w:bookmarkEnd w:id="573"/>
      <w:bookmarkEnd w:id="574"/>
      <w:bookmarkEnd w:id="575"/>
    </w:p>
    <w:p>
      <w:pPr>
        <w:snapToGrid w:val="0"/>
        <w:spacing w:line="1" w:lineRule="exact"/>
        <w:rPr>
          <w:rFonts w:ascii="宋体" w:hAnsi="宋体"/>
          <w:strike/>
          <w:color w:val="auto"/>
        </w:rPr>
      </w:pPr>
    </w:p>
    <w:p>
      <w:pPr>
        <w:tabs>
          <w:tab w:val="left" w:pos="720"/>
        </w:tabs>
        <w:snapToGrid w:val="0"/>
        <w:spacing w:line="360" w:lineRule="auto"/>
        <w:outlineLvl w:val="1"/>
        <w:rPr>
          <w:rFonts w:ascii="宋体" w:hAnsi="宋体"/>
          <w:b/>
          <w:color w:val="auto"/>
          <w:sz w:val="28"/>
          <w:szCs w:val="28"/>
        </w:rPr>
      </w:pPr>
      <w:r>
        <w:rPr>
          <w:rFonts w:ascii="宋体" w:hAnsi="宋体"/>
          <w:strike/>
          <w:color w:val="auto"/>
        </w:rPr>
        <w:br w:type="page"/>
      </w:r>
      <w:bookmarkStart w:id="576" w:name="_Toc529196606"/>
      <w:bookmarkStart w:id="577" w:name="_Toc19079"/>
      <w:bookmarkStart w:id="578" w:name="_Toc6578"/>
      <w:bookmarkStart w:id="579" w:name="_Toc23797"/>
      <w:bookmarkStart w:id="580" w:name="_Toc530470649"/>
      <w:bookmarkStart w:id="581" w:name="_Toc535938757"/>
      <w:r>
        <w:rPr>
          <w:rFonts w:hint="eastAsia" w:ascii="宋体" w:hAnsi="宋体"/>
          <w:b/>
          <w:color w:val="auto"/>
          <w:sz w:val="28"/>
          <w:szCs w:val="28"/>
        </w:rPr>
        <w:t>四、监理报酬清单</w:t>
      </w:r>
      <w:bookmarkEnd w:id="576"/>
      <w:bookmarkEnd w:id="577"/>
      <w:bookmarkEnd w:id="578"/>
      <w:bookmarkEnd w:id="579"/>
      <w:bookmarkEnd w:id="580"/>
      <w:bookmarkEnd w:id="581"/>
      <w:r>
        <w:rPr>
          <w:rFonts w:hint="eastAsia" w:ascii="宋体" w:hAnsi="宋体"/>
          <w:b/>
          <w:color w:val="auto"/>
          <w:sz w:val="24"/>
          <w:szCs w:val="24"/>
        </w:rPr>
        <w:t>（格式可自定）</w:t>
      </w:r>
    </w:p>
    <w:p>
      <w:pPr>
        <w:snapToGrid w:val="0"/>
        <w:spacing w:line="360" w:lineRule="auto"/>
        <w:jc w:val="center"/>
        <w:rPr>
          <w:rFonts w:ascii="宋体" w:hAnsi="宋体"/>
          <w:b/>
          <w:color w:val="auto"/>
          <w:sz w:val="24"/>
          <w:szCs w:val="24"/>
        </w:rPr>
      </w:pPr>
      <w:bookmarkStart w:id="582" w:name="_Toc530470650"/>
      <w:bookmarkStart w:id="583" w:name="_Toc525828220"/>
      <w:bookmarkStart w:id="584" w:name="_Toc525827486"/>
      <w:bookmarkStart w:id="585" w:name="_Toc529196608"/>
      <w:bookmarkStart w:id="586" w:name="_Toc361508760"/>
      <w:r>
        <w:rPr>
          <w:rFonts w:hint="eastAsia" w:ascii="宋体" w:hAnsi="宋体"/>
          <w:b/>
          <w:color w:val="auto"/>
          <w:sz w:val="24"/>
          <w:szCs w:val="24"/>
        </w:rPr>
        <w:t>监理费用成本明细</w:t>
      </w:r>
    </w:p>
    <w:tbl>
      <w:tblPr>
        <w:tblStyle w:val="24"/>
        <w:tblW w:w="4998" w:type="pct"/>
        <w:tblInd w:w="0" w:type="dxa"/>
        <w:tblLayout w:type="autofit"/>
        <w:tblCellMar>
          <w:top w:w="0" w:type="dxa"/>
          <w:left w:w="108" w:type="dxa"/>
          <w:bottom w:w="0" w:type="dxa"/>
          <w:right w:w="108" w:type="dxa"/>
        </w:tblCellMar>
      </w:tblPr>
      <w:tblGrid>
        <w:gridCol w:w="880"/>
        <w:gridCol w:w="2600"/>
        <w:gridCol w:w="3821"/>
        <w:gridCol w:w="1680"/>
        <w:gridCol w:w="970"/>
      </w:tblGrid>
      <w:tr>
        <w:tblPrEx>
          <w:tblCellMar>
            <w:top w:w="0" w:type="dxa"/>
            <w:left w:w="108" w:type="dxa"/>
            <w:bottom w:w="0" w:type="dxa"/>
            <w:right w:w="108" w:type="dxa"/>
          </w:tblCellMar>
        </w:tblPrEx>
        <w:trPr>
          <w:trHeight w:val="681"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b/>
                <w:bCs/>
                <w:color w:val="auto"/>
                <w:szCs w:val="21"/>
              </w:rPr>
            </w:pPr>
            <w:r>
              <w:rPr>
                <w:rFonts w:hint="eastAsia" w:ascii="宋体" w:hAnsi="宋体"/>
                <w:b/>
                <w:bCs/>
                <w:color w:val="auto"/>
                <w:szCs w:val="21"/>
              </w:rPr>
              <w:t>序号</w:t>
            </w:r>
          </w:p>
        </w:tc>
        <w:tc>
          <w:tcPr>
            <w:tcW w:w="1305" w:type="pct"/>
            <w:tcBorders>
              <w:top w:val="single" w:color="auto" w:sz="4" w:space="0"/>
              <w:left w:val="nil"/>
              <w:bottom w:val="single" w:color="auto" w:sz="4" w:space="0"/>
              <w:right w:val="single" w:color="auto" w:sz="4" w:space="0"/>
            </w:tcBorders>
            <w:noWrap/>
            <w:vAlign w:val="center"/>
          </w:tcPr>
          <w:p>
            <w:pPr>
              <w:snapToGrid w:val="0"/>
              <w:jc w:val="center"/>
              <w:rPr>
                <w:rFonts w:ascii="宋体" w:hAnsi="宋体"/>
                <w:b/>
                <w:bCs/>
                <w:color w:val="auto"/>
                <w:szCs w:val="21"/>
              </w:rPr>
            </w:pPr>
            <w:r>
              <w:rPr>
                <w:rFonts w:hint="eastAsia" w:ascii="宋体" w:hAnsi="宋体"/>
                <w:b/>
                <w:bCs/>
                <w:color w:val="auto"/>
                <w:szCs w:val="21"/>
              </w:rPr>
              <w:t>监理报酬分项名称</w:t>
            </w:r>
          </w:p>
        </w:tc>
        <w:tc>
          <w:tcPr>
            <w:tcW w:w="1919" w:type="pct"/>
            <w:tcBorders>
              <w:top w:val="single" w:color="auto" w:sz="4" w:space="0"/>
              <w:left w:val="nil"/>
              <w:bottom w:val="single" w:color="auto" w:sz="4" w:space="0"/>
              <w:right w:val="single" w:color="auto" w:sz="4" w:space="0"/>
            </w:tcBorders>
            <w:noWrap/>
            <w:vAlign w:val="center"/>
          </w:tcPr>
          <w:p>
            <w:pPr>
              <w:snapToGrid w:val="0"/>
              <w:jc w:val="center"/>
              <w:rPr>
                <w:rFonts w:ascii="宋体" w:hAnsi="宋体"/>
                <w:b/>
                <w:bCs/>
                <w:color w:val="auto"/>
                <w:szCs w:val="21"/>
              </w:rPr>
            </w:pPr>
            <w:r>
              <w:rPr>
                <w:rFonts w:hint="eastAsia" w:ascii="宋体" w:hAnsi="宋体"/>
                <w:b/>
                <w:bCs/>
                <w:color w:val="auto"/>
                <w:szCs w:val="21"/>
              </w:rPr>
              <w:t>计算依据、过程和公式</w:t>
            </w:r>
          </w:p>
        </w:tc>
        <w:tc>
          <w:tcPr>
            <w:tcW w:w="844" w:type="pct"/>
            <w:tcBorders>
              <w:top w:val="single" w:color="auto" w:sz="4" w:space="0"/>
              <w:left w:val="nil"/>
              <w:bottom w:val="single" w:color="auto" w:sz="4" w:space="0"/>
              <w:right w:val="single" w:color="auto" w:sz="4" w:space="0"/>
            </w:tcBorders>
            <w:noWrap/>
            <w:vAlign w:val="center"/>
          </w:tcPr>
          <w:p>
            <w:pPr>
              <w:snapToGrid w:val="0"/>
              <w:jc w:val="center"/>
              <w:rPr>
                <w:rFonts w:ascii="宋体" w:hAnsi="宋体"/>
                <w:b/>
                <w:bCs/>
                <w:color w:val="auto"/>
                <w:szCs w:val="21"/>
              </w:rPr>
            </w:pPr>
            <w:r>
              <w:rPr>
                <w:rFonts w:hint="eastAsia" w:ascii="宋体" w:hAnsi="宋体"/>
                <w:b/>
                <w:bCs/>
                <w:color w:val="auto"/>
                <w:szCs w:val="21"/>
              </w:rPr>
              <w:t>金额（元）</w:t>
            </w:r>
          </w:p>
        </w:tc>
        <w:tc>
          <w:tcPr>
            <w:tcW w:w="487" w:type="pct"/>
            <w:tcBorders>
              <w:top w:val="single" w:color="auto" w:sz="4" w:space="0"/>
              <w:left w:val="nil"/>
              <w:bottom w:val="single" w:color="auto" w:sz="4" w:space="0"/>
              <w:right w:val="single" w:color="auto" w:sz="4" w:space="0"/>
            </w:tcBorders>
            <w:noWrap/>
            <w:vAlign w:val="center"/>
          </w:tcPr>
          <w:p>
            <w:pPr>
              <w:snapToGrid w:val="0"/>
              <w:jc w:val="center"/>
              <w:rPr>
                <w:rFonts w:ascii="宋体" w:hAnsi="宋体"/>
                <w:b/>
                <w:bCs/>
                <w:color w:val="auto"/>
                <w:szCs w:val="21"/>
              </w:rPr>
            </w:pPr>
            <w:r>
              <w:rPr>
                <w:rFonts w:hint="eastAsia" w:ascii="宋体" w:hAnsi="宋体"/>
                <w:b/>
                <w:bCs/>
                <w:color w:val="auto"/>
                <w:szCs w:val="21"/>
              </w:rPr>
              <w:t>备注</w:t>
            </w:r>
          </w:p>
        </w:tc>
      </w:tr>
      <w:tr>
        <w:tblPrEx>
          <w:tblCellMar>
            <w:top w:w="0" w:type="dxa"/>
            <w:left w:w="108" w:type="dxa"/>
            <w:bottom w:w="0" w:type="dxa"/>
            <w:right w:w="108" w:type="dxa"/>
          </w:tblCellMar>
        </w:tblPrEx>
        <w:trPr>
          <w:trHeight w:val="660"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b/>
                <w:bCs/>
                <w:color w:val="auto"/>
                <w:szCs w:val="21"/>
              </w:rPr>
            </w:pPr>
            <w:r>
              <w:rPr>
                <w:rFonts w:hint="eastAsia" w:ascii="宋体" w:hAnsi="宋体"/>
                <w:b/>
                <w:bCs/>
                <w:color w:val="auto"/>
                <w:szCs w:val="21"/>
              </w:rPr>
              <w:t>1</w:t>
            </w:r>
          </w:p>
        </w:tc>
        <w:tc>
          <w:tcPr>
            <w:tcW w:w="1305"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1919"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844"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487"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r>
      <w:tr>
        <w:tblPrEx>
          <w:tblCellMar>
            <w:top w:w="0" w:type="dxa"/>
            <w:left w:w="108" w:type="dxa"/>
            <w:bottom w:w="0" w:type="dxa"/>
            <w:right w:w="108" w:type="dxa"/>
          </w:tblCellMar>
        </w:tblPrEx>
        <w:trPr>
          <w:trHeight w:val="556"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b/>
                <w:bCs/>
                <w:color w:val="auto"/>
                <w:szCs w:val="21"/>
              </w:rPr>
            </w:pPr>
            <w:r>
              <w:rPr>
                <w:rFonts w:hint="eastAsia" w:ascii="宋体" w:hAnsi="宋体"/>
                <w:b/>
                <w:bCs/>
                <w:color w:val="auto"/>
                <w:szCs w:val="21"/>
              </w:rPr>
              <w:t>2</w:t>
            </w:r>
          </w:p>
        </w:tc>
        <w:tc>
          <w:tcPr>
            <w:tcW w:w="1305"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1919"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844"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487"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r>
      <w:tr>
        <w:tblPrEx>
          <w:tblCellMar>
            <w:top w:w="0" w:type="dxa"/>
            <w:left w:w="108" w:type="dxa"/>
            <w:bottom w:w="0" w:type="dxa"/>
            <w:right w:w="108" w:type="dxa"/>
          </w:tblCellMar>
        </w:tblPrEx>
        <w:trPr>
          <w:trHeight w:val="564"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b/>
                <w:bCs/>
                <w:color w:val="auto"/>
                <w:szCs w:val="21"/>
              </w:rPr>
            </w:pPr>
            <w:r>
              <w:rPr>
                <w:rFonts w:hint="eastAsia" w:ascii="宋体" w:hAnsi="宋体"/>
                <w:b/>
                <w:bCs/>
                <w:color w:val="auto"/>
                <w:szCs w:val="21"/>
              </w:rPr>
              <w:t>3</w:t>
            </w:r>
          </w:p>
        </w:tc>
        <w:tc>
          <w:tcPr>
            <w:tcW w:w="1305"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1919"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844"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487"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r>
      <w:tr>
        <w:tblPrEx>
          <w:tblCellMar>
            <w:top w:w="0" w:type="dxa"/>
            <w:left w:w="108" w:type="dxa"/>
            <w:bottom w:w="0" w:type="dxa"/>
            <w:right w:w="108" w:type="dxa"/>
          </w:tblCellMar>
        </w:tblPrEx>
        <w:trPr>
          <w:trHeight w:val="544"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b/>
                <w:bCs/>
                <w:color w:val="auto"/>
                <w:szCs w:val="21"/>
              </w:rPr>
            </w:pPr>
            <w:r>
              <w:rPr>
                <w:rFonts w:hint="eastAsia" w:ascii="宋体" w:hAnsi="宋体"/>
                <w:b/>
                <w:bCs/>
                <w:color w:val="auto"/>
                <w:szCs w:val="21"/>
              </w:rPr>
              <w:t>4</w:t>
            </w:r>
          </w:p>
        </w:tc>
        <w:tc>
          <w:tcPr>
            <w:tcW w:w="1305"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1919"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844"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487"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r>
      <w:tr>
        <w:tblPrEx>
          <w:tblCellMar>
            <w:top w:w="0" w:type="dxa"/>
            <w:left w:w="108" w:type="dxa"/>
            <w:bottom w:w="0" w:type="dxa"/>
            <w:right w:w="108" w:type="dxa"/>
          </w:tblCellMar>
        </w:tblPrEx>
        <w:trPr>
          <w:trHeight w:val="708"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b/>
                <w:bCs/>
                <w:color w:val="auto"/>
                <w:szCs w:val="21"/>
              </w:rPr>
            </w:pPr>
            <w:r>
              <w:rPr>
                <w:rFonts w:hint="eastAsia" w:ascii="宋体" w:hAnsi="宋体"/>
                <w:b/>
                <w:bCs/>
                <w:color w:val="auto"/>
                <w:szCs w:val="21"/>
              </w:rPr>
              <w:t>5</w:t>
            </w:r>
          </w:p>
        </w:tc>
        <w:tc>
          <w:tcPr>
            <w:tcW w:w="1305"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1919"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844"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487"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r>
      <w:tr>
        <w:tblPrEx>
          <w:tblCellMar>
            <w:top w:w="0" w:type="dxa"/>
            <w:left w:w="108" w:type="dxa"/>
            <w:bottom w:w="0" w:type="dxa"/>
            <w:right w:w="108" w:type="dxa"/>
          </w:tblCellMar>
        </w:tblPrEx>
        <w:trPr>
          <w:trHeight w:val="704"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b/>
                <w:bCs/>
                <w:color w:val="auto"/>
                <w:szCs w:val="21"/>
              </w:rPr>
            </w:pPr>
            <w:r>
              <w:rPr>
                <w:rFonts w:hint="eastAsia" w:ascii="宋体" w:hAnsi="宋体"/>
                <w:b/>
                <w:bCs/>
                <w:color w:val="auto"/>
                <w:szCs w:val="21"/>
              </w:rPr>
              <w:t>……</w:t>
            </w:r>
          </w:p>
        </w:tc>
        <w:tc>
          <w:tcPr>
            <w:tcW w:w="1305"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1919"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844"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487"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r>
      <w:tr>
        <w:tblPrEx>
          <w:tblCellMar>
            <w:top w:w="0" w:type="dxa"/>
            <w:left w:w="108" w:type="dxa"/>
            <w:bottom w:w="0" w:type="dxa"/>
            <w:right w:w="108" w:type="dxa"/>
          </w:tblCellMar>
        </w:tblPrEx>
        <w:trPr>
          <w:trHeight w:val="686" w:hRule="atLeast"/>
        </w:trPr>
        <w:tc>
          <w:tcPr>
            <w:tcW w:w="1748" w:type="pct"/>
            <w:gridSpan w:val="2"/>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b/>
                <w:bCs/>
                <w:color w:val="auto"/>
                <w:szCs w:val="21"/>
              </w:rPr>
            </w:pPr>
            <w:r>
              <w:rPr>
                <w:rFonts w:hint="eastAsia" w:ascii="宋体" w:hAnsi="宋体"/>
                <w:b/>
                <w:bCs/>
                <w:color w:val="auto"/>
                <w:szCs w:val="21"/>
              </w:rPr>
              <w:t>合计费用（元）</w:t>
            </w:r>
          </w:p>
        </w:tc>
        <w:tc>
          <w:tcPr>
            <w:tcW w:w="1919"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844"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c>
          <w:tcPr>
            <w:tcW w:w="487" w:type="pct"/>
            <w:tcBorders>
              <w:top w:val="single" w:color="auto" w:sz="4" w:space="0"/>
              <w:left w:val="nil"/>
              <w:bottom w:val="single" w:color="auto" w:sz="4" w:space="0"/>
              <w:right w:val="single" w:color="auto" w:sz="4" w:space="0"/>
            </w:tcBorders>
            <w:noWrap/>
            <w:vAlign w:val="center"/>
          </w:tcPr>
          <w:p>
            <w:pPr>
              <w:snapToGrid w:val="0"/>
              <w:rPr>
                <w:rFonts w:ascii="宋体" w:hAnsi="宋体"/>
                <w:b/>
                <w:bCs/>
                <w:color w:val="auto"/>
                <w:szCs w:val="21"/>
              </w:rPr>
            </w:pPr>
          </w:p>
        </w:tc>
      </w:tr>
    </w:tbl>
    <w:p>
      <w:pPr>
        <w:topLinePunct/>
        <w:adjustRightInd w:val="0"/>
        <w:snapToGrid w:val="0"/>
        <w:spacing w:line="360" w:lineRule="auto"/>
        <w:ind w:firstLine="436" w:firstLineChars="200"/>
        <w:rPr>
          <w:rFonts w:ascii="宋体" w:hAnsi="宋体"/>
          <w:color w:val="auto"/>
          <w:spacing w:val="4"/>
          <w:kern w:val="0"/>
          <w:szCs w:val="21"/>
        </w:rPr>
      </w:pPr>
      <w:r>
        <w:rPr>
          <w:rFonts w:hint="eastAsia" w:ascii="宋体" w:hAnsi="宋体"/>
          <w:color w:val="auto"/>
          <w:spacing w:val="4"/>
          <w:kern w:val="0"/>
          <w:szCs w:val="21"/>
        </w:rPr>
        <w:t>备注：</w:t>
      </w:r>
    </w:p>
    <w:p>
      <w:pPr>
        <w:spacing w:line="400" w:lineRule="exact"/>
        <w:rPr>
          <w:rFonts w:ascii="宋体" w:hAnsi="宋体" w:cs="宋体"/>
          <w:color w:val="auto"/>
          <w:szCs w:val="21"/>
        </w:rPr>
      </w:pPr>
      <w:r>
        <w:rPr>
          <w:rFonts w:hint="eastAsia" w:ascii="宋体" w:hAnsi="宋体" w:cs="宋体"/>
          <w:snapToGrid w:val="0"/>
          <w:color w:val="auto"/>
          <w:spacing w:val="4"/>
          <w:kern w:val="0"/>
          <w:szCs w:val="21"/>
        </w:rPr>
        <w:t>1.监理报酬报价总金额不能超过</w:t>
      </w:r>
      <w:r>
        <w:rPr>
          <w:rFonts w:hint="eastAsia" w:ascii="宋体" w:hAnsi="宋体" w:cs="宋体"/>
          <w:color w:val="auto"/>
          <w:szCs w:val="21"/>
        </w:rPr>
        <w:t>最高投标限价总价。</w:t>
      </w:r>
    </w:p>
    <w:p>
      <w:pPr>
        <w:spacing w:line="400" w:lineRule="exact"/>
        <w:rPr>
          <w:rFonts w:ascii="宋体" w:hAnsi="宋体" w:cs="宋体"/>
          <w:snapToGrid w:val="0"/>
          <w:color w:val="auto"/>
          <w:spacing w:val="4"/>
          <w:kern w:val="0"/>
          <w:szCs w:val="21"/>
        </w:rPr>
      </w:pPr>
      <w:r>
        <w:rPr>
          <w:rFonts w:hint="eastAsia" w:ascii="宋体" w:hAnsi="宋体" w:cs="宋体"/>
          <w:snapToGrid w:val="0"/>
          <w:color w:val="auto"/>
          <w:spacing w:val="4"/>
          <w:kern w:val="0"/>
          <w:szCs w:val="21"/>
        </w:rPr>
        <w:t>2.监理费投标报价：包括但不限于监理设备、劳务、管理、交通、维护、保险、利润、税金、政策性文件规定及合同包含的所有风险、责任等各项所有费用；</w:t>
      </w:r>
    </w:p>
    <w:p>
      <w:pPr>
        <w:spacing w:line="400" w:lineRule="exact"/>
        <w:rPr>
          <w:rFonts w:ascii="宋体" w:hAnsi="宋体" w:cs="宋体"/>
          <w:snapToGrid w:val="0"/>
          <w:color w:val="auto"/>
          <w:spacing w:val="4"/>
          <w:kern w:val="0"/>
          <w:szCs w:val="21"/>
        </w:rPr>
      </w:pPr>
      <w:r>
        <w:rPr>
          <w:rFonts w:hint="eastAsia" w:ascii="宋体" w:hAnsi="宋体" w:cs="宋体"/>
          <w:snapToGrid w:val="0"/>
          <w:color w:val="auto"/>
          <w:spacing w:val="4"/>
          <w:kern w:val="0"/>
          <w:szCs w:val="21"/>
        </w:rPr>
        <w:t>3.投标人报价应包含监理单位在监理服务实施中应缴纳的一切税费。如果政府出台新的税费政策，则按照新政策执行；</w:t>
      </w:r>
    </w:p>
    <w:p>
      <w:pPr>
        <w:spacing w:line="400" w:lineRule="exact"/>
        <w:rPr>
          <w:rFonts w:ascii="宋体" w:hAnsi="宋体" w:cs="宋体"/>
          <w:snapToGrid w:val="0"/>
          <w:color w:val="auto"/>
          <w:spacing w:val="4"/>
          <w:kern w:val="0"/>
          <w:szCs w:val="21"/>
        </w:rPr>
      </w:pPr>
      <w:r>
        <w:rPr>
          <w:rFonts w:hint="eastAsia" w:ascii="宋体" w:hAnsi="宋体" w:cs="宋体"/>
          <w:snapToGrid w:val="0"/>
          <w:color w:val="auto"/>
          <w:spacing w:val="4"/>
          <w:kern w:val="0"/>
          <w:szCs w:val="21"/>
        </w:rPr>
        <w:t>4.投标报价均采用人民币计算，以“元”为单位，只保留小数点后两位，小数点后第三位及第三位数后做舍弃。</w:t>
      </w:r>
    </w:p>
    <w:p>
      <w:pPr>
        <w:topLinePunct/>
        <w:adjustRightInd w:val="0"/>
        <w:snapToGrid w:val="0"/>
        <w:spacing w:line="360" w:lineRule="auto"/>
        <w:ind w:firstLine="436" w:firstLineChars="200"/>
        <w:rPr>
          <w:rFonts w:ascii="Times New Roman" w:hAnsi="Times New Roman"/>
          <w:color w:val="auto"/>
          <w:spacing w:val="4"/>
          <w:kern w:val="0"/>
          <w:szCs w:val="21"/>
        </w:rPr>
      </w:pPr>
    </w:p>
    <w:p>
      <w:pPr>
        <w:topLinePunct/>
        <w:adjustRightInd w:val="0"/>
        <w:snapToGrid w:val="0"/>
        <w:spacing w:line="480" w:lineRule="auto"/>
        <w:ind w:firstLine="3998" w:firstLineChars="1834"/>
        <w:rPr>
          <w:rFonts w:ascii="宋体" w:hAnsi="宋体"/>
          <w:color w:val="auto"/>
          <w:spacing w:val="4"/>
          <w:kern w:val="0"/>
          <w:szCs w:val="21"/>
        </w:rPr>
      </w:pPr>
      <w:r>
        <w:rPr>
          <w:rFonts w:hint="eastAsia" w:ascii="Times New Roman" w:hAnsi="Times New Roman"/>
          <w:color w:val="auto"/>
          <w:spacing w:val="4"/>
          <w:kern w:val="0"/>
          <w:szCs w:val="21"/>
        </w:rPr>
        <w:t>投</w:t>
      </w:r>
      <w:r>
        <w:rPr>
          <w:rFonts w:hint="eastAsia" w:ascii="宋体" w:hAnsi="宋体"/>
          <w:color w:val="auto"/>
          <w:spacing w:val="4"/>
          <w:kern w:val="0"/>
          <w:szCs w:val="21"/>
        </w:rPr>
        <w:t xml:space="preserve"> 标 人：</w:t>
      </w:r>
      <w:r>
        <w:rPr>
          <w:rFonts w:hint="eastAsia" w:ascii="宋体" w:hAnsi="宋体"/>
          <w:color w:val="auto"/>
          <w:spacing w:val="4"/>
          <w:kern w:val="0"/>
          <w:szCs w:val="21"/>
          <w:u w:val="single"/>
        </w:rPr>
        <w:t xml:space="preserve">                                 </w:t>
      </w:r>
      <w:r>
        <w:rPr>
          <w:rFonts w:hint="eastAsia" w:ascii="宋体" w:hAnsi="宋体"/>
          <w:color w:val="auto"/>
          <w:spacing w:val="4"/>
          <w:kern w:val="0"/>
          <w:szCs w:val="21"/>
        </w:rPr>
        <w:t>(盖公章)</w:t>
      </w:r>
    </w:p>
    <w:p>
      <w:pPr>
        <w:topLinePunct/>
        <w:adjustRightInd w:val="0"/>
        <w:snapToGrid w:val="0"/>
        <w:spacing w:line="480" w:lineRule="auto"/>
        <w:ind w:firstLine="3998" w:firstLineChars="1834"/>
        <w:rPr>
          <w:rFonts w:ascii="Times New Roman" w:hAnsi="Times New Roman"/>
          <w:color w:val="auto"/>
          <w:spacing w:val="4"/>
          <w:kern w:val="0"/>
          <w:szCs w:val="21"/>
        </w:rPr>
      </w:pPr>
      <w:r>
        <w:rPr>
          <w:rFonts w:hint="eastAsia" w:ascii="Times New Roman" w:hAnsi="Times New Roman"/>
          <w:color w:val="auto"/>
          <w:spacing w:val="4"/>
          <w:kern w:val="0"/>
          <w:szCs w:val="21"/>
        </w:rPr>
        <w:t>法定代表人(或被授权人)：</w:t>
      </w:r>
      <w:r>
        <w:rPr>
          <w:rFonts w:hint="eastAsia" w:ascii="Times New Roman" w:hAnsi="Times New Roman"/>
          <w:color w:val="auto"/>
          <w:spacing w:val="4"/>
          <w:kern w:val="0"/>
          <w:szCs w:val="21"/>
          <w:u w:val="single"/>
        </w:rPr>
        <w:t xml:space="preserve">          </w:t>
      </w:r>
      <w:r>
        <w:rPr>
          <w:rFonts w:hint="eastAsia" w:ascii="Times New Roman" w:hAnsi="Times New Roman"/>
          <w:color w:val="auto"/>
          <w:spacing w:val="4"/>
          <w:kern w:val="0"/>
          <w:szCs w:val="21"/>
        </w:rPr>
        <w:t>（签字或盖章）</w:t>
      </w:r>
    </w:p>
    <w:p>
      <w:pPr>
        <w:topLinePunct/>
        <w:adjustRightInd w:val="0"/>
        <w:snapToGrid w:val="0"/>
        <w:spacing w:line="480" w:lineRule="auto"/>
        <w:ind w:firstLine="3998" w:firstLineChars="1834"/>
        <w:rPr>
          <w:rFonts w:ascii="宋体" w:hAnsi="宋体"/>
          <w:color w:val="auto"/>
          <w:spacing w:val="4"/>
          <w:kern w:val="0"/>
          <w:szCs w:val="21"/>
        </w:rPr>
      </w:pPr>
      <w:r>
        <w:rPr>
          <w:rFonts w:hint="eastAsia" w:ascii="宋体" w:hAnsi="宋体"/>
          <w:color w:val="auto"/>
          <w:spacing w:val="4"/>
          <w:kern w:val="0"/>
          <w:szCs w:val="21"/>
        </w:rPr>
        <w:t>日    期：</w:t>
      </w:r>
      <w:r>
        <w:rPr>
          <w:rFonts w:hint="eastAsia" w:ascii="宋体" w:hAnsi="宋体"/>
          <w:color w:val="auto"/>
          <w:spacing w:val="4"/>
          <w:kern w:val="0"/>
          <w:szCs w:val="21"/>
          <w:u w:val="single"/>
        </w:rPr>
        <w:t xml:space="preserve">        </w:t>
      </w:r>
      <w:r>
        <w:rPr>
          <w:rFonts w:hint="eastAsia" w:ascii="宋体" w:hAnsi="宋体"/>
          <w:color w:val="auto"/>
          <w:spacing w:val="4"/>
          <w:kern w:val="0"/>
          <w:szCs w:val="21"/>
        </w:rPr>
        <w:t xml:space="preserve">年 </w:t>
      </w:r>
      <w:r>
        <w:rPr>
          <w:rFonts w:hint="eastAsia" w:ascii="宋体" w:hAnsi="宋体"/>
          <w:color w:val="auto"/>
          <w:spacing w:val="4"/>
          <w:kern w:val="0"/>
          <w:szCs w:val="21"/>
          <w:u w:val="single"/>
        </w:rPr>
        <w:t xml:space="preserve">       </w:t>
      </w:r>
      <w:r>
        <w:rPr>
          <w:rFonts w:hint="eastAsia" w:ascii="宋体" w:hAnsi="宋体"/>
          <w:color w:val="auto"/>
          <w:spacing w:val="4"/>
          <w:kern w:val="0"/>
          <w:szCs w:val="21"/>
        </w:rPr>
        <w:t>月</w:t>
      </w:r>
      <w:r>
        <w:rPr>
          <w:rFonts w:hint="eastAsia" w:ascii="宋体" w:hAnsi="宋体"/>
          <w:color w:val="auto"/>
          <w:spacing w:val="4"/>
          <w:kern w:val="0"/>
          <w:szCs w:val="21"/>
          <w:u w:val="single"/>
        </w:rPr>
        <w:t xml:space="preserve">        </w:t>
      </w:r>
      <w:r>
        <w:rPr>
          <w:rFonts w:hint="eastAsia" w:ascii="宋体" w:hAnsi="宋体"/>
          <w:color w:val="auto"/>
          <w:spacing w:val="4"/>
          <w:kern w:val="0"/>
          <w:szCs w:val="21"/>
        </w:rPr>
        <w:t>日</w:t>
      </w:r>
    </w:p>
    <w:p>
      <w:pPr>
        <w:topLinePunct/>
        <w:adjustRightInd w:val="0"/>
        <w:snapToGrid w:val="0"/>
        <w:spacing w:line="480" w:lineRule="auto"/>
        <w:ind w:firstLine="3998" w:firstLineChars="1834"/>
        <w:rPr>
          <w:rFonts w:ascii="Times New Roman" w:hAnsi="Times New Roman"/>
          <w:color w:val="auto"/>
          <w:spacing w:val="4"/>
          <w:kern w:val="0"/>
          <w:szCs w:val="21"/>
          <w:u w:val="single"/>
        </w:rPr>
      </w:pPr>
      <w:r>
        <w:rPr>
          <w:rFonts w:hint="eastAsia" w:ascii="Times New Roman" w:hAnsi="Times New Roman"/>
          <w:color w:val="auto"/>
          <w:spacing w:val="4"/>
          <w:kern w:val="0"/>
          <w:szCs w:val="21"/>
        </w:rPr>
        <w:t>电    话：</w:t>
      </w:r>
      <w:r>
        <w:rPr>
          <w:rFonts w:hint="eastAsia" w:ascii="宋体" w:hAnsi="宋体"/>
          <w:color w:val="auto"/>
          <w:spacing w:val="4"/>
          <w:kern w:val="0"/>
          <w:szCs w:val="21"/>
          <w:u w:val="single"/>
        </w:rPr>
        <w:t xml:space="preserve">                                         </w:t>
      </w:r>
    </w:p>
    <w:p>
      <w:pPr>
        <w:topLinePunct/>
        <w:adjustRightInd w:val="0"/>
        <w:snapToGrid w:val="0"/>
        <w:spacing w:line="480" w:lineRule="auto"/>
        <w:ind w:firstLine="3998" w:firstLineChars="1834"/>
        <w:rPr>
          <w:rFonts w:ascii="Times New Roman" w:hAnsi="Times New Roman"/>
          <w:color w:val="auto"/>
          <w:spacing w:val="4"/>
          <w:kern w:val="0"/>
          <w:szCs w:val="21"/>
        </w:rPr>
      </w:pPr>
      <w:r>
        <w:rPr>
          <w:rFonts w:hint="eastAsia" w:ascii="Times New Roman" w:hAnsi="Times New Roman"/>
          <w:color w:val="auto"/>
          <w:spacing w:val="4"/>
          <w:kern w:val="0"/>
          <w:szCs w:val="21"/>
        </w:rPr>
        <w:t>传    真：</w:t>
      </w:r>
      <w:r>
        <w:rPr>
          <w:rFonts w:hint="eastAsia" w:ascii="宋体" w:hAnsi="宋体"/>
          <w:color w:val="auto"/>
          <w:spacing w:val="4"/>
          <w:kern w:val="0"/>
          <w:szCs w:val="21"/>
          <w:u w:val="single"/>
        </w:rPr>
        <w:t xml:space="preserve">                                         </w:t>
      </w:r>
    </w:p>
    <w:bookmarkEnd w:id="582"/>
    <w:bookmarkEnd w:id="583"/>
    <w:bookmarkEnd w:id="584"/>
    <w:bookmarkEnd w:id="585"/>
    <w:p>
      <w:pPr>
        <w:snapToGrid w:val="0"/>
        <w:spacing w:line="360" w:lineRule="auto"/>
        <w:jc w:val="left"/>
        <w:outlineLvl w:val="1"/>
        <w:rPr>
          <w:rFonts w:ascii="宋体" w:hAnsi="宋体"/>
          <w:b/>
          <w:bCs/>
          <w:color w:val="auto"/>
          <w:kern w:val="0"/>
          <w:sz w:val="28"/>
          <w:szCs w:val="28"/>
        </w:rPr>
      </w:pPr>
      <w:r>
        <w:rPr>
          <w:rFonts w:hint="eastAsia" w:ascii="宋体" w:hAnsi="宋体" w:eastAsia="黑体"/>
          <w:color w:val="auto"/>
          <w:kern w:val="0"/>
          <w:sz w:val="36"/>
          <w:szCs w:val="24"/>
        </w:rPr>
        <w:br w:type="page"/>
      </w:r>
      <w:bookmarkStart w:id="587" w:name="_Toc15500"/>
      <w:bookmarkStart w:id="588" w:name="_Toc14591"/>
      <w:bookmarkStart w:id="589" w:name="_Toc14610"/>
      <w:r>
        <w:rPr>
          <w:rFonts w:hint="eastAsia" w:ascii="宋体" w:hAnsi="宋体"/>
          <w:b/>
          <w:color w:val="auto"/>
          <w:kern w:val="0"/>
          <w:sz w:val="28"/>
          <w:szCs w:val="28"/>
        </w:rPr>
        <w:t>五</w:t>
      </w:r>
      <w:r>
        <w:rPr>
          <w:rFonts w:hint="eastAsia" w:ascii="宋体" w:hAnsi="宋体"/>
          <w:b/>
          <w:bCs/>
          <w:color w:val="auto"/>
          <w:kern w:val="0"/>
          <w:sz w:val="28"/>
          <w:szCs w:val="28"/>
        </w:rPr>
        <w:t>、</w:t>
      </w:r>
      <w:bookmarkStart w:id="590" w:name="_Hlk22686998"/>
      <w:r>
        <w:rPr>
          <w:rFonts w:hint="eastAsia" w:ascii="宋体" w:hAnsi="宋体"/>
          <w:b/>
          <w:bCs/>
          <w:color w:val="auto"/>
          <w:kern w:val="0"/>
          <w:sz w:val="28"/>
          <w:szCs w:val="28"/>
        </w:rPr>
        <w:t>资格审查资料</w:t>
      </w:r>
      <w:bookmarkEnd w:id="587"/>
      <w:bookmarkEnd w:id="588"/>
      <w:bookmarkEnd w:id="589"/>
      <w:bookmarkEnd w:id="590"/>
    </w:p>
    <w:p>
      <w:pPr>
        <w:snapToGrid w:val="0"/>
        <w:spacing w:line="360" w:lineRule="auto"/>
        <w:ind w:firstLine="136"/>
        <w:outlineLvl w:val="2"/>
        <w:rPr>
          <w:rFonts w:ascii="宋体" w:hAnsi="宋体"/>
          <w:b/>
          <w:bCs/>
          <w:color w:val="auto"/>
          <w:sz w:val="24"/>
          <w:szCs w:val="24"/>
        </w:rPr>
      </w:pPr>
      <w:bookmarkStart w:id="591" w:name="_Toc25892"/>
      <w:bookmarkStart w:id="592" w:name="_Toc5954"/>
      <w:bookmarkStart w:id="593" w:name="_Toc4103"/>
      <w:r>
        <w:rPr>
          <w:rFonts w:hint="eastAsia" w:ascii="宋体" w:hAnsi="宋体"/>
          <w:b/>
          <w:bCs/>
          <w:color w:val="auto"/>
          <w:sz w:val="24"/>
          <w:szCs w:val="24"/>
        </w:rPr>
        <w:t>（一）基本情况表（格式可自定）</w:t>
      </w:r>
      <w:bookmarkEnd w:id="591"/>
      <w:bookmarkEnd w:id="592"/>
      <w:bookmarkEnd w:id="593"/>
    </w:p>
    <w:tbl>
      <w:tblPr>
        <w:tblStyle w:val="24"/>
        <w:tblW w:w="5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52"/>
        <w:gridCol w:w="1368"/>
        <w:gridCol w:w="1121"/>
        <w:gridCol w:w="1055"/>
        <w:gridCol w:w="297"/>
        <w:gridCol w:w="1120"/>
        <w:gridCol w:w="66"/>
        <w:gridCol w:w="1597"/>
        <w:gridCol w:w="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注册地址</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674"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邮政编码</w:t>
            </w:r>
          </w:p>
        </w:tc>
        <w:tc>
          <w:tcPr>
            <w:tcW w:w="1388"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vMerge w:val="restart"/>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联系方式</w:t>
            </w:r>
          </w:p>
        </w:tc>
        <w:tc>
          <w:tcPr>
            <w:tcW w:w="674"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w:t>
            </w:r>
          </w:p>
        </w:tc>
        <w:tc>
          <w:tcPr>
            <w:tcW w:w="1241"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674"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 话</w:t>
            </w:r>
          </w:p>
        </w:tc>
        <w:tc>
          <w:tcPr>
            <w:tcW w:w="1388"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Theme="minorEastAsia" w:hAnsiTheme="minorEastAsia" w:eastAsiaTheme="minorEastAsia" w:cstheme="minorEastAsia"/>
                <w:color w:val="auto"/>
                <w:szCs w:val="21"/>
              </w:rPr>
            </w:pPr>
          </w:p>
        </w:tc>
        <w:tc>
          <w:tcPr>
            <w:tcW w:w="674"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  真</w:t>
            </w:r>
          </w:p>
        </w:tc>
        <w:tc>
          <w:tcPr>
            <w:tcW w:w="1241"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674"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网 址</w:t>
            </w:r>
          </w:p>
        </w:tc>
        <w:tc>
          <w:tcPr>
            <w:tcW w:w="1388"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w:t>
            </w:r>
          </w:p>
        </w:tc>
        <w:tc>
          <w:tcPr>
            <w:tcW w:w="674"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682"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55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技术职称</w:t>
            </w:r>
          </w:p>
        </w:tc>
        <w:tc>
          <w:tcPr>
            <w:tcW w:w="674"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55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技术负责人</w:t>
            </w:r>
          </w:p>
        </w:tc>
        <w:tc>
          <w:tcPr>
            <w:tcW w:w="674"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682"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55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技术职称</w:t>
            </w:r>
          </w:p>
        </w:tc>
        <w:tc>
          <w:tcPr>
            <w:tcW w:w="674"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559"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电话</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企业监理资质证书</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ind w:firstLine="105" w:firstLineChars="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质量管理体系证书（如有）</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ind w:firstLine="105" w:firstLineChars="5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营业执照号</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2062" w:type="pct"/>
            <w:gridSpan w:val="5"/>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注册资本</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526" w:type="pct"/>
            <w:vMerge w:val="restar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其中</w:t>
            </w:r>
          </w:p>
        </w:tc>
        <w:tc>
          <w:tcPr>
            <w:tcW w:w="740"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高级职称人员</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成立日期</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52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Theme="minorEastAsia" w:hAnsiTheme="minorEastAsia" w:eastAsiaTheme="minorEastAsia" w:cstheme="minorEastAsia"/>
                <w:color w:val="auto"/>
                <w:szCs w:val="21"/>
              </w:rPr>
            </w:pPr>
          </w:p>
        </w:tc>
        <w:tc>
          <w:tcPr>
            <w:tcW w:w="740"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中级职称人员</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基本账户开户银行</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52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Theme="minorEastAsia" w:hAnsiTheme="minorEastAsia" w:eastAsiaTheme="minorEastAsia" w:cstheme="minorEastAsia"/>
                <w:color w:val="auto"/>
                <w:szCs w:val="21"/>
              </w:rPr>
            </w:pPr>
          </w:p>
        </w:tc>
        <w:tc>
          <w:tcPr>
            <w:tcW w:w="740"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技术人员数量</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基本账户银行账号</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c>
          <w:tcPr>
            <w:tcW w:w="52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Theme="minorEastAsia" w:hAnsiTheme="minorEastAsia" w:eastAsiaTheme="minorEastAsia" w:cstheme="minorEastAsia"/>
                <w:color w:val="auto"/>
                <w:szCs w:val="21"/>
              </w:rPr>
            </w:pPr>
          </w:p>
        </w:tc>
        <w:tc>
          <w:tcPr>
            <w:tcW w:w="740" w:type="pct"/>
            <w:gridSpan w:val="3"/>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各类注册人员</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ind w:firstLine="210" w:firstLineChars="10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经营范围</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投标人关联企业情况（包括但不限于与投标人法定代表人为同一人或者存在控股、管理关系的不同单位）</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3" w:type="pct"/>
          <w:trHeight w:val="288"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pPr>
              <w:topLinePunct/>
              <w:snapToGrid w:val="0"/>
              <w:spacing w:before="100" w:beforeAutospacing="1" w:after="100" w:afterAutospacing="1"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pPr>
              <w:topLinePunct/>
              <w:snapToGrid w:val="0"/>
              <w:spacing w:line="440" w:lineRule="exact"/>
              <w:jc w:val="center"/>
              <w:rPr>
                <w:rFonts w:asciiTheme="minorEastAsia" w:hAnsiTheme="minorEastAsia" w:eastAsiaTheme="minorEastAsia" w:cstheme="minorEastAsia"/>
                <w:color w:val="auto"/>
                <w:szCs w:val="21"/>
              </w:rPr>
            </w:pPr>
          </w:p>
        </w:tc>
      </w:tr>
    </w:tbl>
    <w:p>
      <w:pPr>
        <w:snapToGrid w:val="0"/>
        <w:spacing w:line="400" w:lineRule="exact"/>
        <w:rPr>
          <w:rFonts w:ascii="宋体" w:hAnsi="宋体"/>
          <w:color w:val="auto"/>
          <w:szCs w:val="21"/>
        </w:rPr>
      </w:pPr>
      <w:r>
        <w:rPr>
          <w:rFonts w:hint="eastAsia" w:ascii="宋体" w:hAnsi="宋体"/>
          <w:color w:val="auto"/>
          <w:szCs w:val="21"/>
        </w:rPr>
        <w:t>注：投标人应</w:t>
      </w:r>
      <w:bookmarkStart w:id="594" w:name="_Toc520184751"/>
      <w:r>
        <w:rPr>
          <w:rFonts w:hint="eastAsia" w:ascii="宋体" w:hAnsi="宋体"/>
          <w:color w:val="auto"/>
          <w:szCs w:val="21"/>
        </w:rPr>
        <w:t>根据投标人须知第3.5</w:t>
      </w:r>
      <w:bookmarkEnd w:id="594"/>
      <w:r>
        <w:rPr>
          <w:rFonts w:hint="eastAsia" w:ascii="宋体" w:hAnsi="宋体"/>
          <w:color w:val="auto"/>
          <w:szCs w:val="21"/>
        </w:rPr>
        <w:t>.1项的要求在本表后附相关证</w:t>
      </w:r>
      <w:bookmarkStart w:id="595" w:name="_Toc520184752"/>
      <w:r>
        <w:rPr>
          <w:rFonts w:hint="eastAsia" w:ascii="宋体" w:hAnsi="宋体"/>
          <w:color w:val="auto"/>
          <w:szCs w:val="21"/>
        </w:rPr>
        <w:t>明材料。</w:t>
      </w:r>
      <w:bookmarkEnd w:id="595"/>
    </w:p>
    <w:p>
      <w:pPr>
        <w:snapToGrid w:val="0"/>
        <w:spacing w:line="413" w:lineRule="auto"/>
        <w:ind w:firstLine="136"/>
        <w:outlineLvl w:val="2"/>
        <w:rPr>
          <w:rFonts w:ascii="宋体" w:hAnsi="宋体"/>
          <w:b/>
          <w:bCs/>
          <w:color w:val="auto"/>
          <w:sz w:val="24"/>
          <w:szCs w:val="24"/>
        </w:rPr>
      </w:pPr>
      <w:r>
        <w:rPr>
          <w:rFonts w:hint="eastAsia" w:ascii="宋体" w:hAnsi="宋体"/>
          <w:b/>
          <w:bCs/>
          <w:color w:val="auto"/>
          <w:sz w:val="32"/>
          <w:szCs w:val="32"/>
        </w:rPr>
        <w:br w:type="page"/>
      </w:r>
      <w:bookmarkStart w:id="596" w:name="_Toc10097"/>
      <w:bookmarkStart w:id="597" w:name="_Toc7272"/>
      <w:bookmarkStart w:id="598" w:name="_Toc13529"/>
      <w:r>
        <w:rPr>
          <w:rFonts w:hint="eastAsia" w:ascii="宋体" w:hAnsi="宋体"/>
          <w:b/>
          <w:bCs/>
          <w:color w:val="auto"/>
          <w:sz w:val="24"/>
          <w:szCs w:val="24"/>
        </w:rPr>
        <w:t>（二）近年类似项目业绩情况表</w:t>
      </w:r>
      <w:bookmarkEnd w:id="596"/>
      <w:bookmarkEnd w:id="597"/>
      <w:bookmarkEnd w:id="598"/>
    </w:p>
    <w:p>
      <w:pPr>
        <w:jc w:val="center"/>
        <w:rPr>
          <w:rFonts w:hint="eastAsia"/>
          <w:color w:val="auto"/>
          <w:highlight w:val="none"/>
        </w:rPr>
      </w:pPr>
      <w:r>
        <w:rPr>
          <w:rFonts w:hint="eastAsia" w:ascii="宋体" w:hAnsi="宋体" w:eastAsia="宋体" w:cs="宋体"/>
          <w:b/>
          <w:color w:val="auto"/>
          <w:szCs w:val="21"/>
          <w:highlight w:val="none"/>
        </w:rPr>
        <w:t>（二）</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近年类似项目管理业绩情况表</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85"/>
        <w:gridCol w:w="2586"/>
        <w:gridCol w:w="2586"/>
        <w:gridCol w:w="2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项目地点</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工程规模</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hint="default" w:ascii="宋体" w:hAnsi="宋体" w:eastAsia="等线"/>
                <w:color w:val="auto"/>
                <w:sz w:val="21"/>
                <w:szCs w:val="21"/>
                <w:highlight w:val="none"/>
                <w:lang w:val="en-US" w:eastAsia="zh-CN"/>
              </w:rPr>
            </w:pPr>
            <w:r>
              <w:rPr>
                <w:rFonts w:hint="eastAsia" w:ascii="宋体" w:hAnsi="宋体"/>
                <w:color w:val="auto"/>
                <w:sz w:val="21"/>
                <w:szCs w:val="21"/>
                <w:highlight w:val="none"/>
                <w:lang w:val="en-US" w:eastAsia="zh-CN"/>
              </w:rPr>
              <w:t>业绩指标</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业绩</w:t>
            </w:r>
            <w:r>
              <w:rPr>
                <w:rFonts w:hint="eastAsia" w:ascii="宋体" w:hAnsi="宋体"/>
                <w:color w:val="auto"/>
                <w:sz w:val="21"/>
                <w:szCs w:val="21"/>
                <w:highlight w:val="none"/>
              </w:rPr>
              <w:t>时间</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项目负责人姓名</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建设单位名称</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建设单位联系人</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备注</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bl>
    <w:p>
      <w:pPr>
        <w:rPr>
          <w:rFonts w:hint="eastAsia"/>
          <w:color w:val="auto"/>
          <w:highlight w:val="none"/>
        </w:rPr>
      </w:pPr>
      <w:r>
        <w:rPr>
          <w:rFonts w:hint="eastAsia"/>
          <w:color w:val="auto"/>
          <w:highlight w:val="none"/>
        </w:rPr>
        <w:t>注：业绩证明资料须按招标公告、招标文件要求提供相关证明材料。</w:t>
      </w:r>
    </w:p>
    <w:p>
      <w:pPr>
        <w:spacing w:line="240" w:lineRule="auto"/>
        <w:rPr>
          <w:rFonts w:hint="eastAsia" w:asciiTheme="minorEastAsia" w:hAnsiTheme="minorEastAsia" w:eastAsiaTheme="minorEastAsia" w:cstheme="minorEastAsia"/>
          <w:color w:val="auto"/>
          <w:kern w:val="0"/>
          <w:szCs w:val="21"/>
          <w:highlight w:val="none"/>
          <w:shd w:val="clear" w:color="auto" w:fill="FFFFFF"/>
          <w:lang w:bidi="ar"/>
        </w:rPr>
      </w:pPr>
    </w:p>
    <w:p>
      <w:pPr>
        <w:jc w:val="center"/>
        <w:rPr>
          <w:rFonts w:hint="eastAsia"/>
          <w:color w:val="auto"/>
          <w:highlight w:val="none"/>
        </w:rPr>
      </w:pPr>
      <w:r>
        <w:rPr>
          <w:rFonts w:hint="eastAsia" w:ascii="宋体" w:hAnsi="宋体" w:eastAsia="宋体" w:cs="宋体"/>
          <w:b/>
          <w:color w:val="auto"/>
          <w:szCs w:val="21"/>
          <w:highlight w:val="none"/>
        </w:rPr>
        <w:t>（二）</w:t>
      </w:r>
      <w:r>
        <w:rPr>
          <w:rFonts w:hint="eastAsia" w:ascii="宋体" w:hAnsi="宋体" w:eastAsia="宋体" w:cs="宋体"/>
          <w:b/>
          <w:color w:val="auto"/>
          <w:szCs w:val="21"/>
          <w:highlight w:val="none"/>
          <w:lang w:val="en-US" w:eastAsia="zh-CN"/>
        </w:rPr>
        <w:t>-2</w:t>
      </w:r>
      <w:r>
        <w:rPr>
          <w:rFonts w:hint="eastAsia"/>
          <w:b/>
          <w:color w:val="auto"/>
          <w:szCs w:val="21"/>
          <w:highlight w:val="none"/>
        </w:rPr>
        <w:t>近年类似监理业绩情况表</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85"/>
        <w:gridCol w:w="2586"/>
        <w:gridCol w:w="2586"/>
        <w:gridCol w:w="2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项目地点</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工程规模</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hint="default" w:ascii="宋体" w:hAnsi="宋体" w:eastAsia="等线"/>
                <w:color w:val="auto"/>
                <w:sz w:val="21"/>
                <w:szCs w:val="21"/>
                <w:highlight w:val="none"/>
                <w:lang w:val="en-US" w:eastAsia="zh-CN"/>
              </w:rPr>
            </w:pPr>
            <w:r>
              <w:rPr>
                <w:rFonts w:hint="eastAsia" w:ascii="宋体" w:hAnsi="宋体"/>
                <w:color w:val="auto"/>
                <w:sz w:val="21"/>
                <w:szCs w:val="21"/>
                <w:highlight w:val="none"/>
                <w:lang w:val="en-US" w:eastAsia="zh-CN"/>
              </w:rPr>
              <w:t>业绩指标</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业绩</w:t>
            </w:r>
            <w:r>
              <w:rPr>
                <w:rFonts w:hint="eastAsia" w:ascii="宋体" w:hAnsi="宋体"/>
                <w:color w:val="auto"/>
                <w:sz w:val="21"/>
                <w:szCs w:val="21"/>
                <w:highlight w:val="none"/>
              </w:rPr>
              <w:t>时间</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项目负责人姓名</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建设单位名称</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建设单位联系人</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备注</w:t>
            </w: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299" w:type="pct"/>
            <w:noWrap w:val="0"/>
            <w:vAlign w:val="bottom"/>
          </w:tcPr>
          <w:p>
            <w:pPr>
              <w:pStyle w:val="36"/>
              <w:spacing w:line="240" w:lineRule="auto"/>
              <w:ind w:firstLine="0" w:firstLineChars="0"/>
              <w:jc w:val="center"/>
              <w:rPr>
                <w:rFonts w:ascii="宋体" w:hAnsi="宋体"/>
                <w:color w:val="auto"/>
                <w:sz w:val="21"/>
                <w:szCs w:val="21"/>
                <w:highlight w:val="none"/>
              </w:rPr>
            </w:pPr>
          </w:p>
        </w:tc>
        <w:tc>
          <w:tcPr>
            <w:tcW w:w="1102" w:type="pct"/>
            <w:noWrap w:val="0"/>
            <w:vAlign w:val="bottom"/>
          </w:tcPr>
          <w:p>
            <w:pPr>
              <w:pStyle w:val="36"/>
              <w:spacing w:line="240" w:lineRule="auto"/>
              <w:ind w:firstLine="0" w:firstLineChars="0"/>
              <w:jc w:val="center"/>
              <w:rPr>
                <w:rFonts w:ascii="宋体" w:hAnsi="宋体"/>
                <w:color w:val="auto"/>
                <w:sz w:val="21"/>
                <w:szCs w:val="21"/>
                <w:highlight w:val="none"/>
              </w:rPr>
            </w:pPr>
          </w:p>
        </w:tc>
      </w:tr>
    </w:tbl>
    <w:p>
      <w:pPr>
        <w:rPr>
          <w:rFonts w:hint="eastAsia"/>
          <w:color w:val="auto"/>
          <w:highlight w:val="none"/>
        </w:rPr>
      </w:pPr>
      <w:r>
        <w:rPr>
          <w:rFonts w:hint="eastAsia"/>
          <w:color w:val="auto"/>
          <w:highlight w:val="none"/>
        </w:rPr>
        <w:t>注：业绩证明资料须按招标公告、招标文件要求提供相关证明材料。</w:t>
      </w:r>
    </w:p>
    <w:p>
      <w:pPr>
        <w:spacing w:line="240" w:lineRule="auto"/>
        <w:rPr>
          <w:rFonts w:hint="eastAsia" w:asciiTheme="minorEastAsia" w:hAnsiTheme="minorEastAsia" w:eastAsiaTheme="minorEastAsia" w:cstheme="minorEastAsia"/>
          <w:color w:val="auto"/>
          <w:kern w:val="0"/>
          <w:szCs w:val="21"/>
          <w:highlight w:val="none"/>
          <w:shd w:val="clear" w:color="auto" w:fill="FFFFFF"/>
          <w:lang w:bidi="ar"/>
        </w:rPr>
      </w:pPr>
    </w:p>
    <w:p>
      <w:pPr>
        <w:pStyle w:val="22"/>
        <w:widowControl w:val="0"/>
        <w:topLinePunct/>
        <w:adjustRightInd w:val="0"/>
        <w:snapToGrid w:val="0"/>
        <w:spacing w:before="0" w:beforeAutospacing="0" w:after="0" w:afterAutospacing="0" w:line="360" w:lineRule="auto"/>
        <w:jc w:val="both"/>
        <w:rPr>
          <w:rFonts w:hint="eastAsia" w:cs="宋体"/>
          <w:b/>
          <w:color w:val="auto"/>
          <w:sz w:val="21"/>
          <w:szCs w:val="21"/>
          <w:highlight w:val="none"/>
        </w:rPr>
      </w:pPr>
      <w:r>
        <w:rPr>
          <w:rFonts w:hint="eastAsia" w:ascii="宋体" w:hAnsi="宋体"/>
          <w:b/>
          <w:bCs/>
          <w:color w:val="auto"/>
          <w:sz w:val="32"/>
          <w:szCs w:val="32"/>
        </w:rPr>
        <w:br w:type="page"/>
      </w:r>
      <w:bookmarkStart w:id="599" w:name="_Toc21765"/>
      <w:bookmarkStart w:id="600" w:name="_Toc13758"/>
      <w:bookmarkStart w:id="601" w:name="_Toc28627"/>
      <w:r>
        <w:rPr>
          <w:rFonts w:hint="eastAsia" w:ascii="宋体" w:hAnsi="宋体" w:eastAsia="宋体" w:cs="Times New Roman"/>
          <w:b/>
          <w:bCs/>
          <w:color w:val="auto"/>
          <w:kern w:val="2"/>
          <w:sz w:val="24"/>
          <w:szCs w:val="24"/>
        </w:rPr>
        <w:t>（三）</w:t>
      </w:r>
      <w:r>
        <w:rPr>
          <w:rFonts w:hint="eastAsia" w:ascii="宋体" w:hAnsi="宋体" w:eastAsia="宋体" w:cs="Times New Roman"/>
          <w:b/>
          <w:bCs/>
          <w:color w:val="auto"/>
          <w:spacing w:val="0"/>
          <w:kern w:val="2"/>
          <w:sz w:val="24"/>
          <w:szCs w:val="24"/>
          <w:lang w:bidi="ar-SA"/>
        </w:rPr>
        <w:t>获奖情况一览表</w:t>
      </w:r>
    </w:p>
    <w:tbl>
      <w:tblPr>
        <w:tblStyle w:val="24"/>
        <w:tblW w:w="51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56"/>
        <w:gridCol w:w="1103"/>
        <w:gridCol w:w="1070"/>
        <w:gridCol w:w="859"/>
        <w:gridCol w:w="781"/>
        <w:gridCol w:w="1011"/>
        <w:gridCol w:w="966"/>
        <w:gridCol w:w="104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s="宋体"/>
                <w:color w:val="auto"/>
                <w:szCs w:val="20"/>
                <w:highlight w:val="none"/>
                <w:lang w:bidi="ar"/>
              </w:rPr>
              <w:t>序号</w:t>
            </w:r>
          </w:p>
        </w:tc>
        <w:tc>
          <w:tcPr>
            <w:tcW w:w="81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s="宋体"/>
                <w:color w:val="auto"/>
                <w:szCs w:val="20"/>
                <w:highlight w:val="none"/>
                <w:lang w:bidi="ar"/>
              </w:rPr>
              <w:t>项目名称</w:t>
            </w:r>
          </w:p>
        </w:tc>
        <w:tc>
          <w:tcPr>
            <w:tcW w:w="54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s="宋体"/>
                <w:color w:val="auto"/>
                <w:szCs w:val="20"/>
                <w:highlight w:val="none"/>
                <w:lang w:bidi="ar"/>
              </w:rPr>
              <w:t>项目地点</w:t>
            </w: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s="宋体"/>
                <w:color w:val="auto"/>
                <w:szCs w:val="20"/>
                <w:highlight w:val="none"/>
                <w:lang w:bidi="ar"/>
              </w:rPr>
              <w:t>工程规模</w:t>
            </w:r>
          </w:p>
        </w:tc>
        <w:tc>
          <w:tcPr>
            <w:tcW w:w="4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auto"/>
                <w:highlight w:val="none"/>
                <w:lang w:eastAsia="zh-CN"/>
              </w:rPr>
            </w:pPr>
            <w:r>
              <w:rPr>
                <w:rFonts w:hint="eastAsia" w:cs="宋体"/>
                <w:color w:val="auto"/>
                <w:szCs w:val="20"/>
                <w:highlight w:val="none"/>
                <w:lang w:val="en-US" w:eastAsia="zh-CN" w:bidi="ar"/>
              </w:rPr>
              <w:t>业绩指标</w:t>
            </w:r>
          </w:p>
        </w:tc>
        <w:tc>
          <w:tcPr>
            <w:tcW w:w="38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s="宋体"/>
                <w:color w:val="auto"/>
                <w:szCs w:val="20"/>
                <w:highlight w:val="none"/>
                <w:lang w:bidi="ar"/>
              </w:rPr>
              <w:t>完成时间</w:t>
            </w:r>
          </w:p>
        </w:tc>
        <w:tc>
          <w:tcPr>
            <w:tcW w:w="497"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s="宋体"/>
                <w:color w:val="auto"/>
                <w:szCs w:val="20"/>
                <w:highlight w:val="none"/>
                <w:lang w:bidi="ar"/>
              </w:rPr>
              <w:t>项目负责人姓名</w:t>
            </w:r>
          </w:p>
        </w:tc>
        <w:tc>
          <w:tcPr>
            <w:tcW w:w="47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s="宋体"/>
                <w:color w:val="auto"/>
                <w:szCs w:val="20"/>
                <w:highlight w:val="none"/>
                <w:lang w:bidi="ar"/>
              </w:rPr>
              <w:t>建设单位名称</w:t>
            </w:r>
          </w:p>
        </w:tc>
        <w:tc>
          <w:tcPr>
            <w:tcW w:w="51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s="宋体"/>
                <w:color w:val="auto"/>
                <w:szCs w:val="20"/>
                <w:highlight w:val="none"/>
                <w:lang w:bidi="ar"/>
              </w:rPr>
              <w:t>建设单位联系人</w:t>
            </w:r>
          </w:p>
        </w:tc>
        <w:tc>
          <w:tcPr>
            <w:tcW w:w="37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s="宋体"/>
                <w:color w:val="auto"/>
                <w:szCs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7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7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7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7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7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7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c>
          <w:tcPr>
            <w:tcW w:w="370" w:type="pct"/>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p>
        </w:tc>
      </w:tr>
    </w:tbl>
    <w:p>
      <w:pPr>
        <w:rPr>
          <w:rFonts w:hint="eastAsia"/>
          <w:color w:val="auto"/>
          <w:highlight w:val="none"/>
        </w:rPr>
      </w:pPr>
      <w:r>
        <w:rPr>
          <w:rFonts w:hint="eastAsia"/>
          <w:color w:val="auto"/>
          <w:highlight w:val="none"/>
        </w:rPr>
        <w:t>注：以上获奖情况是指按招标文件要求所对应的奖项。</w:t>
      </w:r>
    </w:p>
    <w:bookmarkEnd w:id="599"/>
    <w:bookmarkEnd w:id="600"/>
    <w:bookmarkEnd w:id="601"/>
    <w:p>
      <w:pPr>
        <w:snapToGrid w:val="0"/>
        <w:spacing w:line="440" w:lineRule="exact"/>
        <w:rPr>
          <w:rFonts w:ascii="宋体" w:hAnsi="宋体"/>
          <w:color w:val="auto"/>
          <w:szCs w:val="21"/>
        </w:rPr>
      </w:pPr>
    </w:p>
    <w:p>
      <w:pPr>
        <w:snapToGrid w:val="0"/>
        <w:spacing w:line="360" w:lineRule="auto"/>
        <w:ind w:firstLine="136"/>
        <w:outlineLvl w:val="2"/>
        <w:rPr>
          <w:rFonts w:ascii="宋体" w:hAnsi="宋体"/>
          <w:b/>
          <w:bCs/>
          <w:color w:val="auto"/>
          <w:sz w:val="24"/>
          <w:szCs w:val="24"/>
        </w:rPr>
      </w:pPr>
      <w:r>
        <w:rPr>
          <w:rFonts w:ascii="宋体" w:hAnsi="宋体"/>
          <w:b/>
          <w:bCs/>
          <w:color w:val="auto"/>
          <w:sz w:val="32"/>
          <w:szCs w:val="32"/>
        </w:rPr>
        <w:br w:type="page"/>
      </w:r>
      <w:bookmarkStart w:id="602" w:name="_Toc25992"/>
      <w:bookmarkStart w:id="603" w:name="_Toc12009"/>
      <w:bookmarkStart w:id="604" w:name="_Toc17644"/>
      <w:r>
        <w:rPr>
          <w:rFonts w:hint="eastAsia" w:ascii="宋体" w:hAnsi="宋体"/>
          <w:b/>
          <w:bCs/>
          <w:color w:val="auto"/>
          <w:sz w:val="24"/>
          <w:szCs w:val="24"/>
        </w:rPr>
        <w:t>（四）拟委任的主要人员汇总表（格式可自定）</w:t>
      </w:r>
      <w:bookmarkEnd w:id="602"/>
      <w:bookmarkEnd w:id="603"/>
      <w:bookmarkEnd w:id="604"/>
    </w:p>
    <w:tbl>
      <w:tblPr>
        <w:tblStyle w:val="24"/>
        <w:tblW w:w="4998" w:type="pct"/>
        <w:jc w:val="center"/>
        <w:tblLayout w:type="autofit"/>
        <w:tblCellMar>
          <w:top w:w="0" w:type="dxa"/>
          <w:left w:w="108" w:type="dxa"/>
          <w:bottom w:w="0" w:type="dxa"/>
          <w:right w:w="108" w:type="dxa"/>
        </w:tblCellMar>
      </w:tblPr>
      <w:tblGrid>
        <w:gridCol w:w="1016"/>
        <w:gridCol w:w="1583"/>
        <w:gridCol w:w="882"/>
        <w:gridCol w:w="761"/>
        <w:gridCol w:w="938"/>
        <w:gridCol w:w="1406"/>
        <w:gridCol w:w="880"/>
        <w:gridCol w:w="1081"/>
        <w:gridCol w:w="1404"/>
      </w:tblGrid>
      <w:tr>
        <w:tblPrEx>
          <w:tblCellMar>
            <w:top w:w="0" w:type="dxa"/>
            <w:left w:w="108" w:type="dxa"/>
            <w:bottom w:w="0" w:type="dxa"/>
            <w:right w:w="108" w:type="dxa"/>
          </w:tblCellMar>
        </w:tblPrEx>
        <w:trPr>
          <w:jc w:val="center"/>
        </w:trPr>
        <w:tc>
          <w:tcPr>
            <w:tcW w:w="510" w:type="pct"/>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r>
              <w:rPr>
                <w:rFonts w:hint="eastAsia" w:ascii="宋体" w:hAnsi="宋体" w:cs="宋体"/>
                <w:color w:val="auto"/>
                <w:szCs w:val="21"/>
              </w:rPr>
              <w:t>序号</w:t>
            </w:r>
          </w:p>
        </w:tc>
        <w:tc>
          <w:tcPr>
            <w:tcW w:w="795" w:type="pct"/>
            <w:vMerge w:val="restar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r>
              <w:rPr>
                <w:rFonts w:hint="eastAsia" w:ascii="宋体" w:hAnsi="宋体" w:cs="宋体"/>
                <w:color w:val="auto"/>
                <w:szCs w:val="21"/>
              </w:rPr>
              <w:t>本项目任职</w:t>
            </w:r>
          </w:p>
        </w:tc>
        <w:tc>
          <w:tcPr>
            <w:tcW w:w="443" w:type="pct"/>
            <w:vMerge w:val="restar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r>
              <w:rPr>
                <w:rFonts w:hint="eastAsia" w:ascii="宋体" w:hAnsi="宋体" w:cs="宋体"/>
                <w:color w:val="auto"/>
                <w:szCs w:val="21"/>
              </w:rPr>
              <w:t>姓名</w:t>
            </w:r>
          </w:p>
        </w:tc>
        <w:tc>
          <w:tcPr>
            <w:tcW w:w="382" w:type="pct"/>
            <w:vMerge w:val="restar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r>
              <w:rPr>
                <w:rFonts w:hint="eastAsia" w:ascii="宋体" w:hAnsi="宋体" w:cs="宋体"/>
                <w:color w:val="auto"/>
                <w:szCs w:val="21"/>
              </w:rPr>
              <w:t>职称</w:t>
            </w:r>
          </w:p>
        </w:tc>
        <w:tc>
          <w:tcPr>
            <w:tcW w:w="471" w:type="pct"/>
            <w:vMerge w:val="restar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r>
              <w:rPr>
                <w:rFonts w:hint="eastAsia" w:ascii="宋体" w:hAnsi="宋体" w:cs="宋体"/>
                <w:color w:val="auto"/>
                <w:szCs w:val="21"/>
              </w:rPr>
              <w:t>专业</w:t>
            </w:r>
          </w:p>
        </w:tc>
        <w:tc>
          <w:tcPr>
            <w:tcW w:w="1691" w:type="pct"/>
            <w:gridSpan w:val="3"/>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r>
              <w:rPr>
                <w:rFonts w:hint="eastAsia" w:ascii="宋体" w:hAnsi="宋体" w:cs="宋体"/>
                <w:color w:val="auto"/>
                <w:szCs w:val="21"/>
              </w:rPr>
              <w:t>执业或职业资格证明</w:t>
            </w:r>
          </w:p>
        </w:tc>
        <w:tc>
          <w:tcPr>
            <w:tcW w:w="705"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r>
              <w:rPr>
                <w:rFonts w:hint="eastAsia" w:ascii="宋体" w:hAnsi="宋体" w:cs="宋体"/>
                <w:color w:val="auto"/>
                <w:szCs w:val="21"/>
              </w:rPr>
              <w:t>备注</w:t>
            </w:r>
          </w:p>
        </w:tc>
      </w:tr>
      <w:tr>
        <w:tblPrEx>
          <w:tblCellMar>
            <w:top w:w="0" w:type="dxa"/>
            <w:left w:w="108" w:type="dxa"/>
            <w:bottom w:w="0" w:type="dxa"/>
            <w:right w:w="108" w:type="dxa"/>
          </w:tblCellMar>
        </w:tblPrEx>
        <w:trPr>
          <w:jc w:val="center"/>
        </w:trPr>
        <w:tc>
          <w:tcPr>
            <w:tcW w:w="510"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795" w:type="pct"/>
            <w:vMerge w:val="continue"/>
            <w:tcBorders>
              <w:top w:val="single" w:color="auto" w:sz="4" w:space="0"/>
              <w:left w:val="nil"/>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443" w:type="pct"/>
            <w:vMerge w:val="continue"/>
            <w:tcBorders>
              <w:top w:val="single" w:color="auto" w:sz="4" w:space="0"/>
              <w:left w:val="nil"/>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382" w:type="pct"/>
            <w:vMerge w:val="continue"/>
            <w:tcBorders>
              <w:top w:val="single" w:color="auto" w:sz="4" w:space="0"/>
              <w:left w:val="nil"/>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471" w:type="pct"/>
            <w:vMerge w:val="continue"/>
            <w:tcBorders>
              <w:top w:val="single" w:color="auto" w:sz="4" w:space="0"/>
              <w:left w:val="nil"/>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证书名称</w:t>
            </w:r>
          </w:p>
        </w:tc>
        <w:tc>
          <w:tcPr>
            <w:tcW w:w="442" w:type="pct"/>
            <w:tcBorders>
              <w:top w:val="single" w:color="auto" w:sz="4" w:space="0"/>
              <w:left w:val="nil"/>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级别</w:t>
            </w:r>
          </w:p>
        </w:tc>
        <w:tc>
          <w:tcPr>
            <w:tcW w:w="543" w:type="pct"/>
            <w:tcBorders>
              <w:top w:val="single" w:color="auto" w:sz="4" w:space="0"/>
              <w:left w:val="nil"/>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证号</w:t>
            </w:r>
          </w:p>
        </w:tc>
        <w:tc>
          <w:tcPr>
            <w:tcW w:w="705"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9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38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71"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6"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442"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543"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c>
          <w:tcPr>
            <w:tcW w:w="705" w:type="pct"/>
            <w:tcBorders>
              <w:top w:val="single" w:color="auto" w:sz="4" w:space="0"/>
              <w:left w:val="nil"/>
              <w:bottom w:val="single" w:color="auto" w:sz="4" w:space="0"/>
              <w:right w:val="single" w:color="auto" w:sz="4" w:space="0"/>
            </w:tcBorders>
            <w:noWrap/>
          </w:tcPr>
          <w:p>
            <w:pPr>
              <w:snapToGrid w:val="0"/>
              <w:spacing w:line="440" w:lineRule="exact"/>
              <w:jc w:val="center"/>
              <w:rPr>
                <w:rFonts w:ascii="宋体" w:hAnsi="宋体" w:cs="宋体"/>
                <w:color w:val="auto"/>
                <w:szCs w:val="21"/>
              </w:rPr>
            </w:pPr>
          </w:p>
        </w:tc>
      </w:tr>
    </w:tbl>
    <w:p>
      <w:pPr>
        <w:widowControl/>
        <w:snapToGrid w:val="0"/>
        <w:jc w:val="left"/>
        <w:rPr>
          <w:rFonts w:ascii="宋体" w:hAnsi="宋体"/>
          <w:b/>
          <w:bCs/>
          <w:color w:val="auto"/>
          <w:sz w:val="28"/>
          <w:szCs w:val="32"/>
        </w:rPr>
      </w:pPr>
      <w:r>
        <w:rPr>
          <w:rFonts w:ascii="宋体" w:hAnsi="宋体"/>
          <w:b/>
          <w:bCs/>
          <w:color w:val="auto"/>
          <w:sz w:val="28"/>
          <w:szCs w:val="32"/>
        </w:rPr>
        <w:br w:type="page"/>
      </w:r>
    </w:p>
    <w:p>
      <w:pPr>
        <w:snapToGrid w:val="0"/>
        <w:spacing w:line="360" w:lineRule="auto"/>
        <w:ind w:firstLine="136"/>
        <w:outlineLvl w:val="2"/>
        <w:rPr>
          <w:rFonts w:ascii="宋体" w:hAnsi="宋体"/>
          <w:b/>
          <w:bCs/>
          <w:color w:val="auto"/>
          <w:sz w:val="24"/>
          <w:szCs w:val="24"/>
        </w:rPr>
      </w:pPr>
      <w:bookmarkStart w:id="605" w:name="_Toc11302"/>
      <w:bookmarkStart w:id="606" w:name="_Toc18967"/>
      <w:bookmarkStart w:id="607" w:name="_Toc12232"/>
      <w:r>
        <w:rPr>
          <w:rFonts w:hint="eastAsia" w:ascii="宋体" w:hAnsi="宋体"/>
          <w:b/>
          <w:bCs/>
          <w:color w:val="auto"/>
          <w:sz w:val="24"/>
          <w:szCs w:val="24"/>
        </w:rPr>
        <w:t>（五）主要人员简历表（格式可自定）</w:t>
      </w:r>
      <w:bookmarkEnd w:id="605"/>
      <w:bookmarkEnd w:id="606"/>
      <w:bookmarkEnd w:id="607"/>
    </w:p>
    <w:tbl>
      <w:tblPr>
        <w:tblStyle w:val="24"/>
        <w:tblW w:w="4998" w:type="pct"/>
        <w:jc w:val="center"/>
        <w:tblLayout w:type="autofit"/>
        <w:tblCellMar>
          <w:top w:w="0" w:type="dxa"/>
          <w:left w:w="108" w:type="dxa"/>
          <w:bottom w:w="0" w:type="dxa"/>
          <w:right w:w="108" w:type="dxa"/>
        </w:tblCellMar>
      </w:tblPr>
      <w:tblGrid>
        <w:gridCol w:w="1284"/>
        <w:gridCol w:w="316"/>
        <w:gridCol w:w="706"/>
        <w:gridCol w:w="1018"/>
        <w:gridCol w:w="1144"/>
        <w:gridCol w:w="1003"/>
        <w:gridCol w:w="1791"/>
        <w:gridCol w:w="572"/>
        <w:gridCol w:w="2117"/>
      </w:tblGrid>
      <w:tr>
        <w:tblPrEx>
          <w:tblCellMar>
            <w:top w:w="0" w:type="dxa"/>
            <w:left w:w="108" w:type="dxa"/>
            <w:bottom w:w="0" w:type="dxa"/>
            <w:right w:w="108" w:type="dxa"/>
          </w:tblCellMar>
        </w:tblPrEx>
        <w:trPr>
          <w:trHeight w:val="751" w:hRule="atLeast"/>
          <w:jc w:val="center"/>
        </w:trPr>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r>
              <w:rPr>
                <w:rFonts w:hint="eastAsia" w:ascii="宋体" w:hAnsi="宋体" w:cs="宋体"/>
                <w:color w:val="auto"/>
                <w:szCs w:val="21"/>
              </w:rPr>
              <w:t>姓  名</w:t>
            </w:r>
          </w:p>
        </w:tc>
        <w:tc>
          <w:tcPr>
            <w:tcW w:w="614" w:type="pct"/>
            <w:gridSpan w:val="2"/>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562"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r>
              <w:rPr>
                <w:rFonts w:hint="eastAsia" w:ascii="宋体" w:hAnsi="宋体" w:cs="宋体"/>
                <w:color w:val="auto"/>
                <w:szCs w:val="21"/>
              </w:rPr>
              <w:t>年龄</w:t>
            </w:r>
          </w:p>
        </w:tc>
        <w:tc>
          <w:tcPr>
            <w:tcW w:w="624"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1389" w:type="pct"/>
            <w:gridSpan w:val="3"/>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r>
              <w:rPr>
                <w:rFonts w:hint="eastAsia" w:ascii="宋体" w:hAnsi="宋体" w:cs="宋体"/>
                <w:color w:val="auto"/>
                <w:szCs w:val="21"/>
              </w:rPr>
              <w:t>执业资格证书（或上岗证书）名称</w:t>
            </w:r>
          </w:p>
        </w:tc>
        <w:tc>
          <w:tcPr>
            <w:tcW w:w="1112"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trHeight w:val="689" w:hRule="atLeast"/>
          <w:jc w:val="center"/>
        </w:trPr>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r>
              <w:rPr>
                <w:rFonts w:hint="eastAsia" w:ascii="宋体" w:hAnsi="宋体" w:cs="宋体"/>
                <w:color w:val="auto"/>
                <w:szCs w:val="21"/>
              </w:rPr>
              <w:t>职  称</w:t>
            </w:r>
          </w:p>
        </w:tc>
        <w:tc>
          <w:tcPr>
            <w:tcW w:w="614" w:type="pct"/>
            <w:gridSpan w:val="2"/>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562" w:type="pct"/>
            <w:tcBorders>
              <w:top w:val="single" w:color="auto" w:sz="4" w:space="0"/>
              <w:left w:val="nil"/>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学历</w:t>
            </w:r>
          </w:p>
        </w:tc>
        <w:tc>
          <w:tcPr>
            <w:tcW w:w="624"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1389" w:type="pct"/>
            <w:gridSpan w:val="3"/>
            <w:tcBorders>
              <w:top w:val="single" w:color="auto" w:sz="4" w:space="0"/>
              <w:left w:val="nil"/>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拟在本项目任职</w:t>
            </w:r>
          </w:p>
        </w:tc>
        <w:tc>
          <w:tcPr>
            <w:tcW w:w="1112"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trHeight w:val="689" w:hRule="atLeast"/>
          <w:jc w:val="center"/>
        </w:trPr>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工作年限</w:t>
            </w:r>
          </w:p>
        </w:tc>
        <w:tc>
          <w:tcPr>
            <w:tcW w:w="1801" w:type="pct"/>
            <w:gridSpan w:val="4"/>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c>
          <w:tcPr>
            <w:tcW w:w="1389" w:type="pct"/>
            <w:gridSpan w:val="3"/>
            <w:tcBorders>
              <w:top w:val="single" w:color="auto" w:sz="4" w:space="0"/>
              <w:left w:val="nil"/>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从事相应工作年限</w:t>
            </w:r>
          </w:p>
        </w:tc>
        <w:tc>
          <w:tcPr>
            <w:tcW w:w="1112" w:type="pct"/>
            <w:tcBorders>
              <w:top w:val="single" w:color="auto" w:sz="4" w:space="0"/>
              <w:left w:val="nil"/>
              <w:bottom w:val="single" w:color="auto" w:sz="4" w:space="0"/>
              <w:right w:val="single" w:color="auto" w:sz="4" w:space="0"/>
            </w:tcBorders>
            <w:noWrap/>
            <w:vAlign w:val="center"/>
          </w:tcPr>
          <w:p>
            <w:pPr>
              <w:snapToGrid w:val="0"/>
              <w:spacing w:line="440" w:lineRule="exact"/>
              <w:jc w:val="center"/>
              <w:rPr>
                <w:rFonts w:ascii="宋体" w:hAnsi="宋体" w:cs="宋体"/>
                <w:color w:val="auto"/>
                <w:szCs w:val="21"/>
              </w:rPr>
            </w:pPr>
          </w:p>
        </w:tc>
      </w:tr>
      <w:tr>
        <w:tblPrEx>
          <w:tblCellMar>
            <w:top w:w="0" w:type="dxa"/>
            <w:left w:w="108" w:type="dxa"/>
            <w:bottom w:w="0" w:type="dxa"/>
            <w:right w:w="108" w:type="dxa"/>
          </w:tblCellMar>
        </w:tblPrEx>
        <w:trPr>
          <w:trHeight w:val="701" w:hRule="atLeast"/>
          <w:jc w:val="center"/>
        </w:trPr>
        <w:tc>
          <w:tcPr>
            <w:tcW w:w="696" w:type="pct"/>
            <w:tcBorders>
              <w:top w:val="single" w:color="auto" w:sz="4" w:space="0"/>
              <w:left w:val="single" w:color="auto" w:sz="4" w:space="0"/>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毕业学校</w:t>
            </w:r>
          </w:p>
        </w:tc>
        <w:tc>
          <w:tcPr>
            <w:tcW w:w="4303" w:type="pct"/>
            <w:gridSpan w:val="8"/>
            <w:tcBorders>
              <w:top w:val="single" w:color="auto" w:sz="4" w:space="0"/>
              <w:left w:val="nil"/>
              <w:bottom w:val="single" w:color="auto" w:sz="4" w:space="0"/>
              <w:right w:val="single" w:color="auto" w:sz="4" w:space="0"/>
            </w:tcBorders>
            <w:noWrap/>
            <w:vAlign w:val="center"/>
          </w:tcPr>
          <w:p>
            <w:pPr>
              <w:snapToGrid w:val="0"/>
              <w:spacing w:before="100" w:beforeAutospacing="1" w:after="100" w:afterAutospacing="1" w:line="440" w:lineRule="exact"/>
              <w:ind w:firstLine="1155" w:firstLineChars="550"/>
              <w:rPr>
                <w:rFonts w:ascii="宋体" w:hAnsi="宋体" w:cs="宋体"/>
                <w:color w:val="auto"/>
                <w:szCs w:val="21"/>
              </w:rPr>
            </w:pPr>
            <w:r>
              <w:rPr>
                <w:rFonts w:hint="eastAsia" w:ascii="宋体" w:hAnsi="宋体" w:cs="宋体"/>
                <w:color w:val="auto"/>
                <w:szCs w:val="21"/>
              </w:rPr>
              <w:t>年毕业于            学校        专业</w:t>
            </w:r>
          </w:p>
        </w:tc>
      </w:tr>
      <w:tr>
        <w:tblPrEx>
          <w:tblCellMar>
            <w:top w:w="0" w:type="dxa"/>
            <w:left w:w="108" w:type="dxa"/>
            <w:bottom w:w="0" w:type="dxa"/>
            <w:right w:w="108" w:type="dxa"/>
          </w:tblCellMar>
        </w:tblPrEx>
        <w:trPr>
          <w:trHeight w:val="684"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主要工作经历</w:t>
            </w:r>
          </w:p>
        </w:tc>
      </w:tr>
      <w:tr>
        <w:tblPrEx>
          <w:tblCellMar>
            <w:top w:w="0" w:type="dxa"/>
            <w:left w:w="108" w:type="dxa"/>
            <w:bottom w:w="0" w:type="dxa"/>
            <w:right w:w="108" w:type="dxa"/>
          </w:tblCellMar>
        </w:tblPrEx>
        <w:trPr>
          <w:trHeight w:val="707"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时  间</w:t>
            </w:r>
          </w:p>
        </w:tc>
        <w:tc>
          <w:tcPr>
            <w:tcW w:w="2006" w:type="pct"/>
            <w:gridSpan w:val="4"/>
            <w:tcBorders>
              <w:top w:val="single" w:color="auto" w:sz="4" w:space="0"/>
              <w:left w:val="nil"/>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参加过的类似项目</w:t>
            </w:r>
          </w:p>
        </w:tc>
        <w:tc>
          <w:tcPr>
            <w:tcW w:w="739" w:type="pct"/>
            <w:tcBorders>
              <w:top w:val="single" w:color="auto" w:sz="4" w:space="0"/>
              <w:left w:val="nil"/>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担任职务</w:t>
            </w:r>
          </w:p>
        </w:tc>
        <w:tc>
          <w:tcPr>
            <w:tcW w:w="1347" w:type="pct"/>
            <w:gridSpan w:val="2"/>
            <w:tcBorders>
              <w:top w:val="single" w:color="auto" w:sz="4" w:space="0"/>
              <w:left w:val="nil"/>
              <w:bottom w:val="single" w:color="auto" w:sz="4" w:space="0"/>
              <w:right w:val="single" w:color="auto" w:sz="4" w:space="0"/>
            </w:tcBorders>
            <w:noWrap/>
            <w:vAlign w:val="center"/>
          </w:tcPr>
          <w:p>
            <w:pPr>
              <w:snapToGrid w:val="0"/>
              <w:spacing w:before="100" w:beforeAutospacing="1" w:after="100" w:afterAutospacing="1" w:line="440" w:lineRule="exact"/>
              <w:jc w:val="center"/>
              <w:rPr>
                <w:rFonts w:ascii="宋体" w:hAnsi="宋体" w:cs="宋体"/>
                <w:color w:val="auto"/>
                <w:szCs w:val="21"/>
              </w:rPr>
            </w:pPr>
            <w:r>
              <w:rPr>
                <w:rFonts w:hint="eastAsia" w:ascii="宋体" w:hAnsi="宋体" w:cs="宋体"/>
                <w:color w:val="auto"/>
                <w:szCs w:val="21"/>
              </w:rPr>
              <w:t>委托人及联系电话</w:t>
            </w:r>
          </w:p>
        </w:tc>
      </w:tr>
      <w:tr>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tcPr>
          <w:p>
            <w:pPr>
              <w:snapToGrid w:val="0"/>
              <w:spacing w:line="440" w:lineRule="exact"/>
              <w:rPr>
                <w:rFonts w:ascii="宋体" w:hAnsi="宋体" w:cs="宋体"/>
                <w:color w:val="auto"/>
                <w:szCs w:val="21"/>
              </w:rPr>
            </w:pPr>
          </w:p>
        </w:tc>
        <w:tc>
          <w:tcPr>
            <w:tcW w:w="2006" w:type="pct"/>
            <w:gridSpan w:val="4"/>
            <w:tcBorders>
              <w:top w:val="single" w:color="auto" w:sz="4" w:space="0"/>
              <w:left w:val="nil"/>
              <w:bottom w:val="single" w:color="auto" w:sz="4" w:space="0"/>
              <w:right w:val="single" w:color="auto" w:sz="4" w:space="0"/>
            </w:tcBorders>
            <w:noWrap/>
          </w:tcPr>
          <w:p>
            <w:pPr>
              <w:snapToGrid w:val="0"/>
              <w:spacing w:line="440" w:lineRule="exact"/>
              <w:rPr>
                <w:rFonts w:ascii="宋体" w:hAnsi="宋体" w:cs="宋体"/>
                <w:color w:val="auto"/>
                <w:szCs w:val="21"/>
              </w:rPr>
            </w:pPr>
          </w:p>
        </w:tc>
        <w:tc>
          <w:tcPr>
            <w:tcW w:w="739" w:type="pct"/>
            <w:tcBorders>
              <w:top w:val="single" w:color="auto" w:sz="4" w:space="0"/>
              <w:left w:val="nil"/>
              <w:bottom w:val="single" w:color="auto" w:sz="4" w:space="0"/>
              <w:right w:val="single" w:color="auto" w:sz="4" w:space="0"/>
            </w:tcBorders>
            <w:noWrap/>
          </w:tcPr>
          <w:p>
            <w:pPr>
              <w:snapToGrid w:val="0"/>
              <w:spacing w:line="440" w:lineRule="exact"/>
              <w:rPr>
                <w:rFonts w:ascii="宋体" w:hAnsi="宋体" w:cs="宋体"/>
                <w:color w:val="auto"/>
                <w:szCs w:val="21"/>
              </w:rPr>
            </w:pPr>
          </w:p>
        </w:tc>
        <w:tc>
          <w:tcPr>
            <w:tcW w:w="1347" w:type="pct"/>
            <w:gridSpan w:val="2"/>
            <w:tcBorders>
              <w:top w:val="single" w:color="auto" w:sz="4" w:space="0"/>
              <w:left w:val="nil"/>
              <w:bottom w:val="single" w:color="auto" w:sz="4" w:space="0"/>
              <w:right w:val="single" w:color="auto" w:sz="4" w:space="0"/>
            </w:tcBorders>
            <w:noWrap/>
          </w:tcPr>
          <w:p>
            <w:pPr>
              <w:snapToGrid w:val="0"/>
              <w:spacing w:line="440" w:lineRule="exact"/>
              <w:rPr>
                <w:rFonts w:ascii="宋体" w:hAnsi="宋体" w:cs="宋体"/>
                <w:color w:val="auto"/>
                <w:szCs w:val="21"/>
              </w:rPr>
            </w:pPr>
          </w:p>
        </w:tc>
      </w:tr>
      <w:tr>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tcPr>
          <w:p>
            <w:pPr>
              <w:snapToGrid w:val="0"/>
              <w:spacing w:line="440" w:lineRule="exact"/>
              <w:rPr>
                <w:rFonts w:ascii="宋体" w:hAnsi="宋体" w:cs="宋体"/>
                <w:color w:val="auto"/>
                <w:szCs w:val="21"/>
              </w:rPr>
            </w:pPr>
          </w:p>
        </w:tc>
        <w:tc>
          <w:tcPr>
            <w:tcW w:w="2006" w:type="pct"/>
            <w:gridSpan w:val="4"/>
            <w:tcBorders>
              <w:top w:val="single" w:color="auto" w:sz="4" w:space="0"/>
              <w:left w:val="nil"/>
              <w:bottom w:val="single" w:color="auto" w:sz="4" w:space="0"/>
              <w:right w:val="single" w:color="auto" w:sz="4" w:space="0"/>
            </w:tcBorders>
            <w:noWrap/>
          </w:tcPr>
          <w:p>
            <w:pPr>
              <w:snapToGrid w:val="0"/>
              <w:spacing w:line="440" w:lineRule="exact"/>
              <w:rPr>
                <w:rFonts w:ascii="宋体" w:hAnsi="宋体" w:cs="宋体"/>
                <w:color w:val="auto"/>
                <w:szCs w:val="21"/>
              </w:rPr>
            </w:pPr>
          </w:p>
        </w:tc>
        <w:tc>
          <w:tcPr>
            <w:tcW w:w="739" w:type="pct"/>
            <w:tcBorders>
              <w:top w:val="single" w:color="auto" w:sz="4" w:space="0"/>
              <w:left w:val="nil"/>
              <w:bottom w:val="single" w:color="auto" w:sz="4" w:space="0"/>
              <w:right w:val="single" w:color="auto" w:sz="4" w:space="0"/>
            </w:tcBorders>
            <w:noWrap/>
          </w:tcPr>
          <w:p>
            <w:pPr>
              <w:snapToGrid w:val="0"/>
              <w:spacing w:line="440" w:lineRule="exact"/>
              <w:rPr>
                <w:rFonts w:ascii="宋体" w:hAnsi="宋体" w:cs="宋体"/>
                <w:color w:val="auto"/>
                <w:szCs w:val="21"/>
              </w:rPr>
            </w:pPr>
          </w:p>
        </w:tc>
        <w:tc>
          <w:tcPr>
            <w:tcW w:w="1347" w:type="pct"/>
            <w:gridSpan w:val="2"/>
            <w:tcBorders>
              <w:top w:val="single" w:color="auto" w:sz="4" w:space="0"/>
              <w:left w:val="nil"/>
              <w:bottom w:val="single" w:color="auto" w:sz="4" w:space="0"/>
              <w:right w:val="single" w:color="auto" w:sz="4" w:space="0"/>
            </w:tcBorders>
            <w:noWrap/>
          </w:tcPr>
          <w:p>
            <w:pPr>
              <w:snapToGrid w:val="0"/>
              <w:spacing w:line="440" w:lineRule="exact"/>
              <w:rPr>
                <w:rFonts w:ascii="宋体" w:hAnsi="宋体" w:cs="宋体"/>
                <w:color w:val="auto"/>
                <w:szCs w:val="21"/>
              </w:rPr>
            </w:pPr>
          </w:p>
        </w:tc>
      </w:tr>
      <w:tr>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tcPr>
          <w:p>
            <w:pPr>
              <w:snapToGrid w:val="0"/>
              <w:spacing w:line="440" w:lineRule="exact"/>
              <w:rPr>
                <w:rFonts w:ascii="宋体" w:hAnsi="宋体" w:cs="宋体"/>
                <w:color w:val="auto"/>
                <w:szCs w:val="21"/>
              </w:rPr>
            </w:pPr>
          </w:p>
        </w:tc>
        <w:tc>
          <w:tcPr>
            <w:tcW w:w="2006" w:type="pct"/>
            <w:gridSpan w:val="4"/>
            <w:tcBorders>
              <w:top w:val="single" w:color="auto" w:sz="4" w:space="0"/>
              <w:left w:val="nil"/>
              <w:bottom w:val="single" w:color="auto" w:sz="4" w:space="0"/>
              <w:right w:val="single" w:color="auto" w:sz="4" w:space="0"/>
            </w:tcBorders>
            <w:noWrap/>
          </w:tcPr>
          <w:p>
            <w:pPr>
              <w:snapToGrid w:val="0"/>
              <w:spacing w:line="440" w:lineRule="exact"/>
              <w:rPr>
                <w:rFonts w:ascii="宋体" w:hAnsi="宋体" w:cs="宋体"/>
                <w:color w:val="auto"/>
                <w:szCs w:val="21"/>
              </w:rPr>
            </w:pPr>
          </w:p>
        </w:tc>
        <w:tc>
          <w:tcPr>
            <w:tcW w:w="739" w:type="pct"/>
            <w:tcBorders>
              <w:top w:val="single" w:color="auto" w:sz="4" w:space="0"/>
              <w:left w:val="nil"/>
              <w:bottom w:val="single" w:color="auto" w:sz="4" w:space="0"/>
              <w:right w:val="single" w:color="auto" w:sz="4" w:space="0"/>
            </w:tcBorders>
            <w:noWrap/>
          </w:tcPr>
          <w:p>
            <w:pPr>
              <w:snapToGrid w:val="0"/>
              <w:spacing w:line="440" w:lineRule="exact"/>
              <w:rPr>
                <w:rFonts w:ascii="宋体" w:hAnsi="宋体" w:cs="宋体"/>
                <w:color w:val="auto"/>
                <w:szCs w:val="21"/>
              </w:rPr>
            </w:pPr>
          </w:p>
        </w:tc>
        <w:tc>
          <w:tcPr>
            <w:tcW w:w="1347" w:type="pct"/>
            <w:gridSpan w:val="2"/>
            <w:tcBorders>
              <w:top w:val="single" w:color="auto" w:sz="4" w:space="0"/>
              <w:left w:val="nil"/>
              <w:bottom w:val="single" w:color="auto" w:sz="4" w:space="0"/>
              <w:right w:val="single" w:color="auto" w:sz="4" w:space="0"/>
            </w:tcBorders>
            <w:noWrap/>
          </w:tcPr>
          <w:p>
            <w:pPr>
              <w:snapToGrid w:val="0"/>
              <w:spacing w:line="440" w:lineRule="exact"/>
              <w:rPr>
                <w:rFonts w:ascii="宋体" w:hAnsi="宋体" w:cs="宋体"/>
                <w:color w:val="auto"/>
                <w:szCs w:val="21"/>
              </w:rPr>
            </w:pPr>
          </w:p>
        </w:tc>
      </w:tr>
      <w:tr>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2006" w:type="pct"/>
            <w:gridSpan w:val="4"/>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739" w:type="pct"/>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1347" w:type="pct"/>
            <w:gridSpan w:val="2"/>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r>
      <w:tr>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2006" w:type="pct"/>
            <w:gridSpan w:val="4"/>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739" w:type="pct"/>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1347" w:type="pct"/>
            <w:gridSpan w:val="2"/>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r>
      <w:tr>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2006" w:type="pct"/>
            <w:gridSpan w:val="4"/>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739" w:type="pct"/>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1347" w:type="pct"/>
            <w:gridSpan w:val="2"/>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r>
      <w:tr>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2006" w:type="pct"/>
            <w:gridSpan w:val="4"/>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739" w:type="pct"/>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c>
          <w:tcPr>
            <w:tcW w:w="1347" w:type="pct"/>
            <w:gridSpan w:val="2"/>
            <w:tcBorders>
              <w:top w:val="single" w:color="auto" w:sz="4" w:space="0"/>
              <w:left w:val="nil"/>
              <w:bottom w:val="single" w:color="auto" w:sz="4" w:space="0"/>
              <w:right w:val="single" w:color="auto" w:sz="4" w:space="0"/>
            </w:tcBorders>
            <w:noWrap/>
            <w:vAlign w:val="center"/>
          </w:tcPr>
          <w:p>
            <w:pPr>
              <w:snapToGrid w:val="0"/>
              <w:spacing w:line="440" w:lineRule="exact"/>
              <w:rPr>
                <w:rFonts w:ascii="宋体" w:hAnsi="宋体" w:cs="宋体"/>
                <w:color w:val="auto"/>
                <w:szCs w:val="21"/>
              </w:rPr>
            </w:pPr>
          </w:p>
        </w:tc>
      </w:tr>
    </w:tbl>
    <w:p>
      <w:pPr>
        <w:snapToGrid w:val="0"/>
        <w:spacing w:line="440" w:lineRule="exact"/>
        <w:rPr>
          <w:rFonts w:ascii="宋体" w:hAnsi="宋体"/>
          <w:color w:val="auto"/>
          <w:szCs w:val="21"/>
        </w:rPr>
      </w:pPr>
      <w:r>
        <w:rPr>
          <w:rFonts w:hint="eastAsia" w:ascii="宋体" w:hAnsi="宋体"/>
          <w:color w:val="auto"/>
          <w:szCs w:val="21"/>
        </w:rPr>
        <w:t>注：投标人应根据投标人须知第3.5.6项的要求在本表后附相关证明材料。</w:t>
      </w:r>
    </w:p>
    <w:p>
      <w:pPr>
        <w:snapToGrid w:val="0"/>
        <w:spacing w:line="360" w:lineRule="auto"/>
        <w:outlineLvl w:val="2"/>
        <w:rPr>
          <w:rFonts w:ascii="宋体" w:hAnsi="宋体"/>
          <w:b/>
          <w:bCs/>
          <w:color w:val="auto"/>
          <w:sz w:val="24"/>
          <w:szCs w:val="24"/>
        </w:rPr>
      </w:pPr>
      <w:r>
        <w:rPr>
          <w:rFonts w:hint="eastAsia" w:ascii="宋体" w:hAnsi="宋体"/>
          <w:b/>
          <w:bCs/>
          <w:color w:val="auto"/>
          <w:szCs w:val="24"/>
        </w:rPr>
        <w:br w:type="page"/>
      </w:r>
      <w:bookmarkStart w:id="608" w:name="_Toc26669"/>
      <w:bookmarkStart w:id="609" w:name="_Toc15203"/>
      <w:bookmarkStart w:id="610" w:name="_Toc24215"/>
      <w:r>
        <w:rPr>
          <w:rFonts w:hint="eastAsia" w:ascii="宋体" w:hAnsi="宋体"/>
          <w:b/>
          <w:bCs/>
          <w:color w:val="auto"/>
          <w:sz w:val="24"/>
          <w:szCs w:val="24"/>
        </w:rPr>
        <w:t>（六）拟投入本项目的主要试验检测仪器设备表（格式可自定）</w:t>
      </w:r>
      <w:bookmarkEnd w:id="608"/>
      <w:bookmarkEnd w:id="609"/>
      <w:bookmarkEnd w:id="610"/>
    </w:p>
    <w:p>
      <w:pPr>
        <w:snapToGrid w:val="0"/>
        <w:spacing w:line="360" w:lineRule="auto"/>
        <w:jc w:val="center"/>
        <w:rPr>
          <w:rFonts w:ascii="宋体" w:hAnsi="宋体"/>
          <w:b/>
          <w:bCs/>
          <w:color w:val="auto"/>
          <w:sz w:val="24"/>
          <w:szCs w:val="24"/>
        </w:rPr>
      </w:pPr>
      <w:r>
        <w:rPr>
          <w:rFonts w:hint="eastAsia" w:ascii="宋体" w:hAnsi="宋体"/>
          <w:b/>
          <w:bCs/>
          <w:color w:val="auto"/>
          <w:position w:val="-1"/>
          <w:sz w:val="24"/>
          <w:szCs w:val="24"/>
        </w:rPr>
        <w:t>拟投入本项目的通讯、办公、检测设备清单</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091"/>
        <w:gridCol w:w="1882"/>
        <w:gridCol w:w="1772"/>
        <w:gridCol w:w="158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353" w:type="pct"/>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名称及型号</w:t>
            </w:r>
          </w:p>
        </w:tc>
        <w:tc>
          <w:tcPr>
            <w:tcW w:w="3646" w:type="pct"/>
            <w:gridSpan w:val="4"/>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申请单位能达到的程度简述（由申请单位填写）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353" w:type="pct"/>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002"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数量（台套）</w:t>
            </w:r>
          </w:p>
        </w:tc>
        <w:tc>
          <w:tcPr>
            <w:tcW w:w="2643" w:type="pct"/>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拟投入本项目情况（台套）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353" w:type="pct"/>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002"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新购</w:t>
            </w: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自有</w:t>
            </w: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通讯设备</w:t>
            </w: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有线电话</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传真机</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打印机</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办公设备</w:t>
            </w: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复印机</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数码相机</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摄像机</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电  脑</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lang w:bidi="ar"/>
              </w:rPr>
              <w:t>无人机</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restar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检测设备</w:t>
            </w: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30米钢卷尺</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5米钢卷尺</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激光垂准仪</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建筑工程检测尺</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焊接检测尺</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读数显微镜</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涂层测厚仪</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游标卡尺</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扭矩扳手</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宋体" w:hAnsi="宋体" w:cs="宋体"/>
                <w:color w:val="auto"/>
                <w:szCs w:val="21"/>
              </w:rPr>
            </w:pPr>
          </w:p>
        </w:tc>
        <w:tc>
          <w:tcPr>
            <w:tcW w:w="110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3"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交通工具</w:t>
            </w:r>
          </w:p>
        </w:tc>
        <w:tc>
          <w:tcPr>
            <w:tcW w:w="1002"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3" w:type="pct"/>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其他</w:t>
            </w:r>
          </w:p>
        </w:tc>
        <w:tc>
          <w:tcPr>
            <w:tcW w:w="1002" w:type="pct"/>
            <w:tcBorders>
              <w:top w:val="single" w:color="auto" w:sz="4" w:space="0"/>
              <w:left w:val="single" w:color="auto" w:sz="4" w:space="0"/>
              <w:bottom w:val="single" w:color="auto" w:sz="4" w:space="0"/>
              <w:right w:val="single" w:color="auto" w:sz="4" w:space="0"/>
            </w:tcBorders>
            <w:noWrap/>
          </w:tcPr>
          <w:p>
            <w:pPr>
              <w:snapToGrid w:val="0"/>
              <w:rPr>
                <w:rFonts w:ascii="宋体" w:hAnsi="宋体" w:cs="宋体"/>
                <w:color w:val="auto"/>
                <w:szCs w:val="21"/>
              </w:rPr>
            </w:pPr>
          </w:p>
        </w:tc>
        <w:tc>
          <w:tcPr>
            <w:tcW w:w="947"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51"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c>
          <w:tcPr>
            <w:tcW w:w="844" w:type="pct"/>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color w:val="auto"/>
                <w:szCs w:val="21"/>
              </w:rPr>
            </w:pPr>
          </w:p>
        </w:tc>
      </w:tr>
    </w:tbl>
    <w:p>
      <w:pPr>
        <w:topLinePunct/>
        <w:snapToGrid w:val="0"/>
        <w:spacing w:line="360" w:lineRule="auto"/>
        <w:rPr>
          <w:rFonts w:ascii="宋体" w:hAnsi="宋体"/>
          <w:color w:val="auto"/>
          <w:spacing w:val="4"/>
          <w:szCs w:val="21"/>
        </w:rPr>
      </w:pPr>
      <w:r>
        <w:rPr>
          <w:rFonts w:hint="eastAsia" w:ascii="宋体" w:hAnsi="宋体"/>
          <w:color w:val="auto"/>
          <w:spacing w:val="4"/>
          <w:szCs w:val="21"/>
        </w:rPr>
        <w:t>备注：1、如投标人中标，招标人将据此清单与中标的监理单位核查进场的监理设施。</w:t>
      </w:r>
    </w:p>
    <w:p>
      <w:pPr>
        <w:topLinePunct/>
        <w:snapToGrid w:val="0"/>
        <w:spacing w:line="360" w:lineRule="auto"/>
        <w:ind w:firstLine="654" w:firstLineChars="300"/>
        <w:rPr>
          <w:rFonts w:ascii="宋体" w:hAnsi="宋体"/>
          <w:color w:val="auto"/>
          <w:spacing w:val="4"/>
          <w:szCs w:val="21"/>
        </w:rPr>
      </w:pPr>
      <w:r>
        <w:rPr>
          <w:rFonts w:hint="eastAsia" w:ascii="宋体" w:hAnsi="宋体"/>
          <w:color w:val="auto"/>
          <w:spacing w:val="4"/>
          <w:szCs w:val="21"/>
        </w:rPr>
        <w:t>2、投标人可自行补充其他拟投入本项目的监理设施，以及委托有关单位进行检测的协议。</w:t>
      </w:r>
    </w:p>
    <w:p>
      <w:pPr>
        <w:topLinePunct/>
        <w:snapToGrid w:val="0"/>
        <w:spacing w:line="480" w:lineRule="auto"/>
        <w:ind w:firstLine="4839" w:firstLineChars="2220"/>
        <w:rPr>
          <w:rFonts w:ascii="宋体" w:hAnsi="宋体"/>
          <w:snapToGrid w:val="0"/>
          <w:color w:val="auto"/>
          <w:spacing w:val="4"/>
          <w:szCs w:val="21"/>
        </w:rPr>
      </w:pP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投  标  单  位（盖章）：</w:t>
      </w: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法定代表人或委托代理人（签名或盖章）：</w:t>
      </w:r>
    </w:p>
    <w:p>
      <w:pPr>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日     期：     年   月   日</w:t>
      </w:r>
    </w:p>
    <w:p>
      <w:pPr>
        <w:snapToGrid w:val="0"/>
        <w:spacing w:before="20" w:line="412" w:lineRule="auto"/>
        <w:outlineLvl w:val="2"/>
        <w:rPr>
          <w:rFonts w:ascii="宋体" w:hAnsi="宋体"/>
          <w:b/>
          <w:bCs/>
          <w:color w:val="auto"/>
          <w:sz w:val="24"/>
          <w:szCs w:val="24"/>
        </w:rPr>
      </w:pPr>
      <w:r>
        <w:rPr>
          <w:rFonts w:hint="eastAsia" w:ascii="宋体" w:hAnsi="宋体"/>
          <w:color w:val="auto"/>
          <w:spacing w:val="18"/>
          <w:sz w:val="24"/>
          <w:szCs w:val="24"/>
        </w:rPr>
        <w:br w:type="page"/>
      </w:r>
      <w:bookmarkStart w:id="611" w:name="_Toc3392"/>
      <w:bookmarkStart w:id="612" w:name="_Toc30015"/>
      <w:bookmarkStart w:id="613" w:name="_Toc28096"/>
      <w:r>
        <w:rPr>
          <w:rFonts w:hint="eastAsia" w:ascii="宋体" w:hAnsi="宋体"/>
          <w:b/>
          <w:bCs/>
          <w:color w:val="auto"/>
          <w:sz w:val="24"/>
          <w:szCs w:val="24"/>
        </w:rPr>
        <w:t>（七）投标人声明格式</w:t>
      </w:r>
      <w:bookmarkEnd w:id="611"/>
      <w:bookmarkEnd w:id="612"/>
      <w:bookmarkEnd w:id="613"/>
    </w:p>
    <w:p>
      <w:pPr>
        <w:topLinePunct/>
        <w:snapToGrid w:val="0"/>
        <w:spacing w:line="360" w:lineRule="auto"/>
        <w:jc w:val="center"/>
        <w:rPr>
          <w:rFonts w:ascii="宋体" w:hAnsi="宋体"/>
          <w:color w:val="auto"/>
          <w:spacing w:val="18"/>
          <w:szCs w:val="21"/>
        </w:rPr>
      </w:pPr>
      <w:r>
        <w:rPr>
          <w:rFonts w:hint="eastAsia" w:ascii="宋体" w:hAnsi="宋体"/>
          <w:snapToGrid w:val="0"/>
          <w:color w:val="auto"/>
          <w:spacing w:val="4"/>
          <w:kern w:val="0"/>
          <w:szCs w:val="21"/>
        </w:rPr>
        <w:t>（格式详见招标公告附件一）</w:t>
      </w:r>
    </w:p>
    <w:p>
      <w:pPr>
        <w:snapToGrid w:val="0"/>
        <w:spacing w:line="360" w:lineRule="auto"/>
        <w:jc w:val="left"/>
        <w:outlineLvl w:val="1"/>
        <w:rPr>
          <w:rFonts w:ascii="宋体" w:hAnsi="宋体"/>
          <w:b/>
          <w:bCs/>
          <w:color w:val="auto"/>
          <w:kern w:val="0"/>
          <w:sz w:val="28"/>
          <w:szCs w:val="28"/>
        </w:rPr>
      </w:pPr>
      <w:r>
        <w:rPr>
          <w:rFonts w:hint="eastAsia" w:ascii="宋体" w:hAnsi="宋体" w:eastAsia="黑体"/>
          <w:b/>
          <w:bCs/>
          <w:color w:val="auto"/>
          <w:kern w:val="0"/>
          <w:sz w:val="24"/>
          <w:szCs w:val="24"/>
        </w:rPr>
        <w:br w:type="page"/>
      </w:r>
      <w:bookmarkEnd w:id="586"/>
      <w:bookmarkStart w:id="614" w:name="_Toc535938758"/>
      <w:bookmarkStart w:id="615" w:name="_Toc529196610"/>
      <w:bookmarkStart w:id="616" w:name="_Toc23459"/>
      <w:bookmarkStart w:id="617" w:name="_Toc530470651"/>
      <w:bookmarkStart w:id="618" w:name="_Toc25786"/>
      <w:bookmarkStart w:id="619" w:name="_Toc17335"/>
      <w:r>
        <w:rPr>
          <w:rFonts w:hint="eastAsia" w:ascii="宋体" w:hAnsi="宋体"/>
          <w:b/>
          <w:bCs/>
          <w:color w:val="auto"/>
          <w:kern w:val="0"/>
          <w:sz w:val="28"/>
          <w:szCs w:val="28"/>
        </w:rPr>
        <w:t>六、监理大纲</w:t>
      </w:r>
      <w:bookmarkEnd w:id="614"/>
      <w:bookmarkEnd w:id="615"/>
      <w:bookmarkEnd w:id="616"/>
      <w:bookmarkEnd w:id="617"/>
      <w:bookmarkEnd w:id="618"/>
      <w:bookmarkEnd w:id="619"/>
    </w:p>
    <w:p>
      <w:pPr>
        <w:snapToGrid w:val="0"/>
        <w:spacing w:line="360" w:lineRule="auto"/>
        <w:jc w:val="center"/>
        <w:rPr>
          <w:rFonts w:ascii="宋体" w:hAnsi="宋体"/>
          <w:b/>
          <w:color w:val="auto"/>
          <w:sz w:val="24"/>
          <w:szCs w:val="24"/>
        </w:rPr>
      </w:pPr>
      <w:r>
        <w:rPr>
          <w:rFonts w:hint="eastAsia" w:ascii="宋体" w:hAnsi="宋体"/>
          <w:b/>
          <w:color w:val="auto"/>
          <w:sz w:val="24"/>
          <w:szCs w:val="24"/>
        </w:rPr>
        <w:t>监理大纲</w:t>
      </w:r>
    </w:p>
    <w:p>
      <w:pPr>
        <w:snapToGrid w:val="0"/>
        <w:spacing w:line="360" w:lineRule="auto"/>
        <w:ind w:firstLine="474" w:firstLineChars="226"/>
        <w:rPr>
          <w:rFonts w:ascii="宋体" w:hAnsi="宋体"/>
          <w:color w:val="auto"/>
          <w:szCs w:val="21"/>
        </w:rPr>
      </w:pPr>
      <w:r>
        <w:rPr>
          <w:rFonts w:hint="eastAsia" w:ascii="宋体" w:hAnsi="宋体"/>
          <w:color w:val="auto"/>
          <w:szCs w:val="21"/>
        </w:rPr>
        <w:t>监理大纲应包括（但不限于）下列内容：</w:t>
      </w:r>
    </w:p>
    <w:p>
      <w:pPr>
        <w:snapToGrid w:val="0"/>
        <w:spacing w:line="360" w:lineRule="auto"/>
        <w:ind w:firstLine="474" w:firstLineChars="226"/>
        <w:rPr>
          <w:rFonts w:ascii="宋体" w:hAnsi="宋体"/>
          <w:color w:val="auto"/>
          <w:szCs w:val="21"/>
        </w:rPr>
      </w:pPr>
      <w:r>
        <w:rPr>
          <w:rFonts w:hint="eastAsia" w:ascii="宋体" w:hAnsi="宋体"/>
          <w:color w:val="auto"/>
          <w:szCs w:val="21"/>
        </w:rPr>
        <w:t>一、项目建设管理方案；</w:t>
      </w:r>
    </w:p>
    <w:p>
      <w:pPr>
        <w:snapToGrid w:val="0"/>
        <w:spacing w:line="360" w:lineRule="auto"/>
        <w:ind w:firstLine="474" w:firstLineChars="226"/>
        <w:rPr>
          <w:rFonts w:ascii="宋体" w:hAnsi="宋体"/>
          <w:color w:val="auto"/>
          <w:szCs w:val="21"/>
        </w:rPr>
      </w:pPr>
      <w:r>
        <w:rPr>
          <w:rFonts w:hint="eastAsia" w:ascii="宋体" w:hAnsi="宋体"/>
          <w:color w:val="auto"/>
          <w:szCs w:val="21"/>
        </w:rPr>
        <w:t>二、监理方案；</w:t>
      </w:r>
    </w:p>
    <w:p>
      <w:pPr>
        <w:snapToGrid w:val="0"/>
        <w:spacing w:line="360" w:lineRule="auto"/>
        <w:ind w:firstLine="474" w:firstLineChars="226"/>
        <w:rPr>
          <w:rFonts w:ascii="宋体" w:hAnsi="宋体"/>
          <w:color w:val="auto"/>
          <w:szCs w:val="21"/>
        </w:rPr>
      </w:pPr>
      <w:r>
        <w:rPr>
          <w:rFonts w:hint="eastAsia" w:ascii="宋体" w:hAnsi="宋体"/>
          <w:color w:val="auto"/>
          <w:szCs w:val="21"/>
        </w:rPr>
        <w:t>三、对本项目重点及难点分析及解决措施；</w:t>
      </w:r>
    </w:p>
    <w:p>
      <w:pPr>
        <w:snapToGrid w:val="0"/>
        <w:spacing w:line="360" w:lineRule="auto"/>
        <w:ind w:firstLine="474" w:firstLineChars="226"/>
        <w:rPr>
          <w:rFonts w:ascii="宋体" w:hAnsi="宋体"/>
          <w:color w:val="auto"/>
          <w:szCs w:val="21"/>
        </w:rPr>
      </w:pPr>
      <w:r>
        <w:rPr>
          <w:rFonts w:hint="eastAsia" w:ascii="宋体" w:hAnsi="宋体"/>
          <w:color w:val="auto"/>
          <w:szCs w:val="21"/>
        </w:rPr>
        <w:t>四、合理化建议；</w:t>
      </w:r>
    </w:p>
    <w:p>
      <w:pPr>
        <w:snapToGrid/>
        <w:spacing w:line="240" w:lineRule="auto"/>
        <w:jc w:val="left"/>
        <w:outlineLvl w:val="9"/>
        <w:rPr>
          <w:rFonts w:hint="eastAsia" w:ascii="宋体" w:hAnsi="宋体"/>
          <w:b/>
          <w:bCs/>
          <w:color w:val="auto"/>
          <w:kern w:val="0"/>
          <w:sz w:val="28"/>
          <w:szCs w:val="28"/>
        </w:rPr>
      </w:pPr>
      <w:bookmarkStart w:id="620" w:name="_Toc31775"/>
      <w:bookmarkStart w:id="621" w:name="_Toc29937"/>
      <w:bookmarkStart w:id="622" w:name="_Toc530470652"/>
      <w:bookmarkStart w:id="623" w:name="_Toc529196611"/>
      <w:bookmarkStart w:id="624" w:name="_Toc19585"/>
      <w:bookmarkStart w:id="625" w:name="_Toc535938759"/>
      <w:r>
        <w:rPr>
          <w:rFonts w:hint="eastAsia" w:ascii="宋体" w:hAnsi="宋体"/>
          <w:b/>
          <w:bCs/>
          <w:color w:val="auto"/>
          <w:kern w:val="0"/>
          <w:sz w:val="28"/>
          <w:szCs w:val="28"/>
        </w:rPr>
        <w:br w:type="page"/>
      </w:r>
    </w:p>
    <w:p>
      <w:pPr>
        <w:snapToGrid w:val="0"/>
        <w:spacing w:line="360" w:lineRule="auto"/>
        <w:jc w:val="left"/>
        <w:outlineLvl w:val="1"/>
        <w:rPr>
          <w:rFonts w:ascii="宋体" w:hAnsi="宋体"/>
          <w:b/>
          <w:bCs/>
          <w:color w:val="auto"/>
          <w:kern w:val="0"/>
          <w:sz w:val="28"/>
          <w:szCs w:val="28"/>
        </w:rPr>
      </w:pPr>
      <w:r>
        <w:rPr>
          <w:rFonts w:hint="eastAsia" w:ascii="宋体" w:hAnsi="宋体"/>
          <w:b/>
          <w:bCs/>
          <w:color w:val="auto"/>
          <w:kern w:val="0"/>
          <w:sz w:val="28"/>
          <w:szCs w:val="28"/>
        </w:rPr>
        <w:t>七、其他资料</w:t>
      </w:r>
      <w:bookmarkEnd w:id="620"/>
      <w:bookmarkEnd w:id="621"/>
      <w:bookmarkEnd w:id="622"/>
      <w:bookmarkEnd w:id="623"/>
      <w:bookmarkEnd w:id="624"/>
      <w:bookmarkEnd w:id="625"/>
    </w:p>
    <w:p>
      <w:pPr>
        <w:topLinePunct/>
        <w:snapToGrid w:val="0"/>
        <w:spacing w:line="360" w:lineRule="auto"/>
        <w:rPr>
          <w:rFonts w:ascii="宋体" w:hAnsi="宋体"/>
          <w:snapToGrid w:val="0"/>
          <w:color w:val="auto"/>
          <w:spacing w:val="18"/>
          <w:sz w:val="24"/>
          <w:szCs w:val="24"/>
        </w:rPr>
      </w:pPr>
      <w:r>
        <w:rPr>
          <w:rFonts w:hint="eastAsia" w:ascii="宋体" w:hAnsi="宋体"/>
          <w:b/>
          <w:bCs/>
          <w:color w:val="auto"/>
          <w:sz w:val="24"/>
          <w:szCs w:val="24"/>
        </w:rPr>
        <w:t>其他资料应包括（但不限制于）以下内容：</w:t>
      </w:r>
    </w:p>
    <w:p>
      <w:pPr>
        <w:snapToGrid w:val="0"/>
        <w:spacing w:line="360" w:lineRule="auto"/>
        <w:outlineLvl w:val="2"/>
        <w:rPr>
          <w:rFonts w:ascii="宋体" w:hAnsi="宋体"/>
          <w:b/>
          <w:color w:val="auto"/>
          <w:sz w:val="24"/>
          <w:szCs w:val="24"/>
        </w:rPr>
      </w:pPr>
      <w:bookmarkStart w:id="626" w:name="_Toc530470653"/>
      <w:bookmarkStart w:id="627" w:name="_Toc11767"/>
      <w:bookmarkStart w:id="628" w:name="_Toc535938760"/>
      <w:bookmarkStart w:id="629" w:name="_Toc21075"/>
      <w:bookmarkStart w:id="630" w:name="_Toc17381"/>
      <w:r>
        <w:rPr>
          <w:rFonts w:hint="eastAsia" w:ascii="宋体" w:hAnsi="宋体"/>
          <w:b/>
          <w:color w:val="auto"/>
          <w:sz w:val="24"/>
          <w:szCs w:val="24"/>
        </w:rPr>
        <w:t>①工程监理服务承诺书</w:t>
      </w:r>
      <w:bookmarkEnd w:id="626"/>
      <w:bookmarkEnd w:id="627"/>
      <w:bookmarkEnd w:id="628"/>
      <w:bookmarkEnd w:id="629"/>
      <w:bookmarkEnd w:id="630"/>
    </w:p>
    <w:p>
      <w:pPr>
        <w:snapToGrid w:val="0"/>
        <w:spacing w:line="360" w:lineRule="auto"/>
        <w:jc w:val="center"/>
        <w:rPr>
          <w:rFonts w:ascii="宋体" w:hAnsi="宋体"/>
          <w:b/>
          <w:color w:val="auto"/>
          <w:sz w:val="24"/>
          <w:szCs w:val="24"/>
        </w:rPr>
      </w:pPr>
      <w:r>
        <w:rPr>
          <w:rFonts w:hint="eastAsia" w:ascii="宋体" w:hAnsi="宋体"/>
          <w:b/>
          <w:color w:val="auto"/>
          <w:sz w:val="24"/>
          <w:szCs w:val="24"/>
        </w:rPr>
        <w:t>工程监理服务承诺书</w:t>
      </w:r>
    </w:p>
    <w:p>
      <w:pPr>
        <w:topLinePunct/>
        <w:snapToGrid w:val="0"/>
        <w:spacing w:line="360" w:lineRule="auto"/>
        <w:rPr>
          <w:rFonts w:hint="eastAsia" w:ascii="宋体" w:hAnsi="宋体" w:eastAsia="宋体"/>
          <w:b/>
          <w:bCs/>
          <w:snapToGrid w:val="0"/>
          <w:color w:val="auto"/>
          <w:spacing w:val="4"/>
          <w:szCs w:val="21"/>
          <w:lang w:eastAsia="zh-CN"/>
        </w:rPr>
      </w:pPr>
      <w:r>
        <w:rPr>
          <w:rFonts w:hint="eastAsia" w:ascii="宋体" w:hAnsi="宋体"/>
          <w:b/>
          <w:bCs/>
          <w:snapToGrid w:val="0"/>
          <w:color w:val="auto"/>
          <w:spacing w:val="4"/>
          <w:szCs w:val="21"/>
        </w:rPr>
        <w:t>致：</w:t>
      </w:r>
      <w:r>
        <w:rPr>
          <w:rFonts w:hint="eastAsia" w:ascii="宋体" w:hAnsi="宋体" w:cs="宋体"/>
          <w:b/>
          <w:bCs/>
          <w:snapToGrid w:val="0"/>
          <w:color w:val="auto"/>
          <w:spacing w:val="4"/>
          <w:szCs w:val="21"/>
          <w:u w:val="single"/>
          <w:lang w:eastAsia="zh-CN"/>
        </w:rPr>
        <w:t>广东省中医院</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一旦我方中标，我方愿意做出如下承诺：</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一、我方同意投标有效截止日期之日起的投标有效期内遵守本投标文件。在此期限届满之前，本投标文件将始终对我方有约束力，并可随时按此投标书接受中标。</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二、我方完全愿意接受本项目招标文件中的监理合同条款，如我方中标，我们将在招标人要求的时间内签订监理服务合同。</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三、如果我方中标，我方保证在签订合同后，在合同要求的期限内进驻现场开展工作，并在工程施工准备期、施工期和工程收尾期严格履行合同。</w:t>
      </w:r>
      <w:r>
        <w:rPr>
          <w:rFonts w:hint="eastAsia" w:ascii="宋体" w:hAnsi="宋体"/>
          <w:color w:val="auto"/>
          <w:spacing w:val="4"/>
          <w:szCs w:val="21"/>
        </w:rPr>
        <w:t>如果我方中标，我方承诺严格按照合同和招投标文件规定履行义务，并同意贵单位将我方履行合同、招投标文件义务的履约情况和不诚信行为（包括但不限于由贵单位</w:t>
      </w:r>
      <w:r>
        <w:rPr>
          <w:rFonts w:hint="eastAsia" w:ascii="宋体" w:hAnsi="宋体"/>
          <w:color w:val="auto"/>
          <w:szCs w:val="21"/>
        </w:rPr>
        <w:t>组织的考核、考评通报、作</w:t>
      </w:r>
      <w:r>
        <w:rPr>
          <w:rFonts w:hint="eastAsia" w:ascii="宋体" w:hAnsi="宋体"/>
          <w:color w:val="auto"/>
          <w:spacing w:val="4"/>
          <w:szCs w:val="21"/>
        </w:rPr>
        <w:t>出的违约责任处理决定等）在贵单位网站和建设项目业主网站及其他媒体上公开披露，由此造成的一切损失和不利后果均由我方自行承担。</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四、我方承诺按照招标文件的规定对监理与相关服务费进行支付和结算。</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1、在监理服务期内，招标人有权根据项目实际情况要求我方重新调整监理实施方案，调整后的监理实施方案需经招标人审批同意后实施，我方承诺不因此而调整监理酬金。当工程量增加、或设计变更、或设计工程变化、或设计规模变化时，我方工作的变化均应视为本合同约定的监理工作。</w:t>
      </w:r>
    </w:p>
    <w:p>
      <w:pPr>
        <w:topLinePunct/>
        <w:snapToGrid w:val="0"/>
        <w:spacing w:line="360" w:lineRule="auto"/>
        <w:ind w:firstLine="436" w:firstLineChars="200"/>
        <w:rPr>
          <w:rFonts w:ascii="宋体" w:hAnsi="宋体"/>
          <w:bCs/>
          <w:snapToGrid w:val="0"/>
          <w:color w:val="auto"/>
          <w:spacing w:val="4"/>
          <w:szCs w:val="21"/>
        </w:rPr>
      </w:pPr>
      <w:r>
        <w:rPr>
          <w:rFonts w:hint="eastAsia" w:ascii="宋体" w:hAnsi="宋体"/>
          <w:snapToGrid w:val="0"/>
          <w:color w:val="auto"/>
          <w:spacing w:val="4"/>
          <w:szCs w:val="21"/>
        </w:rPr>
        <w:t>2、如在工程实施期间，因政策变化、计划调整或不可抗力等非招标人主观原因造成本合同工程停建的，则我方承诺接受终止服务并积极配合招标人作好善后工作，按已发生的工程数量结清监理报酬，我方不另要求额外的费用及任何形式的补偿。</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3、如在工程实施期间，如因任何原因造成本合同工程中间停工而导致我方必须二次或多次进出场，监理报酬总额将不会因此而有所调整，相关费用亦已经包含于监理酬金中。</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4、我方承诺，将按照招标文件和监理合同的约定，完成本项目监理服务的工作内容且相关的监理服务须达到令招标人满意的程度。如未能按合同的约定完成本监理工程的相关工作内容，或完成的工作内容未能达到约定的支付审核标准，或招标人对监理工作情况的检查结果未能达到约定的令人满意的程度，均视作我方对该承诺的违反，招标人可于合同酬金总额中扣减相关监理服务项目的酬金。我方对于履行监理职责方面的违约责任根据合同专用条件的相关约定另行扣减。</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五、保证监理服务满足工程的需要，监理人员服务费中包括工资、奖金、补贴、加班费（法定节假日和8小时工作以外）、办公费、差旅费（包括进、退场和探亲交通费）、招待费、因公受伤医疗费，以及监理单位为监理人员提供或承担的住房、医疗、保险、交通等福利待遇。</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六、我方将严格按照监理人员执业守则，按照国家相关法规、规范及我方制定的监理大纲、实施细则进行监理，在保证质量、安全的前提下，确保工程按期交付。</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七、在未正式签订合同前，贵单位的招标文件、中标通知书和本投标文件将构成约束我们双方的法律文书。</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八、我方理解，贵单位不一定接受最低标价的投标文件或可能接受任何的投标文件。同时也理解，不论结果如何，贵单位不承担我方的任何投标费用。</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九、如果我方在投标有效期内撤回投标文件，或收到中标通知书后未能按招标文件规定的期限签署或拒绝签署合同，或未能或拒绝提交履约担保，贵单位有权视为我方自动放弃中标资格</w:t>
      </w:r>
      <w:r>
        <w:rPr>
          <w:rFonts w:hint="eastAsia" w:ascii="宋体" w:hAnsi="宋体" w:cs="宋体"/>
          <w:color w:val="auto"/>
          <w:szCs w:val="21"/>
          <w:lang w:bidi="ar"/>
        </w:rPr>
        <w:t>，且有权要求我方对由此造成的损失作出赔偿</w:t>
      </w:r>
      <w:r>
        <w:rPr>
          <w:rFonts w:hint="eastAsia" w:ascii="宋体" w:hAnsi="宋体"/>
          <w:snapToGrid w:val="0"/>
          <w:color w:val="auto"/>
          <w:spacing w:val="4"/>
          <w:szCs w:val="21"/>
        </w:rPr>
        <w:t>。</w:t>
      </w:r>
    </w:p>
    <w:p>
      <w:pPr>
        <w:topLinePunct/>
        <w:snapToGrid w:val="0"/>
        <w:spacing w:line="360" w:lineRule="auto"/>
        <w:ind w:firstLine="496" w:firstLineChars="200"/>
        <w:rPr>
          <w:rFonts w:ascii="宋体" w:hAnsi="宋体"/>
          <w:snapToGrid w:val="0"/>
          <w:color w:val="auto"/>
          <w:spacing w:val="4"/>
          <w:sz w:val="24"/>
          <w:szCs w:val="24"/>
        </w:rPr>
      </w:pP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投  标  单  位（盖章）：</w:t>
      </w: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法定代表人或委托代理人（签名或盖章）：</w:t>
      </w:r>
    </w:p>
    <w:p>
      <w:pPr>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日     期：     年   月   日</w:t>
      </w:r>
    </w:p>
    <w:p>
      <w:pPr>
        <w:snapToGrid w:val="0"/>
        <w:spacing w:line="360" w:lineRule="auto"/>
        <w:outlineLvl w:val="2"/>
        <w:rPr>
          <w:rFonts w:ascii="宋体" w:hAnsi="宋体"/>
          <w:b/>
          <w:color w:val="auto"/>
          <w:sz w:val="24"/>
          <w:szCs w:val="24"/>
        </w:rPr>
      </w:pPr>
      <w:r>
        <w:rPr>
          <w:rFonts w:hint="eastAsia" w:ascii="宋体" w:hAnsi="宋体"/>
          <w:b/>
          <w:color w:val="auto"/>
          <w:sz w:val="28"/>
          <w:szCs w:val="28"/>
        </w:rPr>
        <w:br w:type="page"/>
      </w:r>
      <w:bookmarkStart w:id="631" w:name="_Toc1965"/>
      <w:bookmarkStart w:id="632" w:name="_Toc530470654"/>
      <w:bookmarkStart w:id="633" w:name="_Toc535938761"/>
      <w:bookmarkStart w:id="634" w:name="_Toc19665"/>
      <w:bookmarkStart w:id="635" w:name="_Toc19553"/>
      <w:r>
        <w:rPr>
          <w:rFonts w:hint="eastAsia" w:ascii="宋体" w:hAnsi="宋体"/>
          <w:b/>
          <w:color w:val="auto"/>
          <w:sz w:val="24"/>
          <w:szCs w:val="24"/>
        </w:rPr>
        <w:t>②工程监理合同响应承诺书</w:t>
      </w:r>
      <w:bookmarkEnd w:id="631"/>
      <w:bookmarkEnd w:id="632"/>
      <w:bookmarkEnd w:id="633"/>
      <w:bookmarkEnd w:id="634"/>
      <w:bookmarkEnd w:id="635"/>
    </w:p>
    <w:p>
      <w:pPr>
        <w:snapToGrid w:val="0"/>
        <w:spacing w:line="360" w:lineRule="auto"/>
        <w:jc w:val="center"/>
        <w:rPr>
          <w:rFonts w:ascii="宋体" w:hAnsi="宋体"/>
          <w:b/>
          <w:color w:val="auto"/>
          <w:sz w:val="24"/>
          <w:szCs w:val="24"/>
        </w:rPr>
      </w:pPr>
      <w:r>
        <w:rPr>
          <w:rFonts w:hint="eastAsia" w:ascii="宋体" w:hAnsi="宋体"/>
          <w:b/>
          <w:color w:val="auto"/>
          <w:sz w:val="24"/>
          <w:szCs w:val="24"/>
        </w:rPr>
        <w:t>工程监理合同响应承诺书</w:t>
      </w:r>
    </w:p>
    <w:p>
      <w:pPr>
        <w:topLinePunct/>
        <w:snapToGrid w:val="0"/>
        <w:spacing w:line="360" w:lineRule="auto"/>
        <w:ind w:firstLine="436" w:firstLineChars="200"/>
        <w:rPr>
          <w:rFonts w:ascii="宋体" w:hAnsi="宋体"/>
          <w:snapToGrid w:val="0"/>
          <w:color w:val="auto"/>
          <w:spacing w:val="4"/>
          <w:szCs w:val="21"/>
        </w:rPr>
      </w:pPr>
    </w:p>
    <w:p>
      <w:pPr>
        <w:topLinePunct/>
        <w:snapToGrid w:val="0"/>
        <w:spacing w:line="360" w:lineRule="auto"/>
        <w:rPr>
          <w:rFonts w:hint="eastAsia" w:ascii="宋体" w:hAnsi="宋体" w:eastAsia="宋体"/>
          <w:snapToGrid w:val="0"/>
          <w:color w:val="auto"/>
          <w:spacing w:val="4"/>
          <w:szCs w:val="21"/>
          <w:lang w:eastAsia="zh-CN"/>
        </w:rPr>
      </w:pPr>
      <w:r>
        <w:rPr>
          <w:rFonts w:hint="eastAsia" w:ascii="宋体" w:hAnsi="宋体"/>
          <w:snapToGrid w:val="0"/>
          <w:color w:val="auto"/>
          <w:spacing w:val="4"/>
          <w:szCs w:val="21"/>
        </w:rPr>
        <w:t>致：</w:t>
      </w:r>
      <w:r>
        <w:rPr>
          <w:rFonts w:hint="eastAsia" w:ascii="宋体" w:hAnsi="宋体"/>
          <w:snapToGrid w:val="0"/>
          <w:color w:val="auto"/>
          <w:spacing w:val="4"/>
          <w:szCs w:val="21"/>
          <w:lang w:eastAsia="zh-CN"/>
        </w:rPr>
        <w:t>广东省中医院</w:t>
      </w:r>
    </w:p>
    <w:p>
      <w:pPr>
        <w:topLinePunct/>
        <w:snapToGrid w:val="0"/>
        <w:spacing w:line="360" w:lineRule="auto"/>
        <w:rPr>
          <w:rFonts w:ascii="宋体" w:hAnsi="宋体"/>
          <w:snapToGrid w:val="0"/>
          <w:color w:val="auto"/>
          <w:spacing w:val="4"/>
          <w:szCs w:val="21"/>
        </w:rPr>
      </w:pP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我方完全愿意接受本项目招标文件所附合同条款，如我方中标，我们将在贵单位要求的时间内签订监理服务合同。</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特此承诺。</w:t>
      </w:r>
    </w:p>
    <w:p>
      <w:pPr>
        <w:topLinePunct/>
        <w:snapToGrid w:val="0"/>
        <w:spacing w:line="360" w:lineRule="auto"/>
        <w:ind w:firstLine="496" w:firstLineChars="200"/>
        <w:rPr>
          <w:rFonts w:ascii="宋体" w:hAnsi="宋体"/>
          <w:snapToGrid w:val="0"/>
          <w:color w:val="auto"/>
          <w:spacing w:val="4"/>
          <w:sz w:val="24"/>
          <w:szCs w:val="24"/>
        </w:rPr>
      </w:pP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投  标  单  位（盖章）：</w:t>
      </w: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法定代表人或委托代理人（签名或盖章）：</w:t>
      </w:r>
    </w:p>
    <w:p>
      <w:pPr>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日     期：     年   月   日</w:t>
      </w:r>
    </w:p>
    <w:p>
      <w:pPr>
        <w:snapToGrid w:val="0"/>
        <w:spacing w:line="360" w:lineRule="auto"/>
        <w:outlineLvl w:val="2"/>
        <w:rPr>
          <w:rFonts w:ascii="宋体" w:hAnsi="宋体"/>
          <w:color w:val="auto"/>
          <w:sz w:val="24"/>
          <w:szCs w:val="24"/>
        </w:rPr>
      </w:pPr>
      <w:r>
        <w:rPr>
          <w:rFonts w:hint="eastAsia" w:ascii="宋体" w:hAnsi="宋体"/>
          <w:color w:val="auto"/>
          <w:sz w:val="28"/>
          <w:szCs w:val="28"/>
        </w:rPr>
        <w:br w:type="page"/>
      </w:r>
      <w:bookmarkStart w:id="636" w:name="_Toc530470655"/>
      <w:bookmarkStart w:id="637" w:name="_Toc535938762"/>
      <w:bookmarkStart w:id="638" w:name="_Toc18495"/>
      <w:bookmarkStart w:id="639" w:name="_Toc13944"/>
      <w:bookmarkStart w:id="640" w:name="_Toc23826"/>
      <w:r>
        <w:rPr>
          <w:rFonts w:hint="eastAsia" w:ascii="宋体" w:hAnsi="宋体"/>
          <w:b/>
          <w:color w:val="auto"/>
          <w:sz w:val="24"/>
          <w:szCs w:val="24"/>
        </w:rPr>
        <w:t>③工程监理人员到位承诺书</w:t>
      </w:r>
      <w:bookmarkEnd w:id="636"/>
      <w:bookmarkEnd w:id="637"/>
      <w:bookmarkEnd w:id="638"/>
      <w:bookmarkEnd w:id="639"/>
      <w:bookmarkEnd w:id="640"/>
    </w:p>
    <w:p>
      <w:pPr>
        <w:snapToGrid w:val="0"/>
        <w:spacing w:line="360" w:lineRule="auto"/>
        <w:jc w:val="center"/>
        <w:rPr>
          <w:rFonts w:ascii="宋体" w:hAnsi="宋体"/>
          <w:b/>
          <w:color w:val="auto"/>
          <w:sz w:val="24"/>
          <w:szCs w:val="24"/>
        </w:rPr>
      </w:pPr>
      <w:r>
        <w:rPr>
          <w:rFonts w:hint="eastAsia" w:ascii="宋体" w:hAnsi="宋体"/>
          <w:b/>
          <w:color w:val="auto"/>
          <w:sz w:val="24"/>
          <w:szCs w:val="24"/>
        </w:rPr>
        <w:t>工程监理人员到位承诺书</w:t>
      </w:r>
    </w:p>
    <w:p>
      <w:pPr>
        <w:topLinePunct/>
        <w:snapToGrid w:val="0"/>
        <w:spacing w:line="360" w:lineRule="auto"/>
        <w:rPr>
          <w:rFonts w:hint="eastAsia" w:ascii="宋体" w:hAnsi="宋体" w:eastAsia="宋体"/>
          <w:b/>
          <w:snapToGrid w:val="0"/>
          <w:color w:val="auto"/>
          <w:spacing w:val="4"/>
          <w:szCs w:val="21"/>
          <w:lang w:eastAsia="zh-CN"/>
        </w:rPr>
      </w:pPr>
      <w:r>
        <w:rPr>
          <w:rFonts w:hint="eastAsia" w:ascii="宋体" w:hAnsi="宋体"/>
          <w:b/>
          <w:snapToGrid w:val="0"/>
          <w:color w:val="auto"/>
          <w:spacing w:val="4"/>
          <w:szCs w:val="21"/>
        </w:rPr>
        <w:t>致：</w:t>
      </w:r>
      <w:r>
        <w:rPr>
          <w:rFonts w:hint="eastAsia" w:ascii="宋体" w:hAnsi="宋体"/>
          <w:b/>
          <w:snapToGrid w:val="0"/>
          <w:color w:val="auto"/>
          <w:spacing w:val="4"/>
          <w:szCs w:val="21"/>
          <w:lang w:eastAsia="zh-CN"/>
        </w:rPr>
        <w:t>广东省中医院</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一旦我方中标，我方愿意做出如下承诺：</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一、承诺保证按本项目投标文件所报的监理组织架构框图和项目总监理工程师及全部监理人员按要求时间到位开展工程监理工作；并承诺在监理工作实施过程中，如需更换监理人员，将按合同条款约定承担相应违约责任；如投标时人员组成不满足</w:t>
      </w:r>
      <w:r>
        <w:rPr>
          <w:rFonts w:ascii="宋体" w:hAnsi="宋体"/>
          <w:snapToGrid w:val="0"/>
          <w:color w:val="auto"/>
          <w:spacing w:val="4"/>
          <w:szCs w:val="21"/>
        </w:rPr>
        <w:t>招标文件</w:t>
      </w:r>
      <w:r>
        <w:rPr>
          <w:rFonts w:hint="eastAsia" w:ascii="宋体" w:hAnsi="宋体"/>
          <w:snapToGrid w:val="0"/>
          <w:color w:val="auto"/>
          <w:spacing w:val="4"/>
          <w:szCs w:val="21"/>
        </w:rPr>
        <w:t>要求，中标后七个工作日内我方将提供满足或优于该表要求的经招标人批准的监理部组成人员。否则，贵单位可以按我方未实质履行监理合同处理，全部没收我方的履约担保，并且可以单方面终止监理合同，我方将不提出任何异议。</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二、鉴于本项目的重要性、专业性、工程的复杂性和工期的紧迫性，为确保按时、按质完成监理工作任务，在工程监理工作过程中，如贵单位认为我方监理人员的数量、监理人员的业务水平、监理人员的专业配置等不能满足监理工作所需时，贵单位有权聘请符合监理工作所需要的监理人员或单位，作为我方从事本监理工作的人员，所聘请监理人员或单位的费用已包括在本招标项目监理费总额内，由我方向所聘用人员或单位支付，必要时贵单位有权从本招标项目监理酬金中直接支付。</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三、为了加强贵单位与我方的沟通与协调，我方同意贵单位另行指定一名专业工程师（业主监理代表）常驻项目监理机构，监督并协助项目监理机构的工作。</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四、因监理人员不到位、监管措施不足、监督不力，导致施工单位未按照经审查合格的施工图纸施工，贵单位可按照合同约定追究我方监理单位的责任，由此产生改造等相关费用，全部由我方承担。</w:t>
      </w:r>
    </w:p>
    <w:p>
      <w:pPr>
        <w:topLinePunct/>
        <w:snapToGrid w:val="0"/>
        <w:spacing w:line="360" w:lineRule="auto"/>
        <w:ind w:firstLine="436" w:firstLineChars="200"/>
        <w:rPr>
          <w:rFonts w:ascii="宋体" w:hAnsi="宋体"/>
          <w:snapToGrid w:val="0"/>
          <w:color w:val="auto"/>
          <w:spacing w:val="4"/>
          <w:szCs w:val="21"/>
        </w:rPr>
      </w:pPr>
      <w:r>
        <w:rPr>
          <w:rFonts w:ascii="宋体" w:hAnsi="宋体"/>
          <w:snapToGrid w:val="0"/>
          <w:color w:val="auto"/>
          <w:spacing w:val="4"/>
          <w:szCs w:val="21"/>
        </w:rPr>
        <w:t>五、若我方中标，我方承诺我方拟投入本项目各阶段的专业监理工程师和监理员在履行相应监理工作职责时将不再兼任其他项目的监理工作，否则我方愿意无条件更换符合本项目监理工作所需的专业监理工程师且愿意按照监理合同中所应承担的违约责任接受</w:t>
      </w:r>
      <w:r>
        <w:rPr>
          <w:rFonts w:hint="eastAsia" w:ascii="宋体" w:hAnsi="宋体"/>
          <w:snapToGrid w:val="0"/>
          <w:color w:val="auto"/>
          <w:spacing w:val="4"/>
          <w:szCs w:val="21"/>
        </w:rPr>
        <w:t>贵单位</w:t>
      </w:r>
      <w:r>
        <w:rPr>
          <w:rFonts w:ascii="宋体" w:hAnsi="宋体"/>
          <w:snapToGrid w:val="0"/>
          <w:color w:val="auto"/>
          <w:spacing w:val="4"/>
          <w:szCs w:val="21"/>
        </w:rPr>
        <w:t>的处罚。</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特此承诺。</w:t>
      </w:r>
    </w:p>
    <w:p>
      <w:pPr>
        <w:topLinePunct/>
        <w:snapToGrid w:val="0"/>
        <w:spacing w:line="360" w:lineRule="auto"/>
        <w:ind w:firstLine="496" w:firstLineChars="200"/>
        <w:rPr>
          <w:rFonts w:ascii="宋体" w:hAnsi="宋体"/>
          <w:snapToGrid w:val="0"/>
          <w:color w:val="auto"/>
          <w:spacing w:val="4"/>
          <w:sz w:val="24"/>
          <w:szCs w:val="24"/>
        </w:rPr>
      </w:pP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投  标  单  位（盖章）：</w:t>
      </w: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法定代表人或委托代理人（签名或盖章）：</w:t>
      </w:r>
    </w:p>
    <w:p>
      <w:pPr>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日     期：     年   月   日</w:t>
      </w:r>
    </w:p>
    <w:p>
      <w:pPr>
        <w:snapToGrid w:val="0"/>
        <w:spacing w:line="360" w:lineRule="auto"/>
        <w:outlineLvl w:val="2"/>
        <w:rPr>
          <w:rFonts w:ascii="宋体" w:hAnsi="宋体"/>
          <w:b/>
          <w:color w:val="auto"/>
          <w:sz w:val="24"/>
          <w:szCs w:val="24"/>
        </w:rPr>
      </w:pPr>
      <w:r>
        <w:rPr>
          <w:rFonts w:hint="eastAsia" w:ascii="宋体" w:hAnsi="宋体"/>
          <w:color w:val="auto"/>
          <w:sz w:val="28"/>
          <w:szCs w:val="28"/>
        </w:rPr>
        <w:br w:type="page"/>
      </w:r>
      <w:bookmarkStart w:id="641" w:name="_Toc8888"/>
      <w:bookmarkStart w:id="642" w:name="_Toc535938763"/>
      <w:bookmarkStart w:id="643" w:name="_Toc10487"/>
      <w:bookmarkStart w:id="644" w:name="_Toc17600"/>
      <w:bookmarkStart w:id="645" w:name="_Toc530470656"/>
      <w:r>
        <w:rPr>
          <w:rFonts w:hint="eastAsia" w:ascii="宋体" w:hAnsi="宋体"/>
          <w:b/>
          <w:color w:val="auto"/>
          <w:sz w:val="24"/>
          <w:szCs w:val="24"/>
        </w:rPr>
        <w:t>④工程监理人员任职承诺书</w:t>
      </w:r>
      <w:bookmarkEnd w:id="641"/>
      <w:bookmarkEnd w:id="642"/>
      <w:bookmarkEnd w:id="643"/>
      <w:bookmarkEnd w:id="644"/>
      <w:bookmarkEnd w:id="645"/>
    </w:p>
    <w:p>
      <w:pPr>
        <w:snapToGrid w:val="0"/>
        <w:spacing w:line="360" w:lineRule="auto"/>
        <w:jc w:val="center"/>
        <w:rPr>
          <w:rFonts w:ascii="宋体" w:hAnsi="宋体"/>
          <w:b/>
          <w:color w:val="auto"/>
          <w:sz w:val="24"/>
          <w:szCs w:val="24"/>
        </w:rPr>
      </w:pPr>
      <w:r>
        <w:rPr>
          <w:rFonts w:hint="eastAsia" w:ascii="宋体" w:hAnsi="宋体"/>
          <w:b/>
          <w:color w:val="auto"/>
          <w:sz w:val="24"/>
          <w:szCs w:val="24"/>
        </w:rPr>
        <w:t>工程监理人员任职承诺书</w:t>
      </w:r>
    </w:p>
    <w:p>
      <w:pPr>
        <w:topLinePunct/>
        <w:snapToGrid w:val="0"/>
        <w:spacing w:line="360" w:lineRule="auto"/>
        <w:rPr>
          <w:rFonts w:hint="eastAsia" w:ascii="宋体" w:hAnsi="宋体" w:eastAsia="宋体"/>
          <w:b/>
          <w:snapToGrid w:val="0"/>
          <w:color w:val="auto"/>
          <w:spacing w:val="4"/>
          <w:szCs w:val="21"/>
          <w:lang w:eastAsia="zh-CN"/>
        </w:rPr>
      </w:pPr>
      <w:r>
        <w:rPr>
          <w:rFonts w:hint="eastAsia" w:ascii="宋体" w:hAnsi="宋体"/>
          <w:b/>
          <w:snapToGrid w:val="0"/>
          <w:color w:val="auto"/>
          <w:spacing w:val="4"/>
          <w:szCs w:val="21"/>
        </w:rPr>
        <w:t>致：</w:t>
      </w:r>
      <w:r>
        <w:rPr>
          <w:rFonts w:hint="eastAsia" w:ascii="宋体" w:hAnsi="宋体"/>
          <w:b/>
          <w:snapToGrid w:val="0"/>
          <w:color w:val="auto"/>
          <w:spacing w:val="4"/>
          <w:szCs w:val="21"/>
          <w:lang w:eastAsia="zh-CN"/>
        </w:rPr>
        <w:t>广东省中医院</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一旦我方中标，我方愿意对本项目拟投入的总监理工程师做出如下的任职承诺：</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若我方中标，我方承诺拟投入本项目的总监理工程师满足《建设工程监理规范GB/T50319—2013》的3.12条款：“一名总监理工程师只宜担任一项委托监理合同的项目总监理工程师工作,当需要同时担任多项委托监理合同的项目总监理工程师工作时须经建设单位同意且最多不得超过三项”的相关要求。如出现已在其他在建项目中任职的情况，我方将在本项目立项办理施工许可证或者开工报告前办理好变更手续。</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若我方中标，我方承诺，在本项目立项办理施工许可证或者开工报告前，</w:t>
      </w:r>
      <w:r>
        <w:rPr>
          <w:rFonts w:hint="eastAsia" w:ascii="宋体" w:hAnsi="宋体"/>
          <w:b/>
          <w:snapToGrid w:val="0"/>
          <w:color w:val="auto"/>
          <w:spacing w:val="4"/>
          <w:szCs w:val="21"/>
        </w:rPr>
        <w:t>我单位投入本项目的总监理工程师资格条件符合相关政策规定</w:t>
      </w:r>
      <w:r>
        <w:rPr>
          <w:rFonts w:hint="eastAsia" w:ascii="宋体" w:hAnsi="宋体"/>
          <w:snapToGrid w:val="0"/>
          <w:color w:val="auto"/>
          <w:spacing w:val="4"/>
          <w:szCs w:val="21"/>
        </w:rPr>
        <w:t>，以确保本项目顺利办理施工许可及工程质量监督手续，否则，贵单位有权终止合同并没收履约担保，同时贵单位有权将此作为不诚信履约行为上报建设行政主管部门并拒绝我方一年内参与贵单位的投标。</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特此承诺。</w:t>
      </w:r>
    </w:p>
    <w:p>
      <w:pPr>
        <w:topLinePunct/>
        <w:snapToGrid w:val="0"/>
        <w:spacing w:line="360" w:lineRule="auto"/>
        <w:ind w:firstLine="496" w:firstLineChars="200"/>
        <w:rPr>
          <w:rFonts w:ascii="宋体" w:hAnsi="宋体"/>
          <w:snapToGrid w:val="0"/>
          <w:color w:val="auto"/>
          <w:spacing w:val="4"/>
          <w:sz w:val="24"/>
          <w:szCs w:val="24"/>
        </w:rPr>
      </w:pP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投  标  单  位（盖章）：</w:t>
      </w: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法定代表人或委托代理人（签名或盖章）：</w:t>
      </w:r>
    </w:p>
    <w:p>
      <w:pPr>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日     期：     年   月   日</w:t>
      </w:r>
    </w:p>
    <w:p>
      <w:pPr>
        <w:snapToGrid w:val="0"/>
        <w:spacing w:line="360" w:lineRule="auto"/>
        <w:outlineLvl w:val="2"/>
        <w:rPr>
          <w:rFonts w:ascii="宋体" w:hAnsi="宋体"/>
          <w:color w:val="auto"/>
          <w:sz w:val="24"/>
          <w:szCs w:val="24"/>
        </w:rPr>
      </w:pPr>
      <w:r>
        <w:rPr>
          <w:rFonts w:hint="eastAsia" w:ascii="宋体" w:hAnsi="宋体"/>
          <w:color w:val="auto"/>
          <w:sz w:val="28"/>
          <w:szCs w:val="28"/>
        </w:rPr>
        <w:br w:type="page"/>
      </w:r>
      <w:bookmarkStart w:id="646" w:name="_Toc28340"/>
      <w:bookmarkStart w:id="647" w:name="_Toc15608"/>
      <w:bookmarkStart w:id="648" w:name="_Toc19896"/>
      <w:bookmarkStart w:id="649" w:name="_Toc535938764"/>
      <w:bookmarkStart w:id="650" w:name="_Toc530470657"/>
      <w:r>
        <w:rPr>
          <w:rFonts w:hint="eastAsia" w:ascii="宋体" w:hAnsi="宋体"/>
          <w:b/>
          <w:color w:val="auto"/>
          <w:sz w:val="24"/>
          <w:szCs w:val="24"/>
        </w:rPr>
        <w:t>⑤拟投入的设备仪器到位承诺书</w:t>
      </w:r>
      <w:bookmarkEnd w:id="646"/>
      <w:bookmarkEnd w:id="647"/>
      <w:bookmarkEnd w:id="648"/>
      <w:bookmarkEnd w:id="649"/>
      <w:bookmarkEnd w:id="650"/>
    </w:p>
    <w:p>
      <w:pPr>
        <w:snapToGrid w:val="0"/>
        <w:spacing w:line="360" w:lineRule="auto"/>
        <w:jc w:val="center"/>
        <w:rPr>
          <w:rFonts w:ascii="宋体" w:hAnsi="宋体"/>
          <w:b/>
          <w:color w:val="auto"/>
          <w:sz w:val="24"/>
          <w:szCs w:val="24"/>
        </w:rPr>
      </w:pPr>
      <w:r>
        <w:rPr>
          <w:rFonts w:hint="eastAsia" w:ascii="宋体" w:hAnsi="宋体"/>
          <w:b/>
          <w:color w:val="auto"/>
          <w:sz w:val="24"/>
          <w:szCs w:val="24"/>
        </w:rPr>
        <w:t>拟投入的设备仪器到位承诺书</w:t>
      </w:r>
    </w:p>
    <w:p>
      <w:pPr>
        <w:topLinePunct/>
        <w:snapToGrid w:val="0"/>
        <w:spacing w:line="360" w:lineRule="auto"/>
        <w:rPr>
          <w:rFonts w:hint="eastAsia" w:ascii="宋体" w:hAnsi="宋体" w:eastAsia="宋体"/>
          <w:b/>
          <w:snapToGrid w:val="0"/>
          <w:color w:val="auto"/>
          <w:spacing w:val="4"/>
          <w:szCs w:val="21"/>
          <w:lang w:eastAsia="zh-CN"/>
        </w:rPr>
      </w:pPr>
      <w:r>
        <w:rPr>
          <w:rFonts w:hint="eastAsia" w:ascii="宋体" w:hAnsi="宋体"/>
          <w:b/>
          <w:snapToGrid w:val="0"/>
          <w:color w:val="auto"/>
          <w:spacing w:val="4"/>
          <w:szCs w:val="21"/>
        </w:rPr>
        <w:t>致：</w:t>
      </w:r>
      <w:r>
        <w:rPr>
          <w:rFonts w:hint="eastAsia" w:ascii="宋体" w:hAnsi="宋体"/>
          <w:b/>
          <w:snapToGrid w:val="0"/>
          <w:color w:val="auto"/>
          <w:spacing w:val="4"/>
          <w:szCs w:val="21"/>
          <w:lang w:eastAsia="zh-CN"/>
        </w:rPr>
        <w:t>广东省中医院</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一旦我方中标，我方愿意做出如下承诺：</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一、我方承诺投入的设备仪器数量及类型按照投标文件所报的《拟投入本项目的通讯、办公、检测设备清单》投入。</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二、我方承诺中标后一个月内将本项目所需的监理设备仪器运送至现场，并设立专门存放地点，由专人管理。</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三、若设备仪器未按我方承诺的时间内到位，我方愿意无条件按照合同约定的相关条款承担违约责任。</w:t>
      </w:r>
    </w:p>
    <w:p>
      <w:pPr>
        <w:topLinePunct/>
        <w:snapToGrid w:val="0"/>
        <w:spacing w:line="360" w:lineRule="auto"/>
        <w:ind w:firstLine="436" w:firstLineChars="200"/>
        <w:rPr>
          <w:rFonts w:ascii="宋体" w:hAnsi="宋体"/>
          <w:snapToGrid w:val="0"/>
          <w:color w:val="auto"/>
          <w:spacing w:val="4"/>
          <w:szCs w:val="21"/>
        </w:rPr>
      </w:pPr>
      <w:r>
        <w:rPr>
          <w:rFonts w:hint="eastAsia" w:ascii="宋体" w:hAnsi="宋体"/>
          <w:snapToGrid w:val="0"/>
          <w:color w:val="auto"/>
          <w:spacing w:val="4"/>
          <w:szCs w:val="21"/>
        </w:rPr>
        <w:t>特此承诺。</w:t>
      </w:r>
    </w:p>
    <w:p>
      <w:pPr>
        <w:topLinePunct/>
        <w:snapToGrid w:val="0"/>
        <w:spacing w:line="360" w:lineRule="auto"/>
        <w:ind w:firstLine="496" w:firstLineChars="200"/>
        <w:rPr>
          <w:rFonts w:ascii="宋体" w:hAnsi="宋体"/>
          <w:snapToGrid w:val="0"/>
          <w:color w:val="auto"/>
          <w:spacing w:val="4"/>
          <w:sz w:val="24"/>
          <w:szCs w:val="24"/>
        </w:rPr>
      </w:pP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投  标  单  位（盖章）：</w:t>
      </w:r>
    </w:p>
    <w:p>
      <w:pPr>
        <w:topLinePunct/>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法定代表人或委托代理人（签名或盖章）：</w:t>
      </w:r>
    </w:p>
    <w:p>
      <w:pPr>
        <w:snapToGrid w:val="0"/>
        <w:spacing w:line="480" w:lineRule="auto"/>
        <w:ind w:firstLine="4839" w:firstLineChars="2220"/>
        <w:rPr>
          <w:rFonts w:ascii="宋体" w:hAnsi="宋体"/>
          <w:snapToGrid w:val="0"/>
          <w:color w:val="auto"/>
          <w:spacing w:val="4"/>
          <w:szCs w:val="21"/>
        </w:rPr>
      </w:pPr>
      <w:r>
        <w:rPr>
          <w:rFonts w:hint="eastAsia" w:ascii="宋体" w:hAnsi="宋体"/>
          <w:snapToGrid w:val="0"/>
          <w:color w:val="auto"/>
          <w:spacing w:val="4"/>
          <w:szCs w:val="21"/>
        </w:rPr>
        <w:t>日     期：     年   月   日</w:t>
      </w:r>
    </w:p>
    <w:p>
      <w:pPr>
        <w:snapToGrid w:val="0"/>
        <w:rPr>
          <w:rFonts w:ascii="宋体" w:hAnsi="宋体"/>
          <w:color w:val="auto"/>
          <w:sz w:val="28"/>
          <w:szCs w:val="28"/>
        </w:rPr>
      </w:pPr>
    </w:p>
    <w:p>
      <w:pPr>
        <w:widowControl/>
        <w:snapToGrid w:val="0"/>
        <w:jc w:val="left"/>
        <w:rPr>
          <w:rFonts w:ascii="宋体" w:hAnsi="宋体"/>
          <w:color w:val="auto"/>
          <w:sz w:val="28"/>
          <w:szCs w:val="28"/>
        </w:rPr>
        <w:sectPr>
          <w:pgSz w:w="11905" w:h="16838"/>
          <w:pgMar w:top="1440" w:right="1083" w:bottom="1440" w:left="1083" w:header="720" w:footer="720" w:gutter="0"/>
          <w:cols w:space="720" w:num="1"/>
          <w:rtlGutter w:val="1"/>
        </w:sectPr>
      </w:pPr>
    </w:p>
    <w:p>
      <w:pPr>
        <w:snapToGrid w:val="0"/>
        <w:rPr>
          <w:rFonts w:hint="eastAsia" w:ascii="宋体" w:hAnsi="宋体" w:cs="宋体"/>
          <w:b/>
          <w:color w:val="auto"/>
          <w:sz w:val="24"/>
          <w:szCs w:val="24"/>
          <w:lang w:bidi="ar"/>
        </w:rPr>
      </w:pPr>
      <w:r>
        <w:rPr>
          <w:rFonts w:hint="eastAsia" w:ascii="宋体" w:hAnsi="宋体" w:eastAsia="宋体" w:cs="宋体"/>
          <w:b/>
          <w:color w:val="auto"/>
          <w:sz w:val="24"/>
          <w:szCs w:val="24"/>
          <w:lang w:bidi="ar"/>
        </w:rPr>
        <w:t>⑥投标人认为需要提供的资料（如有）</w:t>
      </w:r>
    </w:p>
    <w:p>
      <w:pPr>
        <w:snapToGrid w:val="0"/>
        <w:rPr>
          <w:color w:val="auto"/>
        </w:rPr>
      </w:pPr>
      <w:r>
        <w:rPr>
          <w:color w:val="auto"/>
        </w:rPr>
        <w:br w:type="page"/>
      </w:r>
    </w:p>
    <w:p>
      <w:pPr>
        <w:pStyle w:val="2"/>
        <w:rPr>
          <w:rFonts w:hint="eastAsia" w:ascii="宋体" w:hAnsi="宋体"/>
          <w:b/>
          <w:bCs/>
          <w:color w:val="auto"/>
          <w:sz w:val="24"/>
          <w:szCs w:val="24"/>
          <w:u w:val="single"/>
        </w:rPr>
      </w:pPr>
      <w:r>
        <w:rPr>
          <w:rFonts w:hint="eastAsia" w:ascii="宋体" w:hAnsi="宋体"/>
          <w:b/>
          <w:bCs/>
          <w:color w:val="auto"/>
          <w:sz w:val="24"/>
          <w:szCs w:val="24"/>
          <w:u w:val="single"/>
        </w:rPr>
        <w:t>八、联合体协议书（如有）</w:t>
      </w:r>
    </w:p>
    <w:p>
      <w:pPr>
        <w:topLinePunct/>
        <w:snapToGrid w:val="0"/>
        <w:spacing w:line="360" w:lineRule="auto"/>
        <w:jc w:val="center"/>
        <w:rPr>
          <w:rFonts w:ascii="宋体" w:hAnsi="宋体"/>
          <w:color w:val="auto"/>
          <w:spacing w:val="18"/>
          <w:szCs w:val="21"/>
        </w:rPr>
      </w:pPr>
      <w:r>
        <w:rPr>
          <w:rFonts w:hint="eastAsia" w:ascii="宋体" w:hAnsi="宋体"/>
          <w:snapToGrid w:val="0"/>
          <w:color w:val="auto"/>
          <w:spacing w:val="4"/>
          <w:kern w:val="0"/>
          <w:szCs w:val="21"/>
        </w:rPr>
        <w:t>（格式详见招标公告附件</w:t>
      </w:r>
      <w:r>
        <w:rPr>
          <w:rFonts w:hint="eastAsia" w:ascii="宋体" w:hAnsi="宋体"/>
          <w:snapToGrid w:val="0"/>
          <w:color w:val="auto"/>
          <w:spacing w:val="4"/>
          <w:kern w:val="0"/>
          <w:szCs w:val="21"/>
          <w:lang w:val="en-US" w:eastAsia="zh-CN"/>
        </w:rPr>
        <w:t>二</w:t>
      </w:r>
      <w:r>
        <w:rPr>
          <w:rFonts w:hint="eastAsia" w:ascii="宋体" w:hAnsi="宋体"/>
          <w:snapToGrid w:val="0"/>
          <w:color w:val="auto"/>
          <w:spacing w:val="4"/>
          <w:kern w:val="0"/>
          <w:szCs w:val="21"/>
        </w:rPr>
        <w:t>）</w:t>
      </w:r>
    </w:p>
    <w:p>
      <w:pPr>
        <w:pStyle w:val="4"/>
      </w:pPr>
    </w:p>
    <w:sectPr>
      <w:headerReference r:id="rId6" w:type="default"/>
      <w:footerReference r:id="rId7" w:type="default"/>
      <w:pgSz w:w="11905" w:h="16838"/>
      <w:pgMar w:top="1440" w:right="1083" w:bottom="1440" w:left="1083"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29DC52-B175-4724-BDD6-8A4B81774B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B6FA2C5-426C-4110-833C-DD0772B9872A}"/>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embedRegular r:id="rId3" w:fontKey="{74667E9B-A2B2-4D64-99CC-D1B7FE3D46A2}"/>
  </w:font>
  <w:font w:name="方正仿宋_GB2312">
    <w:panose1 w:val="02000000000000000000"/>
    <w:charset w:val="86"/>
    <w:family w:val="auto"/>
    <w:pitch w:val="default"/>
    <w:sig w:usb0="A00002BF" w:usb1="184F6CFA" w:usb2="00000012" w:usb3="00000000" w:csb0="00040001" w:csb1="00000000"/>
    <w:embedRegular r:id="rId4" w:fontKey="{0A7E846B-1D4B-4C8E-9F94-157DD0DFDD96}"/>
  </w:font>
  <w:font w:name="等线">
    <w:panose1 w:val="02010600030101010101"/>
    <w:charset w:val="86"/>
    <w:family w:val="auto"/>
    <w:pitch w:val="default"/>
    <w:sig w:usb0="A00002BF" w:usb1="38CF7CFA" w:usb2="00000016" w:usb3="00000000" w:csb0="0004000F" w:csb1="00000000"/>
    <w:embedRegular r:id="rId5" w:fontKey="{39F6BCE1-0126-42B9-9D50-925D3ABD9F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306"/>
      </w:tabs>
      <w:snapToGrid w:val="0"/>
      <w:rPr>
        <w:kern w:val="0"/>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jc w:val="center"/>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420"/>
      <w:jc w:val="right"/>
      <w:rPr>
        <w:b/>
        <w:bCs/>
        <w:sz w:val="24"/>
        <w:szCs w:val="24"/>
      </w:rPr>
    </w:pPr>
  </w:p>
  <w:p>
    <w:pPr>
      <w:pStyle w:val="20"/>
      <w:ind w:left="420"/>
      <w:jc w:val="right"/>
      <w:rPr>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1B6137CD"/>
    <w:rsid w:val="00005F4C"/>
    <w:rsid w:val="00072C7D"/>
    <w:rsid w:val="000748BE"/>
    <w:rsid w:val="000B0FFF"/>
    <w:rsid w:val="00377066"/>
    <w:rsid w:val="003A0206"/>
    <w:rsid w:val="00435D17"/>
    <w:rsid w:val="00462995"/>
    <w:rsid w:val="00467890"/>
    <w:rsid w:val="00475632"/>
    <w:rsid w:val="004937B5"/>
    <w:rsid w:val="004E72EB"/>
    <w:rsid w:val="005250E1"/>
    <w:rsid w:val="005D2B0F"/>
    <w:rsid w:val="005D377D"/>
    <w:rsid w:val="0060236C"/>
    <w:rsid w:val="006770EA"/>
    <w:rsid w:val="00686C3D"/>
    <w:rsid w:val="00731DA3"/>
    <w:rsid w:val="007330D9"/>
    <w:rsid w:val="007D69EA"/>
    <w:rsid w:val="00813FD6"/>
    <w:rsid w:val="008316C8"/>
    <w:rsid w:val="00940987"/>
    <w:rsid w:val="009424D8"/>
    <w:rsid w:val="009A16AB"/>
    <w:rsid w:val="009B5BCE"/>
    <w:rsid w:val="009F2B61"/>
    <w:rsid w:val="00A13A75"/>
    <w:rsid w:val="00AA1BDB"/>
    <w:rsid w:val="00AC6943"/>
    <w:rsid w:val="00AE56D9"/>
    <w:rsid w:val="00BF01A3"/>
    <w:rsid w:val="00C73B02"/>
    <w:rsid w:val="00D2001F"/>
    <w:rsid w:val="00D37A7B"/>
    <w:rsid w:val="00D857D0"/>
    <w:rsid w:val="00DB13B3"/>
    <w:rsid w:val="00DE39AB"/>
    <w:rsid w:val="00E53E69"/>
    <w:rsid w:val="00E76354"/>
    <w:rsid w:val="00F46D4A"/>
    <w:rsid w:val="00FA44A1"/>
    <w:rsid w:val="01433CAD"/>
    <w:rsid w:val="01953A50"/>
    <w:rsid w:val="01A13C1D"/>
    <w:rsid w:val="01AF10CA"/>
    <w:rsid w:val="01B711DC"/>
    <w:rsid w:val="022A43D9"/>
    <w:rsid w:val="0257775C"/>
    <w:rsid w:val="02B30E10"/>
    <w:rsid w:val="02D209DC"/>
    <w:rsid w:val="03F17649"/>
    <w:rsid w:val="04310280"/>
    <w:rsid w:val="044931E7"/>
    <w:rsid w:val="050311F9"/>
    <w:rsid w:val="05DE0E4B"/>
    <w:rsid w:val="06003DC6"/>
    <w:rsid w:val="06536764"/>
    <w:rsid w:val="07015B24"/>
    <w:rsid w:val="075A6778"/>
    <w:rsid w:val="075D3D97"/>
    <w:rsid w:val="07AD2C0E"/>
    <w:rsid w:val="08671C01"/>
    <w:rsid w:val="087E42B2"/>
    <w:rsid w:val="0A1F4DE9"/>
    <w:rsid w:val="0ABC7350"/>
    <w:rsid w:val="0B674161"/>
    <w:rsid w:val="0B860EB1"/>
    <w:rsid w:val="0B9760BE"/>
    <w:rsid w:val="0BC546F2"/>
    <w:rsid w:val="0BE50138"/>
    <w:rsid w:val="0BEC43F8"/>
    <w:rsid w:val="0BED6E40"/>
    <w:rsid w:val="0C2F3F77"/>
    <w:rsid w:val="0C8F6A0D"/>
    <w:rsid w:val="0D5F347D"/>
    <w:rsid w:val="0DDF71AC"/>
    <w:rsid w:val="0DE7048F"/>
    <w:rsid w:val="0DFB4EEF"/>
    <w:rsid w:val="0E380F7C"/>
    <w:rsid w:val="0E765FE0"/>
    <w:rsid w:val="0F1D5756"/>
    <w:rsid w:val="0F8D1E93"/>
    <w:rsid w:val="0FB741DE"/>
    <w:rsid w:val="0FEE54BE"/>
    <w:rsid w:val="10833C11"/>
    <w:rsid w:val="109819C6"/>
    <w:rsid w:val="109F23A2"/>
    <w:rsid w:val="113B44EC"/>
    <w:rsid w:val="11E36164"/>
    <w:rsid w:val="127D439C"/>
    <w:rsid w:val="131739C1"/>
    <w:rsid w:val="132A0B48"/>
    <w:rsid w:val="135B6927"/>
    <w:rsid w:val="13D92D9C"/>
    <w:rsid w:val="14425BF3"/>
    <w:rsid w:val="144B614B"/>
    <w:rsid w:val="145D4214"/>
    <w:rsid w:val="1496395F"/>
    <w:rsid w:val="14F1597F"/>
    <w:rsid w:val="152155D8"/>
    <w:rsid w:val="15B85C9D"/>
    <w:rsid w:val="15BB082A"/>
    <w:rsid w:val="16A04403"/>
    <w:rsid w:val="16F7103D"/>
    <w:rsid w:val="177BBC3F"/>
    <w:rsid w:val="17A91BA6"/>
    <w:rsid w:val="187C046F"/>
    <w:rsid w:val="19806D38"/>
    <w:rsid w:val="1A2106C9"/>
    <w:rsid w:val="1ACB34D1"/>
    <w:rsid w:val="1B1279D4"/>
    <w:rsid w:val="1B6137CD"/>
    <w:rsid w:val="1C860441"/>
    <w:rsid w:val="1C8F2850"/>
    <w:rsid w:val="1D1A544D"/>
    <w:rsid w:val="1D202765"/>
    <w:rsid w:val="1D6F92F7"/>
    <w:rsid w:val="1E735530"/>
    <w:rsid w:val="1EB407E2"/>
    <w:rsid w:val="1F7F0D77"/>
    <w:rsid w:val="1FB06B81"/>
    <w:rsid w:val="20152F1F"/>
    <w:rsid w:val="201A3953"/>
    <w:rsid w:val="20833C78"/>
    <w:rsid w:val="213C28EB"/>
    <w:rsid w:val="2174694F"/>
    <w:rsid w:val="21C26024"/>
    <w:rsid w:val="21F07646"/>
    <w:rsid w:val="22256B10"/>
    <w:rsid w:val="2255686E"/>
    <w:rsid w:val="22706F45"/>
    <w:rsid w:val="2295471F"/>
    <w:rsid w:val="22AB4DEF"/>
    <w:rsid w:val="22EE47C5"/>
    <w:rsid w:val="233C2132"/>
    <w:rsid w:val="23614286"/>
    <w:rsid w:val="23680A25"/>
    <w:rsid w:val="237A543E"/>
    <w:rsid w:val="23B431CE"/>
    <w:rsid w:val="242410B0"/>
    <w:rsid w:val="24E41D99"/>
    <w:rsid w:val="24EF12E3"/>
    <w:rsid w:val="2533755C"/>
    <w:rsid w:val="25FC2044"/>
    <w:rsid w:val="26515CF0"/>
    <w:rsid w:val="26852CDD"/>
    <w:rsid w:val="26FF89DE"/>
    <w:rsid w:val="27660AF8"/>
    <w:rsid w:val="27A33911"/>
    <w:rsid w:val="27C43B20"/>
    <w:rsid w:val="27CA5333"/>
    <w:rsid w:val="27DD778D"/>
    <w:rsid w:val="27F52B40"/>
    <w:rsid w:val="286833C0"/>
    <w:rsid w:val="28AD09B1"/>
    <w:rsid w:val="28D27378"/>
    <w:rsid w:val="29261B19"/>
    <w:rsid w:val="295A23F6"/>
    <w:rsid w:val="29A4303C"/>
    <w:rsid w:val="29B2770B"/>
    <w:rsid w:val="29CA07F9"/>
    <w:rsid w:val="2A424282"/>
    <w:rsid w:val="2D030D4A"/>
    <w:rsid w:val="2D644769"/>
    <w:rsid w:val="2E4E15AC"/>
    <w:rsid w:val="2ED55B28"/>
    <w:rsid w:val="2F220BC4"/>
    <w:rsid w:val="30172D06"/>
    <w:rsid w:val="30182812"/>
    <w:rsid w:val="30824043"/>
    <w:rsid w:val="30A25C7A"/>
    <w:rsid w:val="30D06774"/>
    <w:rsid w:val="30EF1212"/>
    <w:rsid w:val="32D643F8"/>
    <w:rsid w:val="33AD2BD0"/>
    <w:rsid w:val="33D10741"/>
    <w:rsid w:val="349710D9"/>
    <w:rsid w:val="35100708"/>
    <w:rsid w:val="35136287"/>
    <w:rsid w:val="359C0BF8"/>
    <w:rsid w:val="35C32DC1"/>
    <w:rsid w:val="368A2318"/>
    <w:rsid w:val="368A6A9E"/>
    <w:rsid w:val="368E012F"/>
    <w:rsid w:val="36B47863"/>
    <w:rsid w:val="36EC2044"/>
    <w:rsid w:val="378A6052"/>
    <w:rsid w:val="37AD7F84"/>
    <w:rsid w:val="37B207B5"/>
    <w:rsid w:val="37D270A9"/>
    <w:rsid w:val="37DDE6FB"/>
    <w:rsid w:val="38425E77"/>
    <w:rsid w:val="38724586"/>
    <w:rsid w:val="38844DBA"/>
    <w:rsid w:val="38B33D12"/>
    <w:rsid w:val="38FC3AC3"/>
    <w:rsid w:val="39115830"/>
    <w:rsid w:val="397F4F63"/>
    <w:rsid w:val="39A72314"/>
    <w:rsid w:val="39E5295A"/>
    <w:rsid w:val="39F2341E"/>
    <w:rsid w:val="3A040A3F"/>
    <w:rsid w:val="3A1D4C24"/>
    <w:rsid w:val="3A2A41C1"/>
    <w:rsid w:val="3A713B4A"/>
    <w:rsid w:val="3AA472A9"/>
    <w:rsid w:val="3AC23405"/>
    <w:rsid w:val="3AFD3706"/>
    <w:rsid w:val="3B677D54"/>
    <w:rsid w:val="3BE80809"/>
    <w:rsid w:val="3C233E45"/>
    <w:rsid w:val="3C920F3D"/>
    <w:rsid w:val="3CE5162C"/>
    <w:rsid w:val="3CFB7D31"/>
    <w:rsid w:val="3D0032A8"/>
    <w:rsid w:val="3DC35FB5"/>
    <w:rsid w:val="3DC65BE7"/>
    <w:rsid w:val="3E270E34"/>
    <w:rsid w:val="3E66679D"/>
    <w:rsid w:val="3E731B57"/>
    <w:rsid w:val="3E89436D"/>
    <w:rsid w:val="3EC76A8F"/>
    <w:rsid w:val="3F826D26"/>
    <w:rsid w:val="3F83339E"/>
    <w:rsid w:val="3FD137BA"/>
    <w:rsid w:val="3FDA7BF4"/>
    <w:rsid w:val="3FEE38A6"/>
    <w:rsid w:val="3FF8143E"/>
    <w:rsid w:val="40600CA0"/>
    <w:rsid w:val="40DA389D"/>
    <w:rsid w:val="40F40641"/>
    <w:rsid w:val="40F6716A"/>
    <w:rsid w:val="41CD1800"/>
    <w:rsid w:val="41F368ED"/>
    <w:rsid w:val="421C6B06"/>
    <w:rsid w:val="42B60D1B"/>
    <w:rsid w:val="42F8561F"/>
    <w:rsid w:val="43213898"/>
    <w:rsid w:val="4329327A"/>
    <w:rsid w:val="432F43F2"/>
    <w:rsid w:val="435F4605"/>
    <w:rsid w:val="437FC46B"/>
    <w:rsid w:val="438860EF"/>
    <w:rsid w:val="43A844AC"/>
    <w:rsid w:val="43DD3FD6"/>
    <w:rsid w:val="43F42645"/>
    <w:rsid w:val="43F70AFE"/>
    <w:rsid w:val="446F6456"/>
    <w:rsid w:val="44A75A96"/>
    <w:rsid w:val="450D1AA6"/>
    <w:rsid w:val="45361F02"/>
    <w:rsid w:val="455963A9"/>
    <w:rsid w:val="45784B82"/>
    <w:rsid w:val="457E71D0"/>
    <w:rsid w:val="45DC3FD4"/>
    <w:rsid w:val="460E7377"/>
    <w:rsid w:val="46181C2D"/>
    <w:rsid w:val="46647D5F"/>
    <w:rsid w:val="46AB56B9"/>
    <w:rsid w:val="46D633D5"/>
    <w:rsid w:val="47043BAF"/>
    <w:rsid w:val="47D1014A"/>
    <w:rsid w:val="480B680C"/>
    <w:rsid w:val="49F650E8"/>
    <w:rsid w:val="4A5B2F2E"/>
    <w:rsid w:val="4A6176A5"/>
    <w:rsid w:val="4A872E10"/>
    <w:rsid w:val="4AA10A71"/>
    <w:rsid w:val="4B585BB2"/>
    <w:rsid w:val="4C660A8E"/>
    <w:rsid w:val="4CAE5B5A"/>
    <w:rsid w:val="4D0A4AD9"/>
    <w:rsid w:val="4D9D030A"/>
    <w:rsid w:val="4DD1044F"/>
    <w:rsid w:val="4E2F3F08"/>
    <w:rsid w:val="4E3A6CB9"/>
    <w:rsid w:val="4E402B66"/>
    <w:rsid w:val="4E581E19"/>
    <w:rsid w:val="4EA967FC"/>
    <w:rsid w:val="4EDB288F"/>
    <w:rsid w:val="4F420816"/>
    <w:rsid w:val="4F5246ED"/>
    <w:rsid w:val="4F6534D8"/>
    <w:rsid w:val="4F6603AB"/>
    <w:rsid w:val="4F7FA685"/>
    <w:rsid w:val="500F1083"/>
    <w:rsid w:val="50322B06"/>
    <w:rsid w:val="50596410"/>
    <w:rsid w:val="507054A4"/>
    <w:rsid w:val="507C28F2"/>
    <w:rsid w:val="50BF2B46"/>
    <w:rsid w:val="5123596B"/>
    <w:rsid w:val="517C1F3D"/>
    <w:rsid w:val="51CD4879"/>
    <w:rsid w:val="52B15DE1"/>
    <w:rsid w:val="52EF6B37"/>
    <w:rsid w:val="53577A5B"/>
    <w:rsid w:val="53847F04"/>
    <w:rsid w:val="53885F29"/>
    <w:rsid w:val="54447D6E"/>
    <w:rsid w:val="54A11E85"/>
    <w:rsid w:val="54A5618B"/>
    <w:rsid w:val="54AD4386"/>
    <w:rsid w:val="554614AC"/>
    <w:rsid w:val="55DB64ED"/>
    <w:rsid w:val="55E966BE"/>
    <w:rsid w:val="563015D4"/>
    <w:rsid w:val="56B165B1"/>
    <w:rsid w:val="577D0541"/>
    <w:rsid w:val="57FE3478"/>
    <w:rsid w:val="58D319E6"/>
    <w:rsid w:val="58F4726B"/>
    <w:rsid w:val="596E6F6E"/>
    <w:rsid w:val="59B92E3F"/>
    <w:rsid w:val="5A490271"/>
    <w:rsid w:val="5B032E90"/>
    <w:rsid w:val="5B1F2413"/>
    <w:rsid w:val="5B4C1057"/>
    <w:rsid w:val="5B9B30B4"/>
    <w:rsid w:val="5BBE8DDE"/>
    <w:rsid w:val="5BDD3278"/>
    <w:rsid w:val="5C8B73F9"/>
    <w:rsid w:val="5D6C282E"/>
    <w:rsid w:val="5D890602"/>
    <w:rsid w:val="5DB74CEC"/>
    <w:rsid w:val="5DC32016"/>
    <w:rsid w:val="5DD95778"/>
    <w:rsid w:val="5DE14B25"/>
    <w:rsid w:val="5E041820"/>
    <w:rsid w:val="5E6F6A14"/>
    <w:rsid w:val="5EC16B4A"/>
    <w:rsid w:val="5EFD016B"/>
    <w:rsid w:val="5F1C3C40"/>
    <w:rsid w:val="5F2818AA"/>
    <w:rsid w:val="5F5C2745"/>
    <w:rsid w:val="5F7B6FC5"/>
    <w:rsid w:val="5F9B216E"/>
    <w:rsid w:val="5FCA512F"/>
    <w:rsid w:val="5FE18957"/>
    <w:rsid w:val="5FE217BD"/>
    <w:rsid w:val="5FE60FEE"/>
    <w:rsid w:val="5FEB464C"/>
    <w:rsid w:val="5FF602F4"/>
    <w:rsid w:val="5FF7F9A6"/>
    <w:rsid w:val="605756D3"/>
    <w:rsid w:val="608C716E"/>
    <w:rsid w:val="61742B3C"/>
    <w:rsid w:val="61C107A9"/>
    <w:rsid w:val="63061178"/>
    <w:rsid w:val="63C00ABA"/>
    <w:rsid w:val="63F57AF7"/>
    <w:rsid w:val="64184044"/>
    <w:rsid w:val="645770DE"/>
    <w:rsid w:val="64B81C00"/>
    <w:rsid w:val="652147C1"/>
    <w:rsid w:val="653C0F22"/>
    <w:rsid w:val="65F11780"/>
    <w:rsid w:val="662A34F5"/>
    <w:rsid w:val="67162587"/>
    <w:rsid w:val="685E59DB"/>
    <w:rsid w:val="69D81E8D"/>
    <w:rsid w:val="69FC4728"/>
    <w:rsid w:val="69FD7706"/>
    <w:rsid w:val="6AC509E9"/>
    <w:rsid w:val="6B321126"/>
    <w:rsid w:val="6B4D7C91"/>
    <w:rsid w:val="6B504A84"/>
    <w:rsid w:val="6B554597"/>
    <w:rsid w:val="6CA510CE"/>
    <w:rsid w:val="6DA006E6"/>
    <w:rsid w:val="6E677583"/>
    <w:rsid w:val="6E9AB327"/>
    <w:rsid w:val="6EF47546"/>
    <w:rsid w:val="6F4D1EFB"/>
    <w:rsid w:val="704F6661"/>
    <w:rsid w:val="7071308B"/>
    <w:rsid w:val="710F5FD7"/>
    <w:rsid w:val="712638FA"/>
    <w:rsid w:val="7139024B"/>
    <w:rsid w:val="716F3D1F"/>
    <w:rsid w:val="720915A6"/>
    <w:rsid w:val="72496F7C"/>
    <w:rsid w:val="725325B9"/>
    <w:rsid w:val="73412411"/>
    <w:rsid w:val="73592638"/>
    <w:rsid w:val="73EFAC57"/>
    <w:rsid w:val="7409204C"/>
    <w:rsid w:val="74AC0F39"/>
    <w:rsid w:val="76066BBC"/>
    <w:rsid w:val="765C7D34"/>
    <w:rsid w:val="76C57337"/>
    <w:rsid w:val="77039CC3"/>
    <w:rsid w:val="77DFC0EA"/>
    <w:rsid w:val="77FFB314"/>
    <w:rsid w:val="79875889"/>
    <w:rsid w:val="79AE6381"/>
    <w:rsid w:val="79D10E4B"/>
    <w:rsid w:val="79DD6C0C"/>
    <w:rsid w:val="7AA03EC1"/>
    <w:rsid w:val="7AE32F52"/>
    <w:rsid w:val="7B58777A"/>
    <w:rsid w:val="7BB976E4"/>
    <w:rsid w:val="7BBF9DF9"/>
    <w:rsid w:val="7BFF0790"/>
    <w:rsid w:val="7BFFD513"/>
    <w:rsid w:val="7C437DF4"/>
    <w:rsid w:val="7C8E5DCE"/>
    <w:rsid w:val="7C95557C"/>
    <w:rsid w:val="7CA0208F"/>
    <w:rsid w:val="7DBFB6C6"/>
    <w:rsid w:val="7DFF9AB6"/>
    <w:rsid w:val="7E255515"/>
    <w:rsid w:val="7E7E6AD6"/>
    <w:rsid w:val="7E863443"/>
    <w:rsid w:val="7EB50157"/>
    <w:rsid w:val="7EF70372"/>
    <w:rsid w:val="7EFF6F6E"/>
    <w:rsid w:val="7F3F7DCA"/>
    <w:rsid w:val="7F4440FD"/>
    <w:rsid w:val="7FA420D5"/>
    <w:rsid w:val="7FA54156"/>
    <w:rsid w:val="7FA7FC89"/>
    <w:rsid w:val="7FBE7090"/>
    <w:rsid w:val="7FE887EE"/>
    <w:rsid w:val="7FF87B56"/>
    <w:rsid w:val="7FFE09AD"/>
    <w:rsid w:val="95CF3808"/>
    <w:rsid w:val="9D3595EF"/>
    <w:rsid w:val="9FB76C6E"/>
    <w:rsid w:val="AE75D1CC"/>
    <w:rsid w:val="B3FBC7FC"/>
    <w:rsid w:val="B3FFA876"/>
    <w:rsid w:val="B9FE92AF"/>
    <w:rsid w:val="BAFD4C31"/>
    <w:rsid w:val="BEA784F0"/>
    <w:rsid w:val="BF638AD9"/>
    <w:rsid w:val="BFDE014D"/>
    <w:rsid w:val="BFFA59C6"/>
    <w:rsid w:val="CBEF6688"/>
    <w:rsid w:val="CF757847"/>
    <w:rsid w:val="CFCD3A69"/>
    <w:rsid w:val="D4EFA336"/>
    <w:rsid w:val="DD6BBC17"/>
    <w:rsid w:val="DDBBD447"/>
    <w:rsid w:val="DF5F2CCB"/>
    <w:rsid w:val="DF7FEE49"/>
    <w:rsid w:val="E7E9AA54"/>
    <w:rsid w:val="EBFD52A8"/>
    <w:rsid w:val="EE5F5E8A"/>
    <w:rsid w:val="EF77F262"/>
    <w:rsid w:val="EFFA1FE1"/>
    <w:rsid w:val="F1FE35E6"/>
    <w:rsid w:val="F4E95CBF"/>
    <w:rsid w:val="F69773D4"/>
    <w:rsid w:val="F71E7E7F"/>
    <w:rsid w:val="F76F8176"/>
    <w:rsid w:val="FB732381"/>
    <w:rsid w:val="FB7F8B3A"/>
    <w:rsid w:val="FBFE37A1"/>
    <w:rsid w:val="FC2EFE05"/>
    <w:rsid w:val="FDBB3008"/>
    <w:rsid w:val="FDF7EE55"/>
    <w:rsid w:val="FF5DAB8E"/>
    <w:rsid w:val="FFBD69E0"/>
    <w:rsid w:val="FFC893DD"/>
    <w:rsid w:val="FFCE2B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8"/>
    <w:next w:val="1"/>
    <w:qFormat/>
    <w:uiPriority w:val="0"/>
    <w:pPr>
      <w:keepNext/>
      <w:keepLines/>
      <w:spacing w:before="340" w:after="330" w:line="576" w:lineRule="auto"/>
      <w:outlineLvl w:val="0"/>
    </w:pPr>
    <w:rPr>
      <w:bCs/>
      <w:kern w:val="44"/>
      <w:szCs w:val="44"/>
    </w:rPr>
  </w:style>
  <w:style w:type="paragraph" w:styleId="9">
    <w:name w:val="heading 2"/>
    <w:basedOn w:val="1"/>
    <w:next w:val="1"/>
    <w:semiHidden/>
    <w:unhideWhenUsed/>
    <w:qFormat/>
    <w:uiPriority w:val="0"/>
    <w:pPr>
      <w:jc w:val="left"/>
      <w:outlineLvl w:val="1"/>
    </w:pPr>
    <w:rPr>
      <w:rFonts w:ascii="Arial" w:hAnsi="Arial" w:eastAsia="黑体"/>
      <w:b/>
      <w:bCs/>
      <w:color w:val="000000"/>
      <w:kern w:val="0"/>
      <w:sz w:val="36"/>
      <w:szCs w:val="32"/>
    </w:rPr>
  </w:style>
  <w:style w:type="paragraph" w:styleId="10">
    <w:name w:val="heading 3"/>
    <w:basedOn w:val="1"/>
    <w:next w:val="1"/>
    <w:semiHidden/>
    <w:unhideWhenUsed/>
    <w:qFormat/>
    <w:uiPriority w:val="0"/>
    <w:pPr>
      <w:spacing w:line="360" w:lineRule="auto"/>
      <w:ind w:left="118"/>
      <w:jc w:val="center"/>
      <w:outlineLvl w:val="2"/>
    </w:pPr>
    <w:rPr>
      <w:rFonts w:ascii="Times New Roman" w:hAnsi="Times New Roman" w:eastAsia="黑体"/>
      <w:b/>
      <w:bCs/>
      <w:color w:val="800000"/>
      <w:kern w:val="0"/>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rPr>
      <w:kern w:val="2"/>
      <w:sz w:val="21"/>
      <w:szCs w:val="21"/>
    </w:rPr>
  </w:style>
  <w:style w:type="paragraph" w:styleId="3">
    <w:name w:val="Body Text"/>
    <w:basedOn w:val="1"/>
    <w:next w:val="1"/>
    <w:unhideWhenUsed/>
    <w:qFormat/>
    <w:uiPriority w:val="0"/>
    <w:pPr>
      <w:spacing w:after="120"/>
    </w:pPr>
    <w:rPr>
      <w:kern w:val="0"/>
      <w:sz w:val="20"/>
      <w:szCs w:val="20"/>
    </w:rPr>
  </w:style>
  <w:style w:type="paragraph" w:styleId="4">
    <w:name w:val="Body Text First Indent 2"/>
    <w:basedOn w:val="5"/>
    <w:qFormat/>
    <w:uiPriority w:val="0"/>
    <w:pPr>
      <w:spacing w:line="420" w:lineRule="exact"/>
      <w:ind w:firstLine="420"/>
      <w:jc w:val="left"/>
    </w:pPr>
    <w:rPr>
      <w:rFonts w:ascii="宋体" w:hAnsi="宋体"/>
      <w:color w:val="000000"/>
      <w:sz w:val="24"/>
      <w:szCs w:val="18"/>
    </w:rPr>
  </w:style>
  <w:style w:type="paragraph" w:styleId="5">
    <w:name w:val="Body Text Indent"/>
    <w:basedOn w:val="1"/>
    <w:next w:val="6"/>
    <w:qFormat/>
    <w:uiPriority w:val="0"/>
    <w:pPr>
      <w:ind w:firstLine="560" w:firstLineChars="200"/>
    </w:pPr>
    <w:rPr>
      <w:rFonts w:ascii="Times New Roman" w:hAnsi="Times New Roman"/>
      <w:kern w:val="0"/>
      <w:sz w:val="28"/>
      <w:szCs w:val="24"/>
    </w:rPr>
  </w:style>
  <w:style w:type="paragraph" w:styleId="6">
    <w:name w:val="envelope return"/>
    <w:basedOn w:val="1"/>
    <w:qFormat/>
    <w:uiPriority w:val="0"/>
    <w:pPr>
      <w:snapToGrid w:val="0"/>
    </w:pPr>
    <w:rPr>
      <w:rFonts w:ascii="Arial" w:hAnsi="Arial"/>
      <w:szCs w:val="24"/>
    </w:rPr>
  </w:style>
  <w:style w:type="paragraph" w:styleId="8">
    <w:name w:val="Title"/>
    <w:basedOn w:val="1"/>
    <w:qFormat/>
    <w:uiPriority w:val="0"/>
    <w:pPr>
      <w:spacing w:before="120" w:after="60"/>
      <w:jc w:val="center"/>
    </w:pPr>
    <w:rPr>
      <w:rFonts w:ascii="Arial" w:hAnsi="Arial"/>
      <w:b/>
      <w:sz w:val="44"/>
      <w:szCs w:val="20"/>
    </w:rPr>
  </w:style>
  <w:style w:type="paragraph" w:styleId="11">
    <w:name w:val="Normal Indent"/>
    <w:basedOn w:val="1"/>
    <w:next w:val="1"/>
    <w:unhideWhenUsed/>
    <w:qFormat/>
    <w:uiPriority w:val="0"/>
    <w:pPr>
      <w:ind w:firstLine="420" w:firstLineChars="200"/>
    </w:pPr>
    <w:rPr>
      <w:rFonts w:cs="Calibri"/>
      <w:sz w:val="24"/>
      <w:szCs w:val="20"/>
      <w:lang w:bidi="he-IL"/>
    </w:rPr>
  </w:style>
  <w:style w:type="paragraph" w:styleId="12">
    <w:name w:val="annotation text"/>
    <w:basedOn w:val="1"/>
    <w:link w:val="43"/>
    <w:qFormat/>
    <w:uiPriority w:val="0"/>
    <w:pPr>
      <w:jc w:val="left"/>
    </w:pPr>
  </w:style>
  <w:style w:type="paragraph" w:styleId="13">
    <w:name w:val="Body Text 3"/>
    <w:basedOn w:val="1"/>
    <w:unhideWhenUsed/>
    <w:qFormat/>
    <w:uiPriority w:val="0"/>
    <w:rPr>
      <w:rFonts w:ascii="宋体"/>
      <w:kern w:val="0"/>
      <w:sz w:val="24"/>
      <w:szCs w:val="20"/>
    </w:rPr>
  </w:style>
  <w:style w:type="paragraph" w:styleId="14">
    <w:name w:val="toc 3"/>
    <w:basedOn w:val="1"/>
    <w:next w:val="1"/>
    <w:qFormat/>
    <w:uiPriority w:val="0"/>
    <w:pPr>
      <w:ind w:left="840" w:leftChars="400"/>
    </w:pPr>
  </w:style>
  <w:style w:type="paragraph" w:styleId="15">
    <w:name w:val="Plain Text"/>
    <w:basedOn w:val="1"/>
    <w:next w:val="1"/>
    <w:qFormat/>
    <w:uiPriority w:val="0"/>
    <w:rPr>
      <w:rFonts w:ascii="宋体" w:hAnsi="Courier New"/>
      <w:sz w:val="24"/>
    </w:rPr>
  </w:style>
  <w:style w:type="paragraph" w:styleId="16">
    <w:name w:val="Balloon Text"/>
    <w:basedOn w:val="1"/>
    <w:link w:val="46"/>
    <w:qFormat/>
    <w:uiPriority w:val="0"/>
    <w:rPr>
      <w:sz w:val="18"/>
      <w:szCs w:val="18"/>
    </w:rPr>
  </w:style>
  <w:style w:type="paragraph" w:styleId="17">
    <w:name w:val="footer"/>
    <w:basedOn w:val="1"/>
    <w:qFormat/>
    <w:uiPriority w:val="0"/>
    <w:pPr>
      <w:tabs>
        <w:tab w:val="center" w:pos="4153"/>
        <w:tab w:val="right" w:pos="8306"/>
      </w:tabs>
      <w:snapToGrid w:val="0"/>
      <w:jc w:val="left"/>
    </w:pPr>
    <w:rPr>
      <w:kern w:val="0"/>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0"/>
  </w:style>
  <w:style w:type="paragraph" w:styleId="20">
    <w:name w:val="Body Text Indent 3"/>
    <w:basedOn w:val="1"/>
    <w:qFormat/>
    <w:uiPriority w:val="0"/>
    <w:pPr>
      <w:spacing w:after="120"/>
      <w:ind w:left="200" w:leftChars="200"/>
    </w:pPr>
    <w:rPr>
      <w:kern w:val="0"/>
      <w:sz w:val="16"/>
      <w:szCs w:val="16"/>
    </w:rPr>
  </w:style>
  <w:style w:type="paragraph" w:styleId="21">
    <w:name w:val="toc 2"/>
    <w:basedOn w:val="1"/>
    <w:next w:val="1"/>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22">
    <w:name w:val="Normal (Web)"/>
    <w:basedOn w:val="1"/>
    <w:qFormat/>
    <w:uiPriority w:val="0"/>
    <w:pPr>
      <w:jc w:val="left"/>
    </w:pPr>
    <w:rPr>
      <w:rFonts w:ascii="微软雅黑" w:hAnsi="微软雅黑" w:eastAsia="微软雅黑"/>
      <w:kern w:val="0"/>
      <w:sz w:val="20"/>
      <w:szCs w:val="20"/>
    </w:rPr>
  </w:style>
  <w:style w:type="paragraph" w:styleId="23">
    <w:name w:val="annotation subject"/>
    <w:basedOn w:val="12"/>
    <w:next w:val="12"/>
    <w:link w:val="44"/>
    <w:qFormat/>
    <w:uiPriority w:val="0"/>
    <w:rPr>
      <w:b/>
      <w:bCs/>
    </w:rPr>
  </w:style>
  <w:style w:type="character" w:styleId="26">
    <w:name w:val="Strong"/>
    <w:basedOn w:val="25"/>
    <w:qFormat/>
    <w:uiPriority w:val="0"/>
    <w:rPr>
      <w:b/>
    </w:rPr>
  </w:style>
  <w:style w:type="character" w:styleId="27">
    <w:name w:val="Hyperlink"/>
    <w:qFormat/>
    <w:uiPriority w:val="0"/>
    <w:rPr>
      <w:rFonts w:hint="default" w:ascii="Calibri" w:hAnsi="Calibri" w:eastAsia="宋体" w:cs="Calibri"/>
      <w:color w:val="0000FF"/>
      <w:u w:val="single"/>
    </w:rPr>
  </w:style>
  <w:style w:type="character" w:styleId="28">
    <w:name w:val="annotation reference"/>
    <w:basedOn w:val="25"/>
    <w:qFormat/>
    <w:uiPriority w:val="0"/>
    <w:rPr>
      <w:sz w:val="21"/>
      <w:szCs w:val="21"/>
    </w:rPr>
  </w:style>
  <w:style w:type="paragraph" w:customStyle="1" w:styleId="29">
    <w:name w:val="样式 宋体 行距: 1.5 倍行距"/>
    <w:basedOn w:val="1"/>
    <w:qFormat/>
    <w:uiPriority w:val="99"/>
    <w:pPr>
      <w:jc w:val="center"/>
    </w:pPr>
    <w:rPr>
      <w:b/>
      <w:bCs/>
    </w:rPr>
  </w:style>
  <w:style w:type="paragraph" w:customStyle="1" w:styleId="3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1">
    <w:name w:val="列表段落1"/>
    <w:basedOn w:val="1"/>
    <w:qFormat/>
    <w:uiPriority w:val="0"/>
    <w:pPr>
      <w:ind w:firstLine="420" w:firstLineChars="200"/>
    </w:pPr>
    <w:rPr>
      <w:rFonts w:ascii="Times New Roman" w:hAnsi="Times New Roman"/>
    </w:rPr>
  </w:style>
  <w:style w:type="paragraph" w:customStyle="1" w:styleId="32">
    <w:name w:val="列出段落1"/>
    <w:basedOn w:val="1"/>
    <w:qFormat/>
    <w:uiPriority w:val="0"/>
    <w:pPr>
      <w:ind w:firstLine="420" w:firstLineChars="200"/>
    </w:pPr>
    <w:rPr>
      <w:rFonts w:cs="Calibri"/>
      <w:szCs w:val="21"/>
    </w:rPr>
  </w:style>
  <w:style w:type="paragraph" w:customStyle="1" w:styleId="33">
    <w:name w:val="表格文字"/>
    <w:basedOn w:val="1"/>
    <w:qFormat/>
    <w:uiPriority w:val="0"/>
    <w:pPr>
      <w:adjustRightInd w:val="0"/>
      <w:spacing w:line="420" w:lineRule="atLeast"/>
      <w:jc w:val="left"/>
    </w:pPr>
    <w:rPr>
      <w:rFonts w:ascii="Times New Roman" w:hAnsi="Times New Roman" w:cs="Calibri"/>
      <w:kern w:val="0"/>
      <w:szCs w:val="20"/>
    </w:rPr>
  </w:style>
  <w:style w:type="paragraph" w:customStyle="1" w:styleId="34">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35">
    <w:name w:val="正题"/>
    <w:basedOn w:val="36"/>
    <w:next w:val="36"/>
    <w:qFormat/>
    <w:uiPriority w:val="0"/>
    <w:pPr>
      <w:ind w:firstLine="0" w:firstLineChars="0"/>
      <w:jc w:val="center"/>
    </w:pPr>
    <w:rPr>
      <w:rFonts w:ascii="Calibri" w:hAnsi="Calibri" w:eastAsia="黑体"/>
      <w:b/>
      <w:sz w:val="36"/>
      <w:szCs w:val="36"/>
    </w:rPr>
  </w:style>
  <w:style w:type="paragraph" w:customStyle="1" w:styleId="36">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37">
    <w:name w:val="章节三"/>
    <w:basedOn w:val="36"/>
    <w:next w:val="36"/>
    <w:qFormat/>
    <w:uiPriority w:val="0"/>
    <w:pPr>
      <w:spacing w:beforeLines="50" w:afterLines="50" w:line="240" w:lineRule="auto"/>
      <w:ind w:firstLine="0" w:firstLineChars="0"/>
      <w:jc w:val="left"/>
      <w:outlineLvl w:val="2"/>
    </w:pPr>
    <w:rPr>
      <w:rFonts w:ascii="黑体" w:hAnsi="宋体" w:eastAsia="黑体"/>
      <w:b/>
    </w:rPr>
  </w:style>
  <w:style w:type="paragraph" w:customStyle="1" w:styleId="38">
    <w:name w:val="文二"/>
    <w:basedOn w:val="1"/>
    <w:qFormat/>
    <w:uiPriority w:val="0"/>
    <w:rPr>
      <w:rFonts w:ascii="宋体" w:hAnsi="宋体" w:cs="Calibri"/>
      <w:szCs w:val="21"/>
    </w:rPr>
  </w:style>
  <w:style w:type="paragraph" w:customStyle="1" w:styleId="39">
    <w:name w:val="Table Paragraph"/>
    <w:basedOn w:val="1"/>
    <w:qFormat/>
    <w:uiPriority w:val="0"/>
    <w:pPr>
      <w:autoSpaceDE w:val="0"/>
      <w:autoSpaceDN w:val="0"/>
      <w:jc w:val="left"/>
    </w:pPr>
    <w:rPr>
      <w:rFonts w:ascii="宋体" w:cs="宋体"/>
      <w:kern w:val="0"/>
      <w:sz w:val="22"/>
      <w:lang w:val="zh-CN" w:bidi="zh-CN"/>
    </w:rPr>
  </w:style>
  <w:style w:type="paragraph" w:customStyle="1" w:styleId="40">
    <w:name w:val="Table Text"/>
    <w:basedOn w:val="1"/>
    <w:semiHidden/>
    <w:qFormat/>
    <w:uiPriority w:val="0"/>
    <w:rPr>
      <w:rFonts w:ascii="宋体" w:hAnsi="宋体" w:cs="宋体"/>
      <w:sz w:val="23"/>
      <w:szCs w:val="23"/>
      <w:lang w:eastAsia="en-US"/>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修订1"/>
    <w:hidden/>
    <w:unhideWhenUsed/>
    <w:qFormat/>
    <w:uiPriority w:val="99"/>
    <w:rPr>
      <w:rFonts w:ascii="Calibri" w:hAnsi="Calibri" w:eastAsia="宋体" w:cs="Times New Roman"/>
      <w:kern w:val="2"/>
      <w:sz w:val="21"/>
      <w:szCs w:val="22"/>
      <w:lang w:val="en-US" w:eastAsia="zh-CN" w:bidi="ar-SA"/>
    </w:rPr>
  </w:style>
  <w:style w:type="character" w:customStyle="1" w:styleId="43">
    <w:name w:val="批注文字 字符"/>
    <w:basedOn w:val="25"/>
    <w:link w:val="12"/>
    <w:qFormat/>
    <w:uiPriority w:val="0"/>
    <w:rPr>
      <w:rFonts w:ascii="Calibri" w:hAnsi="Calibri"/>
      <w:kern w:val="2"/>
      <w:sz w:val="21"/>
      <w:szCs w:val="22"/>
    </w:rPr>
  </w:style>
  <w:style w:type="character" w:customStyle="1" w:styleId="44">
    <w:name w:val="批注主题 字符"/>
    <w:basedOn w:val="43"/>
    <w:link w:val="23"/>
    <w:qFormat/>
    <w:uiPriority w:val="0"/>
    <w:rPr>
      <w:rFonts w:ascii="Calibri" w:hAnsi="Calibri"/>
      <w:b/>
      <w:bCs/>
      <w:kern w:val="2"/>
      <w:sz w:val="21"/>
      <w:szCs w:val="22"/>
    </w:rPr>
  </w:style>
  <w:style w:type="paragraph" w:customStyle="1" w:styleId="45">
    <w:name w:val="修订2"/>
    <w:hidden/>
    <w:unhideWhenUsed/>
    <w:qFormat/>
    <w:uiPriority w:val="99"/>
    <w:rPr>
      <w:rFonts w:ascii="Calibri" w:hAnsi="Calibri" w:eastAsia="宋体" w:cs="Times New Roman"/>
      <w:kern w:val="2"/>
      <w:sz w:val="21"/>
      <w:szCs w:val="22"/>
      <w:lang w:val="en-US" w:eastAsia="zh-CN" w:bidi="ar-SA"/>
    </w:rPr>
  </w:style>
  <w:style w:type="character" w:customStyle="1" w:styleId="46">
    <w:name w:val="批注框文本 字符"/>
    <w:basedOn w:val="25"/>
    <w:link w:val="16"/>
    <w:qFormat/>
    <w:uiPriority w:val="0"/>
    <w:rPr>
      <w:rFonts w:ascii="Calibri" w:hAnsi="Calibri"/>
      <w:kern w:val="2"/>
      <w:sz w:val="18"/>
      <w:szCs w:val="18"/>
    </w:rPr>
  </w:style>
  <w:style w:type="paragraph" w:customStyle="1" w:styleId="47">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37435</Words>
  <Characters>39212</Characters>
  <Lines>259</Lines>
  <Paragraphs>73</Paragraphs>
  <TotalTime>5</TotalTime>
  <ScaleCrop>false</ScaleCrop>
  <LinksUpToDate>false</LinksUpToDate>
  <CharactersWithSpaces>40628</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2024-02-26T10:17:00Z</dcterms:created>
  <dc:creator>07</dc:creator>
  <cp:lastModifiedBy>Johnson</cp:lastModifiedBy>
  <cp:lastPrinted>2024-09-30T03:08:00Z</cp:lastPrinted>
  <dcterms:modified xsi:type="dcterms:W3CDTF">2024-12-26T12:26:52Z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742059423C194F80A0674F213604B67C_13</vt:lpwstr>
  </property>
</Properties>
</file>