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973C6B">
      <w:pPr>
        <w:pStyle w:val="2"/>
      </w:pPr>
    </w:p>
    <w:p w14:paraId="1CEEE8A2">
      <w:pPr>
        <w:pStyle w:val="2"/>
      </w:pPr>
    </w:p>
    <w:p w14:paraId="342F32CE">
      <w:pPr>
        <w:pStyle w:val="2"/>
      </w:pPr>
    </w:p>
    <w:p w14:paraId="28C95A9D">
      <w:pPr>
        <w:pStyle w:val="2"/>
      </w:pPr>
    </w:p>
    <w:p w14:paraId="4FDA3B2D">
      <w:pPr>
        <w:pStyle w:val="7"/>
        <w:rPr>
          <w:rFonts w:ascii="宋体" w:hAnsi="宋体" w:cs="宋体"/>
          <w:bCs/>
          <w:color w:val="auto"/>
          <w:spacing w:val="26"/>
          <w:sz w:val="52"/>
          <w:szCs w:val="52"/>
        </w:rPr>
      </w:pPr>
      <w:r>
        <w:rPr>
          <w:rFonts w:hint="eastAsia" w:ascii="宋体" w:hAnsi="宋体" w:cs="宋体"/>
          <w:bCs/>
          <w:color w:val="auto"/>
          <w:spacing w:val="26"/>
          <w:sz w:val="52"/>
          <w:szCs w:val="52"/>
        </w:rPr>
        <w:t>广州卷烟厂石马仓库基建维修改造工程项目施工总承包</w:t>
      </w:r>
    </w:p>
    <w:p w14:paraId="1F574F52">
      <w:pPr>
        <w:spacing w:line="360" w:lineRule="auto"/>
        <w:jc w:val="center"/>
        <w:rPr>
          <w:rFonts w:ascii="宋体" w:hAnsi="宋体" w:cs="宋体"/>
          <w:b/>
          <w:bCs/>
          <w:spacing w:val="26"/>
          <w:sz w:val="96"/>
          <w:szCs w:val="110"/>
        </w:rPr>
      </w:pPr>
    </w:p>
    <w:p w14:paraId="12D358A1">
      <w:pPr>
        <w:spacing w:line="360" w:lineRule="auto"/>
        <w:jc w:val="center"/>
        <w:rPr>
          <w:rFonts w:ascii="宋体" w:hAnsi="宋体" w:cs="宋体"/>
          <w:b/>
          <w:bCs/>
          <w:spacing w:val="26"/>
          <w:sz w:val="96"/>
          <w:szCs w:val="110"/>
        </w:rPr>
      </w:pPr>
    </w:p>
    <w:p w14:paraId="579FE3DF">
      <w:pPr>
        <w:spacing w:line="360" w:lineRule="auto"/>
        <w:jc w:val="center"/>
        <w:rPr>
          <w:rFonts w:ascii="宋体" w:hAnsi="宋体" w:cs="宋体"/>
          <w:b/>
          <w:bCs/>
          <w:spacing w:val="26"/>
          <w:sz w:val="108"/>
          <w:szCs w:val="110"/>
        </w:rPr>
      </w:pPr>
      <w:r>
        <w:rPr>
          <w:rFonts w:hint="eastAsia" w:ascii="宋体" w:hAnsi="宋体" w:cs="宋体"/>
          <w:b/>
          <w:bCs/>
          <w:spacing w:val="26"/>
          <w:sz w:val="96"/>
          <w:szCs w:val="110"/>
        </w:rPr>
        <w:t>招 标 文 件</w:t>
      </w:r>
    </w:p>
    <w:p w14:paraId="38B8AAF6">
      <w:pPr>
        <w:spacing w:line="360" w:lineRule="auto"/>
        <w:ind w:firstLine="2560" w:firstLineChars="800"/>
        <w:rPr>
          <w:rFonts w:ascii="宋体" w:hAnsi="宋体" w:cs="宋体"/>
          <w:sz w:val="32"/>
        </w:rPr>
      </w:pPr>
    </w:p>
    <w:p w14:paraId="79B17828">
      <w:pPr>
        <w:spacing w:line="360" w:lineRule="auto"/>
        <w:ind w:firstLine="2560" w:firstLineChars="800"/>
        <w:rPr>
          <w:rFonts w:ascii="宋体" w:hAnsi="宋体" w:cs="宋体"/>
          <w:sz w:val="32"/>
        </w:rPr>
      </w:pPr>
    </w:p>
    <w:p w14:paraId="2C0EDC65">
      <w:pPr>
        <w:spacing w:line="360" w:lineRule="auto"/>
        <w:ind w:firstLine="2560" w:firstLineChars="800"/>
        <w:rPr>
          <w:rFonts w:ascii="宋体" w:hAnsi="宋体" w:cs="宋体"/>
          <w:sz w:val="32"/>
        </w:rPr>
      </w:pPr>
    </w:p>
    <w:p w14:paraId="4120B125">
      <w:pPr>
        <w:spacing w:line="360" w:lineRule="auto"/>
        <w:ind w:firstLine="849" w:firstLineChars="283"/>
        <w:rPr>
          <w:rFonts w:ascii="宋体" w:hAnsi="宋体" w:cs="宋体"/>
          <w:sz w:val="30"/>
          <w:szCs w:val="30"/>
          <w:u w:val="single"/>
        </w:rPr>
      </w:pPr>
      <w:r>
        <w:rPr>
          <w:rFonts w:hint="eastAsia" w:ascii="宋体" w:hAnsi="宋体" w:cs="宋体"/>
          <w:sz w:val="30"/>
          <w:szCs w:val="30"/>
        </w:rPr>
        <w:t>招  标 单 位：</w:t>
      </w:r>
      <w:r>
        <w:rPr>
          <w:rFonts w:hint="eastAsia" w:ascii="宋体" w:hAnsi="宋体" w:cs="宋体"/>
          <w:bCs/>
          <w:sz w:val="30"/>
          <w:szCs w:val="30"/>
          <w:u w:val="single"/>
        </w:rPr>
        <w:t>广东中烟工业有限责任公司</w:t>
      </w:r>
    </w:p>
    <w:p w14:paraId="48B82CBB">
      <w:pPr>
        <w:spacing w:line="360" w:lineRule="auto"/>
        <w:ind w:firstLine="849" w:firstLineChars="283"/>
        <w:rPr>
          <w:rFonts w:ascii="宋体" w:hAnsi="宋体" w:cs="宋体"/>
          <w:sz w:val="30"/>
          <w:szCs w:val="30"/>
          <w:u w:val="single"/>
        </w:rPr>
      </w:pPr>
      <w:r>
        <w:rPr>
          <w:rFonts w:hint="eastAsia" w:ascii="宋体" w:hAnsi="宋体" w:cs="宋体"/>
          <w:sz w:val="30"/>
          <w:szCs w:val="30"/>
        </w:rPr>
        <w:t>招标代理单位：</w:t>
      </w:r>
      <w:r>
        <w:rPr>
          <w:rFonts w:hint="eastAsia" w:ascii="宋体" w:hAnsi="宋体" w:cs="宋体"/>
          <w:bCs/>
          <w:sz w:val="30"/>
          <w:szCs w:val="30"/>
          <w:u w:val="single"/>
        </w:rPr>
        <w:t>广东省机电设备招标中心有限公司</w:t>
      </w:r>
    </w:p>
    <w:p w14:paraId="056EE97C">
      <w:pPr>
        <w:ind w:firstLine="849" w:firstLineChars="283"/>
        <w:rPr>
          <w:rFonts w:ascii="宋体" w:hAnsi="宋体" w:cs="宋体"/>
          <w:sz w:val="30"/>
          <w:szCs w:val="30"/>
        </w:rPr>
      </w:pPr>
      <w:r>
        <w:rPr>
          <w:rFonts w:hint="eastAsia" w:ascii="宋体" w:hAnsi="宋体" w:cs="宋体"/>
          <w:sz w:val="30"/>
          <w:szCs w:val="30"/>
        </w:rPr>
        <w:t>日        期：</w:t>
      </w:r>
      <w:r>
        <w:rPr>
          <w:rFonts w:ascii="宋体" w:hAnsi="宋体" w:cs="宋体"/>
          <w:sz w:val="30"/>
          <w:szCs w:val="30"/>
          <w:u w:val="single"/>
        </w:rPr>
        <w:t>2024</w:t>
      </w:r>
      <w:r>
        <w:rPr>
          <w:rFonts w:hint="eastAsia" w:ascii="宋体" w:hAnsi="宋体" w:cs="宋体"/>
          <w:sz w:val="30"/>
          <w:szCs w:val="30"/>
        </w:rPr>
        <w:t>年</w:t>
      </w:r>
      <w:r>
        <w:rPr>
          <w:rFonts w:hint="eastAsia" w:ascii="宋体" w:hAnsi="宋体" w:cs="宋体"/>
          <w:sz w:val="30"/>
          <w:szCs w:val="30"/>
          <w:u w:val="single"/>
        </w:rPr>
        <w:t>12</w:t>
      </w:r>
      <w:r>
        <w:rPr>
          <w:rFonts w:hint="eastAsia" w:ascii="宋体" w:hAnsi="宋体" w:cs="宋体"/>
          <w:sz w:val="30"/>
          <w:szCs w:val="30"/>
        </w:rPr>
        <w:t xml:space="preserve">月    </w:t>
      </w:r>
    </w:p>
    <w:p w14:paraId="37E04179">
      <w:pPr>
        <w:rPr>
          <w:rFonts w:ascii="宋体" w:hAnsi="宋体" w:cs="宋体"/>
          <w:sz w:val="30"/>
          <w:szCs w:val="30"/>
        </w:rPr>
      </w:pPr>
    </w:p>
    <w:p w14:paraId="4B7B3D63">
      <w:pPr>
        <w:jc w:val="center"/>
        <w:rPr>
          <w:rFonts w:ascii="宋体" w:hAnsi="宋体"/>
          <w:b/>
          <w:caps/>
          <w:kern w:val="0"/>
        </w:rPr>
      </w:pPr>
      <w:r>
        <w:rPr>
          <w:rStyle w:val="41"/>
          <w:rFonts w:hint="eastAsia"/>
          <w:b/>
          <w:bCs/>
          <w:color w:val="auto"/>
          <w:sz w:val="28"/>
          <w:u w:val="none"/>
        </w:rPr>
        <w:t>目录</w:t>
      </w:r>
    </w:p>
    <w:p w14:paraId="6C29FEFF">
      <w:pPr>
        <w:pStyle w:val="26"/>
        <w:rPr>
          <w:rFonts w:cs="宋体"/>
          <w:caps w:val="0"/>
          <w:kern w:val="2"/>
          <w:sz w:val="21"/>
          <w:szCs w:val="22"/>
        </w:rPr>
      </w:pPr>
      <w:r>
        <w:fldChar w:fldCharType="begin"/>
      </w:r>
      <w:r>
        <w:instrText xml:space="preserve"> TOC \o "1-3" \h \z \u </w:instrText>
      </w:r>
      <w:r>
        <w:fldChar w:fldCharType="separate"/>
      </w:r>
      <w:r>
        <w:fldChar w:fldCharType="begin"/>
      </w:r>
      <w:r>
        <w:instrText xml:space="preserve"> HYPERLINK \l "_Toc2272545" </w:instrText>
      </w:r>
      <w:r>
        <w:fldChar w:fldCharType="separate"/>
      </w:r>
      <w:r>
        <w:rPr>
          <w:rStyle w:val="41"/>
          <w:rFonts w:hint="eastAsia" w:cs="宋体"/>
          <w:color w:val="auto"/>
        </w:rPr>
        <w:t>第一章  投标须知</w:t>
      </w:r>
      <w:r>
        <w:rPr>
          <w:rFonts w:hint="eastAsia" w:cs="宋体"/>
        </w:rPr>
        <w:tab/>
      </w:r>
      <w:r>
        <w:rPr>
          <w:rFonts w:hint="eastAsia" w:cs="宋体"/>
        </w:rPr>
        <w:fldChar w:fldCharType="begin"/>
      </w:r>
      <w:r>
        <w:rPr>
          <w:rFonts w:hint="eastAsia" w:cs="宋体"/>
        </w:rPr>
        <w:instrText xml:space="preserve"> PAGEREF _Toc2272545 \h </w:instrText>
      </w:r>
      <w:r>
        <w:rPr>
          <w:rFonts w:hint="eastAsia" w:cs="宋体"/>
        </w:rPr>
        <w:fldChar w:fldCharType="separate"/>
      </w:r>
      <w:r>
        <w:rPr>
          <w:rFonts w:hint="eastAsia" w:cs="宋体"/>
        </w:rPr>
        <w:t>2</w:t>
      </w:r>
      <w:r>
        <w:rPr>
          <w:rFonts w:hint="eastAsia" w:cs="宋体"/>
        </w:rPr>
        <w:fldChar w:fldCharType="end"/>
      </w:r>
      <w:r>
        <w:rPr>
          <w:rFonts w:hint="eastAsia" w:cs="宋体"/>
        </w:rPr>
        <w:fldChar w:fldCharType="end"/>
      </w:r>
    </w:p>
    <w:p w14:paraId="25788AEA">
      <w:pPr>
        <w:pStyle w:val="29"/>
        <w:rPr>
          <w:rFonts w:ascii="宋体" w:hAnsi="宋体" w:cs="宋体"/>
          <w:sz w:val="21"/>
          <w:szCs w:val="22"/>
        </w:rPr>
      </w:pPr>
      <w:r>
        <w:fldChar w:fldCharType="begin"/>
      </w:r>
      <w:r>
        <w:instrText xml:space="preserve"> HYPERLINK \l "_Toc2272546" </w:instrText>
      </w:r>
      <w:r>
        <w:fldChar w:fldCharType="separate"/>
      </w:r>
      <w:r>
        <w:rPr>
          <w:rStyle w:val="41"/>
          <w:rFonts w:hint="eastAsia" w:ascii="宋体" w:hAnsi="宋体" w:cs="宋体"/>
          <w:color w:val="auto"/>
        </w:rPr>
        <w:t>一、投标须知前附表</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_Toc2272546 \h </w:instrText>
      </w:r>
      <w:r>
        <w:rPr>
          <w:rFonts w:hint="eastAsia" w:ascii="宋体" w:hAnsi="宋体" w:cs="宋体"/>
        </w:rPr>
        <w:fldChar w:fldCharType="separate"/>
      </w:r>
      <w:r>
        <w:rPr>
          <w:rFonts w:hint="eastAsia" w:ascii="宋体" w:hAnsi="宋体" w:cs="宋体"/>
        </w:rPr>
        <w:t>2</w:t>
      </w:r>
      <w:r>
        <w:rPr>
          <w:rFonts w:hint="eastAsia" w:ascii="宋体" w:hAnsi="宋体" w:cs="宋体"/>
        </w:rPr>
        <w:fldChar w:fldCharType="end"/>
      </w:r>
      <w:r>
        <w:rPr>
          <w:rFonts w:hint="eastAsia" w:ascii="宋体" w:hAnsi="宋体" w:cs="宋体"/>
        </w:rPr>
        <w:fldChar w:fldCharType="end"/>
      </w:r>
    </w:p>
    <w:p w14:paraId="104BD087">
      <w:pPr>
        <w:pStyle w:val="29"/>
        <w:rPr>
          <w:rFonts w:ascii="宋体" w:hAnsi="宋体" w:cs="宋体"/>
          <w:sz w:val="21"/>
          <w:szCs w:val="22"/>
        </w:rPr>
      </w:pPr>
      <w:r>
        <w:fldChar w:fldCharType="begin"/>
      </w:r>
      <w:r>
        <w:instrText xml:space="preserve"> HYPERLINK \l "_Toc2272547" </w:instrText>
      </w:r>
      <w:r>
        <w:fldChar w:fldCharType="separate"/>
      </w:r>
      <w:r>
        <w:rPr>
          <w:rStyle w:val="41"/>
          <w:rFonts w:hint="eastAsia" w:ascii="宋体" w:hAnsi="宋体" w:cs="宋体"/>
          <w:color w:val="auto"/>
        </w:rPr>
        <w:t>二、投标须知修改表</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_Toc2272547 \h </w:instrText>
      </w:r>
      <w:r>
        <w:rPr>
          <w:rFonts w:hint="eastAsia" w:ascii="宋体" w:hAnsi="宋体" w:cs="宋体"/>
        </w:rPr>
        <w:fldChar w:fldCharType="separate"/>
      </w:r>
      <w:r>
        <w:rPr>
          <w:rFonts w:hint="eastAsia" w:ascii="宋体" w:hAnsi="宋体" w:cs="宋体"/>
        </w:rPr>
        <w:t>9</w:t>
      </w:r>
      <w:r>
        <w:rPr>
          <w:rFonts w:hint="eastAsia" w:ascii="宋体" w:hAnsi="宋体" w:cs="宋体"/>
        </w:rPr>
        <w:fldChar w:fldCharType="end"/>
      </w:r>
      <w:r>
        <w:rPr>
          <w:rFonts w:hint="eastAsia" w:ascii="宋体" w:hAnsi="宋体" w:cs="宋体"/>
        </w:rPr>
        <w:fldChar w:fldCharType="end"/>
      </w:r>
    </w:p>
    <w:p w14:paraId="20BFE3DF">
      <w:pPr>
        <w:pStyle w:val="29"/>
        <w:rPr>
          <w:rFonts w:ascii="宋体" w:hAnsi="宋体" w:cs="宋体"/>
          <w:sz w:val="21"/>
          <w:szCs w:val="22"/>
        </w:rPr>
      </w:pPr>
      <w:r>
        <w:fldChar w:fldCharType="begin"/>
      </w:r>
      <w:r>
        <w:instrText xml:space="preserve"> HYPERLINK \l "_Toc2272548" </w:instrText>
      </w:r>
      <w:r>
        <w:fldChar w:fldCharType="separate"/>
      </w:r>
      <w:r>
        <w:rPr>
          <w:rStyle w:val="41"/>
          <w:rFonts w:hint="eastAsia" w:ascii="宋体" w:hAnsi="宋体" w:cs="宋体"/>
          <w:color w:val="auto"/>
        </w:rPr>
        <w:t>三、投标须知通用条款</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_Toc2272548 \h </w:instrText>
      </w:r>
      <w:r>
        <w:rPr>
          <w:rFonts w:hint="eastAsia" w:ascii="宋体" w:hAnsi="宋体" w:cs="宋体"/>
        </w:rPr>
        <w:fldChar w:fldCharType="separate"/>
      </w:r>
      <w:r>
        <w:rPr>
          <w:rFonts w:hint="eastAsia" w:ascii="宋体" w:hAnsi="宋体" w:cs="宋体"/>
        </w:rPr>
        <w:t>21</w:t>
      </w:r>
      <w:r>
        <w:rPr>
          <w:rFonts w:hint="eastAsia" w:ascii="宋体" w:hAnsi="宋体" w:cs="宋体"/>
        </w:rPr>
        <w:fldChar w:fldCharType="end"/>
      </w:r>
      <w:r>
        <w:rPr>
          <w:rFonts w:hint="eastAsia" w:ascii="宋体" w:hAnsi="宋体" w:cs="宋体"/>
        </w:rPr>
        <w:fldChar w:fldCharType="end"/>
      </w:r>
    </w:p>
    <w:p w14:paraId="5BDEFEA9">
      <w:pPr>
        <w:pStyle w:val="19"/>
        <w:tabs>
          <w:tab w:val="right" w:leader="dot" w:pos="9060"/>
        </w:tabs>
        <w:ind w:left="840"/>
        <w:rPr>
          <w:rFonts w:ascii="宋体" w:hAnsi="宋体" w:cs="宋体"/>
          <w:sz w:val="21"/>
          <w:szCs w:val="22"/>
        </w:rPr>
      </w:pPr>
      <w:r>
        <w:fldChar w:fldCharType="begin"/>
      </w:r>
      <w:r>
        <w:instrText xml:space="preserve"> HYPERLINK \l "_Toc2272549" </w:instrText>
      </w:r>
      <w:r>
        <w:fldChar w:fldCharType="separate"/>
      </w:r>
      <w:r>
        <w:rPr>
          <w:rStyle w:val="41"/>
          <w:rFonts w:hint="eastAsia" w:ascii="宋体" w:hAnsi="宋体" w:cs="宋体"/>
          <w:color w:val="auto"/>
        </w:rPr>
        <w:t>（一）总则</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_Toc2272549 \h </w:instrText>
      </w:r>
      <w:r>
        <w:rPr>
          <w:rFonts w:hint="eastAsia" w:ascii="宋体" w:hAnsi="宋体" w:cs="宋体"/>
        </w:rPr>
        <w:fldChar w:fldCharType="separate"/>
      </w:r>
      <w:r>
        <w:rPr>
          <w:rFonts w:hint="eastAsia" w:ascii="宋体" w:hAnsi="宋体" w:cs="宋体"/>
        </w:rPr>
        <w:t>21</w:t>
      </w:r>
      <w:r>
        <w:rPr>
          <w:rFonts w:hint="eastAsia" w:ascii="宋体" w:hAnsi="宋体" w:cs="宋体"/>
        </w:rPr>
        <w:fldChar w:fldCharType="end"/>
      </w:r>
      <w:r>
        <w:rPr>
          <w:rFonts w:hint="eastAsia" w:ascii="宋体" w:hAnsi="宋体" w:cs="宋体"/>
        </w:rPr>
        <w:fldChar w:fldCharType="end"/>
      </w:r>
    </w:p>
    <w:p w14:paraId="78CC8183">
      <w:pPr>
        <w:pStyle w:val="19"/>
        <w:tabs>
          <w:tab w:val="right" w:leader="dot" w:pos="9060"/>
        </w:tabs>
        <w:ind w:left="840"/>
        <w:rPr>
          <w:rFonts w:ascii="宋体" w:hAnsi="宋体" w:cs="宋体"/>
          <w:sz w:val="21"/>
          <w:szCs w:val="22"/>
        </w:rPr>
      </w:pPr>
      <w:r>
        <w:fldChar w:fldCharType="begin"/>
      </w:r>
      <w:r>
        <w:instrText xml:space="preserve"> HYPERLINK \l "_Toc2272550" </w:instrText>
      </w:r>
      <w:r>
        <w:fldChar w:fldCharType="separate"/>
      </w:r>
      <w:r>
        <w:rPr>
          <w:rStyle w:val="41"/>
          <w:rFonts w:hint="eastAsia" w:ascii="宋体" w:hAnsi="宋体" w:cs="宋体"/>
          <w:color w:val="auto"/>
        </w:rPr>
        <w:t>（二）招标文件</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_Toc2272550 \h </w:instrText>
      </w:r>
      <w:r>
        <w:rPr>
          <w:rFonts w:hint="eastAsia" w:ascii="宋体" w:hAnsi="宋体" w:cs="宋体"/>
        </w:rPr>
        <w:fldChar w:fldCharType="separate"/>
      </w:r>
      <w:r>
        <w:rPr>
          <w:rFonts w:hint="eastAsia" w:ascii="宋体" w:hAnsi="宋体" w:cs="宋体"/>
        </w:rPr>
        <w:t>22</w:t>
      </w:r>
      <w:r>
        <w:rPr>
          <w:rFonts w:hint="eastAsia" w:ascii="宋体" w:hAnsi="宋体" w:cs="宋体"/>
        </w:rPr>
        <w:fldChar w:fldCharType="end"/>
      </w:r>
      <w:r>
        <w:rPr>
          <w:rFonts w:hint="eastAsia" w:ascii="宋体" w:hAnsi="宋体" w:cs="宋体"/>
        </w:rPr>
        <w:fldChar w:fldCharType="end"/>
      </w:r>
    </w:p>
    <w:p w14:paraId="576CE633">
      <w:pPr>
        <w:pStyle w:val="19"/>
        <w:tabs>
          <w:tab w:val="right" w:leader="dot" w:pos="9060"/>
        </w:tabs>
        <w:ind w:left="840"/>
        <w:rPr>
          <w:rFonts w:ascii="宋体" w:hAnsi="宋体" w:cs="宋体"/>
          <w:sz w:val="21"/>
          <w:szCs w:val="22"/>
        </w:rPr>
      </w:pPr>
      <w:r>
        <w:fldChar w:fldCharType="begin"/>
      </w:r>
      <w:r>
        <w:instrText xml:space="preserve"> HYPERLINK \l "_Toc2272551" </w:instrText>
      </w:r>
      <w:r>
        <w:fldChar w:fldCharType="separate"/>
      </w:r>
      <w:r>
        <w:rPr>
          <w:rStyle w:val="41"/>
          <w:rFonts w:hint="eastAsia" w:ascii="宋体" w:hAnsi="宋体" w:cs="宋体"/>
          <w:color w:val="auto"/>
        </w:rPr>
        <w:t>（三）投标文件的编制</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_Toc2272551 \h </w:instrText>
      </w:r>
      <w:r>
        <w:rPr>
          <w:rFonts w:hint="eastAsia" w:ascii="宋体" w:hAnsi="宋体" w:cs="宋体"/>
        </w:rPr>
        <w:fldChar w:fldCharType="separate"/>
      </w:r>
      <w:r>
        <w:rPr>
          <w:rFonts w:hint="eastAsia" w:ascii="宋体" w:hAnsi="宋体" w:cs="宋体"/>
        </w:rPr>
        <w:t>23</w:t>
      </w:r>
      <w:r>
        <w:rPr>
          <w:rFonts w:hint="eastAsia" w:ascii="宋体" w:hAnsi="宋体" w:cs="宋体"/>
        </w:rPr>
        <w:fldChar w:fldCharType="end"/>
      </w:r>
      <w:r>
        <w:rPr>
          <w:rFonts w:hint="eastAsia" w:ascii="宋体" w:hAnsi="宋体" w:cs="宋体"/>
        </w:rPr>
        <w:fldChar w:fldCharType="end"/>
      </w:r>
    </w:p>
    <w:p w14:paraId="30796BE5">
      <w:pPr>
        <w:pStyle w:val="19"/>
        <w:tabs>
          <w:tab w:val="right" w:leader="dot" w:pos="9060"/>
        </w:tabs>
        <w:ind w:left="840"/>
        <w:rPr>
          <w:rFonts w:ascii="宋体" w:hAnsi="宋体" w:cs="宋体"/>
          <w:sz w:val="21"/>
          <w:szCs w:val="22"/>
        </w:rPr>
      </w:pPr>
      <w:r>
        <w:fldChar w:fldCharType="begin"/>
      </w:r>
      <w:r>
        <w:instrText xml:space="preserve"> HYPERLINK \l "_Toc2272552" </w:instrText>
      </w:r>
      <w:r>
        <w:fldChar w:fldCharType="separate"/>
      </w:r>
      <w:r>
        <w:rPr>
          <w:rStyle w:val="41"/>
          <w:rFonts w:hint="eastAsia" w:ascii="宋体" w:hAnsi="宋体" w:cs="宋体"/>
          <w:color w:val="auto"/>
        </w:rPr>
        <w:t>（四）投标文件的提交</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_Toc2272552 \h </w:instrText>
      </w:r>
      <w:r>
        <w:rPr>
          <w:rFonts w:hint="eastAsia" w:ascii="宋体" w:hAnsi="宋体" w:cs="宋体"/>
        </w:rPr>
        <w:fldChar w:fldCharType="separate"/>
      </w:r>
      <w:r>
        <w:rPr>
          <w:rFonts w:hint="eastAsia" w:ascii="宋体" w:hAnsi="宋体" w:cs="宋体"/>
        </w:rPr>
        <w:t>31</w:t>
      </w:r>
      <w:r>
        <w:rPr>
          <w:rFonts w:hint="eastAsia" w:ascii="宋体" w:hAnsi="宋体" w:cs="宋体"/>
        </w:rPr>
        <w:fldChar w:fldCharType="end"/>
      </w:r>
      <w:r>
        <w:rPr>
          <w:rFonts w:hint="eastAsia" w:ascii="宋体" w:hAnsi="宋体" w:cs="宋体"/>
        </w:rPr>
        <w:fldChar w:fldCharType="end"/>
      </w:r>
    </w:p>
    <w:p w14:paraId="58A65609">
      <w:pPr>
        <w:pStyle w:val="19"/>
        <w:tabs>
          <w:tab w:val="right" w:leader="dot" w:pos="9060"/>
        </w:tabs>
        <w:ind w:left="840"/>
        <w:rPr>
          <w:rFonts w:ascii="宋体" w:hAnsi="宋体" w:cs="宋体"/>
          <w:sz w:val="21"/>
          <w:szCs w:val="22"/>
        </w:rPr>
      </w:pPr>
      <w:r>
        <w:fldChar w:fldCharType="begin"/>
      </w:r>
      <w:r>
        <w:instrText xml:space="preserve"> HYPERLINK \l "_Toc2272553" </w:instrText>
      </w:r>
      <w:r>
        <w:fldChar w:fldCharType="separate"/>
      </w:r>
      <w:r>
        <w:rPr>
          <w:rStyle w:val="41"/>
          <w:rFonts w:hint="eastAsia" w:ascii="宋体" w:hAnsi="宋体" w:cs="宋体"/>
          <w:color w:val="auto"/>
        </w:rPr>
        <w:t>（五）开标、评标、定标及合同签定</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_Toc2272553 \h </w:instrText>
      </w:r>
      <w:r>
        <w:rPr>
          <w:rFonts w:hint="eastAsia" w:ascii="宋体" w:hAnsi="宋体" w:cs="宋体"/>
        </w:rPr>
        <w:fldChar w:fldCharType="separate"/>
      </w:r>
      <w:r>
        <w:rPr>
          <w:rFonts w:hint="eastAsia" w:ascii="宋体" w:hAnsi="宋体" w:cs="宋体"/>
        </w:rPr>
        <w:t>32</w:t>
      </w:r>
      <w:r>
        <w:rPr>
          <w:rFonts w:hint="eastAsia" w:ascii="宋体" w:hAnsi="宋体" w:cs="宋体"/>
        </w:rPr>
        <w:fldChar w:fldCharType="end"/>
      </w:r>
      <w:r>
        <w:rPr>
          <w:rFonts w:hint="eastAsia" w:ascii="宋体" w:hAnsi="宋体" w:cs="宋体"/>
        </w:rPr>
        <w:fldChar w:fldCharType="end"/>
      </w:r>
    </w:p>
    <w:p w14:paraId="59D2F9DA">
      <w:pPr>
        <w:pStyle w:val="26"/>
        <w:rPr>
          <w:rFonts w:cs="宋体"/>
          <w:caps w:val="0"/>
          <w:kern w:val="2"/>
          <w:sz w:val="21"/>
          <w:szCs w:val="22"/>
        </w:rPr>
      </w:pPr>
      <w:r>
        <w:fldChar w:fldCharType="begin"/>
      </w:r>
      <w:r>
        <w:instrText xml:space="preserve"> HYPERLINK \l "_Toc2272554" </w:instrText>
      </w:r>
      <w:r>
        <w:fldChar w:fldCharType="separate"/>
      </w:r>
      <w:r>
        <w:rPr>
          <w:rStyle w:val="41"/>
          <w:rFonts w:hint="eastAsia" w:cs="宋体"/>
          <w:color w:val="auto"/>
        </w:rPr>
        <w:t>第二章  开标、评标及定标办法</w:t>
      </w:r>
      <w:r>
        <w:rPr>
          <w:rFonts w:hint="eastAsia" w:cs="宋体"/>
        </w:rPr>
        <w:tab/>
      </w:r>
      <w:r>
        <w:rPr>
          <w:rFonts w:hint="eastAsia" w:cs="宋体"/>
        </w:rPr>
        <w:fldChar w:fldCharType="begin"/>
      </w:r>
      <w:r>
        <w:rPr>
          <w:rFonts w:hint="eastAsia" w:cs="宋体"/>
        </w:rPr>
        <w:instrText xml:space="preserve"> PAGEREF _Toc2272554 \h </w:instrText>
      </w:r>
      <w:r>
        <w:rPr>
          <w:rFonts w:hint="eastAsia" w:cs="宋体"/>
        </w:rPr>
        <w:fldChar w:fldCharType="separate"/>
      </w:r>
      <w:r>
        <w:rPr>
          <w:rFonts w:hint="eastAsia" w:cs="宋体"/>
        </w:rPr>
        <w:t>35</w:t>
      </w:r>
      <w:r>
        <w:rPr>
          <w:rFonts w:hint="eastAsia" w:cs="宋体"/>
        </w:rPr>
        <w:fldChar w:fldCharType="end"/>
      </w:r>
      <w:r>
        <w:rPr>
          <w:rFonts w:hint="eastAsia" w:cs="宋体"/>
        </w:rPr>
        <w:fldChar w:fldCharType="end"/>
      </w:r>
    </w:p>
    <w:p w14:paraId="5916761B">
      <w:pPr>
        <w:pStyle w:val="29"/>
        <w:rPr>
          <w:rFonts w:ascii="宋体" w:hAnsi="宋体" w:cs="宋体"/>
          <w:sz w:val="21"/>
          <w:szCs w:val="22"/>
        </w:rPr>
      </w:pPr>
      <w:r>
        <w:fldChar w:fldCharType="begin"/>
      </w:r>
      <w:r>
        <w:instrText xml:space="preserve"> HYPERLINK \l "_Toc2272555" </w:instrText>
      </w:r>
      <w:r>
        <w:fldChar w:fldCharType="separate"/>
      </w:r>
      <w:r>
        <w:rPr>
          <w:rStyle w:val="41"/>
          <w:rFonts w:hint="eastAsia" w:ascii="宋体" w:hAnsi="宋体" w:cs="宋体"/>
          <w:color w:val="auto"/>
        </w:rPr>
        <w:t>一、开标、评标及定标办法修改表</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_Toc2272555 \h </w:instrText>
      </w:r>
      <w:r>
        <w:rPr>
          <w:rFonts w:hint="eastAsia" w:ascii="宋体" w:hAnsi="宋体" w:cs="宋体"/>
        </w:rPr>
        <w:fldChar w:fldCharType="separate"/>
      </w:r>
      <w:r>
        <w:rPr>
          <w:rFonts w:hint="eastAsia" w:ascii="宋体" w:hAnsi="宋体" w:cs="宋体"/>
        </w:rPr>
        <w:t>35</w:t>
      </w:r>
      <w:r>
        <w:rPr>
          <w:rFonts w:hint="eastAsia" w:ascii="宋体" w:hAnsi="宋体" w:cs="宋体"/>
        </w:rPr>
        <w:fldChar w:fldCharType="end"/>
      </w:r>
      <w:r>
        <w:rPr>
          <w:rFonts w:hint="eastAsia" w:ascii="宋体" w:hAnsi="宋体" w:cs="宋体"/>
        </w:rPr>
        <w:fldChar w:fldCharType="end"/>
      </w:r>
    </w:p>
    <w:p w14:paraId="3B148CF5">
      <w:pPr>
        <w:pStyle w:val="29"/>
        <w:rPr>
          <w:rFonts w:ascii="宋体" w:hAnsi="宋体" w:cs="宋体"/>
          <w:sz w:val="21"/>
          <w:szCs w:val="22"/>
        </w:rPr>
      </w:pPr>
      <w:r>
        <w:fldChar w:fldCharType="begin"/>
      </w:r>
      <w:r>
        <w:instrText xml:space="preserve"> HYPERLINK \l "_Toc2272556" </w:instrText>
      </w:r>
      <w:r>
        <w:fldChar w:fldCharType="separate"/>
      </w:r>
      <w:r>
        <w:rPr>
          <w:rStyle w:val="41"/>
          <w:rFonts w:hint="eastAsia" w:ascii="宋体" w:hAnsi="宋体" w:cs="宋体"/>
          <w:color w:val="auto"/>
        </w:rPr>
        <w:t>二、开标、评标及定标办法通用条款</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_Toc2272556 \h </w:instrText>
      </w:r>
      <w:r>
        <w:rPr>
          <w:rFonts w:hint="eastAsia" w:ascii="宋体" w:hAnsi="宋体" w:cs="宋体"/>
        </w:rPr>
        <w:fldChar w:fldCharType="separate"/>
      </w:r>
      <w:r>
        <w:rPr>
          <w:rFonts w:hint="eastAsia" w:ascii="宋体" w:hAnsi="宋体" w:cs="宋体"/>
        </w:rPr>
        <w:t>40</w:t>
      </w:r>
      <w:r>
        <w:rPr>
          <w:rFonts w:hint="eastAsia" w:ascii="宋体" w:hAnsi="宋体" w:cs="宋体"/>
        </w:rPr>
        <w:fldChar w:fldCharType="end"/>
      </w:r>
      <w:r>
        <w:rPr>
          <w:rFonts w:hint="eastAsia" w:ascii="宋体" w:hAnsi="宋体" w:cs="宋体"/>
        </w:rPr>
        <w:fldChar w:fldCharType="end"/>
      </w:r>
    </w:p>
    <w:p w14:paraId="0E3EEFC4">
      <w:pPr>
        <w:pStyle w:val="19"/>
        <w:tabs>
          <w:tab w:val="right" w:leader="dot" w:pos="9060"/>
        </w:tabs>
        <w:ind w:left="840"/>
        <w:rPr>
          <w:rFonts w:ascii="宋体" w:hAnsi="宋体" w:cs="宋体"/>
          <w:sz w:val="21"/>
          <w:szCs w:val="22"/>
        </w:rPr>
      </w:pPr>
      <w:r>
        <w:fldChar w:fldCharType="begin"/>
      </w:r>
      <w:r>
        <w:instrText xml:space="preserve"> HYPERLINK \l "_Toc2272557" </w:instrText>
      </w:r>
      <w:r>
        <w:fldChar w:fldCharType="separate"/>
      </w:r>
      <w:r>
        <w:rPr>
          <w:rStyle w:val="41"/>
          <w:rFonts w:hint="eastAsia" w:ascii="宋体" w:hAnsi="宋体" w:cs="宋体"/>
          <w:color w:val="auto"/>
        </w:rPr>
        <w:t>（一）总则</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_Toc2272557 \h </w:instrText>
      </w:r>
      <w:r>
        <w:rPr>
          <w:rFonts w:hint="eastAsia" w:ascii="宋体" w:hAnsi="宋体" w:cs="宋体"/>
        </w:rPr>
        <w:fldChar w:fldCharType="separate"/>
      </w:r>
      <w:r>
        <w:rPr>
          <w:rFonts w:hint="eastAsia" w:ascii="宋体" w:hAnsi="宋体" w:cs="宋体"/>
        </w:rPr>
        <w:t>40</w:t>
      </w:r>
      <w:r>
        <w:rPr>
          <w:rFonts w:hint="eastAsia" w:ascii="宋体" w:hAnsi="宋体" w:cs="宋体"/>
        </w:rPr>
        <w:fldChar w:fldCharType="end"/>
      </w:r>
      <w:r>
        <w:rPr>
          <w:rFonts w:hint="eastAsia" w:ascii="宋体" w:hAnsi="宋体" w:cs="宋体"/>
        </w:rPr>
        <w:fldChar w:fldCharType="end"/>
      </w:r>
    </w:p>
    <w:p w14:paraId="709C5A91">
      <w:pPr>
        <w:pStyle w:val="19"/>
        <w:tabs>
          <w:tab w:val="right" w:leader="dot" w:pos="9060"/>
        </w:tabs>
        <w:ind w:left="840"/>
        <w:rPr>
          <w:rFonts w:ascii="宋体" w:hAnsi="宋体" w:cs="宋体"/>
          <w:sz w:val="21"/>
          <w:szCs w:val="22"/>
        </w:rPr>
      </w:pPr>
      <w:r>
        <w:fldChar w:fldCharType="begin"/>
      </w:r>
      <w:r>
        <w:instrText xml:space="preserve"> HYPERLINK \l "_Toc2272558" </w:instrText>
      </w:r>
      <w:r>
        <w:fldChar w:fldCharType="separate"/>
      </w:r>
      <w:r>
        <w:rPr>
          <w:rStyle w:val="41"/>
          <w:rFonts w:hint="eastAsia" w:ascii="宋体" w:hAnsi="宋体" w:cs="宋体"/>
          <w:color w:val="auto"/>
        </w:rPr>
        <w:t>（二）开标评标办法程序和细则</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_Toc2272558 \h </w:instrText>
      </w:r>
      <w:r>
        <w:rPr>
          <w:rFonts w:hint="eastAsia" w:ascii="宋体" w:hAnsi="宋体" w:cs="宋体"/>
        </w:rPr>
        <w:fldChar w:fldCharType="separate"/>
      </w:r>
      <w:r>
        <w:rPr>
          <w:rFonts w:hint="eastAsia" w:ascii="宋体" w:hAnsi="宋体" w:cs="宋体"/>
        </w:rPr>
        <w:t>43</w:t>
      </w:r>
      <w:r>
        <w:rPr>
          <w:rFonts w:hint="eastAsia" w:ascii="宋体" w:hAnsi="宋体" w:cs="宋体"/>
        </w:rPr>
        <w:fldChar w:fldCharType="end"/>
      </w:r>
      <w:r>
        <w:rPr>
          <w:rFonts w:hint="eastAsia" w:ascii="宋体" w:hAnsi="宋体" w:cs="宋体"/>
        </w:rPr>
        <w:fldChar w:fldCharType="end"/>
      </w:r>
    </w:p>
    <w:p w14:paraId="2CCF82BF">
      <w:pPr>
        <w:pStyle w:val="19"/>
        <w:tabs>
          <w:tab w:val="right" w:leader="dot" w:pos="9060"/>
        </w:tabs>
        <w:ind w:left="840"/>
        <w:rPr>
          <w:rFonts w:ascii="宋体" w:hAnsi="宋体" w:cs="宋体"/>
          <w:sz w:val="21"/>
          <w:szCs w:val="22"/>
        </w:rPr>
      </w:pPr>
      <w:r>
        <w:fldChar w:fldCharType="begin"/>
      </w:r>
      <w:r>
        <w:instrText xml:space="preserve"> HYPERLINK \l "_Toc2272564" </w:instrText>
      </w:r>
      <w:r>
        <w:fldChar w:fldCharType="separate"/>
      </w:r>
      <w:r>
        <w:rPr>
          <w:rStyle w:val="41"/>
          <w:rFonts w:hint="eastAsia" w:ascii="宋体" w:hAnsi="宋体" w:cs="宋体"/>
          <w:color w:val="auto"/>
        </w:rPr>
        <w:t>可选办法七（适合综合评分法四，技术标与经济标同时开启）</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_Toc2272564 \h </w:instrText>
      </w:r>
      <w:r>
        <w:rPr>
          <w:rFonts w:hint="eastAsia" w:ascii="宋体" w:hAnsi="宋体" w:cs="宋体"/>
        </w:rPr>
        <w:fldChar w:fldCharType="separate"/>
      </w:r>
      <w:r>
        <w:rPr>
          <w:rFonts w:hint="eastAsia" w:ascii="宋体" w:hAnsi="宋体" w:cs="宋体"/>
        </w:rPr>
        <w:t>43</w:t>
      </w:r>
      <w:r>
        <w:rPr>
          <w:rFonts w:hint="eastAsia" w:ascii="宋体" w:hAnsi="宋体" w:cs="宋体"/>
        </w:rPr>
        <w:fldChar w:fldCharType="end"/>
      </w:r>
      <w:r>
        <w:rPr>
          <w:rFonts w:hint="eastAsia" w:ascii="宋体" w:hAnsi="宋体" w:cs="宋体"/>
        </w:rPr>
        <w:fldChar w:fldCharType="end"/>
      </w:r>
    </w:p>
    <w:p w14:paraId="2D222536">
      <w:pPr>
        <w:pStyle w:val="26"/>
        <w:rPr>
          <w:rFonts w:cs="宋体"/>
          <w:caps w:val="0"/>
          <w:kern w:val="2"/>
          <w:sz w:val="21"/>
          <w:szCs w:val="22"/>
        </w:rPr>
      </w:pPr>
      <w:r>
        <w:fldChar w:fldCharType="begin"/>
      </w:r>
      <w:r>
        <w:instrText xml:space="preserve"> HYPERLINK \l "_Toc2272566" </w:instrText>
      </w:r>
      <w:r>
        <w:fldChar w:fldCharType="separate"/>
      </w:r>
      <w:r>
        <w:rPr>
          <w:rStyle w:val="41"/>
          <w:rFonts w:hint="eastAsia" w:cs="宋体"/>
          <w:color w:val="auto"/>
        </w:rPr>
        <w:t>第三章  合同条款</w:t>
      </w:r>
      <w:r>
        <w:rPr>
          <w:rFonts w:hint="eastAsia" w:cs="宋体"/>
        </w:rPr>
        <w:tab/>
      </w:r>
      <w:r>
        <w:rPr>
          <w:rFonts w:hint="eastAsia" w:cs="宋体"/>
        </w:rPr>
        <w:fldChar w:fldCharType="begin"/>
      </w:r>
      <w:r>
        <w:rPr>
          <w:rFonts w:hint="eastAsia" w:cs="宋体"/>
        </w:rPr>
        <w:instrText xml:space="preserve"> PAGEREF _Toc2272566 \h </w:instrText>
      </w:r>
      <w:r>
        <w:rPr>
          <w:rFonts w:hint="eastAsia" w:cs="宋体"/>
        </w:rPr>
        <w:fldChar w:fldCharType="separate"/>
      </w:r>
      <w:r>
        <w:rPr>
          <w:rFonts w:hint="eastAsia" w:cs="宋体"/>
        </w:rPr>
        <w:t>65</w:t>
      </w:r>
      <w:r>
        <w:rPr>
          <w:rFonts w:hint="eastAsia" w:cs="宋体"/>
        </w:rPr>
        <w:fldChar w:fldCharType="end"/>
      </w:r>
      <w:r>
        <w:rPr>
          <w:rFonts w:hint="eastAsia" w:cs="宋体"/>
        </w:rPr>
        <w:fldChar w:fldCharType="end"/>
      </w:r>
    </w:p>
    <w:p w14:paraId="669C4500">
      <w:pPr>
        <w:pStyle w:val="26"/>
        <w:rPr>
          <w:rFonts w:cs="宋体"/>
          <w:caps w:val="0"/>
          <w:kern w:val="2"/>
          <w:sz w:val="21"/>
          <w:szCs w:val="22"/>
        </w:rPr>
      </w:pPr>
      <w:r>
        <w:fldChar w:fldCharType="begin"/>
      </w:r>
      <w:r>
        <w:instrText xml:space="preserve"> HYPERLINK \l "_Toc2272567" </w:instrText>
      </w:r>
      <w:r>
        <w:fldChar w:fldCharType="separate"/>
      </w:r>
      <w:r>
        <w:rPr>
          <w:rStyle w:val="41"/>
          <w:rFonts w:hint="eastAsia" w:cs="宋体"/>
          <w:color w:val="auto"/>
        </w:rPr>
        <w:t>第四章  投标文件格式</w:t>
      </w:r>
      <w:r>
        <w:rPr>
          <w:rFonts w:hint="eastAsia" w:cs="宋体"/>
        </w:rPr>
        <w:tab/>
      </w:r>
      <w:r>
        <w:rPr>
          <w:rFonts w:hint="eastAsia" w:cs="宋体"/>
        </w:rPr>
        <w:fldChar w:fldCharType="begin"/>
      </w:r>
      <w:r>
        <w:rPr>
          <w:rFonts w:hint="eastAsia" w:cs="宋体"/>
        </w:rPr>
        <w:instrText xml:space="preserve"> PAGEREF _Toc2272567 \h </w:instrText>
      </w:r>
      <w:r>
        <w:rPr>
          <w:rFonts w:hint="eastAsia" w:cs="宋体"/>
        </w:rPr>
        <w:fldChar w:fldCharType="separate"/>
      </w:r>
      <w:r>
        <w:rPr>
          <w:rFonts w:hint="eastAsia" w:cs="宋体"/>
        </w:rPr>
        <w:t>66</w:t>
      </w:r>
      <w:r>
        <w:rPr>
          <w:rFonts w:hint="eastAsia" w:cs="宋体"/>
        </w:rPr>
        <w:fldChar w:fldCharType="end"/>
      </w:r>
      <w:r>
        <w:rPr>
          <w:rFonts w:hint="eastAsia" w:cs="宋体"/>
        </w:rPr>
        <w:fldChar w:fldCharType="end"/>
      </w:r>
    </w:p>
    <w:p w14:paraId="296D9FBE">
      <w:pPr>
        <w:pStyle w:val="26"/>
        <w:rPr>
          <w:rFonts w:cs="宋体"/>
          <w:caps w:val="0"/>
          <w:kern w:val="2"/>
          <w:sz w:val="21"/>
          <w:szCs w:val="22"/>
        </w:rPr>
      </w:pPr>
      <w:r>
        <w:fldChar w:fldCharType="begin"/>
      </w:r>
      <w:r>
        <w:instrText xml:space="preserve"> HYPERLINK \l "_Toc2272568" </w:instrText>
      </w:r>
      <w:r>
        <w:fldChar w:fldCharType="separate"/>
      </w:r>
      <w:r>
        <w:rPr>
          <w:rStyle w:val="41"/>
          <w:rFonts w:hint="eastAsia" w:cs="宋体"/>
          <w:color w:val="auto"/>
        </w:rPr>
        <w:t>第五章  技术条件（工程建设标准）</w:t>
      </w:r>
      <w:r>
        <w:rPr>
          <w:rFonts w:hint="eastAsia" w:cs="宋体"/>
        </w:rPr>
        <w:tab/>
      </w:r>
      <w:r>
        <w:rPr>
          <w:rFonts w:hint="eastAsia" w:cs="宋体"/>
        </w:rPr>
        <w:fldChar w:fldCharType="begin"/>
      </w:r>
      <w:r>
        <w:rPr>
          <w:rFonts w:hint="eastAsia" w:cs="宋体"/>
        </w:rPr>
        <w:instrText xml:space="preserve"> PAGEREF _Toc2272568 \h </w:instrText>
      </w:r>
      <w:r>
        <w:rPr>
          <w:rFonts w:hint="eastAsia" w:cs="宋体"/>
        </w:rPr>
        <w:fldChar w:fldCharType="separate"/>
      </w:r>
      <w:r>
        <w:rPr>
          <w:rFonts w:hint="eastAsia" w:cs="宋体"/>
        </w:rPr>
        <w:t>81</w:t>
      </w:r>
      <w:r>
        <w:rPr>
          <w:rFonts w:hint="eastAsia" w:cs="宋体"/>
        </w:rPr>
        <w:fldChar w:fldCharType="end"/>
      </w:r>
      <w:r>
        <w:rPr>
          <w:rFonts w:hint="eastAsia" w:cs="宋体"/>
        </w:rPr>
        <w:fldChar w:fldCharType="end"/>
      </w:r>
    </w:p>
    <w:p w14:paraId="70A1E455">
      <w:pPr>
        <w:pStyle w:val="26"/>
        <w:rPr>
          <w:rFonts w:cs="宋体"/>
          <w:caps w:val="0"/>
          <w:kern w:val="2"/>
          <w:sz w:val="21"/>
          <w:szCs w:val="22"/>
        </w:rPr>
      </w:pPr>
      <w:r>
        <w:fldChar w:fldCharType="begin"/>
      </w:r>
      <w:r>
        <w:instrText xml:space="preserve"> HYPERLINK \l "_Toc2272569" </w:instrText>
      </w:r>
      <w:r>
        <w:fldChar w:fldCharType="separate"/>
      </w:r>
      <w:r>
        <w:rPr>
          <w:rStyle w:val="41"/>
          <w:rFonts w:hint="eastAsia" w:cs="宋体"/>
          <w:color w:val="auto"/>
        </w:rPr>
        <w:t>第六章  图纸资料</w:t>
      </w:r>
      <w:r>
        <w:rPr>
          <w:rFonts w:hint="eastAsia" w:cs="宋体"/>
        </w:rPr>
        <w:tab/>
      </w:r>
      <w:r>
        <w:rPr>
          <w:rFonts w:hint="eastAsia" w:cs="宋体"/>
        </w:rPr>
        <w:fldChar w:fldCharType="begin"/>
      </w:r>
      <w:r>
        <w:rPr>
          <w:rFonts w:hint="eastAsia" w:cs="宋体"/>
        </w:rPr>
        <w:instrText xml:space="preserve"> PAGEREF _Toc2272569 \h </w:instrText>
      </w:r>
      <w:r>
        <w:rPr>
          <w:rFonts w:hint="eastAsia" w:cs="宋体"/>
        </w:rPr>
        <w:fldChar w:fldCharType="separate"/>
      </w:r>
      <w:r>
        <w:rPr>
          <w:rFonts w:hint="eastAsia" w:cs="宋体"/>
        </w:rPr>
        <w:t>87</w:t>
      </w:r>
      <w:r>
        <w:rPr>
          <w:rFonts w:hint="eastAsia" w:cs="宋体"/>
        </w:rPr>
        <w:fldChar w:fldCharType="end"/>
      </w:r>
      <w:r>
        <w:rPr>
          <w:rFonts w:hint="eastAsia" w:cs="宋体"/>
        </w:rPr>
        <w:fldChar w:fldCharType="end"/>
      </w:r>
    </w:p>
    <w:p w14:paraId="324B1E7B">
      <w:pPr>
        <w:pStyle w:val="26"/>
        <w:rPr>
          <w:rFonts w:cs="宋体"/>
          <w:caps w:val="0"/>
          <w:kern w:val="2"/>
          <w:sz w:val="21"/>
          <w:szCs w:val="22"/>
        </w:rPr>
      </w:pPr>
      <w:r>
        <w:fldChar w:fldCharType="begin"/>
      </w:r>
      <w:r>
        <w:instrText xml:space="preserve"> HYPERLINK \l "_Toc2272570" </w:instrText>
      </w:r>
      <w:r>
        <w:fldChar w:fldCharType="separate"/>
      </w:r>
      <w:r>
        <w:rPr>
          <w:rStyle w:val="41"/>
          <w:rFonts w:hint="eastAsia" w:cs="宋体"/>
          <w:color w:val="auto"/>
        </w:rPr>
        <w:t>第七章  工程量清单</w:t>
      </w:r>
      <w:r>
        <w:rPr>
          <w:rFonts w:hint="eastAsia" w:cs="宋体"/>
        </w:rPr>
        <w:tab/>
      </w:r>
      <w:r>
        <w:rPr>
          <w:rFonts w:hint="eastAsia" w:cs="宋体"/>
        </w:rPr>
        <w:fldChar w:fldCharType="begin"/>
      </w:r>
      <w:r>
        <w:rPr>
          <w:rFonts w:hint="eastAsia" w:cs="宋体"/>
        </w:rPr>
        <w:instrText xml:space="preserve"> PAGEREF _Toc2272570 \h </w:instrText>
      </w:r>
      <w:r>
        <w:rPr>
          <w:rFonts w:hint="eastAsia" w:cs="宋体"/>
        </w:rPr>
        <w:fldChar w:fldCharType="separate"/>
      </w:r>
      <w:r>
        <w:rPr>
          <w:rFonts w:hint="eastAsia" w:cs="宋体"/>
        </w:rPr>
        <w:t>88</w:t>
      </w:r>
      <w:r>
        <w:rPr>
          <w:rFonts w:hint="eastAsia" w:cs="宋体"/>
        </w:rPr>
        <w:fldChar w:fldCharType="end"/>
      </w:r>
      <w:r>
        <w:rPr>
          <w:rFonts w:hint="eastAsia" w:cs="宋体"/>
        </w:rPr>
        <w:fldChar w:fldCharType="end"/>
      </w:r>
    </w:p>
    <w:p w14:paraId="2BF4654A">
      <w:pPr>
        <w:pStyle w:val="26"/>
        <w:rPr>
          <w:rFonts w:cs="宋体"/>
          <w:caps w:val="0"/>
          <w:kern w:val="2"/>
          <w:sz w:val="21"/>
          <w:szCs w:val="22"/>
        </w:rPr>
      </w:pPr>
      <w:r>
        <w:fldChar w:fldCharType="begin"/>
      </w:r>
      <w:r>
        <w:instrText xml:space="preserve"> HYPERLINK \l "_Toc2272571" </w:instrText>
      </w:r>
      <w:r>
        <w:fldChar w:fldCharType="separate"/>
      </w:r>
      <w:r>
        <w:rPr>
          <w:rStyle w:val="41"/>
          <w:rFonts w:hint="eastAsia" w:cs="宋体"/>
          <w:color w:val="auto"/>
        </w:rPr>
        <w:t>第八章  最高投标限价</w:t>
      </w:r>
      <w:r>
        <w:rPr>
          <w:rFonts w:hint="eastAsia" w:cs="宋体"/>
        </w:rPr>
        <w:tab/>
      </w:r>
      <w:r>
        <w:rPr>
          <w:rFonts w:hint="eastAsia" w:cs="宋体"/>
        </w:rPr>
        <w:fldChar w:fldCharType="begin"/>
      </w:r>
      <w:r>
        <w:rPr>
          <w:rFonts w:hint="eastAsia" w:cs="宋体"/>
        </w:rPr>
        <w:instrText xml:space="preserve"> PAGEREF _Toc2272571 \h </w:instrText>
      </w:r>
      <w:r>
        <w:rPr>
          <w:rFonts w:hint="eastAsia" w:cs="宋体"/>
        </w:rPr>
        <w:fldChar w:fldCharType="separate"/>
      </w:r>
      <w:r>
        <w:rPr>
          <w:rFonts w:hint="eastAsia" w:cs="宋体"/>
        </w:rPr>
        <w:t>89</w:t>
      </w:r>
      <w:r>
        <w:rPr>
          <w:rFonts w:hint="eastAsia" w:cs="宋体"/>
        </w:rPr>
        <w:fldChar w:fldCharType="end"/>
      </w:r>
      <w:r>
        <w:rPr>
          <w:rFonts w:hint="eastAsia" w:cs="宋体"/>
        </w:rPr>
        <w:fldChar w:fldCharType="end"/>
      </w:r>
    </w:p>
    <w:p w14:paraId="4ED2A26D">
      <w:pPr>
        <w:widowControl/>
        <w:jc w:val="left"/>
        <w:rPr>
          <w:rFonts w:ascii="Arial" w:hAnsi="Arial"/>
          <w:b/>
          <w:kern w:val="44"/>
          <w:sz w:val="28"/>
          <w:szCs w:val="28"/>
        </w:rPr>
      </w:pPr>
      <w:r>
        <w:br w:type="page"/>
      </w:r>
    </w:p>
    <w:p w14:paraId="658454F5">
      <w:pPr>
        <w:pStyle w:val="3"/>
        <w:tabs>
          <w:tab w:val="center" w:pos="4535"/>
          <w:tab w:val="left" w:pos="6825"/>
        </w:tabs>
      </w:pPr>
      <w:r>
        <w:tab/>
      </w:r>
      <w:r>
        <w:fldChar w:fldCharType="end"/>
      </w:r>
      <w:bookmarkStart w:id="0" w:name="_Toc2272545"/>
      <w:r>
        <w:rPr>
          <w:rFonts w:hint="eastAsia"/>
        </w:rPr>
        <w:t>第一章</w:t>
      </w:r>
      <w:r>
        <w:t xml:space="preserve">  </w:t>
      </w:r>
      <w:r>
        <w:rPr>
          <w:rFonts w:hint="eastAsia"/>
        </w:rPr>
        <w:t>投标须知</w:t>
      </w:r>
      <w:bookmarkEnd w:id="0"/>
    </w:p>
    <w:p w14:paraId="0A925544">
      <w:pPr>
        <w:pStyle w:val="7"/>
        <w:rPr>
          <w:color w:val="auto"/>
        </w:rPr>
      </w:pPr>
      <w:bookmarkStart w:id="1" w:name="_Toc2272546"/>
      <w:r>
        <w:rPr>
          <w:rFonts w:hint="eastAsia"/>
          <w:color w:val="auto"/>
        </w:rPr>
        <w:t>一、投标须知前附表</w:t>
      </w:r>
      <w:bookmarkEnd w:id="1"/>
    </w:p>
    <w:p w14:paraId="7B1698F7">
      <w:pPr>
        <w:pStyle w:val="10"/>
        <w:spacing w:line="360" w:lineRule="auto"/>
        <w:ind w:firstLine="0"/>
        <w:rPr>
          <w:rFonts w:ascii="宋体" w:hAnsi="宋体"/>
          <w:b/>
          <w:sz w:val="24"/>
          <w:szCs w:val="24"/>
        </w:rPr>
      </w:pPr>
      <w:r>
        <w:rPr>
          <w:rFonts w:hint="eastAsia" w:ascii="宋体" w:hAnsi="宋体"/>
          <w:b/>
          <w:sz w:val="24"/>
          <w:szCs w:val="24"/>
        </w:rPr>
        <w:t>声明：本投标须知前附表使用GZZB2018-3招标文件范本，与范本不同之处均以下划线标明，所有标明下划线部分属于本表的组成部分，同其他部分具有同样的效力。对范本《投标须知通用条款》和《开标、评标和定标办法通用条款》可选择部分的选择使用，均已在本表中注明，通用条款可选择部分中未被本投标须知前附表选择的部分无效。</w:t>
      </w:r>
    </w:p>
    <w:tbl>
      <w:tblPr>
        <w:tblStyle w:val="34"/>
        <w:tblW w:w="9350" w:type="dxa"/>
        <w:tblInd w:w="125"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shd w:val="clear" w:color="auto" w:fill="FFFFFF" w:themeFill="background1"/>
        <w:tblLayout w:type="fixed"/>
        <w:tblCellMar>
          <w:top w:w="0" w:type="dxa"/>
          <w:left w:w="108" w:type="dxa"/>
          <w:bottom w:w="0" w:type="dxa"/>
          <w:right w:w="108" w:type="dxa"/>
        </w:tblCellMar>
      </w:tblPr>
      <w:tblGrid>
        <w:gridCol w:w="702"/>
        <w:gridCol w:w="981"/>
        <w:gridCol w:w="1810"/>
        <w:gridCol w:w="5857"/>
      </w:tblGrid>
      <w:tr w14:paraId="6BE44F4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blHeader/>
        </w:trPr>
        <w:tc>
          <w:tcPr>
            <w:tcW w:w="702" w:type="dxa"/>
            <w:tcBorders>
              <w:top w:val="double" w:color="auto" w:sz="4" w:space="0"/>
              <w:left w:val="double" w:color="auto" w:sz="4" w:space="0"/>
              <w:bottom w:val="single" w:color="auto" w:sz="4" w:space="0"/>
              <w:right w:val="single" w:color="auto" w:sz="4" w:space="0"/>
            </w:tcBorders>
            <w:shd w:val="clear" w:color="auto" w:fill="FFFFFF" w:themeFill="background1"/>
            <w:vAlign w:val="center"/>
          </w:tcPr>
          <w:p w14:paraId="7F9A28DD">
            <w:pPr>
              <w:rPr>
                <w:rFonts w:ascii="宋体" w:hAnsi="宋体"/>
                <w:szCs w:val="21"/>
              </w:rPr>
            </w:pPr>
            <w:r>
              <w:rPr>
                <w:rFonts w:hint="eastAsia" w:ascii="宋体" w:hAnsi="宋体"/>
                <w:szCs w:val="21"/>
              </w:rPr>
              <w:t>项目</w:t>
            </w:r>
          </w:p>
        </w:tc>
        <w:tc>
          <w:tcPr>
            <w:tcW w:w="981" w:type="dxa"/>
            <w:tcBorders>
              <w:top w:val="double" w:color="auto" w:sz="4" w:space="0"/>
              <w:left w:val="single" w:color="auto" w:sz="4" w:space="0"/>
              <w:bottom w:val="single" w:color="auto" w:sz="4" w:space="0"/>
              <w:right w:val="single" w:color="auto" w:sz="4" w:space="0"/>
            </w:tcBorders>
            <w:shd w:val="clear" w:color="auto" w:fill="FFFFFF" w:themeFill="background1"/>
            <w:vAlign w:val="center"/>
          </w:tcPr>
          <w:p w14:paraId="71F7F8D1">
            <w:pPr>
              <w:rPr>
                <w:rFonts w:ascii="宋体" w:hAnsi="宋体"/>
                <w:szCs w:val="21"/>
              </w:rPr>
            </w:pPr>
            <w:r>
              <w:rPr>
                <w:rFonts w:hint="eastAsia" w:ascii="宋体" w:hAnsi="宋体"/>
                <w:szCs w:val="21"/>
              </w:rPr>
              <w:t>条款号</w:t>
            </w:r>
          </w:p>
        </w:tc>
        <w:tc>
          <w:tcPr>
            <w:tcW w:w="1810" w:type="dxa"/>
            <w:tcBorders>
              <w:top w:val="double" w:color="auto" w:sz="4" w:space="0"/>
              <w:left w:val="single" w:color="auto" w:sz="4" w:space="0"/>
              <w:bottom w:val="single" w:color="auto" w:sz="4" w:space="0"/>
              <w:right w:val="single" w:color="auto" w:sz="4" w:space="0"/>
            </w:tcBorders>
            <w:shd w:val="clear" w:color="auto" w:fill="FFFFFF" w:themeFill="background1"/>
            <w:vAlign w:val="center"/>
          </w:tcPr>
          <w:p w14:paraId="1403228A">
            <w:pPr>
              <w:ind w:firstLine="458"/>
              <w:rPr>
                <w:rFonts w:ascii="宋体" w:hAnsi="宋体"/>
                <w:szCs w:val="21"/>
              </w:rPr>
            </w:pPr>
            <w:r>
              <w:rPr>
                <w:rFonts w:hint="eastAsia" w:ascii="宋体" w:hAnsi="宋体"/>
                <w:szCs w:val="21"/>
              </w:rPr>
              <w:t>内容</w:t>
            </w:r>
          </w:p>
        </w:tc>
        <w:tc>
          <w:tcPr>
            <w:tcW w:w="5857" w:type="dxa"/>
            <w:tcBorders>
              <w:top w:val="double" w:color="auto" w:sz="4" w:space="0"/>
              <w:left w:val="single" w:color="auto" w:sz="4" w:space="0"/>
              <w:bottom w:val="single" w:color="auto" w:sz="4" w:space="0"/>
              <w:right w:val="double" w:color="auto" w:sz="4" w:space="0"/>
            </w:tcBorders>
            <w:shd w:val="clear" w:color="auto" w:fill="FFFFFF" w:themeFill="background1"/>
            <w:vAlign w:val="center"/>
          </w:tcPr>
          <w:p w14:paraId="61899147">
            <w:pPr>
              <w:pStyle w:val="20"/>
              <w:ind w:firstLine="458"/>
              <w:jc w:val="center"/>
              <w:rPr>
                <w:rFonts w:ascii="宋体" w:hAnsi="宋体"/>
                <w:szCs w:val="21"/>
              </w:rPr>
            </w:pPr>
            <w:r>
              <w:rPr>
                <w:rFonts w:hint="eastAsia" w:ascii="宋体" w:hAnsi="宋体"/>
                <w:szCs w:val="21"/>
              </w:rPr>
              <w:t>说明与要求</w:t>
            </w:r>
          </w:p>
        </w:tc>
      </w:tr>
      <w:tr w14:paraId="440F805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702" w:type="dxa"/>
            <w:tcBorders>
              <w:top w:val="single" w:color="auto" w:sz="4" w:space="0"/>
              <w:left w:val="double" w:color="auto" w:sz="4" w:space="0"/>
              <w:bottom w:val="single" w:color="auto" w:sz="4" w:space="0"/>
              <w:right w:val="single" w:color="auto" w:sz="4" w:space="0"/>
            </w:tcBorders>
            <w:shd w:val="clear" w:color="auto" w:fill="FFFFFF" w:themeFill="background1"/>
            <w:vAlign w:val="center"/>
          </w:tcPr>
          <w:p w14:paraId="20528DA1">
            <w:pPr>
              <w:rPr>
                <w:rFonts w:ascii="宋体" w:hAnsi="宋体"/>
                <w:szCs w:val="21"/>
              </w:rPr>
            </w:pPr>
            <w:r>
              <w:rPr>
                <w:rFonts w:ascii="宋体" w:hAnsi="宋体"/>
                <w:szCs w:val="21"/>
              </w:rPr>
              <w:t>1</w:t>
            </w:r>
          </w:p>
        </w:tc>
        <w:tc>
          <w:tcPr>
            <w:tcW w:w="981"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77D90687">
            <w:pPr>
              <w:rPr>
                <w:rFonts w:ascii="宋体" w:hAnsi="宋体"/>
                <w:szCs w:val="21"/>
              </w:rPr>
            </w:pPr>
            <w:r>
              <w:rPr>
                <w:rFonts w:ascii="宋体" w:hAnsi="宋体"/>
                <w:szCs w:val="21"/>
              </w:rPr>
              <w:t>1</w:t>
            </w:r>
          </w:p>
        </w:tc>
        <w:tc>
          <w:tcPr>
            <w:tcW w:w="181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50B44A8B">
            <w:pPr>
              <w:rPr>
                <w:rFonts w:ascii="宋体" w:hAnsi="宋体"/>
                <w:szCs w:val="21"/>
              </w:rPr>
            </w:pPr>
            <w:r>
              <w:rPr>
                <w:rFonts w:hint="eastAsia" w:ascii="宋体" w:hAnsi="宋体"/>
                <w:szCs w:val="21"/>
              </w:rPr>
              <w:t>定义</w:t>
            </w:r>
          </w:p>
        </w:tc>
        <w:tc>
          <w:tcPr>
            <w:tcW w:w="5857" w:type="dxa"/>
            <w:tcBorders>
              <w:top w:val="single" w:color="auto" w:sz="4" w:space="0"/>
              <w:left w:val="single" w:color="auto" w:sz="4" w:space="0"/>
              <w:bottom w:val="single" w:color="auto" w:sz="4" w:space="0"/>
              <w:right w:val="double" w:color="auto" w:sz="4" w:space="0"/>
            </w:tcBorders>
            <w:shd w:val="clear" w:color="auto" w:fill="FFFFFF" w:themeFill="background1"/>
            <w:vAlign w:val="center"/>
          </w:tcPr>
          <w:p w14:paraId="6E113A43">
            <w:pPr>
              <w:rPr>
                <w:rFonts w:ascii="宋体" w:hAnsi="宋体"/>
                <w:szCs w:val="21"/>
              </w:rPr>
            </w:pPr>
            <w:r>
              <w:rPr>
                <w:rFonts w:hint="eastAsia" w:ascii="宋体" w:hAnsi="宋体"/>
                <w:szCs w:val="21"/>
              </w:rPr>
              <w:t>招标人（即发包人）：</w:t>
            </w:r>
            <w:r>
              <w:rPr>
                <w:rFonts w:hint="eastAsia" w:ascii="宋体" w:hAnsi="宋体"/>
                <w:szCs w:val="21"/>
                <w:u w:val="single"/>
              </w:rPr>
              <w:t>广东中烟工业有限责任公司</w:t>
            </w:r>
          </w:p>
          <w:p w14:paraId="6C04DEFD">
            <w:pPr>
              <w:rPr>
                <w:rFonts w:ascii="宋体" w:hAnsi="宋体"/>
                <w:szCs w:val="21"/>
              </w:rPr>
            </w:pPr>
            <w:r>
              <w:rPr>
                <w:rFonts w:hint="eastAsia" w:ascii="宋体" w:hAnsi="宋体"/>
                <w:szCs w:val="21"/>
              </w:rPr>
              <w:t>项目建设管理单位：</w:t>
            </w:r>
            <w:r>
              <w:rPr>
                <w:rFonts w:hint="eastAsia" w:ascii="宋体" w:hAnsi="宋体"/>
                <w:szCs w:val="21"/>
                <w:u w:val="single"/>
              </w:rPr>
              <w:t>广东中烟工业有限责任公司</w:t>
            </w:r>
          </w:p>
          <w:p w14:paraId="5E7B9245">
            <w:pPr>
              <w:rPr>
                <w:rFonts w:ascii="宋体" w:hAnsi="宋体"/>
                <w:szCs w:val="21"/>
              </w:rPr>
            </w:pPr>
            <w:r>
              <w:rPr>
                <w:rFonts w:hint="eastAsia" w:ascii="宋体" w:hAnsi="宋体"/>
                <w:szCs w:val="21"/>
              </w:rPr>
              <w:t>招标代理：</w:t>
            </w:r>
            <w:r>
              <w:rPr>
                <w:rFonts w:hint="eastAsia" w:ascii="宋体" w:hAnsi="宋体"/>
                <w:szCs w:val="21"/>
                <w:u w:val="single"/>
              </w:rPr>
              <w:t>广东省机电设备招标中心有限公司</w:t>
            </w:r>
          </w:p>
          <w:p w14:paraId="6DF3C52A">
            <w:pPr>
              <w:rPr>
                <w:rFonts w:ascii="宋体" w:hAnsi="宋体"/>
                <w:szCs w:val="21"/>
                <w:u w:val="single"/>
              </w:rPr>
            </w:pPr>
            <w:r>
              <w:rPr>
                <w:rFonts w:hint="eastAsia" w:ascii="宋体" w:hAnsi="宋体"/>
                <w:szCs w:val="21"/>
              </w:rPr>
              <w:t>设计单位：</w:t>
            </w:r>
            <w:r>
              <w:rPr>
                <w:rFonts w:hint="eastAsia" w:ascii="宋体" w:hAnsi="宋体"/>
                <w:szCs w:val="21"/>
                <w:u w:val="single"/>
              </w:rPr>
              <w:t>中联合创设计有限公司</w:t>
            </w:r>
          </w:p>
          <w:p w14:paraId="628A1B7E">
            <w:pPr>
              <w:rPr>
                <w:rFonts w:ascii="宋体" w:hAnsi="宋体"/>
                <w:szCs w:val="21"/>
                <w:u w:val="single"/>
              </w:rPr>
            </w:pPr>
            <w:r>
              <w:rPr>
                <w:rFonts w:hint="eastAsia" w:ascii="宋体" w:hAnsi="宋体"/>
                <w:szCs w:val="21"/>
              </w:rPr>
              <w:t>监理单位：</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p>
          <w:p w14:paraId="51CAB64B">
            <w:pPr>
              <w:rPr>
                <w:rFonts w:ascii="宋体" w:hAnsi="宋体"/>
                <w:szCs w:val="21"/>
              </w:rPr>
            </w:pPr>
            <w:r>
              <w:rPr>
                <w:rFonts w:hint="eastAsia" w:ascii="宋体" w:hAnsi="宋体"/>
                <w:szCs w:val="21"/>
              </w:rPr>
              <w:t>检测机构：</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p>
        </w:tc>
      </w:tr>
      <w:tr w14:paraId="6BD35FB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702" w:type="dxa"/>
            <w:tcBorders>
              <w:top w:val="single" w:color="auto" w:sz="4" w:space="0"/>
              <w:left w:val="double" w:color="auto" w:sz="4" w:space="0"/>
              <w:bottom w:val="single" w:color="auto" w:sz="4" w:space="0"/>
              <w:right w:val="single" w:color="auto" w:sz="4" w:space="0"/>
            </w:tcBorders>
            <w:shd w:val="clear" w:color="auto" w:fill="FFFFFF" w:themeFill="background1"/>
            <w:vAlign w:val="center"/>
          </w:tcPr>
          <w:p w14:paraId="7CDB70A8">
            <w:pPr>
              <w:rPr>
                <w:rFonts w:ascii="宋体" w:hAnsi="宋体"/>
                <w:szCs w:val="21"/>
              </w:rPr>
            </w:pPr>
            <w:r>
              <w:rPr>
                <w:rFonts w:ascii="宋体" w:hAnsi="宋体"/>
                <w:szCs w:val="21"/>
              </w:rPr>
              <w:t>2</w:t>
            </w:r>
          </w:p>
        </w:tc>
        <w:tc>
          <w:tcPr>
            <w:tcW w:w="981"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0A471040">
            <w:pPr>
              <w:rPr>
                <w:rFonts w:ascii="宋体" w:hAnsi="宋体"/>
                <w:szCs w:val="21"/>
              </w:rPr>
            </w:pPr>
            <w:r>
              <w:rPr>
                <w:rFonts w:ascii="宋体" w:hAnsi="宋体"/>
                <w:szCs w:val="21"/>
              </w:rPr>
              <w:t>2.2</w:t>
            </w:r>
          </w:p>
        </w:tc>
        <w:tc>
          <w:tcPr>
            <w:tcW w:w="181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42159361">
            <w:pPr>
              <w:rPr>
                <w:rFonts w:ascii="宋体" w:hAnsi="宋体"/>
                <w:szCs w:val="21"/>
              </w:rPr>
            </w:pPr>
            <w:r>
              <w:rPr>
                <w:rFonts w:hint="eastAsia" w:ascii="宋体" w:hAnsi="宋体"/>
                <w:szCs w:val="21"/>
              </w:rPr>
              <w:t>工程名称</w:t>
            </w:r>
          </w:p>
        </w:tc>
        <w:tc>
          <w:tcPr>
            <w:tcW w:w="5857" w:type="dxa"/>
            <w:tcBorders>
              <w:top w:val="single" w:color="auto" w:sz="4" w:space="0"/>
              <w:left w:val="single" w:color="auto" w:sz="4" w:space="0"/>
              <w:bottom w:val="single" w:color="auto" w:sz="4" w:space="0"/>
              <w:right w:val="double" w:color="auto" w:sz="4" w:space="0"/>
            </w:tcBorders>
            <w:shd w:val="clear" w:color="auto" w:fill="FFFFFF" w:themeFill="background1"/>
            <w:vAlign w:val="center"/>
          </w:tcPr>
          <w:p w14:paraId="460613DB">
            <w:pPr>
              <w:rPr>
                <w:rFonts w:ascii="宋体" w:hAnsi="宋体"/>
                <w:szCs w:val="21"/>
                <w:u w:val="single"/>
              </w:rPr>
            </w:pPr>
            <w:r>
              <w:rPr>
                <w:rFonts w:hint="eastAsia" w:ascii="宋体" w:hAnsi="宋体"/>
                <w:szCs w:val="21"/>
                <w:u w:val="single"/>
              </w:rPr>
              <w:t>广州卷烟厂石马仓库基建维修改造工程项目施工总承包</w:t>
            </w:r>
          </w:p>
        </w:tc>
      </w:tr>
      <w:tr w14:paraId="571D717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702" w:type="dxa"/>
            <w:tcBorders>
              <w:top w:val="single" w:color="auto" w:sz="4" w:space="0"/>
              <w:left w:val="double" w:color="auto" w:sz="4" w:space="0"/>
              <w:bottom w:val="single" w:color="auto" w:sz="4" w:space="0"/>
              <w:right w:val="single" w:color="auto" w:sz="4" w:space="0"/>
            </w:tcBorders>
            <w:shd w:val="clear" w:color="auto" w:fill="FFFFFF" w:themeFill="background1"/>
            <w:vAlign w:val="center"/>
          </w:tcPr>
          <w:p w14:paraId="601F0D44">
            <w:pPr>
              <w:rPr>
                <w:rFonts w:ascii="宋体" w:hAnsi="宋体"/>
                <w:szCs w:val="21"/>
              </w:rPr>
            </w:pPr>
            <w:r>
              <w:rPr>
                <w:rFonts w:ascii="宋体" w:hAnsi="宋体"/>
                <w:szCs w:val="21"/>
              </w:rPr>
              <w:t>3</w:t>
            </w:r>
          </w:p>
        </w:tc>
        <w:tc>
          <w:tcPr>
            <w:tcW w:w="981"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2E2946C7">
            <w:pPr>
              <w:rPr>
                <w:rFonts w:ascii="宋体" w:hAnsi="宋体"/>
                <w:szCs w:val="21"/>
              </w:rPr>
            </w:pPr>
            <w:r>
              <w:rPr>
                <w:rFonts w:ascii="宋体" w:hAnsi="宋体"/>
                <w:szCs w:val="21"/>
              </w:rPr>
              <w:t>2.2</w:t>
            </w:r>
          </w:p>
        </w:tc>
        <w:tc>
          <w:tcPr>
            <w:tcW w:w="181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67AB90E4">
            <w:pPr>
              <w:rPr>
                <w:rFonts w:ascii="宋体" w:hAnsi="宋体"/>
                <w:szCs w:val="21"/>
              </w:rPr>
            </w:pPr>
            <w:r>
              <w:rPr>
                <w:rFonts w:hint="eastAsia" w:ascii="宋体" w:hAnsi="宋体"/>
                <w:szCs w:val="21"/>
              </w:rPr>
              <w:t>建设地点</w:t>
            </w:r>
          </w:p>
        </w:tc>
        <w:tc>
          <w:tcPr>
            <w:tcW w:w="5857" w:type="dxa"/>
            <w:tcBorders>
              <w:top w:val="single" w:color="auto" w:sz="4" w:space="0"/>
              <w:left w:val="single" w:color="auto" w:sz="4" w:space="0"/>
              <w:bottom w:val="single" w:color="auto" w:sz="4" w:space="0"/>
              <w:right w:val="double" w:color="auto" w:sz="4" w:space="0"/>
            </w:tcBorders>
            <w:shd w:val="clear" w:color="auto" w:fill="FFFFFF" w:themeFill="background1"/>
            <w:vAlign w:val="center"/>
          </w:tcPr>
          <w:p w14:paraId="54387E8E">
            <w:pPr>
              <w:rPr>
                <w:rFonts w:ascii="宋体" w:hAnsi="宋体"/>
                <w:szCs w:val="21"/>
                <w:u w:val="single"/>
              </w:rPr>
            </w:pPr>
            <w:r>
              <w:rPr>
                <w:rFonts w:hint="eastAsia" w:ascii="宋体" w:hAnsi="宋体"/>
                <w:szCs w:val="21"/>
                <w:u w:val="single"/>
              </w:rPr>
              <w:t>详见本工程招标公告。</w:t>
            </w:r>
          </w:p>
        </w:tc>
      </w:tr>
      <w:tr w14:paraId="66138D0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702" w:type="dxa"/>
            <w:tcBorders>
              <w:top w:val="single" w:color="auto" w:sz="4" w:space="0"/>
              <w:left w:val="double" w:color="auto" w:sz="4" w:space="0"/>
              <w:bottom w:val="single" w:color="auto" w:sz="4" w:space="0"/>
              <w:right w:val="single" w:color="auto" w:sz="4" w:space="0"/>
            </w:tcBorders>
            <w:shd w:val="clear" w:color="auto" w:fill="FFFFFF" w:themeFill="background1"/>
            <w:vAlign w:val="center"/>
          </w:tcPr>
          <w:p w14:paraId="7A8FE547">
            <w:pPr>
              <w:rPr>
                <w:rFonts w:ascii="宋体" w:hAnsi="宋体"/>
                <w:szCs w:val="21"/>
              </w:rPr>
            </w:pPr>
            <w:r>
              <w:rPr>
                <w:rFonts w:ascii="宋体" w:hAnsi="宋体"/>
                <w:szCs w:val="21"/>
              </w:rPr>
              <w:t>4</w:t>
            </w:r>
          </w:p>
        </w:tc>
        <w:tc>
          <w:tcPr>
            <w:tcW w:w="981"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29C9CD75">
            <w:pPr>
              <w:rPr>
                <w:rFonts w:ascii="宋体" w:hAnsi="宋体"/>
                <w:szCs w:val="21"/>
              </w:rPr>
            </w:pPr>
            <w:r>
              <w:rPr>
                <w:rFonts w:ascii="宋体" w:hAnsi="宋体"/>
                <w:szCs w:val="21"/>
              </w:rPr>
              <w:t>2.2</w:t>
            </w:r>
          </w:p>
        </w:tc>
        <w:tc>
          <w:tcPr>
            <w:tcW w:w="181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0339C9F1">
            <w:pPr>
              <w:rPr>
                <w:rFonts w:ascii="宋体" w:hAnsi="宋体"/>
                <w:szCs w:val="21"/>
              </w:rPr>
            </w:pPr>
            <w:r>
              <w:rPr>
                <w:rFonts w:hint="eastAsia" w:ascii="宋体" w:hAnsi="宋体"/>
                <w:szCs w:val="21"/>
              </w:rPr>
              <w:t>建设规模</w:t>
            </w:r>
          </w:p>
        </w:tc>
        <w:tc>
          <w:tcPr>
            <w:tcW w:w="5857" w:type="dxa"/>
            <w:tcBorders>
              <w:top w:val="single" w:color="auto" w:sz="4" w:space="0"/>
              <w:left w:val="single" w:color="auto" w:sz="4" w:space="0"/>
              <w:bottom w:val="single" w:color="auto" w:sz="4" w:space="0"/>
              <w:right w:val="double" w:color="auto" w:sz="4" w:space="0"/>
            </w:tcBorders>
            <w:shd w:val="clear" w:color="auto" w:fill="FFFFFF" w:themeFill="background1"/>
            <w:vAlign w:val="center"/>
          </w:tcPr>
          <w:p w14:paraId="692A1674">
            <w:pPr>
              <w:rPr>
                <w:rFonts w:ascii="宋体" w:hAnsi="宋体"/>
                <w:szCs w:val="21"/>
                <w:u w:val="single"/>
              </w:rPr>
            </w:pPr>
            <w:r>
              <w:rPr>
                <w:rFonts w:hint="eastAsia" w:ascii="宋体" w:hAnsi="宋体"/>
                <w:szCs w:val="21"/>
                <w:u w:val="single"/>
              </w:rPr>
              <w:t>详见本工程招标公告。</w:t>
            </w:r>
          </w:p>
        </w:tc>
      </w:tr>
      <w:tr w14:paraId="6A562E2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702" w:type="dxa"/>
            <w:tcBorders>
              <w:top w:val="single" w:color="auto" w:sz="4" w:space="0"/>
              <w:left w:val="double" w:color="auto" w:sz="4" w:space="0"/>
              <w:bottom w:val="single" w:color="auto" w:sz="4" w:space="0"/>
              <w:right w:val="single" w:color="auto" w:sz="4" w:space="0"/>
            </w:tcBorders>
            <w:shd w:val="clear" w:color="auto" w:fill="FFFFFF" w:themeFill="background1"/>
            <w:vAlign w:val="center"/>
          </w:tcPr>
          <w:p w14:paraId="0B535F46">
            <w:pPr>
              <w:rPr>
                <w:rFonts w:ascii="宋体" w:hAnsi="宋体"/>
                <w:szCs w:val="21"/>
              </w:rPr>
            </w:pPr>
            <w:r>
              <w:rPr>
                <w:rFonts w:ascii="宋体" w:hAnsi="宋体"/>
                <w:szCs w:val="21"/>
              </w:rPr>
              <w:t>5</w:t>
            </w:r>
          </w:p>
        </w:tc>
        <w:tc>
          <w:tcPr>
            <w:tcW w:w="981"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41DF694F">
            <w:pPr>
              <w:rPr>
                <w:rFonts w:ascii="宋体" w:hAnsi="宋体"/>
                <w:szCs w:val="21"/>
              </w:rPr>
            </w:pPr>
            <w:r>
              <w:rPr>
                <w:rFonts w:ascii="宋体" w:hAnsi="宋体"/>
                <w:szCs w:val="21"/>
              </w:rPr>
              <w:t>2.2</w:t>
            </w:r>
          </w:p>
        </w:tc>
        <w:tc>
          <w:tcPr>
            <w:tcW w:w="181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41D38BEB">
            <w:pPr>
              <w:rPr>
                <w:rFonts w:ascii="宋体" w:hAnsi="宋体"/>
                <w:szCs w:val="21"/>
              </w:rPr>
            </w:pPr>
            <w:r>
              <w:rPr>
                <w:rFonts w:hint="eastAsia" w:ascii="宋体" w:hAnsi="宋体"/>
                <w:szCs w:val="21"/>
              </w:rPr>
              <w:t>承包方式</w:t>
            </w:r>
          </w:p>
        </w:tc>
        <w:tc>
          <w:tcPr>
            <w:tcW w:w="5857" w:type="dxa"/>
            <w:tcBorders>
              <w:top w:val="single" w:color="auto" w:sz="4" w:space="0"/>
              <w:left w:val="single" w:color="auto" w:sz="4" w:space="0"/>
              <w:bottom w:val="single" w:color="auto" w:sz="4" w:space="0"/>
              <w:right w:val="double" w:color="auto" w:sz="4" w:space="0"/>
            </w:tcBorders>
            <w:shd w:val="clear" w:color="auto" w:fill="FFFFFF" w:themeFill="background1"/>
            <w:vAlign w:val="center"/>
          </w:tcPr>
          <w:p w14:paraId="54AD0B16">
            <w:pPr>
              <w:pStyle w:val="17"/>
              <w:rPr>
                <w:rFonts w:ascii="宋体" w:hAnsi="宋体"/>
                <w:szCs w:val="21"/>
                <w:u w:val="single"/>
              </w:rPr>
            </w:pPr>
            <w:r>
              <w:rPr>
                <w:rFonts w:hint="eastAsia" w:ascii="宋体" w:hAnsi="宋体"/>
                <w:szCs w:val="21"/>
                <w:u w:val="single"/>
              </w:rPr>
              <w:t>包工、包料、包质量、包安全生产、包文明施工、包劳保、包工期、包承包范围内工程验收通过、包移交、包结算、包资料整理、包施工总承包管理和现场整体组织、协调及配合等。本工程按工程量清单计价，综合单价包干，按实际工程量结算，绿色施工安全防护措施费总价包干，结算不做调整。</w:t>
            </w:r>
          </w:p>
        </w:tc>
      </w:tr>
      <w:tr w14:paraId="10CA803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702" w:type="dxa"/>
            <w:tcBorders>
              <w:top w:val="single" w:color="auto" w:sz="4" w:space="0"/>
              <w:left w:val="double" w:color="auto" w:sz="4" w:space="0"/>
              <w:bottom w:val="single" w:color="auto" w:sz="4" w:space="0"/>
              <w:right w:val="single" w:color="auto" w:sz="4" w:space="0"/>
            </w:tcBorders>
            <w:shd w:val="clear" w:color="auto" w:fill="FFFFFF" w:themeFill="background1"/>
            <w:vAlign w:val="center"/>
          </w:tcPr>
          <w:p w14:paraId="3315CB96">
            <w:pPr>
              <w:rPr>
                <w:rFonts w:ascii="宋体" w:hAnsi="宋体"/>
                <w:szCs w:val="21"/>
              </w:rPr>
            </w:pPr>
            <w:r>
              <w:rPr>
                <w:rFonts w:ascii="宋体" w:hAnsi="宋体"/>
                <w:szCs w:val="21"/>
              </w:rPr>
              <w:t>6</w:t>
            </w:r>
          </w:p>
        </w:tc>
        <w:tc>
          <w:tcPr>
            <w:tcW w:w="981"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39FB79A2">
            <w:pPr>
              <w:rPr>
                <w:rFonts w:ascii="宋体" w:hAnsi="宋体"/>
                <w:szCs w:val="21"/>
              </w:rPr>
            </w:pPr>
            <w:r>
              <w:rPr>
                <w:rFonts w:ascii="宋体" w:hAnsi="宋体"/>
                <w:szCs w:val="21"/>
              </w:rPr>
              <w:t>2.2</w:t>
            </w:r>
          </w:p>
        </w:tc>
        <w:tc>
          <w:tcPr>
            <w:tcW w:w="181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5B70BA5E">
            <w:pPr>
              <w:rPr>
                <w:rFonts w:ascii="宋体" w:hAnsi="宋体"/>
                <w:szCs w:val="21"/>
              </w:rPr>
            </w:pPr>
            <w:r>
              <w:rPr>
                <w:rFonts w:hint="eastAsia" w:ascii="宋体" w:hAnsi="宋体"/>
                <w:szCs w:val="21"/>
              </w:rPr>
              <w:t>质量标准</w:t>
            </w:r>
          </w:p>
        </w:tc>
        <w:tc>
          <w:tcPr>
            <w:tcW w:w="5857" w:type="dxa"/>
            <w:tcBorders>
              <w:top w:val="single" w:color="auto" w:sz="4" w:space="0"/>
              <w:left w:val="single" w:color="auto" w:sz="4" w:space="0"/>
              <w:bottom w:val="single" w:color="auto" w:sz="4" w:space="0"/>
              <w:right w:val="double" w:color="auto" w:sz="4" w:space="0"/>
            </w:tcBorders>
            <w:shd w:val="clear" w:color="auto" w:fill="FFFFFF" w:themeFill="background1"/>
            <w:vAlign w:val="center"/>
          </w:tcPr>
          <w:p w14:paraId="486A29AF">
            <w:pPr>
              <w:rPr>
                <w:rFonts w:ascii="宋体" w:hAnsi="宋体"/>
                <w:szCs w:val="21"/>
                <w:u w:val="single"/>
              </w:rPr>
            </w:pPr>
            <w:r>
              <w:rPr>
                <w:rFonts w:hint="eastAsia" w:ascii="宋体" w:hAnsi="宋体"/>
                <w:szCs w:val="21"/>
                <w:u w:val="single"/>
              </w:rPr>
              <w:t>合格</w:t>
            </w:r>
          </w:p>
        </w:tc>
      </w:tr>
      <w:tr w14:paraId="4086838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702" w:type="dxa"/>
            <w:tcBorders>
              <w:top w:val="single" w:color="auto" w:sz="4" w:space="0"/>
              <w:left w:val="double" w:color="auto" w:sz="4" w:space="0"/>
              <w:bottom w:val="single" w:color="auto" w:sz="4" w:space="0"/>
              <w:right w:val="single" w:color="auto" w:sz="4" w:space="0"/>
            </w:tcBorders>
            <w:shd w:val="clear" w:color="auto" w:fill="FFFFFF" w:themeFill="background1"/>
            <w:vAlign w:val="center"/>
          </w:tcPr>
          <w:p w14:paraId="7A685EEC">
            <w:pPr>
              <w:rPr>
                <w:rFonts w:ascii="宋体" w:hAnsi="宋体"/>
                <w:szCs w:val="21"/>
              </w:rPr>
            </w:pPr>
            <w:r>
              <w:rPr>
                <w:rFonts w:ascii="宋体" w:hAnsi="宋体"/>
                <w:szCs w:val="21"/>
              </w:rPr>
              <w:t>7</w:t>
            </w:r>
          </w:p>
        </w:tc>
        <w:tc>
          <w:tcPr>
            <w:tcW w:w="981"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02FAAAB1">
            <w:pPr>
              <w:rPr>
                <w:rFonts w:ascii="宋体" w:hAnsi="宋体"/>
                <w:szCs w:val="21"/>
              </w:rPr>
            </w:pPr>
            <w:r>
              <w:rPr>
                <w:rFonts w:ascii="宋体" w:hAnsi="宋体"/>
                <w:szCs w:val="21"/>
              </w:rPr>
              <w:t>2.2</w:t>
            </w:r>
          </w:p>
        </w:tc>
        <w:tc>
          <w:tcPr>
            <w:tcW w:w="181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4B00919C">
            <w:pPr>
              <w:rPr>
                <w:rFonts w:ascii="宋体" w:hAnsi="宋体"/>
                <w:szCs w:val="21"/>
              </w:rPr>
            </w:pPr>
            <w:r>
              <w:rPr>
                <w:rFonts w:hint="eastAsia" w:ascii="宋体" w:hAnsi="宋体"/>
                <w:szCs w:val="21"/>
              </w:rPr>
              <w:t>招标范围</w:t>
            </w:r>
          </w:p>
        </w:tc>
        <w:tc>
          <w:tcPr>
            <w:tcW w:w="5857" w:type="dxa"/>
            <w:tcBorders>
              <w:top w:val="single" w:color="auto" w:sz="4" w:space="0"/>
              <w:left w:val="single" w:color="auto" w:sz="4" w:space="0"/>
              <w:bottom w:val="single" w:color="auto" w:sz="4" w:space="0"/>
              <w:right w:val="double" w:color="auto" w:sz="4" w:space="0"/>
            </w:tcBorders>
            <w:shd w:val="clear" w:color="auto" w:fill="FFFFFF" w:themeFill="background1"/>
            <w:vAlign w:val="center"/>
          </w:tcPr>
          <w:p w14:paraId="67CA8433">
            <w:pPr>
              <w:rPr>
                <w:rFonts w:ascii="宋体" w:hAnsi="宋体"/>
                <w:szCs w:val="21"/>
                <w:u w:val="single"/>
              </w:rPr>
            </w:pPr>
            <w:r>
              <w:rPr>
                <w:rFonts w:hint="eastAsia" w:ascii="宋体" w:hAnsi="宋体"/>
                <w:szCs w:val="21"/>
                <w:u w:val="single"/>
              </w:rPr>
              <w:t>详见本工程招标公告。</w:t>
            </w:r>
          </w:p>
        </w:tc>
      </w:tr>
      <w:tr w14:paraId="6720CAE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702" w:type="dxa"/>
            <w:tcBorders>
              <w:top w:val="single" w:color="auto" w:sz="4" w:space="0"/>
              <w:left w:val="double" w:color="auto" w:sz="4" w:space="0"/>
              <w:bottom w:val="single" w:color="auto" w:sz="4" w:space="0"/>
              <w:right w:val="single" w:color="auto" w:sz="4" w:space="0"/>
            </w:tcBorders>
            <w:shd w:val="clear" w:color="auto" w:fill="FFFFFF" w:themeFill="background1"/>
            <w:vAlign w:val="center"/>
          </w:tcPr>
          <w:p w14:paraId="4C68BFB3">
            <w:pPr>
              <w:rPr>
                <w:rFonts w:ascii="宋体" w:hAnsi="宋体"/>
                <w:szCs w:val="21"/>
              </w:rPr>
            </w:pPr>
            <w:r>
              <w:rPr>
                <w:rFonts w:ascii="宋体" w:hAnsi="宋体"/>
                <w:szCs w:val="21"/>
              </w:rPr>
              <w:t>8</w:t>
            </w:r>
          </w:p>
        </w:tc>
        <w:tc>
          <w:tcPr>
            <w:tcW w:w="981"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7B6EA88A">
            <w:pPr>
              <w:rPr>
                <w:rFonts w:ascii="宋体" w:hAnsi="宋体"/>
                <w:szCs w:val="21"/>
              </w:rPr>
            </w:pPr>
            <w:r>
              <w:rPr>
                <w:rFonts w:ascii="宋体" w:hAnsi="宋体"/>
                <w:szCs w:val="21"/>
              </w:rPr>
              <w:t>2.2</w:t>
            </w:r>
          </w:p>
        </w:tc>
        <w:tc>
          <w:tcPr>
            <w:tcW w:w="181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0BC0FD2F">
            <w:pPr>
              <w:rPr>
                <w:rFonts w:ascii="宋体" w:hAnsi="宋体"/>
                <w:szCs w:val="21"/>
              </w:rPr>
            </w:pPr>
            <w:r>
              <w:rPr>
                <w:rFonts w:hint="eastAsia" w:ascii="宋体" w:hAnsi="宋体"/>
                <w:szCs w:val="21"/>
              </w:rPr>
              <w:t>工期要求</w:t>
            </w:r>
          </w:p>
        </w:tc>
        <w:tc>
          <w:tcPr>
            <w:tcW w:w="5857" w:type="dxa"/>
            <w:tcBorders>
              <w:top w:val="single" w:color="auto" w:sz="4" w:space="0"/>
              <w:left w:val="single" w:color="auto" w:sz="4" w:space="0"/>
              <w:bottom w:val="single" w:color="auto" w:sz="4" w:space="0"/>
              <w:right w:val="double" w:color="auto" w:sz="4" w:space="0"/>
            </w:tcBorders>
            <w:shd w:val="clear" w:color="auto" w:fill="FFFFFF" w:themeFill="background1"/>
            <w:vAlign w:val="center"/>
          </w:tcPr>
          <w:p w14:paraId="101D160B">
            <w:pPr>
              <w:pStyle w:val="17"/>
              <w:rPr>
                <w:rFonts w:ascii="宋体" w:hAnsi="宋体"/>
                <w:u w:val="single"/>
              </w:rPr>
            </w:pPr>
            <w:r>
              <w:rPr>
                <w:rFonts w:hint="eastAsia" w:ascii="宋体" w:hAnsi="宋体"/>
                <w:u w:val="single"/>
              </w:rPr>
              <w:t>477个日历天，以开工令载明开工日期起算。</w:t>
            </w:r>
          </w:p>
          <w:p w14:paraId="4BA869C9">
            <w:pPr>
              <w:pStyle w:val="17"/>
              <w:rPr>
                <w:rFonts w:ascii="宋体" w:hAnsi="宋体"/>
                <w:u w:val="single"/>
              </w:rPr>
            </w:pPr>
            <w:r>
              <w:rPr>
                <w:rFonts w:hint="eastAsia" w:ascii="宋体" w:hAnsi="宋体"/>
                <w:u w:val="single"/>
              </w:rPr>
              <w:t>项目按专业子项工程分别推进，承包人编制施工方案时，需明确维修地点为企业在用生产仓库，需充分结合发包人的生产、工作安排进行施工计划编制。发包人在本次项目招标时明确无法提供连续的施工工期，可能存在节假日施工、边生产边施工、分区域依次施工等情况，承包人在投标时应充分考虑该因素进行投标报价，发包人不再就节假日施工、边生产边施工、不同区域分段施工等情况另行支付其他费用（包括但不限于绿色安全文明措施费等）。项目施工工期如下：</w:t>
            </w:r>
          </w:p>
          <w:p w14:paraId="26892ADA">
            <w:pPr>
              <w:pStyle w:val="17"/>
              <w:rPr>
                <w:rFonts w:ascii="宋体" w:hAnsi="宋体"/>
                <w:u w:val="single"/>
              </w:rPr>
            </w:pPr>
            <w:r>
              <w:rPr>
                <w:rFonts w:hint="eastAsia" w:ascii="宋体" w:hAnsi="宋体"/>
                <w:u w:val="single"/>
              </w:rPr>
              <w:t>（1）4号仓地面维修工程施工工期为35个日历天，具体开工时间以开工令为准。</w:t>
            </w:r>
          </w:p>
          <w:p w14:paraId="1F0F6618">
            <w:pPr>
              <w:pStyle w:val="17"/>
              <w:rPr>
                <w:rFonts w:ascii="宋体" w:hAnsi="宋体"/>
                <w:u w:val="single"/>
              </w:rPr>
            </w:pPr>
            <w:r>
              <w:rPr>
                <w:rFonts w:hint="eastAsia" w:ascii="宋体" w:hAnsi="宋体"/>
                <w:u w:val="single"/>
              </w:rPr>
              <w:t>（2）1号、2号仓天面防水补漏工程施工工期为50个日历天，具体开工时间以开工令为准，分别可在1号、2号东侧设置固定的余泥、材料吊装点，库区停产期间可临时增加吊装点。</w:t>
            </w:r>
          </w:p>
          <w:p w14:paraId="21EEF6A8">
            <w:pPr>
              <w:pStyle w:val="17"/>
            </w:pPr>
            <w:r>
              <w:rPr>
                <w:rFonts w:hint="eastAsia" w:ascii="宋体" w:hAnsi="宋体"/>
                <w:u w:val="single"/>
              </w:rPr>
              <w:t>（3）1号、2号、3号仓外墙维修工程施工工期为442个日历天，分五段依次施工，各段施工具体开工时间以各段开工令为准,分别为第一段：3号仓防火分区一（1至6层）、第二段：3号仓防火分区二（1至6层）、第三段：3号仓防火分区三（1至6层）天、第四段：1号仓整栋、第五阶段：2号仓整栋，其中第一段需4号仓地面维修工程完成后开始施工，第三段需第一段完成后开始施工，第五段需第三段完成后施工，第二、四段穿插施工。</w:t>
            </w:r>
          </w:p>
        </w:tc>
      </w:tr>
      <w:tr w14:paraId="7BFB16C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trPr>
        <w:tc>
          <w:tcPr>
            <w:tcW w:w="702" w:type="dxa"/>
            <w:tcBorders>
              <w:top w:val="single" w:color="auto" w:sz="4" w:space="0"/>
              <w:left w:val="double" w:color="auto" w:sz="4" w:space="0"/>
              <w:bottom w:val="single" w:color="auto" w:sz="4" w:space="0"/>
              <w:right w:val="single" w:color="auto" w:sz="4" w:space="0"/>
            </w:tcBorders>
            <w:shd w:val="clear" w:color="auto" w:fill="FFFFFF" w:themeFill="background1"/>
            <w:vAlign w:val="center"/>
          </w:tcPr>
          <w:p w14:paraId="367A542E">
            <w:pPr>
              <w:rPr>
                <w:rFonts w:ascii="宋体" w:hAnsi="宋体"/>
                <w:szCs w:val="21"/>
              </w:rPr>
            </w:pPr>
            <w:r>
              <w:rPr>
                <w:rFonts w:ascii="宋体" w:hAnsi="宋体"/>
                <w:szCs w:val="21"/>
              </w:rPr>
              <w:t>9</w:t>
            </w:r>
          </w:p>
        </w:tc>
        <w:tc>
          <w:tcPr>
            <w:tcW w:w="981"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49993239">
            <w:pPr>
              <w:rPr>
                <w:rFonts w:ascii="宋体" w:hAnsi="宋体"/>
                <w:szCs w:val="21"/>
              </w:rPr>
            </w:pPr>
            <w:r>
              <w:rPr>
                <w:rFonts w:ascii="宋体" w:hAnsi="宋体"/>
                <w:szCs w:val="21"/>
              </w:rPr>
              <w:t>3.1</w:t>
            </w:r>
          </w:p>
        </w:tc>
        <w:tc>
          <w:tcPr>
            <w:tcW w:w="181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41573278">
            <w:pPr>
              <w:rPr>
                <w:rFonts w:ascii="宋体" w:hAnsi="宋体"/>
                <w:szCs w:val="21"/>
              </w:rPr>
            </w:pPr>
            <w:r>
              <w:rPr>
                <w:rFonts w:hint="eastAsia" w:ascii="宋体" w:hAnsi="宋体"/>
                <w:szCs w:val="21"/>
              </w:rPr>
              <w:t>资金来源</w:t>
            </w:r>
          </w:p>
        </w:tc>
        <w:tc>
          <w:tcPr>
            <w:tcW w:w="5857" w:type="dxa"/>
            <w:tcBorders>
              <w:top w:val="single" w:color="auto" w:sz="4" w:space="0"/>
              <w:left w:val="single" w:color="auto" w:sz="4" w:space="0"/>
              <w:bottom w:val="single" w:color="auto" w:sz="4" w:space="0"/>
              <w:right w:val="double" w:color="auto" w:sz="4" w:space="0"/>
            </w:tcBorders>
            <w:shd w:val="clear" w:color="auto" w:fill="FFFFFF" w:themeFill="background1"/>
            <w:vAlign w:val="center"/>
          </w:tcPr>
          <w:p w14:paraId="1339B71F">
            <w:pPr>
              <w:rPr>
                <w:rFonts w:ascii="宋体" w:hAnsi="宋体"/>
                <w:szCs w:val="21"/>
                <w:u w:val="single"/>
              </w:rPr>
            </w:pPr>
            <w:r>
              <w:rPr>
                <w:rFonts w:hint="eastAsia" w:ascii="宋体" w:hAnsi="宋体"/>
                <w:szCs w:val="21"/>
                <w:u w:val="single"/>
              </w:rPr>
              <w:t>自筹资金</w:t>
            </w:r>
          </w:p>
        </w:tc>
      </w:tr>
      <w:tr w14:paraId="655114F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702" w:type="dxa"/>
            <w:tcBorders>
              <w:top w:val="single" w:color="auto" w:sz="4" w:space="0"/>
              <w:left w:val="double" w:color="auto" w:sz="4" w:space="0"/>
              <w:bottom w:val="single" w:color="auto" w:sz="4" w:space="0"/>
              <w:right w:val="single" w:color="auto" w:sz="4" w:space="0"/>
            </w:tcBorders>
            <w:shd w:val="clear" w:color="auto" w:fill="FFFFFF" w:themeFill="background1"/>
            <w:vAlign w:val="center"/>
          </w:tcPr>
          <w:p w14:paraId="5B081BE9">
            <w:pPr>
              <w:rPr>
                <w:rFonts w:ascii="宋体" w:hAnsi="宋体"/>
                <w:szCs w:val="21"/>
              </w:rPr>
            </w:pPr>
            <w:r>
              <w:rPr>
                <w:rFonts w:ascii="宋体" w:hAnsi="宋体"/>
                <w:szCs w:val="21"/>
              </w:rPr>
              <w:t>10</w:t>
            </w:r>
          </w:p>
        </w:tc>
        <w:tc>
          <w:tcPr>
            <w:tcW w:w="981"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20A51805">
            <w:pPr>
              <w:rPr>
                <w:rFonts w:ascii="宋体" w:hAnsi="宋体"/>
                <w:szCs w:val="21"/>
              </w:rPr>
            </w:pPr>
            <w:r>
              <w:rPr>
                <w:rFonts w:ascii="宋体" w:hAnsi="宋体"/>
                <w:szCs w:val="21"/>
              </w:rPr>
              <w:t>4.1</w:t>
            </w:r>
          </w:p>
        </w:tc>
        <w:tc>
          <w:tcPr>
            <w:tcW w:w="181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1211EF1C">
            <w:pPr>
              <w:rPr>
                <w:rFonts w:ascii="宋体" w:hAnsi="宋体"/>
                <w:szCs w:val="21"/>
              </w:rPr>
            </w:pPr>
            <w:r>
              <w:rPr>
                <w:rFonts w:hint="eastAsia" w:ascii="宋体" w:hAnsi="宋体"/>
                <w:szCs w:val="21"/>
              </w:rPr>
              <w:t>投标人资质等级及项目负责人等级要求</w:t>
            </w:r>
          </w:p>
        </w:tc>
        <w:tc>
          <w:tcPr>
            <w:tcW w:w="5857" w:type="dxa"/>
            <w:tcBorders>
              <w:top w:val="single" w:color="auto" w:sz="4" w:space="0"/>
              <w:left w:val="single" w:color="auto" w:sz="4" w:space="0"/>
              <w:bottom w:val="single" w:color="auto" w:sz="4" w:space="0"/>
              <w:right w:val="double" w:color="auto" w:sz="4" w:space="0"/>
            </w:tcBorders>
            <w:shd w:val="clear" w:color="auto" w:fill="FFFFFF" w:themeFill="background1"/>
            <w:vAlign w:val="center"/>
          </w:tcPr>
          <w:p w14:paraId="3142B217">
            <w:pPr>
              <w:rPr>
                <w:rFonts w:ascii="宋体" w:hAnsi="宋体"/>
                <w:szCs w:val="21"/>
              </w:rPr>
            </w:pPr>
            <w:r>
              <w:rPr>
                <w:rFonts w:hint="eastAsia" w:ascii="宋体" w:hAnsi="宋体"/>
                <w:szCs w:val="21"/>
              </w:rPr>
              <w:t>详见本工程招标公告。</w:t>
            </w:r>
          </w:p>
        </w:tc>
      </w:tr>
      <w:tr w14:paraId="5FE64B3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702" w:type="dxa"/>
            <w:tcBorders>
              <w:top w:val="single" w:color="auto" w:sz="4" w:space="0"/>
              <w:left w:val="double" w:color="auto" w:sz="4" w:space="0"/>
              <w:bottom w:val="single" w:color="auto" w:sz="4" w:space="0"/>
              <w:right w:val="single" w:color="auto" w:sz="4" w:space="0"/>
            </w:tcBorders>
            <w:shd w:val="clear" w:color="auto" w:fill="FFFFFF" w:themeFill="background1"/>
            <w:vAlign w:val="center"/>
          </w:tcPr>
          <w:p w14:paraId="1F0EDFD7">
            <w:pPr>
              <w:rPr>
                <w:rFonts w:ascii="宋体" w:hAnsi="宋体"/>
                <w:szCs w:val="21"/>
              </w:rPr>
            </w:pPr>
            <w:r>
              <w:rPr>
                <w:rFonts w:ascii="宋体" w:hAnsi="宋体"/>
                <w:szCs w:val="21"/>
              </w:rPr>
              <w:t>11</w:t>
            </w:r>
          </w:p>
        </w:tc>
        <w:tc>
          <w:tcPr>
            <w:tcW w:w="981"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47C3AE3F">
            <w:pPr>
              <w:ind w:firstLine="458"/>
              <w:rPr>
                <w:rFonts w:ascii="宋体" w:hAnsi="宋体"/>
                <w:szCs w:val="21"/>
              </w:rPr>
            </w:pPr>
          </w:p>
        </w:tc>
        <w:tc>
          <w:tcPr>
            <w:tcW w:w="181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517A40D0">
            <w:pPr>
              <w:rPr>
                <w:rFonts w:ascii="宋体" w:hAnsi="宋体"/>
                <w:szCs w:val="21"/>
              </w:rPr>
            </w:pPr>
            <w:r>
              <w:rPr>
                <w:rFonts w:hint="eastAsia" w:ascii="宋体" w:hAnsi="宋体"/>
                <w:szCs w:val="21"/>
              </w:rPr>
              <w:t>资格审查方式</w:t>
            </w:r>
          </w:p>
        </w:tc>
        <w:tc>
          <w:tcPr>
            <w:tcW w:w="5857" w:type="dxa"/>
            <w:tcBorders>
              <w:top w:val="single" w:color="auto" w:sz="4" w:space="0"/>
              <w:left w:val="single" w:color="auto" w:sz="4" w:space="0"/>
              <w:bottom w:val="single" w:color="auto" w:sz="4" w:space="0"/>
              <w:right w:val="double" w:color="auto" w:sz="4" w:space="0"/>
            </w:tcBorders>
            <w:shd w:val="clear" w:color="auto" w:fill="FFFFFF" w:themeFill="background1"/>
            <w:vAlign w:val="center"/>
          </w:tcPr>
          <w:p w14:paraId="74128357">
            <w:pPr>
              <w:rPr>
                <w:rFonts w:ascii="宋体" w:hAnsi="宋体"/>
                <w:szCs w:val="21"/>
              </w:rPr>
            </w:pPr>
            <w:r>
              <w:rPr>
                <w:rFonts w:hint="eastAsia" w:ascii="宋体" w:hAnsi="宋体"/>
                <w:szCs w:val="21"/>
              </w:rPr>
              <w:t>详见本工程招标公告。</w:t>
            </w:r>
          </w:p>
        </w:tc>
      </w:tr>
      <w:tr w14:paraId="09FF233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702" w:type="dxa"/>
            <w:tcBorders>
              <w:top w:val="single" w:color="auto" w:sz="4" w:space="0"/>
              <w:left w:val="double" w:color="auto" w:sz="4" w:space="0"/>
              <w:bottom w:val="single" w:color="auto" w:sz="4" w:space="0"/>
              <w:right w:val="single" w:color="auto" w:sz="4" w:space="0"/>
            </w:tcBorders>
            <w:shd w:val="clear" w:color="auto" w:fill="FFFFFF" w:themeFill="background1"/>
            <w:vAlign w:val="center"/>
          </w:tcPr>
          <w:p w14:paraId="15C6A8C0">
            <w:pPr>
              <w:rPr>
                <w:rFonts w:ascii="宋体" w:hAnsi="宋体"/>
                <w:szCs w:val="21"/>
              </w:rPr>
            </w:pPr>
            <w:r>
              <w:rPr>
                <w:rFonts w:ascii="宋体" w:hAnsi="宋体"/>
                <w:szCs w:val="21"/>
              </w:rPr>
              <w:t>12</w:t>
            </w:r>
          </w:p>
        </w:tc>
        <w:tc>
          <w:tcPr>
            <w:tcW w:w="981"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4342FB00">
            <w:pPr>
              <w:rPr>
                <w:rFonts w:ascii="宋体" w:hAnsi="宋体"/>
                <w:szCs w:val="21"/>
              </w:rPr>
            </w:pPr>
            <w:r>
              <w:rPr>
                <w:rFonts w:ascii="宋体" w:hAnsi="宋体"/>
                <w:szCs w:val="21"/>
              </w:rPr>
              <w:t>13.1</w:t>
            </w:r>
          </w:p>
        </w:tc>
        <w:tc>
          <w:tcPr>
            <w:tcW w:w="181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43788B6E">
            <w:pPr>
              <w:rPr>
                <w:rFonts w:ascii="宋体" w:hAnsi="宋体"/>
                <w:szCs w:val="21"/>
              </w:rPr>
            </w:pPr>
            <w:r>
              <w:rPr>
                <w:rFonts w:hint="eastAsia" w:ascii="宋体" w:hAnsi="宋体"/>
                <w:szCs w:val="21"/>
              </w:rPr>
              <w:t>报价以及单价和总价计算方式</w:t>
            </w:r>
          </w:p>
        </w:tc>
        <w:tc>
          <w:tcPr>
            <w:tcW w:w="5857" w:type="dxa"/>
            <w:tcBorders>
              <w:top w:val="single" w:color="auto" w:sz="4" w:space="0"/>
              <w:left w:val="single" w:color="auto" w:sz="4" w:space="0"/>
              <w:bottom w:val="single" w:color="auto" w:sz="4" w:space="0"/>
              <w:right w:val="double" w:color="auto" w:sz="4" w:space="0"/>
            </w:tcBorders>
            <w:shd w:val="clear" w:color="auto" w:fill="FFFFFF" w:themeFill="background1"/>
            <w:vAlign w:val="center"/>
          </w:tcPr>
          <w:p w14:paraId="036BF1F0">
            <w:pPr>
              <w:rPr>
                <w:rFonts w:ascii="宋体" w:hAnsi="宋体"/>
                <w:szCs w:val="21"/>
              </w:rPr>
            </w:pPr>
            <w:r>
              <w:rPr>
                <w:rFonts w:hint="eastAsia" w:ascii="宋体" w:hAnsi="宋体"/>
                <w:szCs w:val="21"/>
              </w:rPr>
              <w:t>工程量清单计价</w:t>
            </w:r>
            <w:r>
              <w:rPr>
                <w:rFonts w:hint="eastAsia"/>
                <w:szCs w:val="21"/>
              </w:rPr>
              <w:t>，按国家、省有关计价规范执行及合同条款相关约定。</w:t>
            </w:r>
          </w:p>
        </w:tc>
      </w:tr>
      <w:tr w14:paraId="64DA32A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702" w:type="dxa"/>
            <w:tcBorders>
              <w:top w:val="single" w:color="auto" w:sz="4" w:space="0"/>
              <w:left w:val="double" w:color="auto" w:sz="4" w:space="0"/>
              <w:bottom w:val="single" w:color="auto" w:sz="4" w:space="0"/>
              <w:right w:val="single" w:color="auto" w:sz="4" w:space="0"/>
            </w:tcBorders>
            <w:shd w:val="clear" w:color="auto" w:fill="FFFFFF" w:themeFill="background1"/>
            <w:vAlign w:val="center"/>
          </w:tcPr>
          <w:p w14:paraId="6E1115FD">
            <w:pPr>
              <w:rPr>
                <w:rFonts w:ascii="宋体" w:hAnsi="宋体"/>
                <w:szCs w:val="21"/>
              </w:rPr>
            </w:pPr>
            <w:r>
              <w:rPr>
                <w:rFonts w:ascii="宋体" w:hAnsi="宋体"/>
                <w:szCs w:val="21"/>
              </w:rPr>
              <w:t>13</w:t>
            </w:r>
          </w:p>
        </w:tc>
        <w:tc>
          <w:tcPr>
            <w:tcW w:w="981"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451EA3DF">
            <w:pPr>
              <w:rPr>
                <w:rFonts w:ascii="宋体" w:hAnsi="宋体"/>
                <w:szCs w:val="21"/>
              </w:rPr>
            </w:pPr>
            <w:r>
              <w:rPr>
                <w:rFonts w:ascii="宋体" w:hAnsi="宋体"/>
                <w:szCs w:val="21"/>
              </w:rPr>
              <w:t>15.1</w:t>
            </w:r>
          </w:p>
        </w:tc>
        <w:tc>
          <w:tcPr>
            <w:tcW w:w="181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634EBD7F">
            <w:pPr>
              <w:rPr>
                <w:rFonts w:ascii="宋体" w:hAnsi="宋体"/>
                <w:szCs w:val="21"/>
              </w:rPr>
            </w:pPr>
            <w:r>
              <w:rPr>
                <w:rFonts w:hint="eastAsia" w:ascii="宋体" w:hAnsi="宋体"/>
                <w:szCs w:val="21"/>
              </w:rPr>
              <w:t>投标有效期</w:t>
            </w:r>
          </w:p>
        </w:tc>
        <w:tc>
          <w:tcPr>
            <w:tcW w:w="5857" w:type="dxa"/>
            <w:tcBorders>
              <w:top w:val="single" w:color="auto" w:sz="4" w:space="0"/>
              <w:left w:val="single" w:color="auto" w:sz="4" w:space="0"/>
              <w:bottom w:val="single" w:color="auto" w:sz="4" w:space="0"/>
              <w:right w:val="double" w:color="auto" w:sz="4" w:space="0"/>
            </w:tcBorders>
            <w:shd w:val="clear" w:color="auto" w:fill="FFFFFF" w:themeFill="background1"/>
            <w:vAlign w:val="center"/>
          </w:tcPr>
          <w:p w14:paraId="72958D40">
            <w:pPr>
              <w:rPr>
                <w:rFonts w:ascii="宋体" w:hAnsi="宋体"/>
                <w:szCs w:val="21"/>
                <w:u w:val="single"/>
              </w:rPr>
            </w:pPr>
            <w:r>
              <w:rPr>
                <w:rFonts w:ascii="宋体" w:hAnsi="宋体"/>
                <w:szCs w:val="21"/>
                <w:u w:val="single"/>
              </w:rPr>
              <w:t>120</w:t>
            </w:r>
            <w:r>
              <w:rPr>
                <w:rFonts w:hint="eastAsia" w:ascii="宋体" w:hAnsi="宋体"/>
                <w:szCs w:val="21"/>
              </w:rPr>
              <w:t>日历天。（</w:t>
            </w:r>
            <w:r>
              <w:rPr>
                <w:rFonts w:hint="eastAsia" w:ascii="宋体" w:hAnsi="宋体"/>
                <w:szCs w:val="21"/>
                <w:u w:val="single"/>
              </w:rPr>
              <w:t>从递交投标文件截止之日计起</w:t>
            </w:r>
            <w:r>
              <w:rPr>
                <w:rFonts w:hint="eastAsia" w:ascii="宋体" w:hAnsi="宋体"/>
                <w:szCs w:val="21"/>
              </w:rPr>
              <w:t>）</w:t>
            </w:r>
          </w:p>
        </w:tc>
      </w:tr>
      <w:tr w14:paraId="43EBE7C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702" w:type="dxa"/>
            <w:tcBorders>
              <w:top w:val="single" w:color="auto" w:sz="4" w:space="0"/>
              <w:left w:val="double" w:color="auto" w:sz="4" w:space="0"/>
              <w:bottom w:val="single" w:color="auto" w:sz="4" w:space="0"/>
              <w:right w:val="single" w:color="auto" w:sz="4" w:space="0"/>
            </w:tcBorders>
            <w:shd w:val="clear" w:color="auto" w:fill="FFFFFF" w:themeFill="background1"/>
            <w:vAlign w:val="center"/>
          </w:tcPr>
          <w:p w14:paraId="7AFE0E69">
            <w:pPr>
              <w:rPr>
                <w:rFonts w:ascii="宋体" w:hAnsi="宋体"/>
                <w:szCs w:val="21"/>
              </w:rPr>
            </w:pPr>
            <w:r>
              <w:rPr>
                <w:rFonts w:ascii="宋体" w:hAnsi="宋体"/>
                <w:szCs w:val="21"/>
              </w:rPr>
              <w:t>14</w:t>
            </w:r>
          </w:p>
        </w:tc>
        <w:tc>
          <w:tcPr>
            <w:tcW w:w="981"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3B426F02">
            <w:pPr>
              <w:rPr>
                <w:rFonts w:ascii="宋体" w:hAnsi="宋体"/>
                <w:szCs w:val="21"/>
              </w:rPr>
            </w:pPr>
            <w:r>
              <w:rPr>
                <w:rFonts w:ascii="宋体" w:hAnsi="宋体"/>
                <w:szCs w:val="21"/>
              </w:rPr>
              <w:t>16.1</w:t>
            </w:r>
          </w:p>
        </w:tc>
        <w:tc>
          <w:tcPr>
            <w:tcW w:w="181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2BB07D11">
            <w:pPr>
              <w:rPr>
                <w:rFonts w:ascii="宋体" w:hAnsi="宋体"/>
                <w:szCs w:val="21"/>
              </w:rPr>
            </w:pPr>
            <w:r>
              <w:rPr>
                <w:rFonts w:hint="eastAsia" w:ascii="宋体" w:hAnsi="宋体"/>
                <w:szCs w:val="21"/>
              </w:rPr>
              <w:t>投标保证金</w:t>
            </w:r>
          </w:p>
        </w:tc>
        <w:tc>
          <w:tcPr>
            <w:tcW w:w="5857" w:type="dxa"/>
            <w:tcBorders>
              <w:top w:val="single" w:color="auto" w:sz="4" w:space="0"/>
              <w:left w:val="single" w:color="auto" w:sz="4" w:space="0"/>
              <w:bottom w:val="single" w:color="auto" w:sz="4" w:space="0"/>
              <w:right w:val="double" w:color="auto" w:sz="4" w:space="0"/>
            </w:tcBorders>
            <w:shd w:val="clear" w:color="auto" w:fill="FFFFFF" w:themeFill="background1"/>
            <w:vAlign w:val="center"/>
          </w:tcPr>
          <w:p w14:paraId="7F23BE74">
            <w:pPr>
              <w:rPr>
                <w:rFonts w:ascii="宋体" w:hAnsi="宋体"/>
                <w:szCs w:val="21"/>
                <w:u w:val="single"/>
              </w:rPr>
            </w:pPr>
            <w:r>
              <w:rPr>
                <w:rFonts w:hint="eastAsia" w:ascii="宋体" w:hAnsi="宋体"/>
                <w:szCs w:val="21"/>
                <w:u w:val="single"/>
              </w:rPr>
              <w:t>是否要求投标人递交投标保证金：</w:t>
            </w:r>
          </w:p>
          <w:p w14:paraId="024F4496">
            <w:pPr>
              <w:rPr>
                <w:rFonts w:ascii="宋体" w:hAnsi="宋体"/>
                <w:szCs w:val="21"/>
                <w:u w:val="single"/>
              </w:rPr>
            </w:pPr>
            <w:r>
              <w:rPr>
                <w:rFonts w:hint="eastAsia" w:ascii="宋体" w:hAnsi="宋体"/>
                <w:szCs w:val="21"/>
                <w:u w:val="single"/>
              </w:rPr>
              <w:t>■要求递交投标保证金。</w:t>
            </w:r>
          </w:p>
          <w:p w14:paraId="114DDDB0">
            <w:pPr>
              <w:rPr>
                <w:rFonts w:ascii="宋体" w:hAnsi="宋体"/>
                <w:szCs w:val="21"/>
                <w:u w:val="single"/>
              </w:rPr>
            </w:pPr>
            <w:r>
              <w:rPr>
                <w:rFonts w:hint="eastAsia" w:ascii="宋体" w:hAnsi="宋体"/>
                <w:szCs w:val="21"/>
                <w:u w:val="single"/>
              </w:rPr>
              <w:t>1.投标保证金的金额：人民币</w:t>
            </w:r>
            <w:r>
              <w:rPr>
                <w:rFonts w:hint="eastAsia" w:ascii="宋体" w:hAnsi="宋体"/>
                <w:szCs w:val="21"/>
                <w:u w:val="single"/>
                <w:lang w:val="en-US" w:eastAsia="zh-CN"/>
              </w:rPr>
              <w:t>10</w:t>
            </w:r>
            <w:r>
              <w:rPr>
                <w:rFonts w:hint="eastAsia" w:ascii="宋体" w:hAnsi="宋体"/>
                <w:szCs w:val="21"/>
                <w:u w:val="single"/>
              </w:rPr>
              <w:t>万元，缴纳时间在投标截止时间之前。</w:t>
            </w:r>
          </w:p>
          <w:p w14:paraId="0DAE18E8">
            <w:pPr>
              <w:rPr>
                <w:rFonts w:ascii="宋体" w:hAnsi="宋体"/>
                <w:szCs w:val="21"/>
                <w:u w:val="single"/>
              </w:rPr>
            </w:pPr>
            <w:r>
              <w:rPr>
                <w:rFonts w:hint="eastAsia" w:ascii="宋体" w:hAnsi="宋体"/>
                <w:szCs w:val="21"/>
                <w:u w:val="single"/>
              </w:rPr>
              <w:t>注：根据《房屋建筑和市政基础设施工程施工招标投标管理办法》（建设部令第89号）第二十六条的规定，投标保证金一般不得超过投标总价的2％，最高不得超过50万元。</w:t>
            </w:r>
          </w:p>
          <w:p w14:paraId="6291090A">
            <w:pPr>
              <w:rPr>
                <w:rFonts w:ascii="宋体" w:hAnsi="宋体"/>
                <w:szCs w:val="21"/>
                <w:u w:val="single"/>
              </w:rPr>
            </w:pPr>
            <w:r>
              <w:rPr>
                <w:rFonts w:hint="eastAsia" w:ascii="宋体" w:hAnsi="宋体"/>
                <w:szCs w:val="21"/>
                <w:u w:val="single"/>
              </w:rPr>
              <w:t>2.投标保证金的形式：投标保证金可采用现金、支票（现金支票、转账支票）、银行汇票、银行本票、银行电汇、银行转账、银行保函、保证保险、专业工程担保公司担保等能够实现保证目的的形式。</w:t>
            </w:r>
          </w:p>
          <w:p w14:paraId="14CCB2DC">
            <w:pPr>
              <w:rPr>
                <w:rFonts w:ascii="宋体" w:hAnsi="宋体"/>
                <w:szCs w:val="21"/>
                <w:u w:val="single"/>
              </w:rPr>
            </w:pPr>
            <w:r>
              <w:rPr>
                <w:rFonts w:hint="eastAsia" w:ascii="宋体" w:hAnsi="宋体"/>
                <w:szCs w:val="21"/>
                <w:u w:val="single"/>
              </w:rPr>
              <w:t>收取方式：</w:t>
            </w:r>
          </w:p>
          <w:p w14:paraId="362382FB">
            <w:pPr>
              <w:rPr>
                <w:rFonts w:ascii="宋体" w:hAnsi="宋体"/>
                <w:szCs w:val="21"/>
                <w:u w:val="single"/>
              </w:rPr>
            </w:pPr>
            <w:r>
              <w:rPr>
                <w:rFonts w:hint="eastAsia" w:ascii="宋体" w:hAnsi="宋体"/>
                <w:szCs w:val="21"/>
                <w:u w:val="single"/>
              </w:rPr>
              <w:t>2.1如采用现金、支票或者银行汇票、银行本票、银行电汇、银行转账形式提交的，由广州交易集团有限公司代收，投标保证金须从投标人基本账户递交。</w:t>
            </w:r>
          </w:p>
          <w:p w14:paraId="06FB0CF3">
            <w:pPr>
              <w:rPr>
                <w:rFonts w:ascii="宋体" w:hAnsi="宋体"/>
                <w:szCs w:val="21"/>
                <w:u w:val="single"/>
              </w:rPr>
            </w:pPr>
            <w:r>
              <w:rPr>
                <w:rFonts w:hint="eastAsia" w:ascii="宋体" w:hAnsi="宋体"/>
                <w:szCs w:val="21"/>
                <w:u w:val="single"/>
              </w:rPr>
              <w:t>（1）具体要求详见广州交易集团有限公司（广州公共资源交易中心）有关指引。</w:t>
            </w:r>
          </w:p>
          <w:p w14:paraId="44E273A1">
            <w:pPr>
              <w:rPr>
                <w:rFonts w:ascii="宋体" w:hAnsi="宋体"/>
                <w:szCs w:val="21"/>
                <w:u w:val="single"/>
              </w:rPr>
            </w:pPr>
            <w:r>
              <w:rPr>
                <w:rFonts w:hint="eastAsia" w:ascii="宋体" w:hAnsi="宋体"/>
                <w:szCs w:val="21"/>
                <w:u w:val="single"/>
              </w:rPr>
              <w:t>（2）投标人必须提前办理缴纳投标保证金的事宜，且在缴纳保证金之前必须先咨询广州交易集团有限公司（广州公共资源交易中心）详细缴纳方法，否则需自行承担保证金无法成功缴纳的风险。</w:t>
            </w:r>
          </w:p>
          <w:p w14:paraId="1AB1E354">
            <w:pPr>
              <w:rPr>
                <w:rFonts w:ascii="宋体" w:hAnsi="宋体"/>
                <w:szCs w:val="21"/>
                <w:u w:val="single"/>
              </w:rPr>
            </w:pPr>
            <w:r>
              <w:rPr>
                <w:rFonts w:hint="eastAsia" w:ascii="宋体" w:hAnsi="宋体"/>
                <w:szCs w:val="21"/>
                <w:u w:val="single"/>
              </w:rPr>
              <w:t>递交事宜请自行咨询广州交易集团有限公司（广州公共资源交易中心）；请各投标人在投标文件递交截止时间前按上述金额递交至广州交易集团有限公司（广州公共资源交易中心），到账情况以开标时广州交易集团有限公司（广州公共资源交易中心）数据库查询的信息为准。</w:t>
            </w:r>
          </w:p>
          <w:p w14:paraId="01AABA10">
            <w:pPr>
              <w:rPr>
                <w:rFonts w:ascii="宋体" w:hAnsi="宋体"/>
                <w:szCs w:val="21"/>
                <w:u w:val="single"/>
              </w:rPr>
            </w:pPr>
            <w:r>
              <w:rPr>
                <w:rFonts w:hint="eastAsia" w:ascii="宋体" w:hAnsi="宋体"/>
                <w:szCs w:val="21"/>
                <w:u w:val="single"/>
              </w:rPr>
              <w:t>2.2如采用非电子形式的银行保函、专业担保公司担保或保证保险提交投标保证金的，在开标前不强制要求投标人提交纸质原件，由中标候选人在中标候选人公示前提交并在网上公示，投标人应在投标文件中提交保函、担保或保证保险扫描件并加盖投标人电子印章。如投标人选择在开标前提交纸质原件的，应在投标截止时间前单独密封递交至开标室（时间及地点同递交备用投标文件电子光盘的时间及地点）。</w:t>
            </w:r>
          </w:p>
          <w:p w14:paraId="52D381D7">
            <w:pPr>
              <w:rPr>
                <w:rFonts w:ascii="宋体" w:hAnsi="宋体"/>
                <w:szCs w:val="21"/>
                <w:u w:val="single"/>
              </w:rPr>
            </w:pPr>
            <w:r>
              <w:rPr>
                <w:rFonts w:hint="eastAsia" w:ascii="宋体" w:hAnsi="宋体"/>
                <w:szCs w:val="21"/>
                <w:u w:val="single"/>
              </w:rPr>
              <w:t>2.3采用电子形式的保函、担保或保证保险提交投标保证金的，开具及递交以广州交易集团有限公司（广州公共资源交易中心）的相关操作指引为准。到账情况以开标时广州交易集团有限公司（广州公共资源交易中心）数据库查询信息为准。</w:t>
            </w:r>
          </w:p>
          <w:p w14:paraId="1DB94C54">
            <w:pPr>
              <w:rPr>
                <w:rFonts w:ascii="宋体" w:hAnsi="宋体"/>
                <w:szCs w:val="21"/>
                <w:u w:val="single"/>
              </w:rPr>
            </w:pPr>
            <w:r>
              <w:rPr>
                <w:rFonts w:hint="eastAsia" w:ascii="宋体" w:hAnsi="宋体"/>
                <w:szCs w:val="21"/>
                <w:u w:val="single"/>
              </w:rPr>
              <w:t>注：1.对于未能按要求交纳投标保证金的投标人，招标人将视为不响应招标文件而予以拒绝，责任由投标人自负。</w:t>
            </w:r>
          </w:p>
          <w:p w14:paraId="712CC95A">
            <w:pPr>
              <w:rPr>
                <w:rFonts w:ascii="宋体" w:hAnsi="宋体"/>
                <w:szCs w:val="21"/>
                <w:u w:val="single"/>
              </w:rPr>
            </w:pPr>
            <w:r>
              <w:rPr>
                <w:rFonts w:hint="eastAsia" w:ascii="宋体" w:hAnsi="宋体"/>
                <w:szCs w:val="21"/>
                <w:u w:val="single"/>
              </w:rPr>
              <w:t>2.投标保证金有效期应长于或等于投标有效期，若投标有效期延长的，投标保证金有效期应相应延长，且延长后的有效期应满足前述要求。</w:t>
            </w:r>
          </w:p>
          <w:p w14:paraId="590E052E">
            <w:pPr>
              <w:rPr>
                <w:rFonts w:ascii="宋体" w:hAnsi="宋体"/>
                <w:szCs w:val="21"/>
                <w:u w:val="single"/>
              </w:rPr>
            </w:pPr>
            <w:r>
              <w:rPr>
                <w:rFonts w:hint="eastAsia" w:ascii="宋体" w:hAnsi="宋体"/>
                <w:szCs w:val="21"/>
                <w:u w:val="single"/>
              </w:rPr>
              <w:t>3.投标人提供的银行保函应为银行出具的无条件、见索即付、不可撤消的保函，担保金额不得低于上述金额。</w:t>
            </w:r>
          </w:p>
        </w:tc>
      </w:tr>
      <w:tr w14:paraId="446E4DC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702" w:type="dxa"/>
            <w:tcBorders>
              <w:top w:val="single" w:color="auto" w:sz="4" w:space="0"/>
              <w:left w:val="double" w:color="auto" w:sz="4" w:space="0"/>
              <w:bottom w:val="single" w:color="auto" w:sz="4" w:space="0"/>
              <w:right w:val="single" w:color="auto" w:sz="4" w:space="0"/>
            </w:tcBorders>
            <w:shd w:val="clear" w:color="auto" w:fill="FFFFFF" w:themeFill="background1"/>
            <w:vAlign w:val="center"/>
          </w:tcPr>
          <w:p w14:paraId="118D4798">
            <w:pPr>
              <w:rPr>
                <w:rFonts w:ascii="宋体" w:hAnsi="宋体"/>
                <w:szCs w:val="21"/>
              </w:rPr>
            </w:pPr>
            <w:r>
              <w:rPr>
                <w:rFonts w:ascii="宋体" w:hAnsi="宋体"/>
                <w:szCs w:val="21"/>
              </w:rPr>
              <w:t>15</w:t>
            </w:r>
          </w:p>
        </w:tc>
        <w:tc>
          <w:tcPr>
            <w:tcW w:w="981"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0750F1C9">
            <w:pPr>
              <w:rPr>
                <w:rFonts w:ascii="宋体" w:hAnsi="宋体"/>
                <w:szCs w:val="21"/>
              </w:rPr>
            </w:pPr>
            <w:r>
              <w:rPr>
                <w:rFonts w:ascii="宋体" w:hAnsi="宋体"/>
                <w:szCs w:val="21"/>
              </w:rPr>
              <w:t>5</w:t>
            </w:r>
          </w:p>
        </w:tc>
        <w:tc>
          <w:tcPr>
            <w:tcW w:w="181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2EC71002">
            <w:pPr>
              <w:rPr>
                <w:rFonts w:ascii="宋体" w:hAnsi="宋体"/>
                <w:szCs w:val="21"/>
              </w:rPr>
            </w:pPr>
            <w:r>
              <w:rPr>
                <w:rFonts w:hint="eastAsia" w:ascii="宋体" w:hAnsi="宋体"/>
                <w:szCs w:val="21"/>
              </w:rPr>
              <w:t>踏勘现场</w:t>
            </w:r>
          </w:p>
        </w:tc>
        <w:tc>
          <w:tcPr>
            <w:tcW w:w="5857" w:type="dxa"/>
            <w:tcBorders>
              <w:top w:val="single" w:color="auto" w:sz="4" w:space="0"/>
              <w:left w:val="single" w:color="auto" w:sz="4" w:space="0"/>
              <w:bottom w:val="single" w:color="auto" w:sz="4" w:space="0"/>
              <w:right w:val="double" w:color="auto" w:sz="4" w:space="0"/>
            </w:tcBorders>
            <w:shd w:val="clear" w:color="auto" w:fill="FFFFFF" w:themeFill="background1"/>
            <w:vAlign w:val="center"/>
          </w:tcPr>
          <w:p w14:paraId="16146A1D">
            <w:pPr>
              <w:pStyle w:val="20"/>
              <w:jc w:val="left"/>
              <w:rPr>
                <w:rFonts w:ascii="宋体" w:hAnsi="宋体"/>
                <w:szCs w:val="21"/>
                <w:u w:val="single"/>
              </w:rPr>
            </w:pPr>
            <w:r>
              <w:rPr>
                <w:rFonts w:hint="eastAsia" w:ascii="宋体" w:hAnsi="宋体"/>
                <w:szCs w:val="21"/>
                <w:u w:val="single"/>
              </w:rPr>
              <w:t>招标人不集中组织，由投标人自行踏勘。</w:t>
            </w:r>
          </w:p>
        </w:tc>
      </w:tr>
      <w:tr w14:paraId="2C40B18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702" w:type="dxa"/>
            <w:tcBorders>
              <w:top w:val="single" w:color="auto" w:sz="4" w:space="0"/>
              <w:left w:val="double" w:color="auto" w:sz="4" w:space="0"/>
              <w:bottom w:val="single" w:color="auto" w:sz="4" w:space="0"/>
              <w:right w:val="single" w:color="auto" w:sz="4" w:space="0"/>
            </w:tcBorders>
            <w:shd w:val="clear" w:color="auto" w:fill="FFFFFF" w:themeFill="background1"/>
            <w:vAlign w:val="center"/>
          </w:tcPr>
          <w:p w14:paraId="3AE362D4">
            <w:pPr>
              <w:rPr>
                <w:rFonts w:ascii="宋体" w:hAnsi="宋体"/>
                <w:szCs w:val="21"/>
              </w:rPr>
            </w:pPr>
            <w:r>
              <w:rPr>
                <w:rFonts w:ascii="宋体" w:hAnsi="宋体"/>
                <w:szCs w:val="21"/>
              </w:rPr>
              <w:t>16</w:t>
            </w:r>
          </w:p>
        </w:tc>
        <w:tc>
          <w:tcPr>
            <w:tcW w:w="981"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6EB83D03">
            <w:pPr>
              <w:rPr>
                <w:rFonts w:ascii="宋体" w:hAnsi="宋体"/>
                <w:szCs w:val="21"/>
              </w:rPr>
            </w:pPr>
            <w:r>
              <w:rPr>
                <w:rFonts w:ascii="宋体" w:hAnsi="宋体"/>
                <w:szCs w:val="21"/>
              </w:rPr>
              <w:t>8</w:t>
            </w:r>
          </w:p>
        </w:tc>
        <w:tc>
          <w:tcPr>
            <w:tcW w:w="181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56BBAE09">
            <w:pPr>
              <w:rPr>
                <w:rFonts w:ascii="宋体" w:hAnsi="宋体"/>
                <w:szCs w:val="21"/>
              </w:rPr>
            </w:pPr>
            <w:r>
              <w:rPr>
                <w:rFonts w:hint="eastAsia" w:ascii="宋体" w:hAnsi="宋体"/>
                <w:szCs w:val="21"/>
              </w:rPr>
              <w:t>投标答疑</w:t>
            </w:r>
          </w:p>
        </w:tc>
        <w:tc>
          <w:tcPr>
            <w:tcW w:w="5857" w:type="dxa"/>
            <w:tcBorders>
              <w:top w:val="single" w:color="auto" w:sz="4" w:space="0"/>
              <w:left w:val="single" w:color="auto" w:sz="4" w:space="0"/>
              <w:bottom w:val="single" w:color="auto" w:sz="4" w:space="0"/>
              <w:right w:val="double" w:color="auto" w:sz="4" w:space="0"/>
            </w:tcBorders>
            <w:shd w:val="clear" w:color="auto" w:fill="FFFFFF" w:themeFill="background1"/>
            <w:vAlign w:val="center"/>
          </w:tcPr>
          <w:p w14:paraId="6C30A3E8">
            <w:pPr>
              <w:rPr>
                <w:rFonts w:ascii="宋体" w:hAnsi="宋体"/>
                <w:szCs w:val="21"/>
              </w:rPr>
            </w:pPr>
            <w:r>
              <w:rPr>
                <w:rFonts w:hint="eastAsia" w:ascii="宋体" w:hAnsi="宋体"/>
                <w:szCs w:val="21"/>
              </w:rPr>
              <w:t>疑问提交时间：</w:t>
            </w:r>
            <w:r>
              <w:rPr>
                <w:rFonts w:ascii="宋体" w:hAnsi="宋体"/>
                <w:szCs w:val="21"/>
                <w:u w:val="single"/>
              </w:rPr>
              <w:t xml:space="preserve">    </w:t>
            </w:r>
            <w:r>
              <w:rPr>
                <w:rFonts w:hint="eastAsia" w:ascii="宋体" w:hAnsi="宋体"/>
                <w:szCs w:val="21"/>
              </w:rPr>
              <w:t>年</w:t>
            </w:r>
            <w:r>
              <w:rPr>
                <w:rFonts w:ascii="宋体" w:hAnsi="宋体"/>
                <w:szCs w:val="21"/>
                <w:u w:val="single"/>
              </w:rPr>
              <w:t xml:space="preserve">  </w:t>
            </w:r>
            <w:r>
              <w:rPr>
                <w:rFonts w:hint="eastAsia" w:ascii="宋体" w:hAnsi="宋体"/>
                <w:szCs w:val="21"/>
              </w:rPr>
              <w:t>月</w:t>
            </w:r>
            <w:r>
              <w:rPr>
                <w:rFonts w:ascii="宋体" w:hAnsi="宋体"/>
                <w:szCs w:val="21"/>
                <w:u w:val="single"/>
              </w:rPr>
              <w:t xml:space="preserve">  </w:t>
            </w:r>
            <w:r>
              <w:rPr>
                <w:rFonts w:hint="eastAsia" w:ascii="宋体" w:hAnsi="宋体"/>
                <w:szCs w:val="21"/>
              </w:rPr>
              <w:t>日</w:t>
            </w:r>
            <w:r>
              <w:rPr>
                <w:rFonts w:ascii="宋体" w:hAnsi="宋体"/>
                <w:szCs w:val="21"/>
                <w:u w:val="single"/>
              </w:rPr>
              <w:t xml:space="preserve">   </w:t>
            </w:r>
            <w:r>
              <w:rPr>
                <w:rFonts w:hint="eastAsia" w:ascii="宋体" w:hAnsi="宋体"/>
                <w:szCs w:val="21"/>
              </w:rPr>
              <w:t>时前</w:t>
            </w:r>
            <w:r>
              <w:rPr>
                <w:rFonts w:hint="eastAsia" w:ascii="宋体" w:hAnsi="宋体"/>
                <w:szCs w:val="21"/>
                <w:u w:val="single"/>
              </w:rPr>
              <w:t>（递交投标文件截止日期前18天）</w:t>
            </w:r>
            <w:r>
              <w:rPr>
                <w:rFonts w:hint="eastAsia" w:ascii="宋体" w:hAnsi="宋体"/>
                <w:szCs w:val="21"/>
              </w:rPr>
              <w:t>；</w:t>
            </w:r>
          </w:p>
          <w:p w14:paraId="01158967">
            <w:pPr>
              <w:rPr>
                <w:rFonts w:ascii="宋体" w:hAnsi="宋体"/>
                <w:szCs w:val="21"/>
              </w:rPr>
            </w:pPr>
            <w:r>
              <w:rPr>
                <w:rFonts w:hint="eastAsia" w:ascii="宋体" w:hAnsi="宋体"/>
                <w:szCs w:val="21"/>
              </w:rPr>
              <w:t>形式：投标人的疑问通过</w:t>
            </w:r>
            <w:r>
              <w:rPr>
                <w:rFonts w:hint="eastAsia" w:ascii="宋体" w:hAnsi="宋体"/>
                <w:szCs w:val="21"/>
                <w:u w:val="single"/>
              </w:rPr>
              <w:t>广州公共资源交易中心</w:t>
            </w:r>
            <w:r>
              <w:rPr>
                <w:rFonts w:hint="eastAsia" w:ascii="宋体" w:hAnsi="宋体"/>
                <w:szCs w:val="21"/>
              </w:rPr>
              <w:t>交易平台提交。</w:t>
            </w:r>
          </w:p>
          <w:p w14:paraId="03985C98">
            <w:pPr>
              <w:rPr>
                <w:rFonts w:ascii="宋体" w:hAnsi="宋体"/>
                <w:szCs w:val="21"/>
                <w:u w:val="single"/>
              </w:rPr>
            </w:pPr>
            <w:r>
              <w:rPr>
                <w:rFonts w:hint="eastAsia" w:ascii="宋体" w:hAnsi="宋体"/>
                <w:szCs w:val="21"/>
                <w:u w:val="single"/>
              </w:rPr>
              <w:t>招标人澄清、修补或答疑期限：在递交投标文件截止日期前15 日</w:t>
            </w:r>
          </w:p>
          <w:p w14:paraId="5345B2E3">
            <w:pPr>
              <w:rPr>
                <w:rFonts w:ascii="宋体" w:hAnsi="宋体"/>
                <w:szCs w:val="21"/>
              </w:rPr>
            </w:pPr>
            <w:r>
              <w:rPr>
                <w:rFonts w:hint="eastAsia" w:ascii="宋体" w:hAnsi="宋体"/>
                <w:szCs w:val="21"/>
              </w:rPr>
              <w:t>具体要求：按照交易平台关于全流程电子化项目的相关指南进行操作，详见：</w:t>
            </w:r>
            <w:r>
              <w:rPr>
                <w:rFonts w:hint="eastAsia" w:ascii="宋体" w:hAnsi="宋体"/>
                <w:szCs w:val="21"/>
                <w:u w:val="single"/>
              </w:rPr>
              <w:t>广州公共资源交易中心网站(http:/ www.gzggzy.cn)服务指南栏目</w:t>
            </w:r>
            <w:r>
              <w:rPr>
                <w:rFonts w:hint="eastAsia" w:ascii="宋体" w:hAnsi="宋体"/>
                <w:szCs w:val="21"/>
              </w:rPr>
              <w:t>。提问一律不得署名。</w:t>
            </w:r>
          </w:p>
        </w:tc>
      </w:tr>
      <w:tr w14:paraId="52965CF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702" w:type="dxa"/>
            <w:tcBorders>
              <w:top w:val="single" w:color="auto" w:sz="4" w:space="0"/>
              <w:left w:val="double" w:color="auto" w:sz="4" w:space="0"/>
              <w:bottom w:val="single" w:color="auto" w:sz="4" w:space="0"/>
              <w:right w:val="single" w:color="auto" w:sz="4" w:space="0"/>
            </w:tcBorders>
            <w:shd w:val="clear" w:color="auto" w:fill="FFFFFF" w:themeFill="background1"/>
            <w:vAlign w:val="center"/>
          </w:tcPr>
          <w:p w14:paraId="2879B72F">
            <w:pPr>
              <w:rPr>
                <w:rFonts w:ascii="宋体" w:hAnsi="宋体"/>
                <w:szCs w:val="21"/>
              </w:rPr>
            </w:pPr>
            <w:r>
              <w:rPr>
                <w:rFonts w:ascii="宋体" w:hAnsi="宋体"/>
                <w:szCs w:val="21"/>
              </w:rPr>
              <w:t>1</w:t>
            </w:r>
            <w:r>
              <w:rPr>
                <w:rFonts w:hint="eastAsia" w:ascii="宋体" w:hAnsi="宋体"/>
                <w:szCs w:val="21"/>
              </w:rPr>
              <w:t>7</w:t>
            </w:r>
          </w:p>
        </w:tc>
        <w:tc>
          <w:tcPr>
            <w:tcW w:w="981"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1D43A9C1">
            <w:pPr>
              <w:rPr>
                <w:rFonts w:ascii="宋体" w:hAnsi="宋体"/>
                <w:szCs w:val="21"/>
              </w:rPr>
            </w:pPr>
            <w:r>
              <w:rPr>
                <w:rFonts w:hint="eastAsia" w:ascii="宋体" w:hAnsi="宋体"/>
                <w:szCs w:val="21"/>
              </w:rPr>
              <w:t>20</w:t>
            </w:r>
            <w:r>
              <w:rPr>
                <w:rFonts w:ascii="宋体" w:hAnsi="宋体"/>
                <w:szCs w:val="21"/>
              </w:rPr>
              <w:t>.1</w:t>
            </w:r>
          </w:p>
        </w:tc>
        <w:tc>
          <w:tcPr>
            <w:tcW w:w="181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1D070CC5">
            <w:pPr>
              <w:rPr>
                <w:rFonts w:ascii="宋体" w:hAnsi="宋体"/>
                <w:szCs w:val="21"/>
              </w:rPr>
            </w:pPr>
            <w:r>
              <w:rPr>
                <w:rFonts w:hint="eastAsia" w:ascii="宋体" w:hAnsi="宋体"/>
                <w:szCs w:val="21"/>
              </w:rPr>
              <w:t>投标截止时间</w:t>
            </w:r>
          </w:p>
        </w:tc>
        <w:tc>
          <w:tcPr>
            <w:tcW w:w="5857" w:type="dxa"/>
            <w:tcBorders>
              <w:top w:val="single" w:color="auto" w:sz="4" w:space="0"/>
              <w:left w:val="single" w:color="auto" w:sz="4" w:space="0"/>
              <w:bottom w:val="single" w:color="auto" w:sz="4" w:space="0"/>
              <w:right w:val="double" w:color="auto" w:sz="4" w:space="0"/>
            </w:tcBorders>
            <w:shd w:val="clear" w:color="auto" w:fill="FFFFFF" w:themeFill="background1"/>
            <w:vAlign w:val="center"/>
          </w:tcPr>
          <w:p w14:paraId="5D57E60B">
            <w:pPr>
              <w:rPr>
                <w:rFonts w:ascii="宋体" w:hAnsi="宋体"/>
                <w:strike/>
                <w:szCs w:val="21"/>
              </w:rPr>
            </w:pPr>
            <w:r>
              <w:rPr>
                <w:rFonts w:ascii="宋体" w:hAnsi="宋体"/>
                <w:szCs w:val="21"/>
                <w:u w:val="single"/>
              </w:rPr>
              <w:t xml:space="preserve">       </w:t>
            </w:r>
            <w:r>
              <w:rPr>
                <w:rFonts w:hint="eastAsia" w:ascii="宋体" w:hAnsi="宋体"/>
                <w:szCs w:val="21"/>
              </w:rPr>
              <w:t>年</w:t>
            </w:r>
            <w:r>
              <w:rPr>
                <w:rFonts w:ascii="宋体" w:hAnsi="宋体"/>
                <w:szCs w:val="21"/>
                <w:u w:val="single"/>
              </w:rPr>
              <w:t xml:space="preserve">   </w:t>
            </w:r>
            <w:r>
              <w:rPr>
                <w:rFonts w:hint="eastAsia" w:ascii="宋体" w:hAnsi="宋体"/>
                <w:szCs w:val="21"/>
              </w:rPr>
              <w:t>月</w:t>
            </w:r>
            <w:r>
              <w:rPr>
                <w:rFonts w:ascii="宋体" w:hAnsi="宋体"/>
                <w:szCs w:val="21"/>
                <w:u w:val="single"/>
              </w:rPr>
              <w:t xml:space="preserve">    </w:t>
            </w:r>
            <w:r>
              <w:rPr>
                <w:rFonts w:hint="eastAsia" w:ascii="宋体" w:hAnsi="宋体"/>
                <w:szCs w:val="21"/>
              </w:rPr>
              <w:t>日</w:t>
            </w:r>
            <w:r>
              <w:rPr>
                <w:rFonts w:ascii="宋体" w:hAnsi="宋体"/>
                <w:szCs w:val="21"/>
                <w:u w:val="single"/>
              </w:rPr>
              <w:t xml:space="preserve">   </w:t>
            </w:r>
            <w:r>
              <w:rPr>
                <w:rFonts w:hint="eastAsia" w:ascii="宋体" w:hAnsi="宋体"/>
                <w:szCs w:val="21"/>
              </w:rPr>
              <w:t>时（北京时间）。</w:t>
            </w:r>
          </w:p>
        </w:tc>
      </w:tr>
      <w:tr w14:paraId="31A524E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702" w:type="dxa"/>
            <w:tcBorders>
              <w:top w:val="single" w:color="auto" w:sz="4" w:space="0"/>
              <w:left w:val="double" w:color="auto" w:sz="4" w:space="0"/>
              <w:bottom w:val="single" w:color="auto" w:sz="4" w:space="0"/>
              <w:right w:val="single" w:color="auto" w:sz="4" w:space="0"/>
            </w:tcBorders>
            <w:shd w:val="clear" w:color="auto" w:fill="FFFFFF" w:themeFill="background1"/>
            <w:vAlign w:val="center"/>
          </w:tcPr>
          <w:p w14:paraId="11D5463E">
            <w:pPr>
              <w:rPr>
                <w:rFonts w:ascii="宋体" w:hAnsi="宋体"/>
                <w:szCs w:val="21"/>
              </w:rPr>
            </w:pPr>
            <w:r>
              <w:rPr>
                <w:rFonts w:hint="eastAsia" w:ascii="宋体" w:hAnsi="宋体"/>
                <w:szCs w:val="21"/>
              </w:rPr>
              <w:t>18</w:t>
            </w:r>
          </w:p>
        </w:tc>
        <w:tc>
          <w:tcPr>
            <w:tcW w:w="981"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71E30C04">
            <w:pPr>
              <w:rPr>
                <w:rFonts w:ascii="宋体" w:hAnsi="宋体"/>
                <w:szCs w:val="21"/>
              </w:rPr>
            </w:pPr>
            <w:r>
              <w:rPr>
                <w:rFonts w:ascii="宋体" w:hAnsi="宋体"/>
                <w:szCs w:val="21"/>
              </w:rPr>
              <w:t>20.1</w:t>
            </w:r>
          </w:p>
        </w:tc>
        <w:tc>
          <w:tcPr>
            <w:tcW w:w="181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56FFC2BD">
            <w:pPr>
              <w:rPr>
                <w:rFonts w:ascii="宋体" w:hAnsi="宋体"/>
                <w:szCs w:val="21"/>
              </w:rPr>
            </w:pPr>
            <w:r>
              <w:rPr>
                <w:rFonts w:hint="eastAsia" w:ascii="宋体" w:hAnsi="宋体"/>
                <w:szCs w:val="21"/>
              </w:rPr>
              <w:t>开标开始时间和地点</w:t>
            </w:r>
          </w:p>
        </w:tc>
        <w:tc>
          <w:tcPr>
            <w:tcW w:w="5857" w:type="dxa"/>
            <w:tcBorders>
              <w:top w:val="single" w:color="auto" w:sz="4" w:space="0"/>
              <w:left w:val="single" w:color="auto" w:sz="4" w:space="0"/>
              <w:bottom w:val="single" w:color="auto" w:sz="4" w:space="0"/>
              <w:right w:val="double" w:color="auto" w:sz="4" w:space="0"/>
            </w:tcBorders>
            <w:shd w:val="clear" w:color="auto" w:fill="FFFFFF" w:themeFill="background1"/>
            <w:vAlign w:val="center"/>
          </w:tcPr>
          <w:p w14:paraId="5D4834C9">
            <w:pPr>
              <w:rPr>
                <w:rFonts w:ascii="宋体" w:hAnsi="宋体"/>
                <w:szCs w:val="21"/>
              </w:rPr>
            </w:pPr>
            <w:r>
              <w:rPr>
                <w:rFonts w:hint="eastAsia" w:ascii="宋体" w:hAnsi="宋体"/>
                <w:szCs w:val="21"/>
              </w:rPr>
              <w:t>（技术标和经济标同时开标）</w:t>
            </w:r>
          </w:p>
          <w:p w14:paraId="44A8372B">
            <w:pPr>
              <w:rPr>
                <w:rFonts w:ascii="宋体" w:hAnsi="宋体"/>
                <w:szCs w:val="21"/>
                <w:u w:val="single"/>
              </w:rPr>
            </w:pPr>
            <w:r>
              <w:rPr>
                <w:rFonts w:hint="eastAsia" w:ascii="宋体" w:hAnsi="宋体"/>
                <w:szCs w:val="21"/>
              </w:rPr>
              <w:t>1、开标开始时间：</w:t>
            </w:r>
            <w:r>
              <w:rPr>
                <w:rFonts w:ascii="宋体" w:hAnsi="宋体"/>
                <w:szCs w:val="21"/>
                <w:u w:val="single"/>
              </w:rPr>
              <w:t xml:space="preserve">     </w:t>
            </w:r>
            <w:r>
              <w:rPr>
                <w:rFonts w:hint="eastAsia" w:ascii="宋体" w:hAnsi="宋体"/>
                <w:szCs w:val="21"/>
              </w:rPr>
              <w:t>年</w:t>
            </w:r>
            <w:r>
              <w:rPr>
                <w:rFonts w:ascii="宋体" w:hAnsi="宋体"/>
                <w:szCs w:val="21"/>
                <w:u w:val="single"/>
              </w:rPr>
              <w:t xml:space="preserve">   </w:t>
            </w:r>
            <w:r>
              <w:rPr>
                <w:rFonts w:hint="eastAsia" w:ascii="宋体" w:hAnsi="宋体"/>
                <w:szCs w:val="21"/>
              </w:rPr>
              <w:t>月</w:t>
            </w:r>
            <w:r>
              <w:rPr>
                <w:rFonts w:ascii="宋体" w:hAnsi="宋体"/>
                <w:szCs w:val="21"/>
                <w:u w:val="single"/>
              </w:rPr>
              <w:t xml:space="preserve">   </w:t>
            </w:r>
            <w:r>
              <w:rPr>
                <w:rFonts w:hint="eastAsia" w:ascii="宋体" w:hAnsi="宋体"/>
                <w:szCs w:val="21"/>
              </w:rPr>
              <w:t>日</w:t>
            </w:r>
            <w:r>
              <w:rPr>
                <w:rFonts w:ascii="宋体" w:hAnsi="宋体"/>
                <w:szCs w:val="21"/>
                <w:u w:val="single"/>
              </w:rPr>
              <w:t xml:space="preserve">   </w:t>
            </w:r>
            <w:r>
              <w:rPr>
                <w:rFonts w:hint="eastAsia" w:ascii="宋体" w:hAnsi="宋体"/>
                <w:szCs w:val="21"/>
              </w:rPr>
              <w:t>时</w:t>
            </w:r>
            <w:r>
              <w:rPr>
                <w:rFonts w:ascii="宋体" w:hAnsi="宋体"/>
                <w:szCs w:val="21"/>
                <w:u w:val="single"/>
              </w:rPr>
              <w:t xml:space="preserve">   </w:t>
            </w:r>
            <w:r>
              <w:rPr>
                <w:rFonts w:hint="eastAsia" w:ascii="宋体" w:hAnsi="宋体"/>
                <w:szCs w:val="21"/>
              </w:rPr>
              <w:t>分（与</w:t>
            </w:r>
            <w:r>
              <w:rPr>
                <w:rFonts w:ascii="宋体" w:hAnsi="宋体"/>
                <w:szCs w:val="21"/>
              </w:rPr>
              <w:t>投标截止时间</w:t>
            </w:r>
            <w:r>
              <w:rPr>
                <w:rFonts w:hint="eastAsia" w:ascii="宋体" w:hAnsi="宋体"/>
                <w:szCs w:val="21"/>
              </w:rPr>
              <w:t>为</w:t>
            </w:r>
            <w:r>
              <w:rPr>
                <w:rFonts w:ascii="宋体" w:hAnsi="宋体"/>
                <w:szCs w:val="21"/>
              </w:rPr>
              <w:t>同一时间</w:t>
            </w:r>
            <w:r>
              <w:rPr>
                <w:rFonts w:hint="eastAsia" w:ascii="宋体" w:hAnsi="宋体"/>
                <w:szCs w:val="21"/>
              </w:rPr>
              <w:t>），地点：</w:t>
            </w:r>
            <w:r>
              <w:rPr>
                <w:rFonts w:hint="eastAsia" w:ascii="宋体" w:hAnsi="宋体"/>
                <w:szCs w:val="21"/>
                <w:u w:val="single"/>
              </w:rPr>
              <w:t>广州公共资源交易中心   室。</w:t>
            </w:r>
          </w:p>
          <w:p w14:paraId="4F1E8926">
            <w:pPr>
              <w:rPr>
                <w:rFonts w:ascii="宋体" w:hAnsi="宋体"/>
                <w:szCs w:val="21"/>
                <w:u w:val="single"/>
              </w:rPr>
            </w:pPr>
            <w:r>
              <w:rPr>
                <w:rFonts w:hint="eastAsia" w:ascii="宋体" w:hAnsi="宋体"/>
                <w:szCs w:val="21"/>
              </w:rPr>
              <w:t>投标人也可选择参加在线开标，具体按照交易平台相关指南进行操作。详见：</w:t>
            </w:r>
            <w:r>
              <w:rPr>
                <w:rFonts w:hint="eastAsia" w:ascii="宋体" w:hAnsi="宋体"/>
                <w:szCs w:val="21"/>
                <w:u w:val="single"/>
              </w:rPr>
              <w:t>广州公共资源交易中心网站(http:/ www.gzggzy.cn)服务指南栏目发布的最新版操作指引。</w:t>
            </w:r>
          </w:p>
          <w:p w14:paraId="02D43C80">
            <w:pPr>
              <w:rPr>
                <w:rFonts w:ascii="宋体" w:hAnsi="宋体"/>
                <w:szCs w:val="21"/>
              </w:rPr>
            </w:pPr>
            <w:r>
              <w:rPr>
                <w:rFonts w:hint="eastAsia" w:ascii="宋体" w:hAnsi="宋体"/>
                <w:szCs w:val="21"/>
              </w:rPr>
              <w:t>注：投标文件解密问题。投标人只用执行一次解密，招标人执行解密次数根据招标文件开标次数确定。</w:t>
            </w:r>
          </w:p>
          <w:p w14:paraId="7A3C7D7C">
            <w:pPr>
              <w:rPr>
                <w:rFonts w:ascii="宋体" w:hAnsi="宋体"/>
              </w:rPr>
            </w:pPr>
            <w:r>
              <w:rPr>
                <w:rFonts w:hint="eastAsia" w:ascii="宋体" w:hAnsi="宋体"/>
                <w:szCs w:val="21"/>
              </w:rPr>
              <w:t>2、递交投标文件备用光盘时间：</w:t>
            </w:r>
            <w:r>
              <w:rPr>
                <w:rFonts w:ascii="宋体" w:hAnsi="宋体"/>
                <w:szCs w:val="21"/>
                <w:u w:val="single"/>
              </w:rPr>
              <w:t xml:space="preserve">     </w:t>
            </w:r>
            <w:r>
              <w:rPr>
                <w:rFonts w:hint="eastAsia" w:ascii="宋体" w:hAnsi="宋体"/>
                <w:szCs w:val="21"/>
              </w:rPr>
              <w:t>年</w:t>
            </w:r>
            <w:r>
              <w:rPr>
                <w:rFonts w:ascii="宋体" w:hAnsi="宋体"/>
                <w:szCs w:val="21"/>
                <w:u w:val="single"/>
              </w:rPr>
              <w:t xml:space="preserve">   </w:t>
            </w:r>
            <w:r>
              <w:rPr>
                <w:rFonts w:hint="eastAsia" w:ascii="宋体" w:hAnsi="宋体"/>
                <w:szCs w:val="21"/>
              </w:rPr>
              <w:t>月</w:t>
            </w:r>
            <w:r>
              <w:rPr>
                <w:rFonts w:ascii="宋体" w:hAnsi="宋体"/>
                <w:szCs w:val="21"/>
                <w:u w:val="single"/>
              </w:rPr>
              <w:t xml:space="preserve">   </w:t>
            </w:r>
            <w:r>
              <w:rPr>
                <w:rFonts w:hint="eastAsia" w:ascii="宋体" w:hAnsi="宋体"/>
                <w:szCs w:val="21"/>
              </w:rPr>
              <w:t>日</w:t>
            </w:r>
            <w:r>
              <w:rPr>
                <w:rFonts w:ascii="宋体" w:hAnsi="宋体"/>
                <w:szCs w:val="21"/>
                <w:u w:val="single"/>
              </w:rPr>
              <w:t xml:space="preserve">   </w:t>
            </w:r>
            <w:r>
              <w:rPr>
                <w:rFonts w:hint="eastAsia" w:ascii="宋体" w:hAnsi="宋体"/>
                <w:szCs w:val="21"/>
              </w:rPr>
              <w:t>时</w:t>
            </w:r>
            <w:r>
              <w:rPr>
                <w:rFonts w:ascii="宋体" w:hAnsi="宋体"/>
                <w:szCs w:val="21"/>
                <w:u w:val="single"/>
              </w:rPr>
              <w:t xml:space="preserve">   </w:t>
            </w:r>
            <w:r>
              <w:rPr>
                <w:rFonts w:hint="eastAsia" w:ascii="宋体" w:hAnsi="宋体"/>
                <w:szCs w:val="21"/>
              </w:rPr>
              <w:t>分至</w:t>
            </w:r>
            <w:r>
              <w:rPr>
                <w:rFonts w:ascii="宋体" w:hAnsi="宋体"/>
                <w:szCs w:val="21"/>
                <w:u w:val="single"/>
              </w:rPr>
              <w:t xml:space="preserve">     </w:t>
            </w:r>
            <w:r>
              <w:rPr>
                <w:rFonts w:hint="eastAsia" w:ascii="宋体" w:hAnsi="宋体"/>
                <w:szCs w:val="21"/>
              </w:rPr>
              <w:t>年</w:t>
            </w:r>
            <w:r>
              <w:rPr>
                <w:rFonts w:ascii="宋体" w:hAnsi="宋体"/>
                <w:szCs w:val="21"/>
                <w:u w:val="single"/>
              </w:rPr>
              <w:t xml:space="preserve">   </w:t>
            </w:r>
            <w:r>
              <w:rPr>
                <w:rFonts w:hint="eastAsia" w:ascii="宋体" w:hAnsi="宋体"/>
                <w:szCs w:val="21"/>
              </w:rPr>
              <w:t>月</w:t>
            </w:r>
            <w:r>
              <w:rPr>
                <w:rFonts w:ascii="宋体" w:hAnsi="宋体"/>
                <w:szCs w:val="21"/>
                <w:u w:val="single"/>
              </w:rPr>
              <w:t xml:space="preserve">   </w:t>
            </w:r>
            <w:r>
              <w:rPr>
                <w:rFonts w:hint="eastAsia" w:ascii="宋体" w:hAnsi="宋体"/>
                <w:szCs w:val="21"/>
              </w:rPr>
              <w:t>日</w:t>
            </w:r>
            <w:r>
              <w:rPr>
                <w:rFonts w:ascii="宋体" w:hAnsi="宋体"/>
                <w:szCs w:val="21"/>
                <w:u w:val="single"/>
              </w:rPr>
              <w:t xml:space="preserve">   </w:t>
            </w:r>
            <w:r>
              <w:rPr>
                <w:rFonts w:hint="eastAsia" w:ascii="宋体" w:hAnsi="宋体"/>
                <w:szCs w:val="21"/>
              </w:rPr>
              <w:t>时</w:t>
            </w:r>
            <w:r>
              <w:rPr>
                <w:rFonts w:ascii="宋体" w:hAnsi="宋体"/>
                <w:szCs w:val="21"/>
                <w:u w:val="single"/>
              </w:rPr>
              <w:t xml:space="preserve">   </w:t>
            </w:r>
            <w:r>
              <w:rPr>
                <w:rFonts w:hint="eastAsia" w:ascii="宋体" w:hAnsi="宋体"/>
                <w:szCs w:val="21"/>
              </w:rPr>
              <w:t>分；递交地点：</w:t>
            </w:r>
            <w:r>
              <w:rPr>
                <w:rFonts w:hint="eastAsia" w:ascii="宋体" w:hAnsi="宋体"/>
                <w:u w:val="single"/>
              </w:rPr>
              <w:t>广州公共资源交易中心   室</w:t>
            </w:r>
            <w:r>
              <w:rPr>
                <w:rFonts w:hint="eastAsia" w:ascii="宋体" w:hAnsi="宋体"/>
              </w:rPr>
              <w:t>。(建议安排在投标文件截止时间前15分钟至投标文件截止时间）</w:t>
            </w:r>
          </w:p>
          <w:p w14:paraId="6DA54F50">
            <w:pPr>
              <w:rPr>
                <w:rFonts w:ascii="宋体" w:hAnsi="宋体"/>
                <w:szCs w:val="21"/>
              </w:rPr>
            </w:pPr>
            <w:r>
              <w:rPr>
                <w:rFonts w:hint="eastAsia" w:ascii="宋体" w:hAnsi="宋体" w:cs="仿宋_GB2312"/>
              </w:rPr>
              <w:t>上述时间及地点是否有改变，请密切留意补充公告和招标答疑纪要的相关信息。</w:t>
            </w:r>
          </w:p>
        </w:tc>
      </w:tr>
      <w:tr w14:paraId="3348889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702" w:type="dxa"/>
            <w:tcBorders>
              <w:top w:val="single" w:color="auto" w:sz="4" w:space="0"/>
              <w:left w:val="double" w:color="auto" w:sz="4" w:space="0"/>
              <w:bottom w:val="single" w:color="auto" w:sz="4" w:space="0"/>
              <w:right w:val="single" w:color="auto" w:sz="4" w:space="0"/>
            </w:tcBorders>
            <w:shd w:val="clear" w:color="auto" w:fill="FFFFFF" w:themeFill="background1"/>
            <w:vAlign w:val="center"/>
          </w:tcPr>
          <w:p w14:paraId="75725346">
            <w:pPr>
              <w:rPr>
                <w:rFonts w:ascii="宋体" w:hAnsi="宋体"/>
                <w:szCs w:val="21"/>
              </w:rPr>
            </w:pPr>
            <w:r>
              <w:rPr>
                <w:rFonts w:hint="eastAsia" w:ascii="宋体" w:hAnsi="宋体"/>
                <w:szCs w:val="21"/>
              </w:rPr>
              <w:t>19</w:t>
            </w:r>
          </w:p>
        </w:tc>
        <w:tc>
          <w:tcPr>
            <w:tcW w:w="981"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37448BEB">
            <w:pPr>
              <w:rPr>
                <w:rFonts w:ascii="宋体" w:hAnsi="宋体"/>
                <w:szCs w:val="21"/>
              </w:rPr>
            </w:pPr>
            <w:r>
              <w:rPr>
                <w:rFonts w:ascii="宋体" w:hAnsi="宋体"/>
                <w:szCs w:val="21"/>
              </w:rPr>
              <w:t>26</w:t>
            </w:r>
          </w:p>
        </w:tc>
        <w:tc>
          <w:tcPr>
            <w:tcW w:w="181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3AE391DC">
            <w:pPr>
              <w:rPr>
                <w:rFonts w:ascii="宋体" w:hAnsi="宋体"/>
                <w:szCs w:val="21"/>
              </w:rPr>
            </w:pPr>
            <w:r>
              <w:rPr>
                <w:rFonts w:hint="eastAsia" w:ascii="宋体" w:hAnsi="宋体"/>
                <w:szCs w:val="21"/>
              </w:rPr>
              <w:t>开标评标办法</w:t>
            </w:r>
          </w:p>
        </w:tc>
        <w:tc>
          <w:tcPr>
            <w:tcW w:w="5857" w:type="dxa"/>
            <w:tcBorders>
              <w:top w:val="single" w:color="auto" w:sz="4" w:space="0"/>
              <w:left w:val="single" w:color="auto" w:sz="4" w:space="0"/>
              <w:bottom w:val="single" w:color="auto" w:sz="4" w:space="0"/>
              <w:right w:val="double" w:color="auto" w:sz="4" w:space="0"/>
            </w:tcBorders>
            <w:shd w:val="clear" w:color="auto" w:fill="FFFFFF" w:themeFill="background1"/>
            <w:vAlign w:val="center"/>
          </w:tcPr>
          <w:p w14:paraId="7D437B83">
            <w:pPr>
              <w:pStyle w:val="5"/>
              <w:spacing w:after="0"/>
              <w:ind w:firstLine="0"/>
              <w:rPr>
                <w:rFonts w:ascii="宋体" w:hAnsi="宋体" w:eastAsia="宋体" w:cs="Times New Roman"/>
              </w:rPr>
            </w:pPr>
            <w:r>
              <w:rPr>
                <w:rFonts w:hint="eastAsia" w:ascii="宋体" w:hAnsi="宋体" w:eastAsia="宋体" w:cs="Times New Roman"/>
              </w:rPr>
              <w:t>方式一：</w:t>
            </w:r>
            <w:r>
              <w:rPr>
                <w:rFonts w:hint="eastAsia" w:ascii="宋体" w:hAnsi="宋体" w:eastAsia="宋体" w:cs="Times New Roman"/>
                <w:u w:val="single"/>
              </w:rPr>
              <w:t>选取方法办法七（适合综合评分法四，技术标与经济标同时开启）；</w:t>
            </w:r>
          </w:p>
          <w:p w14:paraId="7261DFB7">
            <w:pPr>
              <w:pStyle w:val="5"/>
              <w:spacing w:after="0"/>
              <w:ind w:firstLine="0"/>
              <w:rPr>
                <w:rFonts w:ascii="宋体" w:hAnsi="宋体" w:eastAsia="宋体" w:cs="Times New Roman"/>
              </w:rPr>
            </w:pPr>
            <w:r>
              <w:rPr>
                <w:rFonts w:hint="eastAsia" w:ascii="宋体" w:hAnsi="宋体" w:eastAsia="宋体" w:cs="Times New Roman"/>
                <w:u w:val="single"/>
              </w:rPr>
              <w:t>投标人总得分</w:t>
            </w:r>
            <w:r>
              <w:rPr>
                <w:rFonts w:ascii="宋体" w:hAnsi="宋体" w:eastAsia="宋体" w:cs="Times New Roman"/>
                <w:u w:val="single"/>
              </w:rPr>
              <w:t>=</w:t>
            </w:r>
            <w:r>
              <w:rPr>
                <w:rFonts w:hint="eastAsia" w:ascii="宋体" w:hAnsi="宋体" w:eastAsia="宋体" w:cs="Times New Roman"/>
                <w:u w:val="single"/>
              </w:rPr>
              <w:t>技术得分（100分）×技术得分权重（</w:t>
            </w:r>
            <w:r>
              <w:rPr>
                <w:rFonts w:ascii="宋体" w:hAnsi="宋体" w:eastAsia="宋体" w:cs="Times New Roman"/>
                <w:u w:val="single"/>
              </w:rPr>
              <w:t>2</w:t>
            </w:r>
            <w:r>
              <w:rPr>
                <w:rFonts w:hint="eastAsia" w:ascii="宋体" w:hAnsi="宋体" w:eastAsia="宋体" w:cs="Times New Roman"/>
                <w:u w:val="single"/>
              </w:rPr>
              <w:t>0%）</w:t>
            </w:r>
            <w:r>
              <w:rPr>
                <w:rFonts w:ascii="宋体" w:hAnsi="宋体" w:eastAsia="宋体" w:cs="Times New Roman"/>
                <w:u w:val="single"/>
              </w:rPr>
              <w:t>＋经济得分(100分)×经济得分权重（80%）</w:t>
            </w:r>
          </w:p>
        </w:tc>
      </w:tr>
      <w:tr w14:paraId="20557D0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702" w:type="dxa"/>
            <w:tcBorders>
              <w:top w:val="single" w:color="auto" w:sz="4" w:space="0"/>
              <w:left w:val="double" w:color="auto" w:sz="4" w:space="0"/>
              <w:bottom w:val="single" w:color="auto" w:sz="4" w:space="0"/>
              <w:right w:val="single" w:color="auto" w:sz="4" w:space="0"/>
            </w:tcBorders>
            <w:shd w:val="clear" w:color="auto" w:fill="FFFFFF" w:themeFill="background1"/>
            <w:vAlign w:val="center"/>
          </w:tcPr>
          <w:p w14:paraId="65BC4715">
            <w:pPr>
              <w:rPr>
                <w:rFonts w:ascii="宋体" w:hAnsi="宋体"/>
                <w:szCs w:val="21"/>
              </w:rPr>
            </w:pPr>
            <w:r>
              <w:rPr>
                <w:rFonts w:ascii="宋体" w:hAnsi="宋体"/>
                <w:szCs w:val="21"/>
              </w:rPr>
              <w:t>2</w:t>
            </w:r>
            <w:r>
              <w:rPr>
                <w:rFonts w:hint="eastAsia" w:ascii="宋体" w:hAnsi="宋体"/>
                <w:szCs w:val="21"/>
              </w:rPr>
              <w:t>0</w:t>
            </w:r>
          </w:p>
        </w:tc>
        <w:tc>
          <w:tcPr>
            <w:tcW w:w="981"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34E2456A">
            <w:pPr>
              <w:rPr>
                <w:rFonts w:ascii="宋体" w:hAnsi="宋体"/>
                <w:szCs w:val="21"/>
              </w:rPr>
            </w:pPr>
            <w:r>
              <w:rPr>
                <w:rFonts w:ascii="宋体" w:hAnsi="宋体"/>
                <w:szCs w:val="21"/>
              </w:rPr>
              <w:t>29.1</w:t>
            </w:r>
          </w:p>
        </w:tc>
        <w:tc>
          <w:tcPr>
            <w:tcW w:w="181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4BB279D1">
            <w:pPr>
              <w:rPr>
                <w:rFonts w:ascii="宋体" w:hAnsi="宋体"/>
                <w:szCs w:val="21"/>
              </w:rPr>
            </w:pPr>
            <w:r>
              <w:rPr>
                <w:rFonts w:hint="eastAsia" w:ascii="宋体" w:hAnsi="宋体"/>
                <w:szCs w:val="21"/>
              </w:rPr>
              <w:t>履约担保</w:t>
            </w:r>
          </w:p>
        </w:tc>
        <w:tc>
          <w:tcPr>
            <w:tcW w:w="5857" w:type="dxa"/>
            <w:tcBorders>
              <w:top w:val="single" w:color="auto" w:sz="4" w:space="0"/>
              <w:left w:val="single" w:color="auto" w:sz="4" w:space="0"/>
              <w:bottom w:val="single" w:color="auto" w:sz="4" w:space="0"/>
              <w:right w:val="double" w:color="auto" w:sz="4" w:space="0"/>
            </w:tcBorders>
            <w:shd w:val="clear" w:color="auto" w:fill="FFFFFF" w:themeFill="background1"/>
            <w:vAlign w:val="center"/>
          </w:tcPr>
          <w:p w14:paraId="531E331F">
            <w:pPr>
              <w:pStyle w:val="5"/>
              <w:spacing w:after="0"/>
              <w:ind w:firstLine="0"/>
              <w:rPr>
                <w:rFonts w:ascii="宋体" w:hAnsi="宋体" w:eastAsia="宋体" w:cs="Times New Roman"/>
              </w:rPr>
            </w:pPr>
            <w:r>
              <w:rPr>
                <w:rFonts w:hint="eastAsia" w:ascii="宋体" w:hAnsi="宋体" w:eastAsia="宋体" w:cs="Times New Roman"/>
              </w:rPr>
              <w:t>方式一：中标人提供的履约担保为中标价款的10%。</w:t>
            </w:r>
          </w:p>
        </w:tc>
      </w:tr>
      <w:tr w14:paraId="2077DB6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702" w:type="dxa"/>
            <w:tcBorders>
              <w:top w:val="single" w:color="auto" w:sz="4" w:space="0"/>
              <w:left w:val="double" w:color="auto" w:sz="4" w:space="0"/>
              <w:bottom w:val="single" w:color="auto" w:sz="4" w:space="0"/>
              <w:right w:val="single" w:color="auto" w:sz="4" w:space="0"/>
            </w:tcBorders>
            <w:shd w:val="clear" w:color="auto" w:fill="FFFFFF" w:themeFill="background1"/>
            <w:vAlign w:val="center"/>
          </w:tcPr>
          <w:p w14:paraId="1B80A93F">
            <w:pPr>
              <w:rPr>
                <w:rFonts w:ascii="宋体" w:hAnsi="宋体"/>
                <w:szCs w:val="21"/>
              </w:rPr>
            </w:pPr>
            <w:r>
              <w:rPr>
                <w:rFonts w:ascii="宋体" w:hAnsi="宋体"/>
                <w:szCs w:val="21"/>
              </w:rPr>
              <w:t>2</w:t>
            </w:r>
            <w:r>
              <w:rPr>
                <w:rFonts w:hint="eastAsia" w:ascii="宋体" w:hAnsi="宋体"/>
                <w:szCs w:val="21"/>
              </w:rPr>
              <w:t>1</w:t>
            </w:r>
          </w:p>
        </w:tc>
        <w:tc>
          <w:tcPr>
            <w:tcW w:w="981"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7A2C4BF0">
            <w:pPr>
              <w:rPr>
                <w:rFonts w:ascii="宋体" w:hAnsi="宋体"/>
                <w:szCs w:val="21"/>
              </w:rPr>
            </w:pPr>
          </w:p>
        </w:tc>
        <w:tc>
          <w:tcPr>
            <w:tcW w:w="181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675D195B">
            <w:pPr>
              <w:rPr>
                <w:rFonts w:ascii="宋体" w:hAnsi="宋体"/>
                <w:szCs w:val="21"/>
              </w:rPr>
            </w:pPr>
            <w:r>
              <w:rPr>
                <w:rFonts w:hint="eastAsia" w:ascii="宋体" w:hAnsi="宋体"/>
                <w:szCs w:val="21"/>
              </w:rPr>
              <w:t>最高投标限价</w:t>
            </w:r>
          </w:p>
        </w:tc>
        <w:tc>
          <w:tcPr>
            <w:tcW w:w="5857" w:type="dxa"/>
            <w:tcBorders>
              <w:top w:val="single" w:color="auto" w:sz="4" w:space="0"/>
              <w:left w:val="single" w:color="auto" w:sz="4" w:space="0"/>
              <w:bottom w:val="single" w:color="auto" w:sz="4" w:space="0"/>
              <w:right w:val="double" w:color="auto" w:sz="4" w:space="0"/>
            </w:tcBorders>
            <w:shd w:val="clear" w:color="auto" w:fill="FFFFFF" w:themeFill="background1"/>
            <w:vAlign w:val="center"/>
          </w:tcPr>
          <w:p w14:paraId="7369DFD9">
            <w:pPr>
              <w:rPr>
                <w:rFonts w:ascii="宋体" w:hAnsi="宋体"/>
                <w:szCs w:val="21"/>
              </w:rPr>
            </w:pPr>
            <w:r>
              <w:rPr>
                <w:rFonts w:hint="eastAsia" w:ascii="宋体" w:hAnsi="宋体"/>
                <w:szCs w:val="21"/>
              </w:rPr>
              <w:t>本项目最高投标限价为人民币</w:t>
            </w:r>
            <w:r>
              <w:rPr>
                <w:rFonts w:hint="eastAsia" w:ascii="宋体" w:hAnsi="宋体"/>
                <w:szCs w:val="21"/>
                <w:u w:val="single"/>
              </w:rPr>
              <w:t>15,928,187.04</w:t>
            </w:r>
            <w:r>
              <w:rPr>
                <w:rFonts w:hint="eastAsia" w:ascii="宋体" w:hAnsi="宋体"/>
                <w:szCs w:val="21"/>
              </w:rPr>
              <w:t>元。</w:t>
            </w:r>
          </w:p>
        </w:tc>
      </w:tr>
      <w:tr w14:paraId="1A67EA9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702" w:type="dxa"/>
            <w:tcBorders>
              <w:top w:val="single" w:color="auto" w:sz="4" w:space="0"/>
              <w:left w:val="double" w:color="auto" w:sz="4" w:space="0"/>
              <w:bottom w:val="single" w:color="auto" w:sz="4" w:space="0"/>
              <w:right w:val="single" w:color="auto" w:sz="4" w:space="0"/>
            </w:tcBorders>
            <w:shd w:val="clear" w:color="auto" w:fill="FFFFFF" w:themeFill="background1"/>
            <w:vAlign w:val="center"/>
          </w:tcPr>
          <w:p w14:paraId="00A3C137">
            <w:pPr>
              <w:rPr>
                <w:rFonts w:ascii="宋体" w:hAnsi="宋体"/>
                <w:szCs w:val="21"/>
              </w:rPr>
            </w:pPr>
            <w:r>
              <w:rPr>
                <w:rFonts w:ascii="宋体" w:hAnsi="宋体"/>
                <w:szCs w:val="21"/>
              </w:rPr>
              <w:t>2</w:t>
            </w:r>
            <w:r>
              <w:rPr>
                <w:rFonts w:hint="eastAsia" w:ascii="宋体" w:hAnsi="宋体"/>
                <w:szCs w:val="21"/>
              </w:rPr>
              <w:t>2</w:t>
            </w:r>
          </w:p>
        </w:tc>
        <w:tc>
          <w:tcPr>
            <w:tcW w:w="981"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6E27F8C5">
            <w:pPr>
              <w:rPr>
                <w:rFonts w:ascii="宋体" w:hAnsi="宋体"/>
                <w:szCs w:val="21"/>
              </w:rPr>
            </w:pPr>
          </w:p>
        </w:tc>
        <w:tc>
          <w:tcPr>
            <w:tcW w:w="181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38E1BCA3">
            <w:pPr>
              <w:rPr>
                <w:rFonts w:ascii="宋体" w:hAnsi="宋体"/>
                <w:szCs w:val="21"/>
              </w:rPr>
            </w:pPr>
            <w:r>
              <w:rPr>
                <w:rFonts w:hint="eastAsia" w:ascii="宋体" w:hAnsi="宋体"/>
                <w:szCs w:val="21"/>
              </w:rPr>
              <w:t>非竞争费用</w:t>
            </w:r>
          </w:p>
        </w:tc>
        <w:tc>
          <w:tcPr>
            <w:tcW w:w="5857" w:type="dxa"/>
            <w:tcBorders>
              <w:top w:val="single" w:color="auto" w:sz="4" w:space="0"/>
              <w:left w:val="single" w:color="auto" w:sz="4" w:space="0"/>
              <w:bottom w:val="single" w:color="auto" w:sz="4" w:space="0"/>
              <w:right w:val="double" w:color="auto" w:sz="4" w:space="0"/>
            </w:tcBorders>
            <w:shd w:val="clear" w:color="auto" w:fill="FFFFFF" w:themeFill="background1"/>
            <w:vAlign w:val="center"/>
          </w:tcPr>
          <w:p w14:paraId="5A12E3B3">
            <w:pPr>
              <w:rPr>
                <w:rFonts w:ascii="宋体" w:hAnsi="宋体"/>
                <w:szCs w:val="21"/>
              </w:rPr>
            </w:pPr>
            <w:r>
              <w:rPr>
                <w:rFonts w:hint="eastAsia" w:ascii="宋体" w:hAnsi="宋体"/>
                <w:szCs w:val="21"/>
              </w:rPr>
              <w:t>本项目绿色施工安全防护措施费为</w:t>
            </w:r>
            <w:r>
              <w:rPr>
                <w:rFonts w:hint="eastAsia" w:ascii="宋体" w:hAnsi="宋体"/>
                <w:szCs w:val="21"/>
                <w:u w:val="single"/>
              </w:rPr>
              <w:t>2,778,415.77</w:t>
            </w:r>
            <w:r>
              <w:rPr>
                <w:rFonts w:hint="eastAsia" w:ascii="宋体" w:hAnsi="宋体"/>
                <w:szCs w:val="21"/>
              </w:rPr>
              <w:t>元（含税），暂列金额为</w:t>
            </w:r>
            <w:r>
              <w:rPr>
                <w:rFonts w:hint="eastAsia" w:ascii="宋体" w:hAnsi="宋体"/>
                <w:szCs w:val="21"/>
                <w:u w:val="single"/>
              </w:rPr>
              <w:t>565,459.71</w:t>
            </w:r>
            <w:r>
              <w:rPr>
                <w:rFonts w:hint="eastAsia" w:ascii="宋体" w:hAnsi="宋体"/>
                <w:szCs w:val="21"/>
              </w:rPr>
              <w:t>元（含税），暂估价为</w:t>
            </w:r>
            <w:r>
              <w:rPr>
                <w:rFonts w:ascii="宋体" w:hAnsi="宋体"/>
                <w:szCs w:val="21"/>
                <w:u w:val="single"/>
              </w:rPr>
              <w:t xml:space="preserve"> / </w:t>
            </w:r>
            <w:r>
              <w:rPr>
                <w:rFonts w:hint="eastAsia" w:ascii="宋体" w:hAnsi="宋体"/>
                <w:szCs w:val="21"/>
              </w:rPr>
              <w:t>元。</w:t>
            </w:r>
          </w:p>
          <w:p w14:paraId="19039F33">
            <w:pPr>
              <w:rPr>
                <w:rFonts w:ascii="宋体" w:hAnsi="宋体"/>
                <w:szCs w:val="21"/>
              </w:rPr>
            </w:pPr>
            <w:r>
              <w:rPr>
                <w:rFonts w:hint="eastAsia" w:ascii="宋体" w:hAnsi="宋体"/>
                <w:szCs w:val="21"/>
              </w:rPr>
              <w:t>（未按招标文件规定的金额填写的，由评标委员会按照招标文件规定的金额进行修正）</w:t>
            </w:r>
          </w:p>
        </w:tc>
      </w:tr>
      <w:tr w14:paraId="7095934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702" w:type="dxa"/>
            <w:tcBorders>
              <w:top w:val="single" w:color="auto" w:sz="4" w:space="0"/>
              <w:left w:val="double" w:color="auto" w:sz="4" w:space="0"/>
              <w:bottom w:val="single" w:color="auto" w:sz="4" w:space="0"/>
              <w:right w:val="single" w:color="auto" w:sz="4" w:space="0"/>
            </w:tcBorders>
            <w:shd w:val="clear" w:color="auto" w:fill="FFFFFF" w:themeFill="background1"/>
            <w:vAlign w:val="center"/>
          </w:tcPr>
          <w:p w14:paraId="57208912">
            <w:pPr>
              <w:rPr>
                <w:rFonts w:ascii="宋体" w:hAnsi="宋体"/>
                <w:szCs w:val="21"/>
              </w:rPr>
            </w:pPr>
            <w:r>
              <w:rPr>
                <w:rFonts w:hint="eastAsia" w:ascii="宋体" w:hAnsi="宋体"/>
                <w:szCs w:val="21"/>
              </w:rPr>
              <w:t>23</w:t>
            </w:r>
          </w:p>
        </w:tc>
        <w:tc>
          <w:tcPr>
            <w:tcW w:w="981"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1B54A721">
            <w:pPr>
              <w:rPr>
                <w:rFonts w:ascii="宋体" w:hAnsi="宋体"/>
                <w:szCs w:val="21"/>
              </w:rPr>
            </w:pPr>
          </w:p>
        </w:tc>
        <w:tc>
          <w:tcPr>
            <w:tcW w:w="181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4EDFC3F3">
            <w:pPr>
              <w:pStyle w:val="5"/>
              <w:ind w:firstLine="0"/>
              <w:rPr>
                <w:rFonts w:ascii="宋体" w:hAnsi="宋体"/>
                <w:szCs w:val="21"/>
              </w:rPr>
            </w:pPr>
            <w:r>
              <w:rPr>
                <w:rFonts w:hint="eastAsia" w:ascii="宋体" w:hAnsi="宋体" w:eastAsia="宋体" w:cs="Times New Roman"/>
                <w:szCs w:val="21"/>
              </w:rPr>
              <w:t>保修期</w:t>
            </w:r>
          </w:p>
        </w:tc>
        <w:tc>
          <w:tcPr>
            <w:tcW w:w="5857" w:type="dxa"/>
            <w:tcBorders>
              <w:top w:val="single" w:color="auto" w:sz="4" w:space="0"/>
              <w:left w:val="single" w:color="auto" w:sz="4" w:space="0"/>
              <w:bottom w:val="single" w:color="auto" w:sz="4" w:space="0"/>
              <w:right w:val="double" w:color="auto" w:sz="4" w:space="0"/>
            </w:tcBorders>
            <w:shd w:val="clear" w:color="auto" w:fill="FFFFFF" w:themeFill="background1"/>
            <w:vAlign w:val="center"/>
          </w:tcPr>
          <w:p w14:paraId="343B84E9">
            <w:pPr>
              <w:rPr>
                <w:rFonts w:ascii="宋体" w:hAnsi="宋体"/>
                <w:szCs w:val="21"/>
              </w:rPr>
            </w:pPr>
            <w:r>
              <w:rPr>
                <w:rFonts w:hint="eastAsia" w:ascii="宋体" w:hAnsi="宋体"/>
                <w:szCs w:val="21"/>
              </w:rPr>
              <w:t>按照《建设工程质量管理条例》规定。</w:t>
            </w:r>
          </w:p>
        </w:tc>
      </w:tr>
      <w:tr w14:paraId="16AAC8F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702" w:type="dxa"/>
            <w:tcBorders>
              <w:top w:val="single" w:color="auto" w:sz="4" w:space="0"/>
              <w:left w:val="double" w:color="auto" w:sz="4" w:space="0"/>
              <w:bottom w:val="single" w:color="auto" w:sz="4" w:space="0"/>
              <w:right w:val="single" w:color="auto" w:sz="4" w:space="0"/>
            </w:tcBorders>
            <w:shd w:val="clear" w:color="auto" w:fill="FFFFFF" w:themeFill="background1"/>
            <w:vAlign w:val="center"/>
          </w:tcPr>
          <w:p w14:paraId="21B85E4B">
            <w:pPr>
              <w:rPr>
                <w:rFonts w:ascii="宋体" w:hAnsi="宋体"/>
                <w:strike/>
                <w:szCs w:val="21"/>
              </w:rPr>
            </w:pPr>
            <w:r>
              <w:rPr>
                <w:rFonts w:ascii="宋体" w:hAnsi="宋体"/>
                <w:strike/>
                <w:szCs w:val="21"/>
              </w:rPr>
              <w:t>2</w:t>
            </w:r>
            <w:r>
              <w:rPr>
                <w:rFonts w:hint="eastAsia" w:ascii="宋体" w:hAnsi="宋体"/>
                <w:strike/>
                <w:szCs w:val="21"/>
              </w:rPr>
              <w:t>4</w:t>
            </w:r>
          </w:p>
        </w:tc>
        <w:tc>
          <w:tcPr>
            <w:tcW w:w="981"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383626F2">
            <w:pPr>
              <w:rPr>
                <w:rFonts w:ascii="宋体" w:hAnsi="宋体"/>
                <w:strike/>
                <w:szCs w:val="21"/>
              </w:rPr>
            </w:pPr>
          </w:p>
        </w:tc>
        <w:tc>
          <w:tcPr>
            <w:tcW w:w="181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2095E081">
            <w:pPr>
              <w:rPr>
                <w:rFonts w:ascii="宋体" w:hAnsi="宋体"/>
                <w:strike/>
                <w:szCs w:val="21"/>
              </w:rPr>
            </w:pPr>
            <w:r>
              <w:rPr>
                <w:rFonts w:hint="eastAsia" w:ascii="宋体" w:hAnsi="宋体"/>
                <w:strike/>
                <w:szCs w:val="21"/>
              </w:rPr>
              <w:t>计算评标参考价的等分点值</w:t>
            </w:r>
          </w:p>
        </w:tc>
        <w:tc>
          <w:tcPr>
            <w:tcW w:w="5857" w:type="dxa"/>
            <w:tcBorders>
              <w:top w:val="single" w:color="auto" w:sz="4" w:space="0"/>
              <w:left w:val="single" w:color="auto" w:sz="4" w:space="0"/>
              <w:bottom w:val="single" w:color="auto" w:sz="4" w:space="0"/>
              <w:right w:val="double" w:color="auto" w:sz="4" w:space="0"/>
            </w:tcBorders>
            <w:shd w:val="clear" w:color="auto" w:fill="FFFFFF" w:themeFill="background1"/>
            <w:vAlign w:val="center"/>
          </w:tcPr>
          <w:p w14:paraId="583DE9DD">
            <w:pPr>
              <w:rPr>
                <w:rFonts w:ascii="宋体" w:hAnsi="宋体"/>
                <w:strike/>
                <w:szCs w:val="21"/>
              </w:rPr>
            </w:pPr>
            <w:r>
              <w:rPr>
                <w:rFonts w:hint="eastAsia" w:ascii="宋体" w:hAnsi="宋体"/>
                <w:strike/>
                <w:szCs w:val="21"/>
              </w:rPr>
              <w:t>计算评标参考价的等分点值</w:t>
            </w:r>
            <w:r>
              <w:rPr>
                <w:rFonts w:ascii="宋体" w:hAnsi="宋体"/>
                <w:strike/>
                <w:szCs w:val="21"/>
              </w:rPr>
              <w:t>X</w:t>
            </w:r>
            <w:r>
              <w:rPr>
                <w:rFonts w:hint="eastAsia" w:ascii="宋体" w:hAnsi="宋体"/>
                <w:strike/>
                <w:szCs w:val="21"/>
              </w:rPr>
              <w:t>在开标前从[0,100]</w:t>
            </w:r>
            <w:r>
              <w:rPr>
                <w:rFonts w:hint="eastAsia" w:ascii="宋体" w:hAnsi="宋体"/>
                <w:strike/>
              </w:rPr>
              <w:t xml:space="preserve"> </w:t>
            </w:r>
            <w:r>
              <w:rPr>
                <w:rFonts w:hint="eastAsia" w:ascii="宋体" w:hAnsi="宋体"/>
                <w:strike/>
                <w:szCs w:val="21"/>
              </w:rPr>
              <w:t>的整数中随机抽取。</w:t>
            </w:r>
          </w:p>
        </w:tc>
      </w:tr>
      <w:tr w14:paraId="60E0F36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702" w:type="dxa"/>
            <w:tcBorders>
              <w:top w:val="single" w:color="auto" w:sz="4" w:space="0"/>
              <w:left w:val="double" w:color="auto" w:sz="4" w:space="0"/>
              <w:bottom w:val="single" w:color="auto" w:sz="4" w:space="0"/>
              <w:right w:val="single" w:color="auto" w:sz="4" w:space="0"/>
            </w:tcBorders>
            <w:shd w:val="clear" w:color="auto" w:fill="FFFFFF" w:themeFill="background1"/>
            <w:vAlign w:val="center"/>
          </w:tcPr>
          <w:p w14:paraId="3CD82BFF">
            <w:pPr>
              <w:rPr>
                <w:rFonts w:ascii="宋体" w:hAnsi="宋体"/>
                <w:strike/>
                <w:szCs w:val="21"/>
              </w:rPr>
            </w:pPr>
            <w:r>
              <w:rPr>
                <w:rFonts w:hint="eastAsia" w:ascii="宋体" w:hAnsi="宋体"/>
                <w:strike/>
                <w:szCs w:val="21"/>
              </w:rPr>
              <w:t>25</w:t>
            </w:r>
          </w:p>
        </w:tc>
        <w:tc>
          <w:tcPr>
            <w:tcW w:w="981"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36E1AD92">
            <w:pPr>
              <w:ind w:firstLine="458"/>
              <w:rPr>
                <w:rFonts w:ascii="宋体" w:hAnsi="宋体"/>
                <w:strike/>
                <w:szCs w:val="21"/>
              </w:rPr>
            </w:pPr>
          </w:p>
        </w:tc>
        <w:tc>
          <w:tcPr>
            <w:tcW w:w="181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429CE180">
            <w:pPr>
              <w:rPr>
                <w:rFonts w:ascii="宋体" w:hAnsi="宋体"/>
                <w:strike/>
                <w:szCs w:val="21"/>
              </w:rPr>
            </w:pPr>
            <w:r>
              <w:rPr>
                <w:rFonts w:hint="eastAsia" w:ascii="宋体" w:hAnsi="宋体"/>
                <w:strike/>
                <w:szCs w:val="21"/>
              </w:rPr>
              <w:t>进入第二阶段评审的家数</w:t>
            </w:r>
          </w:p>
        </w:tc>
        <w:tc>
          <w:tcPr>
            <w:tcW w:w="5857" w:type="dxa"/>
            <w:tcBorders>
              <w:top w:val="single" w:color="auto" w:sz="4" w:space="0"/>
              <w:left w:val="single" w:color="auto" w:sz="4" w:space="0"/>
              <w:bottom w:val="single" w:color="auto" w:sz="4" w:space="0"/>
              <w:right w:val="double" w:color="auto" w:sz="4" w:space="0"/>
            </w:tcBorders>
            <w:shd w:val="clear" w:color="auto" w:fill="FFFFFF" w:themeFill="background1"/>
            <w:vAlign w:val="center"/>
          </w:tcPr>
          <w:p w14:paraId="6E45C2FF">
            <w:pPr>
              <w:rPr>
                <w:rFonts w:ascii="宋体" w:hAnsi="宋体"/>
                <w:strike/>
                <w:szCs w:val="21"/>
              </w:rPr>
            </w:pPr>
            <w:r>
              <w:rPr>
                <w:rFonts w:ascii="宋体" w:hAnsi="宋体"/>
                <w:strike/>
                <w:szCs w:val="21"/>
              </w:rPr>
              <w:fldChar w:fldCharType="begin"/>
            </w:r>
            <w:r>
              <w:rPr>
                <w:rFonts w:ascii="宋体" w:hAnsi="宋体"/>
                <w:strike/>
                <w:szCs w:val="21"/>
              </w:rPr>
              <w:instrText xml:space="preserve"> </w:instrText>
            </w:r>
            <w:r>
              <w:rPr>
                <w:rFonts w:hint="eastAsia" w:ascii="宋体" w:hAnsi="宋体"/>
                <w:strike/>
                <w:szCs w:val="21"/>
              </w:rPr>
              <w:instrText xml:space="preserve">= 1 \* GB3</w:instrText>
            </w:r>
            <w:r>
              <w:rPr>
                <w:rFonts w:ascii="宋体" w:hAnsi="宋体"/>
                <w:strike/>
                <w:szCs w:val="21"/>
              </w:rPr>
              <w:instrText xml:space="preserve"> </w:instrText>
            </w:r>
            <w:r>
              <w:rPr>
                <w:rFonts w:ascii="宋体" w:hAnsi="宋体"/>
                <w:strike/>
                <w:szCs w:val="21"/>
              </w:rPr>
              <w:fldChar w:fldCharType="separate"/>
            </w:r>
            <w:r>
              <w:rPr>
                <w:rFonts w:hint="eastAsia" w:ascii="宋体" w:hAnsi="宋体"/>
                <w:strike/>
                <w:szCs w:val="21"/>
              </w:rPr>
              <w:t>①</w:t>
            </w:r>
            <w:r>
              <w:rPr>
                <w:rFonts w:ascii="宋体" w:hAnsi="宋体"/>
                <w:strike/>
                <w:szCs w:val="21"/>
              </w:rPr>
              <w:fldChar w:fldCharType="end"/>
            </w:r>
            <w:r>
              <w:rPr>
                <w:rFonts w:hint="eastAsia" w:ascii="宋体" w:hAnsi="宋体"/>
                <w:strike/>
                <w:szCs w:val="21"/>
              </w:rPr>
              <w:t>通过技术有效性审查的投标人均进入第二阶段（适用于通过技术有效性审查家数在[3,</w:t>
            </w:r>
            <w:r>
              <w:rPr>
                <w:rFonts w:hint="eastAsia" w:ascii="宋体" w:hAnsi="宋体"/>
                <w:strike/>
                <w:szCs w:val="21"/>
                <w:u w:val="single"/>
              </w:rPr>
              <w:t xml:space="preserve">  </w:t>
            </w:r>
            <w:r>
              <w:rPr>
                <w:rFonts w:hint="eastAsia" w:ascii="宋体" w:hAnsi="宋体"/>
                <w:strike/>
                <w:szCs w:val="21"/>
              </w:rPr>
              <w:t>]中的）。</w:t>
            </w:r>
          </w:p>
          <w:p w14:paraId="29DF1ED1">
            <w:pPr>
              <w:rPr>
                <w:rFonts w:ascii="宋体" w:hAnsi="宋体"/>
                <w:strike/>
                <w:szCs w:val="21"/>
              </w:rPr>
            </w:pPr>
            <w:r>
              <w:rPr>
                <w:rFonts w:ascii="宋体" w:hAnsi="宋体"/>
                <w:strike/>
                <w:szCs w:val="21"/>
              </w:rPr>
              <w:fldChar w:fldCharType="begin"/>
            </w:r>
            <w:r>
              <w:rPr>
                <w:rFonts w:ascii="宋体" w:hAnsi="宋体"/>
                <w:strike/>
                <w:szCs w:val="21"/>
              </w:rPr>
              <w:instrText xml:space="preserve"> </w:instrText>
            </w:r>
            <w:r>
              <w:rPr>
                <w:rFonts w:hint="eastAsia" w:ascii="宋体" w:hAnsi="宋体"/>
                <w:strike/>
                <w:szCs w:val="21"/>
              </w:rPr>
              <w:instrText xml:space="preserve">= 2 \* GB3</w:instrText>
            </w:r>
            <w:r>
              <w:rPr>
                <w:rFonts w:ascii="宋体" w:hAnsi="宋体"/>
                <w:strike/>
                <w:szCs w:val="21"/>
              </w:rPr>
              <w:instrText xml:space="preserve"> </w:instrText>
            </w:r>
            <w:r>
              <w:rPr>
                <w:rFonts w:ascii="宋体" w:hAnsi="宋体"/>
                <w:strike/>
                <w:szCs w:val="21"/>
              </w:rPr>
              <w:fldChar w:fldCharType="separate"/>
            </w:r>
            <w:r>
              <w:rPr>
                <w:rFonts w:hint="eastAsia" w:ascii="宋体" w:hAnsi="宋体"/>
                <w:strike/>
                <w:szCs w:val="21"/>
              </w:rPr>
              <w:t>②</w:t>
            </w:r>
            <w:r>
              <w:rPr>
                <w:rFonts w:ascii="宋体" w:hAnsi="宋体"/>
                <w:strike/>
                <w:szCs w:val="21"/>
              </w:rPr>
              <w:fldChar w:fldCharType="end"/>
            </w:r>
            <w:r>
              <w:rPr>
                <w:rFonts w:hint="eastAsia" w:ascii="宋体" w:hAnsi="宋体"/>
                <w:strike/>
                <w:szCs w:val="21"/>
              </w:rPr>
              <w:t>将第一阶段得分由高至低排序，前</w:t>
            </w:r>
            <w:r>
              <w:rPr>
                <w:rFonts w:hint="eastAsia" w:ascii="宋体" w:hAnsi="宋体"/>
                <w:strike/>
                <w:szCs w:val="21"/>
                <w:u w:val="single"/>
              </w:rPr>
              <w:t xml:space="preserve">   </w:t>
            </w:r>
            <w:r>
              <w:rPr>
                <w:rFonts w:hint="eastAsia" w:ascii="宋体" w:hAnsi="宋体"/>
                <w:strike/>
                <w:szCs w:val="21"/>
              </w:rPr>
              <w:t>名投标人进入第二阶段评审（适用于通过技术有效性审查家数大于</w:t>
            </w:r>
            <w:r>
              <w:rPr>
                <w:rFonts w:hint="eastAsia" w:ascii="宋体" w:hAnsi="宋体"/>
                <w:strike/>
                <w:szCs w:val="21"/>
                <w:u w:val="single"/>
              </w:rPr>
              <w:t xml:space="preserve">  </w:t>
            </w:r>
            <w:r>
              <w:rPr>
                <w:rFonts w:hint="eastAsia" w:ascii="宋体" w:hAnsi="宋体"/>
                <w:strike/>
                <w:szCs w:val="21"/>
              </w:rPr>
              <w:t>家的，招标人可根据工程具体情况，确定不少于</w:t>
            </w:r>
            <w:r>
              <w:rPr>
                <w:rFonts w:hint="eastAsia" w:ascii="宋体" w:hAnsi="宋体"/>
                <w:strike/>
                <w:szCs w:val="21"/>
                <w:u w:val="single"/>
              </w:rPr>
              <w:t xml:space="preserve">   </w:t>
            </w:r>
            <w:r>
              <w:rPr>
                <w:rFonts w:hint="eastAsia" w:ascii="宋体" w:hAnsi="宋体"/>
                <w:strike/>
                <w:szCs w:val="21"/>
              </w:rPr>
              <w:t>家进入第二阶段）。</w:t>
            </w:r>
          </w:p>
          <w:p w14:paraId="1C2776F0">
            <w:pPr>
              <w:rPr>
                <w:rFonts w:ascii="宋体" w:hAnsi="宋体"/>
                <w:strike/>
                <w:szCs w:val="21"/>
              </w:rPr>
            </w:pPr>
            <w:r>
              <w:rPr>
                <w:rFonts w:hint="eastAsia" w:ascii="宋体" w:hAnsi="宋体"/>
                <w:strike/>
                <w:szCs w:val="21"/>
              </w:rPr>
              <w:t>注：本款适用于选择评标办法一至评标办法六。进入第二阶段的投标人家数应符合</w:t>
            </w:r>
            <w:r>
              <w:rPr>
                <w:rFonts w:hint="eastAsia" w:ascii="宋体" w:hAnsi="宋体" w:cs="仿宋_GB2312"/>
                <w:strike/>
                <w:szCs w:val="21"/>
              </w:rPr>
              <w:t>行政监管部门的要求。</w:t>
            </w:r>
          </w:p>
        </w:tc>
      </w:tr>
      <w:tr w14:paraId="642AFBA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702" w:type="dxa"/>
            <w:tcBorders>
              <w:top w:val="single" w:color="auto" w:sz="4" w:space="0"/>
              <w:left w:val="double" w:color="auto" w:sz="4" w:space="0"/>
              <w:bottom w:val="single" w:color="auto" w:sz="4" w:space="0"/>
              <w:right w:val="single" w:color="auto" w:sz="4" w:space="0"/>
            </w:tcBorders>
            <w:shd w:val="clear" w:color="auto" w:fill="FFFFFF" w:themeFill="background1"/>
            <w:vAlign w:val="center"/>
          </w:tcPr>
          <w:p w14:paraId="2B391317">
            <w:pPr>
              <w:rPr>
                <w:rFonts w:ascii="宋体" w:hAnsi="宋体"/>
                <w:szCs w:val="21"/>
              </w:rPr>
            </w:pPr>
            <w:r>
              <w:rPr>
                <w:rFonts w:hint="eastAsia" w:ascii="宋体" w:hAnsi="宋体"/>
                <w:szCs w:val="21"/>
              </w:rPr>
              <w:t>26</w:t>
            </w:r>
          </w:p>
        </w:tc>
        <w:tc>
          <w:tcPr>
            <w:tcW w:w="981"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50983113">
            <w:pPr>
              <w:rPr>
                <w:rFonts w:ascii="宋体" w:hAnsi="宋体"/>
                <w:szCs w:val="21"/>
              </w:rPr>
            </w:pPr>
          </w:p>
        </w:tc>
        <w:tc>
          <w:tcPr>
            <w:tcW w:w="181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5759CBC9">
            <w:pPr>
              <w:rPr>
                <w:rFonts w:ascii="宋体" w:hAnsi="宋体"/>
                <w:szCs w:val="21"/>
              </w:rPr>
            </w:pPr>
            <w:r>
              <w:rPr>
                <w:rFonts w:hint="eastAsia" w:ascii="宋体" w:hAnsi="宋体"/>
                <w:szCs w:val="21"/>
              </w:rPr>
              <w:t>工程成本警戒价</w:t>
            </w:r>
          </w:p>
        </w:tc>
        <w:tc>
          <w:tcPr>
            <w:tcW w:w="5857" w:type="dxa"/>
            <w:tcBorders>
              <w:top w:val="single" w:color="auto" w:sz="4" w:space="0"/>
              <w:left w:val="single" w:color="auto" w:sz="4" w:space="0"/>
              <w:bottom w:val="single" w:color="auto" w:sz="4" w:space="0"/>
              <w:right w:val="double" w:color="auto" w:sz="4" w:space="0"/>
            </w:tcBorders>
            <w:shd w:val="clear" w:color="auto" w:fill="FFFFFF" w:themeFill="background1"/>
            <w:vAlign w:val="center"/>
          </w:tcPr>
          <w:p w14:paraId="5BE712CD">
            <w:pPr>
              <w:rPr>
                <w:rFonts w:ascii="宋体" w:hAnsi="宋体"/>
                <w:szCs w:val="21"/>
              </w:rPr>
            </w:pPr>
            <w:r>
              <w:rPr>
                <w:rFonts w:hint="eastAsia" w:ascii="宋体" w:hAnsi="宋体"/>
                <w:szCs w:val="21"/>
              </w:rPr>
              <w:t>工程成本警戒价为</w:t>
            </w:r>
            <w:r>
              <w:rPr>
                <w:rFonts w:hint="eastAsia" w:ascii="宋体" w:hAnsi="宋体"/>
                <w:szCs w:val="21"/>
                <w:u w:val="single"/>
              </w:rPr>
              <w:t>14,972,495.82</w:t>
            </w:r>
            <w:r>
              <w:rPr>
                <w:rFonts w:hint="eastAsia" w:ascii="宋体" w:hAnsi="宋体"/>
                <w:szCs w:val="21"/>
              </w:rPr>
              <w:t>元。对低于该警戒价的投标报价，投标人必须提供详细的施工组织设计、单价、措施性费用、单价分析表、主要材料价格表、投标人成本分析供评标委员会评审，由评标委员会判定其是否低于企业自身成本。在评标过程中，评标委员会发现投标人的报价明显低于其他投标报价或者低于成本警戒价，使得其投标报价可能低于其个别成本的，应当要求该投标人作出书面说明并提供相关证明材料。投标人不能合理说明或者不能提供相关证明材料的，由评标委员会认定该投标人以低于成本报价竞标，应当否决其投标。</w:t>
            </w:r>
          </w:p>
          <w:p w14:paraId="4E3C7FC8">
            <w:pPr>
              <w:rPr>
                <w:rFonts w:ascii="宋体" w:hAnsi="宋体"/>
                <w:szCs w:val="21"/>
                <w:u w:val="single"/>
              </w:rPr>
            </w:pPr>
            <w:r>
              <w:rPr>
                <w:rFonts w:hint="eastAsia" w:ascii="宋体" w:hAnsi="宋体"/>
                <w:szCs w:val="21"/>
              </w:rPr>
              <w:t>注：为充分体现招标人意愿及落实项目招标人负责制，警戒价由招标人决定。</w:t>
            </w:r>
          </w:p>
        </w:tc>
      </w:tr>
      <w:tr w14:paraId="4556CAC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702" w:type="dxa"/>
            <w:tcBorders>
              <w:top w:val="single" w:color="auto" w:sz="4" w:space="0"/>
              <w:left w:val="double" w:color="auto" w:sz="4" w:space="0"/>
              <w:bottom w:val="single" w:color="auto" w:sz="4" w:space="0"/>
              <w:right w:val="single" w:color="auto" w:sz="4" w:space="0"/>
            </w:tcBorders>
            <w:shd w:val="clear" w:color="auto" w:fill="FFFFFF" w:themeFill="background1"/>
            <w:vAlign w:val="center"/>
          </w:tcPr>
          <w:p w14:paraId="4982BB2E">
            <w:pPr>
              <w:rPr>
                <w:rFonts w:ascii="宋体" w:hAnsi="宋体"/>
                <w:strike/>
                <w:szCs w:val="21"/>
              </w:rPr>
            </w:pPr>
            <w:r>
              <w:rPr>
                <w:rFonts w:hint="eastAsia" w:ascii="宋体" w:hAnsi="宋体"/>
                <w:strike/>
                <w:szCs w:val="21"/>
              </w:rPr>
              <w:t>27</w:t>
            </w:r>
          </w:p>
        </w:tc>
        <w:tc>
          <w:tcPr>
            <w:tcW w:w="981"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390119B1">
            <w:pPr>
              <w:rPr>
                <w:rFonts w:ascii="宋体" w:hAnsi="宋体"/>
                <w:strike/>
                <w:szCs w:val="21"/>
              </w:rPr>
            </w:pPr>
          </w:p>
        </w:tc>
        <w:tc>
          <w:tcPr>
            <w:tcW w:w="181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4720C52E">
            <w:pPr>
              <w:rPr>
                <w:rFonts w:ascii="宋体" w:hAnsi="宋体"/>
                <w:strike/>
                <w:szCs w:val="21"/>
              </w:rPr>
            </w:pPr>
            <w:r>
              <w:rPr>
                <w:rFonts w:hint="eastAsia" w:ascii="宋体" w:hAnsi="宋体"/>
                <w:strike/>
                <w:szCs w:val="21"/>
              </w:rPr>
              <w:t>第一阶段各分值的权重</w:t>
            </w:r>
          </w:p>
        </w:tc>
        <w:tc>
          <w:tcPr>
            <w:tcW w:w="5857" w:type="dxa"/>
            <w:tcBorders>
              <w:top w:val="single" w:color="auto" w:sz="4" w:space="0"/>
              <w:left w:val="single" w:color="auto" w:sz="4" w:space="0"/>
              <w:bottom w:val="single" w:color="auto" w:sz="4" w:space="0"/>
              <w:right w:val="double" w:color="auto" w:sz="4" w:space="0"/>
            </w:tcBorders>
            <w:shd w:val="clear" w:color="auto" w:fill="FFFFFF" w:themeFill="background1"/>
            <w:vAlign w:val="center"/>
          </w:tcPr>
          <w:p w14:paraId="56F7060F">
            <w:pPr>
              <w:rPr>
                <w:rFonts w:ascii="宋体" w:hAnsi="宋体"/>
                <w:strike/>
                <w:szCs w:val="21"/>
              </w:rPr>
            </w:pPr>
            <w:r>
              <w:rPr>
                <w:rFonts w:hint="eastAsia" w:ascii="宋体" w:hAnsi="宋体"/>
                <w:strike/>
                <w:szCs w:val="21"/>
              </w:rPr>
              <w:t>第一阶段各分值的权重：技术分权重为</w:t>
            </w:r>
            <w:r>
              <w:rPr>
                <w:rFonts w:hint="eastAsia" w:ascii="宋体" w:hAnsi="宋体"/>
                <w:strike/>
                <w:szCs w:val="21"/>
                <w:u w:val="single"/>
              </w:rPr>
              <w:t xml:space="preserve">    </w:t>
            </w:r>
            <w:r>
              <w:rPr>
                <w:rFonts w:hint="eastAsia" w:ascii="宋体" w:hAnsi="宋体"/>
                <w:strike/>
                <w:szCs w:val="21"/>
              </w:rPr>
              <w:t>%，综合诚信评价分数权重为</w:t>
            </w:r>
            <w:r>
              <w:rPr>
                <w:rFonts w:hint="eastAsia" w:ascii="宋体" w:hAnsi="宋体"/>
                <w:strike/>
                <w:szCs w:val="21"/>
                <w:u w:val="single"/>
              </w:rPr>
              <w:t xml:space="preserve">    </w:t>
            </w:r>
            <w:r>
              <w:rPr>
                <w:rFonts w:hint="eastAsia" w:ascii="宋体" w:hAnsi="宋体"/>
                <w:strike/>
                <w:szCs w:val="21"/>
              </w:rPr>
              <w:t>%。</w:t>
            </w:r>
          </w:p>
          <w:p w14:paraId="49E02174">
            <w:pPr>
              <w:rPr>
                <w:rFonts w:ascii="宋体" w:hAnsi="宋体"/>
                <w:strike/>
                <w:szCs w:val="21"/>
              </w:rPr>
            </w:pPr>
            <w:r>
              <w:rPr>
                <w:rFonts w:hint="eastAsia" w:ascii="宋体" w:hAnsi="宋体"/>
                <w:strike/>
                <w:szCs w:val="21"/>
              </w:rPr>
              <w:t>注：综合诚信评价得分权重按《关于诚信综合评价在招标投标环节中应用的指引》（招标投标指引2020年第6期）规定执行，招标人可在[0,20%]选择。技术分权重=100%-综合诚信评价得分权重</w:t>
            </w:r>
          </w:p>
        </w:tc>
      </w:tr>
      <w:tr w14:paraId="18F3C37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702" w:type="dxa"/>
            <w:tcBorders>
              <w:top w:val="single" w:color="auto" w:sz="4" w:space="0"/>
              <w:left w:val="double" w:color="auto" w:sz="4" w:space="0"/>
              <w:bottom w:val="single" w:color="auto" w:sz="4" w:space="0"/>
              <w:right w:val="single" w:color="auto" w:sz="4" w:space="0"/>
            </w:tcBorders>
            <w:shd w:val="clear" w:color="auto" w:fill="FFFFFF" w:themeFill="background1"/>
            <w:vAlign w:val="center"/>
          </w:tcPr>
          <w:p w14:paraId="39E84C63">
            <w:pPr>
              <w:rPr>
                <w:rFonts w:ascii="宋体" w:hAnsi="宋体"/>
                <w:szCs w:val="21"/>
              </w:rPr>
            </w:pPr>
            <w:r>
              <w:rPr>
                <w:rFonts w:hint="eastAsia" w:ascii="宋体" w:hAnsi="宋体"/>
                <w:szCs w:val="21"/>
              </w:rPr>
              <w:t>28</w:t>
            </w:r>
          </w:p>
        </w:tc>
        <w:tc>
          <w:tcPr>
            <w:tcW w:w="981"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6D504113">
            <w:pPr>
              <w:rPr>
                <w:rFonts w:ascii="宋体" w:hAnsi="宋体"/>
                <w:szCs w:val="21"/>
              </w:rPr>
            </w:pPr>
          </w:p>
        </w:tc>
        <w:tc>
          <w:tcPr>
            <w:tcW w:w="181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4B603EBC">
            <w:pPr>
              <w:rPr>
                <w:rFonts w:ascii="宋体" w:hAnsi="宋体"/>
                <w:szCs w:val="21"/>
              </w:rPr>
            </w:pPr>
            <w:r>
              <w:rPr>
                <w:rFonts w:hint="eastAsia" w:ascii="宋体" w:hAnsi="宋体"/>
                <w:szCs w:val="21"/>
              </w:rPr>
              <w:t>评标委员会人数</w:t>
            </w:r>
          </w:p>
        </w:tc>
        <w:tc>
          <w:tcPr>
            <w:tcW w:w="5857" w:type="dxa"/>
            <w:tcBorders>
              <w:top w:val="single" w:color="auto" w:sz="4" w:space="0"/>
              <w:left w:val="single" w:color="auto" w:sz="4" w:space="0"/>
              <w:bottom w:val="single" w:color="auto" w:sz="4" w:space="0"/>
              <w:right w:val="double" w:color="auto" w:sz="4" w:space="0"/>
            </w:tcBorders>
            <w:shd w:val="clear" w:color="auto" w:fill="FFFFFF" w:themeFill="background1"/>
            <w:vAlign w:val="center"/>
          </w:tcPr>
          <w:p w14:paraId="2E68E61E">
            <w:pPr>
              <w:rPr>
                <w:rFonts w:ascii="宋体" w:hAnsi="宋体"/>
                <w:szCs w:val="21"/>
              </w:rPr>
            </w:pPr>
            <w:r>
              <w:rPr>
                <w:rFonts w:hint="eastAsia" w:ascii="宋体" w:hAnsi="宋体"/>
                <w:szCs w:val="21"/>
              </w:rPr>
              <w:t>评标委员会由招标人依法组建。</w:t>
            </w:r>
          </w:p>
        </w:tc>
      </w:tr>
      <w:tr w14:paraId="5E4D8D0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702" w:type="dxa"/>
            <w:tcBorders>
              <w:top w:val="single" w:color="auto" w:sz="4" w:space="0"/>
              <w:left w:val="double" w:color="auto" w:sz="4" w:space="0"/>
              <w:bottom w:val="single" w:color="auto" w:sz="4" w:space="0"/>
              <w:right w:val="single" w:color="auto" w:sz="4" w:space="0"/>
            </w:tcBorders>
            <w:shd w:val="clear" w:color="auto" w:fill="FFFFFF" w:themeFill="background1"/>
            <w:vAlign w:val="center"/>
          </w:tcPr>
          <w:p w14:paraId="013C3543">
            <w:pPr>
              <w:rPr>
                <w:rFonts w:ascii="宋体" w:hAnsi="宋体"/>
                <w:strike/>
                <w:szCs w:val="21"/>
              </w:rPr>
            </w:pPr>
            <w:r>
              <w:rPr>
                <w:rFonts w:hint="eastAsia" w:ascii="宋体" w:hAnsi="宋体"/>
                <w:strike/>
                <w:szCs w:val="21"/>
              </w:rPr>
              <w:t>29</w:t>
            </w:r>
          </w:p>
        </w:tc>
        <w:tc>
          <w:tcPr>
            <w:tcW w:w="981"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04EC0546">
            <w:pPr>
              <w:rPr>
                <w:rFonts w:ascii="宋体" w:hAnsi="宋体"/>
                <w:strike/>
                <w:szCs w:val="21"/>
              </w:rPr>
            </w:pPr>
          </w:p>
        </w:tc>
        <w:tc>
          <w:tcPr>
            <w:tcW w:w="181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0B4FC0C4">
            <w:pPr>
              <w:rPr>
                <w:rFonts w:ascii="宋体" w:hAnsi="宋体"/>
                <w:strike/>
                <w:szCs w:val="21"/>
              </w:rPr>
            </w:pPr>
            <w:r>
              <w:rPr>
                <w:rFonts w:hint="eastAsia" w:ascii="宋体" w:hAnsi="宋体"/>
                <w:strike/>
                <w:szCs w:val="21"/>
              </w:rPr>
              <w:t>企业综合诚信评价分数</w:t>
            </w:r>
          </w:p>
        </w:tc>
        <w:tc>
          <w:tcPr>
            <w:tcW w:w="5857" w:type="dxa"/>
            <w:tcBorders>
              <w:top w:val="single" w:color="auto" w:sz="4" w:space="0"/>
              <w:left w:val="single" w:color="auto" w:sz="4" w:space="0"/>
              <w:bottom w:val="single" w:color="auto" w:sz="4" w:space="0"/>
              <w:right w:val="double" w:color="auto" w:sz="4" w:space="0"/>
            </w:tcBorders>
            <w:shd w:val="clear" w:color="auto" w:fill="FFFFFF" w:themeFill="background1"/>
            <w:vAlign w:val="center"/>
          </w:tcPr>
          <w:p w14:paraId="0345A42C">
            <w:pPr>
              <w:rPr>
                <w:rFonts w:ascii="宋体" w:hAnsi="宋体"/>
                <w:strike/>
                <w:szCs w:val="21"/>
              </w:rPr>
            </w:pPr>
            <w:r>
              <w:rPr>
                <w:rFonts w:hint="eastAsia" w:ascii="宋体" w:hAnsi="宋体"/>
                <w:strike/>
                <w:szCs w:val="21"/>
              </w:rPr>
              <w:t>本项目的企业综合诚信评价分数，以</w:t>
            </w:r>
            <w:r>
              <w:rPr>
                <w:rFonts w:ascii="宋体" w:hAnsi="宋体"/>
                <w:strike/>
                <w:szCs w:val="21"/>
                <w:u w:val="single"/>
              </w:rPr>
              <w:t xml:space="preserve">              </w:t>
            </w:r>
            <w:r>
              <w:rPr>
                <w:rFonts w:hint="eastAsia" w:ascii="宋体" w:hAnsi="宋体"/>
                <w:strike/>
                <w:szCs w:val="21"/>
              </w:rPr>
              <w:t>排名为准。</w:t>
            </w:r>
          </w:p>
        </w:tc>
      </w:tr>
      <w:tr w14:paraId="09C639A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702" w:type="dxa"/>
            <w:tcBorders>
              <w:top w:val="single" w:color="auto" w:sz="4" w:space="0"/>
              <w:left w:val="double" w:color="auto" w:sz="4" w:space="0"/>
              <w:bottom w:val="single" w:color="auto" w:sz="4" w:space="0"/>
              <w:right w:val="single" w:color="auto" w:sz="4" w:space="0"/>
            </w:tcBorders>
            <w:shd w:val="clear" w:color="auto" w:fill="FFFFFF" w:themeFill="background1"/>
            <w:vAlign w:val="center"/>
          </w:tcPr>
          <w:p w14:paraId="02459085">
            <w:pPr>
              <w:rPr>
                <w:rFonts w:ascii="宋体" w:hAnsi="宋体"/>
                <w:strike/>
                <w:szCs w:val="21"/>
              </w:rPr>
            </w:pPr>
            <w:r>
              <w:rPr>
                <w:rFonts w:hint="eastAsia" w:ascii="宋体" w:hAnsi="宋体"/>
                <w:strike/>
                <w:szCs w:val="21"/>
              </w:rPr>
              <w:t>30</w:t>
            </w:r>
          </w:p>
        </w:tc>
        <w:tc>
          <w:tcPr>
            <w:tcW w:w="981"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3235C001">
            <w:pPr>
              <w:ind w:firstLine="458"/>
              <w:rPr>
                <w:rFonts w:ascii="宋体" w:hAnsi="宋体"/>
                <w:strike/>
                <w:szCs w:val="21"/>
              </w:rPr>
            </w:pPr>
          </w:p>
        </w:tc>
        <w:tc>
          <w:tcPr>
            <w:tcW w:w="181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72C34C68">
            <w:pPr>
              <w:ind w:firstLine="458"/>
              <w:rPr>
                <w:rFonts w:ascii="宋体" w:hAnsi="宋体"/>
                <w:strike/>
                <w:szCs w:val="21"/>
              </w:rPr>
            </w:pPr>
            <w:r>
              <w:rPr>
                <w:rFonts w:hint="eastAsia" w:ascii="宋体" w:hAnsi="宋体"/>
                <w:strike/>
                <w:szCs w:val="21"/>
              </w:rPr>
              <w:t>第二阶段投标人名次的排序方法（适用于办法一、办法二）</w:t>
            </w:r>
          </w:p>
        </w:tc>
        <w:tc>
          <w:tcPr>
            <w:tcW w:w="5857" w:type="dxa"/>
            <w:tcBorders>
              <w:top w:val="single" w:color="auto" w:sz="4" w:space="0"/>
              <w:left w:val="single" w:color="auto" w:sz="4" w:space="0"/>
              <w:bottom w:val="single" w:color="auto" w:sz="4" w:space="0"/>
              <w:right w:val="double" w:color="auto" w:sz="4" w:space="0"/>
            </w:tcBorders>
            <w:shd w:val="clear" w:color="auto" w:fill="FFFFFF" w:themeFill="background1"/>
            <w:vAlign w:val="center"/>
          </w:tcPr>
          <w:p w14:paraId="02249484">
            <w:pPr>
              <w:rPr>
                <w:rFonts w:ascii="宋体" w:hAnsi="宋体"/>
                <w:strike/>
                <w:szCs w:val="21"/>
              </w:rPr>
            </w:pPr>
            <w:r>
              <w:rPr>
                <w:rFonts w:hint="eastAsia" w:ascii="宋体" w:hAnsi="宋体"/>
                <w:strike/>
                <w:szCs w:val="21"/>
              </w:rPr>
              <w:t>选取方法</w:t>
            </w:r>
            <w:r>
              <w:rPr>
                <w:rFonts w:hint="eastAsia" w:ascii="宋体" w:hAnsi="宋体"/>
                <w:strike/>
                <w:szCs w:val="21"/>
                <w:u w:val="single"/>
              </w:rPr>
              <w:t xml:space="preserve">     </w:t>
            </w:r>
          </w:p>
          <w:p w14:paraId="7FA0EB1E">
            <w:pPr>
              <w:rPr>
                <w:rFonts w:ascii="宋体" w:hAnsi="宋体"/>
                <w:strike/>
                <w:szCs w:val="21"/>
              </w:rPr>
            </w:pPr>
            <w:r>
              <w:rPr>
                <w:rFonts w:hint="eastAsia" w:ascii="宋体" w:hAnsi="宋体"/>
                <w:strike/>
                <w:szCs w:val="21"/>
              </w:rPr>
              <w:t>方法一：将进入第二阶段投标人的投标报价由低至高进行排序。报价相同的投标文件，以技术分较高的排前；报价与技术得分均相同的投标文件，以综合诚信评价分数高的排前；如仍存在相同情况，则对具有相同情况的投标人，由评标委员会采用随机方式，确定投标人的排序。</w:t>
            </w:r>
            <w:r>
              <w:rPr>
                <w:rFonts w:ascii="宋体" w:hAnsi="宋体"/>
                <w:strike/>
                <w:szCs w:val="21"/>
              </w:rPr>
              <w:t xml:space="preserve"> </w:t>
            </w:r>
          </w:p>
          <w:p w14:paraId="15A59A75">
            <w:pPr>
              <w:rPr>
                <w:rFonts w:ascii="宋体" w:hAnsi="宋体"/>
                <w:strike/>
                <w:szCs w:val="21"/>
              </w:rPr>
            </w:pPr>
            <w:r>
              <w:rPr>
                <w:rFonts w:hint="eastAsia" w:ascii="宋体" w:hAnsi="宋体"/>
                <w:strike/>
                <w:szCs w:val="21"/>
              </w:rPr>
              <w:t>方法二：将进入第二阶段投标人的投标报价按大于或小于等于工程成本警戒价的标准分为2组。首先，对于小于或等于工程成本警戒价的，评标委员会从序号1开始随机确定投标人的排序，若仅有1名投标报价小于等于工程成本警戒价的，该投标人为第1名；其次，对于大于工程成本警戒价的投标报价由低至高进行排序，序号接上一组。</w:t>
            </w:r>
          </w:p>
          <w:p w14:paraId="495CC157">
            <w:pPr>
              <w:rPr>
                <w:rFonts w:ascii="宋体" w:hAnsi="宋体"/>
                <w:strike/>
                <w:szCs w:val="21"/>
              </w:rPr>
            </w:pPr>
            <w:r>
              <w:rPr>
                <w:rFonts w:hint="eastAsia" w:ascii="宋体" w:hAnsi="宋体"/>
                <w:strike/>
                <w:szCs w:val="21"/>
              </w:rPr>
              <w:t xml:space="preserve">方法三： （由招标人自行确定） </w:t>
            </w:r>
          </w:p>
        </w:tc>
      </w:tr>
      <w:tr w14:paraId="0FA29FD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702" w:type="dxa"/>
            <w:tcBorders>
              <w:top w:val="single" w:color="auto" w:sz="4" w:space="0"/>
              <w:left w:val="double" w:color="auto" w:sz="4" w:space="0"/>
              <w:bottom w:val="single" w:color="auto" w:sz="4" w:space="0"/>
              <w:right w:val="single" w:color="auto" w:sz="4" w:space="0"/>
            </w:tcBorders>
            <w:shd w:val="clear" w:color="auto" w:fill="FFFFFF" w:themeFill="background1"/>
            <w:vAlign w:val="center"/>
          </w:tcPr>
          <w:p w14:paraId="1F4BF09F">
            <w:pPr>
              <w:rPr>
                <w:rFonts w:ascii="宋体" w:hAnsi="宋体"/>
                <w:strike/>
                <w:szCs w:val="21"/>
              </w:rPr>
            </w:pPr>
            <w:r>
              <w:rPr>
                <w:rFonts w:hint="eastAsia" w:ascii="宋体" w:hAnsi="宋体"/>
                <w:strike/>
                <w:szCs w:val="21"/>
              </w:rPr>
              <w:t>31</w:t>
            </w:r>
          </w:p>
        </w:tc>
        <w:tc>
          <w:tcPr>
            <w:tcW w:w="981"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402D98AC">
            <w:pPr>
              <w:ind w:firstLine="458"/>
              <w:rPr>
                <w:rFonts w:ascii="宋体" w:hAnsi="宋体"/>
                <w:strike/>
                <w:szCs w:val="21"/>
              </w:rPr>
            </w:pPr>
          </w:p>
        </w:tc>
        <w:tc>
          <w:tcPr>
            <w:tcW w:w="181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50F5839B">
            <w:pPr>
              <w:rPr>
                <w:rFonts w:ascii="宋体" w:hAnsi="宋体"/>
                <w:strike/>
                <w:szCs w:val="21"/>
              </w:rPr>
            </w:pPr>
            <w:r>
              <w:rPr>
                <w:rFonts w:hint="eastAsia" w:ascii="宋体" w:hAnsi="宋体"/>
                <w:strike/>
                <w:szCs w:val="21"/>
              </w:rPr>
              <w:t>经济分相同情况下的排序方法（适用于办法三、办法四）</w:t>
            </w:r>
          </w:p>
        </w:tc>
        <w:tc>
          <w:tcPr>
            <w:tcW w:w="5857" w:type="dxa"/>
            <w:tcBorders>
              <w:top w:val="single" w:color="auto" w:sz="4" w:space="0"/>
              <w:left w:val="single" w:color="auto" w:sz="4" w:space="0"/>
              <w:bottom w:val="single" w:color="auto" w:sz="4" w:space="0"/>
              <w:right w:val="double" w:color="auto" w:sz="4" w:space="0"/>
            </w:tcBorders>
            <w:shd w:val="clear" w:color="auto" w:fill="FFFFFF" w:themeFill="background1"/>
            <w:vAlign w:val="center"/>
          </w:tcPr>
          <w:p w14:paraId="47289A0C">
            <w:pPr>
              <w:rPr>
                <w:rFonts w:ascii="宋体" w:hAnsi="宋体"/>
                <w:strike/>
                <w:szCs w:val="21"/>
              </w:rPr>
            </w:pPr>
            <w:r>
              <w:rPr>
                <w:rFonts w:hint="eastAsia" w:ascii="宋体" w:hAnsi="宋体"/>
                <w:strike/>
                <w:szCs w:val="21"/>
              </w:rPr>
              <w:t>选取方法</w:t>
            </w:r>
            <w:r>
              <w:rPr>
                <w:rFonts w:hint="eastAsia" w:ascii="宋体" w:hAnsi="宋体"/>
                <w:strike/>
                <w:szCs w:val="21"/>
                <w:u w:val="single"/>
              </w:rPr>
              <w:t xml:space="preserve">     </w:t>
            </w:r>
          </w:p>
          <w:p w14:paraId="3ABC41E2">
            <w:pPr>
              <w:rPr>
                <w:rFonts w:ascii="宋体" w:hAnsi="宋体"/>
                <w:strike/>
                <w:szCs w:val="21"/>
              </w:rPr>
            </w:pPr>
            <w:r>
              <w:rPr>
                <w:rFonts w:hint="eastAsia" w:ascii="宋体" w:hAnsi="宋体"/>
                <w:strike/>
                <w:szCs w:val="21"/>
              </w:rPr>
              <w:t>方法一：经济分相同的投标文件，以报价较低的排前；经济分与报价均相同的投标文件，以技术分较高的排前；经济分、报价与技术得分均相同或经济分、报价均相同但未评技术分的投标文件，以综合诚信评价分数高的排前；如仍存在相同情况，则对具有相同情况的投标人，由评标委员会采用随机方式，确定投标人的排序。</w:t>
            </w:r>
          </w:p>
          <w:p w14:paraId="6A59560C">
            <w:pPr>
              <w:rPr>
                <w:rFonts w:ascii="宋体" w:hAnsi="宋体"/>
                <w:strike/>
                <w:szCs w:val="21"/>
              </w:rPr>
            </w:pPr>
            <w:r>
              <w:rPr>
                <w:rFonts w:hint="eastAsia" w:ascii="宋体" w:hAnsi="宋体"/>
                <w:strike/>
                <w:szCs w:val="21"/>
              </w:rPr>
              <w:t>方法二：经济分相同的投标文件，由评标委员会采用随机方式，确定投标人的排序。</w:t>
            </w:r>
          </w:p>
          <w:p w14:paraId="578FF874">
            <w:pPr>
              <w:rPr>
                <w:rFonts w:ascii="宋体" w:hAnsi="宋体"/>
                <w:strike/>
                <w:szCs w:val="21"/>
              </w:rPr>
            </w:pPr>
            <w:r>
              <w:rPr>
                <w:rFonts w:hint="eastAsia" w:ascii="宋体" w:hAnsi="宋体"/>
                <w:strike/>
                <w:szCs w:val="21"/>
              </w:rPr>
              <w:t xml:space="preserve">方法三：  （由招标人自行确定） </w:t>
            </w:r>
          </w:p>
        </w:tc>
      </w:tr>
      <w:tr w14:paraId="465C858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702" w:type="dxa"/>
            <w:tcBorders>
              <w:top w:val="single" w:color="auto" w:sz="4" w:space="0"/>
              <w:left w:val="double" w:color="auto" w:sz="4" w:space="0"/>
              <w:bottom w:val="single" w:color="auto" w:sz="4" w:space="0"/>
              <w:right w:val="single" w:color="auto" w:sz="4" w:space="0"/>
            </w:tcBorders>
            <w:shd w:val="clear" w:color="auto" w:fill="FFFFFF" w:themeFill="background1"/>
            <w:vAlign w:val="center"/>
          </w:tcPr>
          <w:p w14:paraId="49FE0222">
            <w:pPr>
              <w:rPr>
                <w:rFonts w:ascii="宋体" w:hAnsi="宋体"/>
                <w:strike/>
                <w:szCs w:val="21"/>
              </w:rPr>
            </w:pPr>
            <w:r>
              <w:rPr>
                <w:rFonts w:hint="eastAsia" w:ascii="宋体" w:hAnsi="宋体"/>
                <w:strike/>
                <w:szCs w:val="21"/>
              </w:rPr>
              <w:t>32</w:t>
            </w:r>
          </w:p>
        </w:tc>
        <w:tc>
          <w:tcPr>
            <w:tcW w:w="981"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26A92705">
            <w:pPr>
              <w:ind w:firstLine="458"/>
              <w:rPr>
                <w:rFonts w:ascii="宋体" w:hAnsi="宋体"/>
                <w:strike/>
                <w:szCs w:val="21"/>
              </w:rPr>
            </w:pPr>
          </w:p>
        </w:tc>
        <w:tc>
          <w:tcPr>
            <w:tcW w:w="181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61437E2A">
            <w:pPr>
              <w:rPr>
                <w:rFonts w:ascii="宋体" w:hAnsi="宋体"/>
                <w:strike/>
                <w:szCs w:val="21"/>
              </w:rPr>
            </w:pPr>
            <w:r>
              <w:rPr>
                <w:rFonts w:hint="eastAsia" w:ascii="宋体" w:hAnsi="宋体"/>
                <w:strike/>
                <w:szCs w:val="21"/>
              </w:rPr>
              <w:t>第二阶段投标人名次的排序方法（适用于办法五、办法六）</w:t>
            </w:r>
          </w:p>
        </w:tc>
        <w:tc>
          <w:tcPr>
            <w:tcW w:w="5857" w:type="dxa"/>
            <w:tcBorders>
              <w:top w:val="single" w:color="auto" w:sz="4" w:space="0"/>
              <w:left w:val="single" w:color="auto" w:sz="4" w:space="0"/>
              <w:bottom w:val="single" w:color="auto" w:sz="4" w:space="0"/>
              <w:right w:val="double" w:color="auto" w:sz="4" w:space="0"/>
            </w:tcBorders>
            <w:shd w:val="clear" w:color="auto" w:fill="FFFFFF" w:themeFill="background1"/>
            <w:vAlign w:val="center"/>
          </w:tcPr>
          <w:p w14:paraId="6A938912">
            <w:pPr>
              <w:rPr>
                <w:rFonts w:ascii="宋体" w:hAnsi="宋体"/>
                <w:strike/>
                <w:szCs w:val="21"/>
              </w:rPr>
            </w:pPr>
            <w:r>
              <w:rPr>
                <w:rFonts w:hint="eastAsia" w:ascii="宋体" w:hAnsi="宋体"/>
                <w:strike/>
                <w:szCs w:val="21"/>
              </w:rPr>
              <w:t>选取方法</w:t>
            </w:r>
            <w:r>
              <w:rPr>
                <w:rFonts w:hint="eastAsia" w:ascii="宋体" w:hAnsi="宋体"/>
                <w:strike/>
                <w:szCs w:val="21"/>
                <w:u w:val="single"/>
              </w:rPr>
              <w:t xml:space="preserve">     </w:t>
            </w:r>
          </w:p>
          <w:p w14:paraId="09A064A7">
            <w:pPr>
              <w:rPr>
                <w:rFonts w:ascii="宋体" w:hAnsi="宋体"/>
                <w:strike/>
                <w:szCs w:val="21"/>
              </w:rPr>
            </w:pPr>
            <w:r>
              <w:rPr>
                <w:rFonts w:hint="eastAsia" w:ascii="宋体" w:hAnsi="宋体"/>
                <w:strike/>
                <w:szCs w:val="21"/>
              </w:rPr>
              <w:t>方法一：评标委员会按照“总分=</w:t>
            </w:r>
            <w:r>
              <w:rPr>
                <w:rFonts w:hint="eastAsia" w:ascii="宋体" w:hAnsi="宋体"/>
                <w:strike/>
                <w:szCs w:val="21"/>
                <w:u w:val="single"/>
              </w:rPr>
              <w:t xml:space="preserve">           </w:t>
            </w:r>
            <w:r>
              <w:rPr>
                <w:rFonts w:hint="eastAsia" w:ascii="宋体" w:hAnsi="宋体"/>
                <w:strike/>
                <w:szCs w:val="21"/>
              </w:rPr>
              <w:t>的公式，计算各有效投标文件的总分，并按照总分从高到低排序。总得分相同的投标文件，以报价较低的排前；总得分与报价均相同的投标文件，以</w:t>
            </w:r>
            <w:r>
              <w:rPr>
                <w:rFonts w:hint="eastAsia" w:ascii="宋体" w:hAnsi="宋体"/>
                <w:strike/>
                <w:szCs w:val="21"/>
                <w:u w:val="single"/>
              </w:rPr>
              <w:t xml:space="preserve">     </w:t>
            </w:r>
            <w:r>
              <w:rPr>
                <w:rFonts w:hint="eastAsia" w:ascii="宋体" w:hAnsi="宋体"/>
                <w:strike/>
                <w:szCs w:val="21"/>
              </w:rPr>
              <w:t>较高的排前；总得分、报价与</w:t>
            </w:r>
            <w:r>
              <w:rPr>
                <w:rFonts w:hint="eastAsia" w:ascii="宋体" w:hAnsi="宋体"/>
                <w:strike/>
                <w:szCs w:val="21"/>
                <w:u w:val="single"/>
              </w:rPr>
              <w:t xml:space="preserve">     </w:t>
            </w:r>
            <w:r>
              <w:rPr>
                <w:rFonts w:hint="eastAsia" w:ascii="宋体" w:hAnsi="宋体"/>
                <w:strike/>
                <w:szCs w:val="21"/>
              </w:rPr>
              <w:t>均相同的投标文件，以诚信综合评价分数高的排前；如仍存在相同情况，则对具有相同情况的投标人，由评标委员会采用随机方式，确定投标人的排序。</w:t>
            </w:r>
          </w:p>
          <w:p w14:paraId="3948F8F1">
            <w:pPr>
              <w:rPr>
                <w:rFonts w:ascii="宋体" w:hAnsi="宋体"/>
                <w:strike/>
                <w:szCs w:val="21"/>
              </w:rPr>
            </w:pPr>
            <w:r>
              <w:rPr>
                <w:rFonts w:hint="eastAsia" w:ascii="宋体" w:hAnsi="宋体"/>
                <w:strike/>
                <w:szCs w:val="21"/>
              </w:rPr>
              <w:t xml:space="preserve">方法二：  （由招标人自行确定） </w:t>
            </w:r>
          </w:p>
        </w:tc>
      </w:tr>
      <w:tr w14:paraId="440CB41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702" w:type="dxa"/>
            <w:tcBorders>
              <w:top w:val="single" w:color="auto" w:sz="4" w:space="0"/>
              <w:left w:val="double" w:color="auto" w:sz="4" w:space="0"/>
              <w:bottom w:val="single" w:color="auto" w:sz="4" w:space="0"/>
              <w:right w:val="single" w:color="auto" w:sz="4" w:space="0"/>
            </w:tcBorders>
            <w:shd w:val="clear" w:color="auto" w:fill="FFFFFF" w:themeFill="background1"/>
            <w:vAlign w:val="center"/>
          </w:tcPr>
          <w:p w14:paraId="14A6EE1A">
            <w:pPr>
              <w:rPr>
                <w:rFonts w:ascii="宋体" w:hAnsi="宋体"/>
                <w:szCs w:val="21"/>
              </w:rPr>
            </w:pPr>
            <w:r>
              <w:rPr>
                <w:rFonts w:hint="eastAsia" w:ascii="宋体" w:hAnsi="宋体"/>
                <w:szCs w:val="21"/>
              </w:rPr>
              <w:t>33</w:t>
            </w:r>
          </w:p>
        </w:tc>
        <w:tc>
          <w:tcPr>
            <w:tcW w:w="981"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770EDA17">
            <w:pPr>
              <w:rPr>
                <w:rFonts w:ascii="宋体" w:hAnsi="宋体"/>
                <w:szCs w:val="21"/>
              </w:rPr>
            </w:pPr>
            <w:r>
              <w:rPr>
                <w:rFonts w:ascii="宋体" w:hAnsi="宋体"/>
                <w:szCs w:val="21"/>
              </w:rPr>
              <w:t>13.4</w:t>
            </w:r>
            <w:r>
              <w:rPr>
                <w:rFonts w:hint="eastAsia" w:ascii="宋体" w:hAnsi="宋体"/>
                <w:szCs w:val="21"/>
              </w:rPr>
              <w:t>、</w:t>
            </w:r>
            <w:r>
              <w:rPr>
                <w:rFonts w:ascii="宋体" w:hAnsi="宋体"/>
                <w:szCs w:val="21"/>
              </w:rPr>
              <w:t>13.5.2</w:t>
            </w:r>
          </w:p>
        </w:tc>
        <w:tc>
          <w:tcPr>
            <w:tcW w:w="181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42883953">
            <w:pPr>
              <w:rPr>
                <w:rFonts w:ascii="宋体" w:hAnsi="宋体"/>
                <w:szCs w:val="21"/>
              </w:rPr>
            </w:pPr>
            <w:r>
              <w:rPr>
                <w:rFonts w:hint="eastAsia" w:ascii="宋体" w:hAnsi="宋体"/>
                <w:szCs w:val="21"/>
              </w:rPr>
              <w:t>合同价款的调整办法</w:t>
            </w:r>
          </w:p>
        </w:tc>
        <w:tc>
          <w:tcPr>
            <w:tcW w:w="5857" w:type="dxa"/>
            <w:tcBorders>
              <w:top w:val="single" w:color="auto" w:sz="4" w:space="0"/>
              <w:left w:val="single" w:color="auto" w:sz="4" w:space="0"/>
              <w:bottom w:val="single" w:color="auto" w:sz="4" w:space="0"/>
              <w:right w:val="double" w:color="auto" w:sz="4" w:space="0"/>
            </w:tcBorders>
            <w:shd w:val="clear" w:color="auto" w:fill="FFFFFF" w:themeFill="background1"/>
            <w:vAlign w:val="center"/>
          </w:tcPr>
          <w:p w14:paraId="124CCD24">
            <w:pPr>
              <w:rPr>
                <w:rFonts w:ascii="宋体" w:hAnsi="宋体"/>
                <w:szCs w:val="21"/>
                <w:u w:val="single"/>
              </w:rPr>
            </w:pPr>
            <w:r>
              <w:rPr>
                <w:rFonts w:hint="eastAsia" w:ascii="宋体" w:hAnsi="宋体"/>
                <w:szCs w:val="21"/>
                <w:u w:val="single"/>
              </w:rPr>
              <w:t>详见招标文件相关合同条款。</w:t>
            </w:r>
          </w:p>
        </w:tc>
      </w:tr>
      <w:tr w14:paraId="530CD52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702" w:type="dxa"/>
            <w:tcBorders>
              <w:top w:val="single" w:color="auto" w:sz="4" w:space="0"/>
              <w:left w:val="double" w:color="auto" w:sz="4" w:space="0"/>
              <w:bottom w:val="single" w:color="auto" w:sz="4" w:space="0"/>
              <w:right w:val="single" w:color="auto" w:sz="4" w:space="0"/>
            </w:tcBorders>
            <w:shd w:val="clear" w:color="auto" w:fill="FFFFFF" w:themeFill="background1"/>
            <w:vAlign w:val="center"/>
          </w:tcPr>
          <w:p w14:paraId="2AF9163E">
            <w:pPr>
              <w:rPr>
                <w:rFonts w:ascii="宋体" w:hAnsi="宋体"/>
                <w:szCs w:val="21"/>
              </w:rPr>
            </w:pPr>
            <w:r>
              <w:rPr>
                <w:rFonts w:ascii="宋体" w:hAnsi="宋体"/>
                <w:szCs w:val="21"/>
              </w:rPr>
              <w:t>3</w:t>
            </w:r>
            <w:r>
              <w:rPr>
                <w:rFonts w:hint="eastAsia" w:ascii="宋体" w:hAnsi="宋体"/>
                <w:szCs w:val="21"/>
              </w:rPr>
              <w:t>4</w:t>
            </w:r>
          </w:p>
        </w:tc>
        <w:tc>
          <w:tcPr>
            <w:tcW w:w="981"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2D2B93A8">
            <w:pPr>
              <w:rPr>
                <w:rFonts w:ascii="宋体" w:hAnsi="宋体"/>
                <w:szCs w:val="21"/>
              </w:rPr>
            </w:pPr>
          </w:p>
        </w:tc>
        <w:tc>
          <w:tcPr>
            <w:tcW w:w="181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2B2894D8">
            <w:pPr>
              <w:rPr>
                <w:rFonts w:ascii="宋体" w:hAnsi="宋体"/>
                <w:szCs w:val="21"/>
              </w:rPr>
            </w:pPr>
            <w:r>
              <w:rPr>
                <w:rFonts w:hint="eastAsia" w:ascii="宋体" w:hAnsi="宋体"/>
                <w:kern w:val="0"/>
                <w:szCs w:val="21"/>
                <w:lang w:val="zh-CN"/>
              </w:rPr>
              <w:t>建设工程质量检测单位</w:t>
            </w:r>
          </w:p>
        </w:tc>
        <w:tc>
          <w:tcPr>
            <w:tcW w:w="5857" w:type="dxa"/>
            <w:tcBorders>
              <w:top w:val="single" w:color="auto" w:sz="4" w:space="0"/>
              <w:left w:val="single" w:color="auto" w:sz="4" w:space="0"/>
              <w:bottom w:val="single" w:color="auto" w:sz="4" w:space="0"/>
              <w:right w:val="double" w:color="auto" w:sz="4" w:space="0"/>
            </w:tcBorders>
            <w:shd w:val="clear" w:color="auto" w:fill="FFFFFF" w:themeFill="background1"/>
            <w:vAlign w:val="center"/>
          </w:tcPr>
          <w:p w14:paraId="4EDAFF12">
            <w:pPr>
              <w:rPr>
                <w:rFonts w:ascii="宋体" w:hAnsi="宋体"/>
                <w:kern w:val="0"/>
                <w:szCs w:val="21"/>
                <w:lang w:val="zh-CN"/>
              </w:rPr>
            </w:pPr>
            <w:r>
              <w:rPr>
                <w:rFonts w:hint="eastAsia" w:ascii="宋体" w:hAnsi="宋体"/>
                <w:kern w:val="0"/>
                <w:szCs w:val="21"/>
                <w:lang w:val="zh-CN"/>
              </w:rPr>
              <w:t>建设单位和中标人均不得委托近二年（从招标公告发布年度起逆推2年的1月1日起至投标截止时间止）因伪造检测数据、出具虚假检测报告被各级建设行政主管部门或市场监督管理部门行政处罚或通报的检测单位负责本项目的检测工作。</w:t>
            </w:r>
          </w:p>
        </w:tc>
      </w:tr>
      <w:tr w14:paraId="710C886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702" w:type="dxa"/>
            <w:tcBorders>
              <w:top w:val="single" w:color="auto" w:sz="4" w:space="0"/>
              <w:left w:val="double" w:color="auto" w:sz="4" w:space="0"/>
              <w:bottom w:val="single" w:color="auto" w:sz="4" w:space="0"/>
              <w:right w:val="single" w:color="auto" w:sz="4" w:space="0"/>
            </w:tcBorders>
            <w:shd w:val="clear" w:color="auto" w:fill="FFFFFF" w:themeFill="background1"/>
            <w:vAlign w:val="center"/>
          </w:tcPr>
          <w:p w14:paraId="1D53912C">
            <w:pPr>
              <w:rPr>
                <w:rFonts w:ascii="宋体" w:hAnsi="宋体"/>
                <w:szCs w:val="21"/>
              </w:rPr>
            </w:pPr>
            <w:r>
              <w:rPr>
                <w:rFonts w:hint="eastAsia" w:ascii="宋体" w:hAnsi="宋体"/>
                <w:szCs w:val="21"/>
              </w:rPr>
              <w:t>35</w:t>
            </w:r>
          </w:p>
        </w:tc>
        <w:tc>
          <w:tcPr>
            <w:tcW w:w="981"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31274F85">
            <w:pPr>
              <w:rPr>
                <w:rFonts w:ascii="宋体" w:hAnsi="宋体"/>
                <w:szCs w:val="21"/>
              </w:rPr>
            </w:pPr>
          </w:p>
        </w:tc>
        <w:tc>
          <w:tcPr>
            <w:tcW w:w="181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6B18E4E1">
            <w:pPr>
              <w:rPr>
                <w:rFonts w:ascii="宋体" w:hAnsi="宋体"/>
                <w:kern w:val="0"/>
                <w:szCs w:val="21"/>
                <w:lang w:val="zh-CN"/>
              </w:rPr>
            </w:pPr>
            <w:r>
              <w:rPr>
                <w:rFonts w:hint="eastAsia" w:ascii="宋体" w:hAnsi="宋体"/>
                <w:kern w:val="0"/>
                <w:szCs w:val="21"/>
                <w:lang w:val="zh-CN"/>
              </w:rPr>
              <w:t>分包</w:t>
            </w:r>
          </w:p>
        </w:tc>
        <w:tc>
          <w:tcPr>
            <w:tcW w:w="5857" w:type="dxa"/>
            <w:tcBorders>
              <w:top w:val="single" w:color="auto" w:sz="4" w:space="0"/>
              <w:left w:val="single" w:color="auto" w:sz="4" w:space="0"/>
              <w:bottom w:val="single" w:color="auto" w:sz="4" w:space="0"/>
              <w:right w:val="double" w:color="auto" w:sz="4" w:space="0"/>
            </w:tcBorders>
            <w:shd w:val="clear" w:color="auto" w:fill="FFFFFF" w:themeFill="background1"/>
            <w:vAlign w:val="center"/>
          </w:tcPr>
          <w:p w14:paraId="5A40C114">
            <w:pPr>
              <w:rPr>
                <w:rFonts w:ascii="宋体" w:hAnsi="宋体"/>
                <w:kern w:val="0"/>
                <w:szCs w:val="21"/>
                <w:lang w:val="zh-CN"/>
              </w:rPr>
            </w:pPr>
            <w:r>
              <w:rPr>
                <w:rFonts w:hint="eastAsia" w:ascii="MS Mincho" w:hAnsi="MS Mincho" w:eastAsia="MS Mincho" w:cs="MS Mincho"/>
                <w:kern w:val="0"/>
                <w:szCs w:val="21"/>
                <w:lang w:val="zh-CN"/>
              </w:rPr>
              <w:t>■</w:t>
            </w:r>
            <w:r>
              <w:rPr>
                <w:rFonts w:hint="eastAsia" w:ascii="宋体" w:hAnsi="宋体"/>
                <w:kern w:val="0"/>
                <w:szCs w:val="21"/>
                <w:lang w:val="zh-CN"/>
              </w:rPr>
              <w:t>不允许；</w:t>
            </w:r>
          </w:p>
          <w:p w14:paraId="47057D7E">
            <w:pPr>
              <w:rPr>
                <w:rFonts w:ascii="宋体" w:hAnsi="宋体"/>
                <w:kern w:val="0"/>
                <w:szCs w:val="21"/>
                <w:lang w:val="zh-CN"/>
              </w:rPr>
            </w:pPr>
            <w:r>
              <w:rPr>
                <w:rFonts w:hint="eastAsia" w:ascii="宋体" w:hAnsi="宋体"/>
                <w:kern w:val="0"/>
                <w:szCs w:val="21"/>
                <w:lang w:val="zh-CN"/>
              </w:rPr>
              <w:t>□</w:t>
            </w:r>
            <w:r>
              <w:rPr>
                <w:rFonts w:hint="eastAsia" w:ascii="MS Mincho" w:hAnsi="MS Mincho" w:cs="MS Mincho"/>
                <w:kern w:val="0"/>
                <w:szCs w:val="21"/>
              </w:rPr>
              <w:t>允许：</w:t>
            </w:r>
            <w:r>
              <w:rPr>
                <w:rFonts w:hint="eastAsia" w:ascii="宋体" w:hAnsi="宋体"/>
                <w:kern w:val="0"/>
                <w:szCs w:val="21"/>
                <w:lang w:val="zh-CN"/>
              </w:rPr>
              <w:t xml:space="preserve">分包内容要要求：非主体、非关键性工程经监理工程 </w:t>
            </w:r>
            <w:r>
              <w:rPr>
                <w:rFonts w:ascii="宋体" w:hAnsi="宋体"/>
                <w:kern w:val="0"/>
                <w:szCs w:val="21"/>
                <w:lang w:val="zh-CN"/>
              </w:rPr>
              <w:t xml:space="preserve">    </w:t>
            </w:r>
            <w:r>
              <w:rPr>
                <w:rFonts w:hint="eastAsia" w:ascii="宋体" w:hAnsi="宋体"/>
                <w:kern w:val="0"/>
                <w:szCs w:val="21"/>
                <w:lang w:val="zh-CN"/>
              </w:rPr>
              <w:t>师及发包人同意后可依法分包。</w:t>
            </w:r>
          </w:p>
          <w:p w14:paraId="0F746085">
            <w:pPr>
              <w:rPr>
                <w:rFonts w:ascii="宋体" w:hAnsi="宋体"/>
                <w:kern w:val="0"/>
                <w:szCs w:val="21"/>
                <w:lang w:val="zh-CN"/>
              </w:rPr>
            </w:pPr>
            <w:r>
              <w:rPr>
                <w:rFonts w:hint="eastAsia" w:ascii="宋体" w:hAnsi="宋体"/>
                <w:kern w:val="0"/>
                <w:szCs w:val="21"/>
                <w:lang w:val="zh-CN"/>
              </w:rPr>
              <w:t>分包金额要求：无</w:t>
            </w:r>
          </w:p>
          <w:p w14:paraId="36C4C2D7">
            <w:pPr>
              <w:rPr>
                <w:lang w:val="zh-CN"/>
              </w:rPr>
            </w:pPr>
            <w:r>
              <w:rPr>
                <w:rFonts w:hint="eastAsia" w:ascii="宋体" w:hAnsi="宋体"/>
                <w:kern w:val="0"/>
                <w:szCs w:val="21"/>
                <w:lang w:val="zh-CN"/>
              </w:rPr>
              <w:t>对分包人的资质要求：符合有关法律法规和文件规定，并不得再次分包。</w:t>
            </w:r>
          </w:p>
        </w:tc>
      </w:tr>
      <w:tr w14:paraId="0E1E1D8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702" w:type="dxa"/>
            <w:tcBorders>
              <w:top w:val="single" w:color="auto" w:sz="4" w:space="0"/>
              <w:left w:val="double" w:color="auto" w:sz="4" w:space="0"/>
              <w:bottom w:val="single" w:color="auto" w:sz="4" w:space="0"/>
              <w:right w:val="single" w:color="auto" w:sz="4" w:space="0"/>
            </w:tcBorders>
            <w:shd w:val="clear" w:color="auto" w:fill="FFFFFF" w:themeFill="background1"/>
            <w:vAlign w:val="center"/>
          </w:tcPr>
          <w:p w14:paraId="09C169F8">
            <w:pPr>
              <w:rPr>
                <w:rFonts w:ascii="宋体" w:hAnsi="宋体"/>
                <w:szCs w:val="21"/>
              </w:rPr>
            </w:pPr>
            <w:r>
              <w:rPr>
                <w:rFonts w:hint="eastAsia" w:ascii="宋体" w:hAnsi="宋体"/>
                <w:szCs w:val="21"/>
              </w:rPr>
              <w:t>36</w:t>
            </w:r>
          </w:p>
        </w:tc>
        <w:tc>
          <w:tcPr>
            <w:tcW w:w="981"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0E206C5C">
            <w:pPr>
              <w:jc w:val="center"/>
              <w:rPr>
                <w:rFonts w:ascii="宋体" w:hAnsi="宋体"/>
              </w:rPr>
            </w:pPr>
          </w:p>
        </w:tc>
        <w:tc>
          <w:tcPr>
            <w:tcW w:w="181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7470C5A7">
            <w:pPr>
              <w:jc w:val="center"/>
              <w:rPr>
                <w:rFonts w:ascii="宋体" w:hAnsi="宋体"/>
              </w:rPr>
            </w:pPr>
            <w:r>
              <w:rPr>
                <w:rFonts w:hint="eastAsia" w:ascii="宋体" w:hAnsi="宋体"/>
              </w:rPr>
              <w:t>电子招标投标解密失败及突发情况的补救</w:t>
            </w:r>
          </w:p>
        </w:tc>
        <w:tc>
          <w:tcPr>
            <w:tcW w:w="5857" w:type="dxa"/>
            <w:tcBorders>
              <w:top w:val="single" w:color="auto" w:sz="4" w:space="0"/>
              <w:left w:val="single" w:color="auto" w:sz="4" w:space="0"/>
              <w:bottom w:val="single" w:color="auto" w:sz="4" w:space="0"/>
              <w:right w:val="double" w:color="auto" w:sz="4" w:space="0"/>
            </w:tcBorders>
            <w:shd w:val="clear" w:color="auto" w:fill="FFFFFF" w:themeFill="background1"/>
            <w:vAlign w:val="center"/>
          </w:tcPr>
          <w:p w14:paraId="73B17793">
            <w:pPr>
              <w:rPr>
                <w:rFonts w:ascii="宋体" w:hAnsi="宋体" w:cs="Courier New"/>
                <w:szCs w:val="21"/>
              </w:rPr>
            </w:pPr>
            <w:r>
              <w:rPr>
                <w:rFonts w:hint="eastAsia" w:ascii="宋体" w:hAnsi="宋体" w:cs="Courier New"/>
                <w:szCs w:val="21"/>
              </w:rPr>
              <w:t>1、按照交易平台关于全流程电子化项目的相关指南进行操作。详见：</w:t>
            </w:r>
            <w:r>
              <w:rPr>
                <w:rFonts w:hint="eastAsia" w:ascii="宋体" w:hAnsi="宋体"/>
                <w:szCs w:val="21"/>
                <w:u w:val="single"/>
              </w:rPr>
              <w:t>广州公共资源交易中心网站(http:/ www.gzggzy.cn)服务指南栏目发布的最新版操作指引</w:t>
            </w:r>
            <w:r>
              <w:rPr>
                <w:rFonts w:hint="eastAsia" w:ascii="宋体" w:hAnsi="宋体" w:cs="Courier New"/>
                <w:szCs w:val="21"/>
              </w:rPr>
              <w:t xml:space="preserve">。  </w:t>
            </w:r>
          </w:p>
          <w:p w14:paraId="3FB4ABD2">
            <w:pPr>
              <w:rPr>
                <w:rFonts w:ascii="宋体" w:hAnsi="宋体" w:cs="Courier New"/>
                <w:szCs w:val="21"/>
              </w:rPr>
            </w:pPr>
            <w:r>
              <w:rPr>
                <w:rFonts w:hint="eastAsia" w:ascii="宋体" w:hAnsi="宋体" w:cs="Courier New"/>
                <w:szCs w:val="21"/>
              </w:rPr>
              <w:t>2、提交投标文件光盘备用</w:t>
            </w:r>
          </w:p>
          <w:p w14:paraId="3648A521">
            <w:pPr>
              <w:rPr>
                <w:rFonts w:ascii="宋体" w:hAnsi="宋体" w:cs="Courier New"/>
                <w:szCs w:val="21"/>
              </w:rPr>
            </w:pPr>
            <w:r>
              <w:rPr>
                <w:rFonts w:hint="eastAsia" w:ascii="宋体" w:hAnsi="宋体" w:cs="Courier New"/>
                <w:szCs w:val="21"/>
              </w:rPr>
              <w:t>投标人可制作非加密的电子投标文件（PDF格式）刻入光盘（1份），在投标须知前附表第18项规定的时间、地点提交备用。刻录好的投标文件光盘密封在密封袋中，并在封口处加盖投标人单位公章。密封袋上应写明项目名称和招标人名称。递交的光盘不得加密。光盘无法读取或导入的，则视为未提交备用投标文件光盘。如果投标人没有按规定通过交易平台网上递交电子投标文件的，不再读取提交的光盘。投标人也可不提交备用光盘。</w:t>
            </w:r>
          </w:p>
          <w:p w14:paraId="443E79E7">
            <w:pPr>
              <w:rPr>
                <w:rFonts w:ascii="宋体" w:hAnsi="宋体" w:cs="Courier New"/>
                <w:szCs w:val="21"/>
              </w:rPr>
            </w:pPr>
            <w:r>
              <w:rPr>
                <w:rFonts w:hint="eastAsia" w:ascii="宋体" w:hAnsi="宋体" w:cs="Courier New"/>
                <w:szCs w:val="21"/>
              </w:rPr>
              <w:t xml:space="preserve"> 3、补救方案</w:t>
            </w:r>
          </w:p>
          <w:p w14:paraId="2DF7D721">
            <w:pPr>
              <w:rPr>
                <w:rFonts w:ascii="宋体" w:hAnsi="宋体" w:cs="Courier New"/>
                <w:szCs w:val="21"/>
              </w:rPr>
            </w:pPr>
            <w:r>
              <w:rPr>
                <w:rFonts w:hint="eastAsia" w:ascii="宋体" w:hAnsi="宋体" w:cs="Courier New"/>
                <w:szCs w:val="21"/>
              </w:rPr>
              <w:t>（1）投标文件解密失败的补救方案：</w:t>
            </w:r>
          </w:p>
          <w:p w14:paraId="5194820C">
            <w:pPr>
              <w:rPr>
                <w:rFonts w:ascii="宋体" w:hAnsi="宋体" w:cs="Courier New"/>
                <w:szCs w:val="21"/>
              </w:rPr>
            </w:pPr>
            <w:r>
              <w:rPr>
                <w:rFonts w:hint="eastAsia" w:ascii="宋体" w:hAnsi="宋体" w:cs="Courier New"/>
                <w:szCs w:val="21"/>
              </w:rPr>
              <w:t>在规定时间内，因投标人之外原因(指网络瘫痪、服务器损坏、交易系统故障短期无法恢复)导致的电子投标文件解密失败，在开标现场读取光盘内容，继续开标程序。评标委员会对其投标文件的评审以光盘内容为准。因投标人之外原因解密失败且未递交电子光盘的，视为撤回投标文件。</w:t>
            </w:r>
          </w:p>
          <w:p w14:paraId="2894CA9A">
            <w:pPr>
              <w:rPr>
                <w:rFonts w:ascii="宋体" w:hAnsi="宋体" w:cs="Courier New"/>
                <w:szCs w:val="21"/>
              </w:rPr>
            </w:pPr>
            <w:r>
              <w:rPr>
                <w:rFonts w:hint="eastAsia" w:ascii="宋体" w:hAnsi="宋体" w:cs="Courier New"/>
                <w:szCs w:val="21"/>
              </w:rPr>
              <w:t>（2）评标时突发情况的补救方案</w:t>
            </w:r>
          </w:p>
          <w:p w14:paraId="10073E60">
            <w:pPr>
              <w:rPr>
                <w:rFonts w:ascii="宋体" w:hAnsi="宋体" w:cs="Courier New"/>
                <w:szCs w:val="21"/>
              </w:rPr>
            </w:pPr>
            <w:r>
              <w:rPr>
                <w:rFonts w:hint="eastAsia" w:ascii="宋体" w:hAnsi="宋体" w:cs="Courier New"/>
                <w:szCs w:val="21"/>
              </w:rPr>
              <w:t>若遇不可抗力发生（指网络瘫痪、服务器损坏、交易系统故障短期无法恢复等因素），由评标委员会开启投标人递交的全部投标文件光盘，并按光盘内容进行评审。</w:t>
            </w:r>
          </w:p>
          <w:p w14:paraId="7A4B1731">
            <w:pPr>
              <w:rPr>
                <w:rFonts w:ascii="宋体" w:hAnsi="宋体" w:cs="Courier New"/>
                <w:szCs w:val="21"/>
              </w:rPr>
            </w:pPr>
            <w:r>
              <w:rPr>
                <w:rFonts w:hint="eastAsia" w:ascii="宋体" w:hAnsi="宋体" w:cs="Courier New"/>
                <w:szCs w:val="21"/>
              </w:rPr>
              <w:t>（3）除发生上述情况外，开标评标均以投标人通过交易平台网上递交的电子投标文件为准。</w:t>
            </w:r>
          </w:p>
        </w:tc>
      </w:tr>
      <w:tr w14:paraId="3DC8791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702" w:type="dxa"/>
            <w:tcBorders>
              <w:top w:val="single" w:color="auto" w:sz="4" w:space="0"/>
              <w:left w:val="double" w:color="auto" w:sz="4" w:space="0"/>
              <w:bottom w:val="single" w:color="auto" w:sz="4" w:space="0"/>
              <w:right w:val="single" w:color="auto" w:sz="4" w:space="0"/>
            </w:tcBorders>
            <w:shd w:val="clear" w:color="auto" w:fill="FFFFFF" w:themeFill="background1"/>
            <w:vAlign w:val="center"/>
          </w:tcPr>
          <w:p w14:paraId="3FDAE401">
            <w:pPr>
              <w:rPr>
                <w:rFonts w:ascii="宋体" w:hAnsi="宋体"/>
                <w:szCs w:val="21"/>
              </w:rPr>
            </w:pPr>
            <w:r>
              <w:rPr>
                <w:rFonts w:hint="eastAsia" w:ascii="宋体" w:hAnsi="宋体"/>
                <w:szCs w:val="21"/>
              </w:rPr>
              <w:t>37</w:t>
            </w:r>
          </w:p>
        </w:tc>
        <w:tc>
          <w:tcPr>
            <w:tcW w:w="981"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6135C3A7">
            <w:pPr>
              <w:jc w:val="center"/>
              <w:rPr>
                <w:rFonts w:ascii="宋体" w:hAnsi="宋体"/>
              </w:rPr>
            </w:pPr>
          </w:p>
        </w:tc>
        <w:tc>
          <w:tcPr>
            <w:tcW w:w="181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3AAF4D00">
            <w:pPr>
              <w:jc w:val="center"/>
              <w:rPr>
                <w:rFonts w:ascii="宋体" w:hAnsi="宋体"/>
                <w:szCs w:val="21"/>
              </w:rPr>
            </w:pPr>
            <w:r>
              <w:rPr>
                <w:rFonts w:hint="eastAsia" w:ascii="宋体" w:hAnsi="宋体" w:cs="宋体"/>
                <w:szCs w:val="21"/>
              </w:rPr>
              <w:t>招标人拒绝接收投标文件备用光盘的情况</w:t>
            </w:r>
          </w:p>
        </w:tc>
        <w:tc>
          <w:tcPr>
            <w:tcW w:w="5857" w:type="dxa"/>
            <w:tcBorders>
              <w:top w:val="single" w:color="auto" w:sz="4" w:space="0"/>
              <w:left w:val="single" w:color="auto" w:sz="4" w:space="0"/>
              <w:bottom w:val="single" w:color="auto" w:sz="4" w:space="0"/>
              <w:right w:val="double" w:color="auto" w:sz="4" w:space="0"/>
            </w:tcBorders>
            <w:shd w:val="clear" w:color="auto" w:fill="FFFFFF" w:themeFill="background1"/>
            <w:vAlign w:val="center"/>
          </w:tcPr>
          <w:p w14:paraId="0EBD5EE9">
            <w:pPr>
              <w:spacing w:line="360" w:lineRule="auto"/>
              <w:rPr>
                <w:rFonts w:ascii="宋体" w:hAnsi="宋体" w:cs="宋体"/>
                <w:szCs w:val="21"/>
              </w:rPr>
            </w:pPr>
            <w:r>
              <w:rPr>
                <w:rFonts w:hint="eastAsia" w:ascii="宋体" w:hAnsi="宋体" w:cs="宋体"/>
                <w:szCs w:val="21"/>
              </w:rPr>
              <w:t>1.在投标截止期后逾期或未在指定地点递交投标文件备用光盘的；</w:t>
            </w:r>
          </w:p>
          <w:p w14:paraId="6C571BE9">
            <w:pPr>
              <w:spacing w:line="360" w:lineRule="auto"/>
              <w:rPr>
                <w:rFonts w:ascii="宋体" w:hAnsi="宋体" w:cs="宋体"/>
                <w:szCs w:val="21"/>
              </w:rPr>
            </w:pPr>
            <w:r>
              <w:rPr>
                <w:rFonts w:hint="eastAsia" w:ascii="宋体" w:hAnsi="宋体" w:cs="宋体"/>
                <w:szCs w:val="21"/>
              </w:rPr>
              <w:t>2.投标文件备用光盘未按招标文件要求密封或未在密封处盖章的；</w:t>
            </w:r>
          </w:p>
          <w:p w14:paraId="5D0620A2">
            <w:pPr>
              <w:spacing w:line="360" w:lineRule="auto"/>
              <w:rPr>
                <w:rFonts w:ascii="宋体" w:hAnsi="宋体" w:cs="Courier New"/>
                <w:szCs w:val="21"/>
              </w:rPr>
            </w:pPr>
            <w:r>
              <w:rPr>
                <w:rFonts w:hint="eastAsia" w:ascii="宋体" w:hAnsi="宋体" w:cs="宋体"/>
                <w:szCs w:val="21"/>
              </w:rPr>
              <w:t>3.投标人代表未凭法定代表人证明书（原件）、授权委托书原件（仅限于非法定代表人）、本人身份证原件递交投标文件备用光盘的。</w:t>
            </w:r>
          </w:p>
        </w:tc>
      </w:tr>
      <w:tr w14:paraId="307C1AD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702" w:type="dxa"/>
            <w:tcBorders>
              <w:top w:val="single" w:color="auto" w:sz="4" w:space="0"/>
              <w:left w:val="double" w:color="auto" w:sz="4" w:space="0"/>
              <w:bottom w:val="single" w:color="auto" w:sz="4" w:space="0"/>
              <w:right w:val="single" w:color="auto" w:sz="4" w:space="0"/>
            </w:tcBorders>
            <w:shd w:val="clear" w:color="auto" w:fill="FFFFFF" w:themeFill="background1"/>
            <w:vAlign w:val="center"/>
          </w:tcPr>
          <w:p w14:paraId="27A361AF">
            <w:pPr>
              <w:rPr>
                <w:rFonts w:ascii="宋体" w:hAnsi="宋体"/>
                <w:szCs w:val="21"/>
              </w:rPr>
            </w:pPr>
            <w:r>
              <w:rPr>
                <w:rFonts w:hint="eastAsia" w:ascii="宋体" w:hAnsi="宋体"/>
                <w:szCs w:val="21"/>
              </w:rPr>
              <w:t>38</w:t>
            </w:r>
          </w:p>
        </w:tc>
        <w:tc>
          <w:tcPr>
            <w:tcW w:w="981"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3459B501">
            <w:pPr>
              <w:jc w:val="center"/>
              <w:rPr>
                <w:rFonts w:ascii="宋体" w:hAnsi="宋体"/>
              </w:rPr>
            </w:pPr>
          </w:p>
        </w:tc>
        <w:tc>
          <w:tcPr>
            <w:tcW w:w="181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32DFCF74">
            <w:pPr>
              <w:jc w:val="center"/>
              <w:rPr>
                <w:rFonts w:ascii="宋体" w:hAnsi="宋体"/>
              </w:rPr>
            </w:pPr>
            <w:r>
              <w:rPr>
                <w:rFonts w:hint="eastAsia" w:ascii="宋体" w:hAnsi="宋体"/>
              </w:rPr>
              <w:t>其他要求</w:t>
            </w:r>
          </w:p>
        </w:tc>
        <w:tc>
          <w:tcPr>
            <w:tcW w:w="5857" w:type="dxa"/>
            <w:tcBorders>
              <w:top w:val="single" w:color="auto" w:sz="4" w:space="0"/>
              <w:left w:val="single" w:color="auto" w:sz="4" w:space="0"/>
              <w:bottom w:val="single" w:color="auto" w:sz="4" w:space="0"/>
              <w:right w:val="double" w:color="auto" w:sz="4" w:space="0"/>
            </w:tcBorders>
            <w:shd w:val="clear" w:color="auto" w:fill="FFFFFF" w:themeFill="background1"/>
            <w:vAlign w:val="center"/>
          </w:tcPr>
          <w:p w14:paraId="4A8A8B87">
            <w:pPr>
              <w:rPr>
                <w:rFonts w:ascii="宋体" w:hAnsi="宋体" w:cs="Courier New"/>
                <w:szCs w:val="21"/>
                <w:u w:val="single"/>
              </w:rPr>
            </w:pPr>
            <w:r>
              <w:rPr>
                <w:rFonts w:hint="eastAsia" w:ascii="宋体" w:hAnsi="宋体" w:cs="Courier New"/>
                <w:szCs w:val="21"/>
                <w:u w:val="single"/>
              </w:rPr>
              <w:t>招标人对中标人参与“百千万工程”的具体要求</w:t>
            </w:r>
          </w:p>
          <w:p w14:paraId="3B145486">
            <w:pPr>
              <w:rPr>
                <w:rFonts w:ascii="宋体" w:hAnsi="宋体" w:cs="Courier New"/>
                <w:szCs w:val="21"/>
                <w:u w:val="single"/>
              </w:rPr>
            </w:pPr>
            <w:r>
              <w:rPr>
                <w:rFonts w:hint="eastAsia" w:ascii="宋体" w:hAnsi="宋体" w:cs="Courier New"/>
                <w:szCs w:val="21"/>
                <w:u w:val="single"/>
              </w:rPr>
              <w:t>说明与要求：</w:t>
            </w:r>
          </w:p>
          <w:p w14:paraId="278F21D7">
            <w:pPr>
              <w:rPr>
                <w:rFonts w:ascii="宋体" w:hAnsi="宋体" w:cs="Courier New"/>
                <w:szCs w:val="21"/>
                <w:u w:val="single"/>
              </w:rPr>
            </w:pPr>
            <w:r>
              <w:rPr>
                <w:rFonts w:hint="eastAsia" w:ascii="宋体" w:hAnsi="宋体" w:cs="Courier New"/>
                <w:szCs w:val="21"/>
                <w:u w:val="single"/>
              </w:rPr>
              <w:t>□具体要求在中标后按照投标承诺和招标人的要求执行。</w:t>
            </w:r>
          </w:p>
          <w:p w14:paraId="66B01264">
            <w:pPr>
              <w:rPr>
                <w:rFonts w:ascii="宋体" w:hAnsi="宋体" w:cs="Courier New"/>
                <w:szCs w:val="21"/>
              </w:rPr>
            </w:pPr>
            <w:r>
              <w:rPr>
                <w:rFonts w:hint="eastAsia" w:ascii="宋体" w:hAnsi="宋体" w:cs="Courier New"/>
                <w:szCs w:val="21"/>
                <w:u w:val="single"/>
              </w:rPr>
              <w:t>☑具体要求：无</w:t>
            </w:r>
          </w:p>
        </w:tc>
      </w:tr>
      <w:tr w14:paraId="10CE964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702" w:type="dxa"/>
            <w:tcBorders>
              <w:top w:val="single" w:color="auto" w:sz="4" w:space="0"/>
              <w:left w:val="double" w:color="auto" w:sz="4" w:space="0"/>
              <w:bottom w:val="double" w:color="auto" w:sz="4" w:space="0"/>
              <w:right w:val="single" w:color="auto" w:sz="4" w:space="0"/>
            </w:tcBorders>
            <w:shd w:val="clear" w:color="auto" w:fill="FFFFFF" w:themeFill="background1"/>
            <w:vAlign w:val="center"/>
          </w:tcPr>
          <w:p w14:paraId="18A024DB">
            <w:pPr>
              <w:rPr>
                <w:rFonts w:ascii="宋体" w:hAnsi="宋体"/>
                <w:szCs w:val="21"/>
              </w:rPr>
            </w:pPr>
            <w:r>
              <w:rPr>
                <w:rFonts w:hint="eastAsia" w:ascii="宋体" w:hAnsi="宋体"/>
                <w:szCs w:val="21"/>
              </w:rPr>
              <w:t>39</w:t>
            </w:r>
          </w:p>
        </w:tc>
        <w:tc>
          <w:tcPr>
            <w:tcW w:w="981" w:type="dxa"/>
            <w:tcBorders>
              <w:top w:val="single" w:color="auto" w:sz="4" w:space="0"/>
              <w:left w:val="single" w:color="auto" w:sz="4" w:space="0"/>
              <w:bottom w:val="double" w:color="auto" w:sz="4" w:space="0"/>
              <w:right w:val="single" w:color="auto" w:sz="4" w:space="0"/>
            </w:tcBorders>
            <w:shd w:val="clear" w:color="auto" w:fill="FFFFFF" w:themeFill="background1"/>
            <w:vAlign w:val="center"/>
          </w:tcPr>
          <w:p w14:paraId="0ADDF0CA">
            <w:pPr>
              <w:jc w:val="center"/>
              <w:rPr>
                <w:rFonts w:ascii="宋体" w:hAnsi="宋体"/>
              </w:rPr>
            </w:pPr>
          </w:p>
        </w:tc>
        <w:tc>
          <w:tcPr>
            <w:tcW w:w="1810" w:type="dxa"/>
            <w:tcBorders>
              <w:top w:val="single" w:color="auto" w:sz="4" w:space="0"/>
              <w:left w:val="single" w:color="auto" w:sz="4" w:space="0"/>
              <w:bottom w:val="double" w:color="auto" w:sz="4" w:space="0"/>
              <w:right w:val="single" w:color="auto" w:sz="4" w:space="0"/>
            </w:tcBorders>
            <w:shd w:val="clear" w:color="auto" w:fill="FFFFFF" w:themeFill="background1"/>
            <w:vAlign w:val="center"/>
          </w:tcPr>
          <w:p w14:paraId="3D8430CE">
            <w:pPr>
              <w:jc w:val="center"/>
              <w:rPr>
                <w:rFonts w:ascii="宋体" w:hAnsi="宋体"/>
              </w:rPr>
            </w:pPr>
            <w:r>
              <w:rPr>
                <w:rFonts w:hint="eastAsia" w:ascii="宋体" w:hAnsi="宋体"/>
              </w:rPr>
              <w:t>安全生产责任保险</w:t>
            </w:r>
          </w:p>
        </w:tc>
        <w:tc>
          <w:tcPr>
            <w:tcW w:w="5857" w:type="dxa"/>
            <w:tcBorders>
              <w:top w:val="single" w:color="auto" w:sz="4" w:space="0"/>
              <w:left w:val="single" w:color="auto" w:sz="4" w:space="0"/>
              <w:bottom w:val="double" w:color="auto" w:sz="4" w:space="0"/>
              <w:right w:val="double" w:color="auto" w:sz="4" w:space="0"/>
            </w:tcBorders>
            <w:shd w:val="clear" w:color="auto" w:fill="FFFFFF" w:themeFill="background1"/>
            <w:vAlign w:val="center"/>
          </w:tcPr>
          <w:p w14:paraId="2BC7106B">
            <w:pPr>
              <w:rPr>
                <w:rFonts w:ascii="宋体" w:hAnsi="宋体" w:cs="Courier New"/>
                <w:szCs w:val="21"/>
                <w:u w:val="single"/>
              </w:rPr>
            </w:pPr>
            <w:r>
              <w:rPr>
                <w:rFonts w:hint="eastAsia" w:ascii="宋体" w:hAnsi="宋体" w:cs="Courier New"/>
                <w:szCs w:val="21"/>
                <w:u w:val="single"/>
              </w:rPr>
              <w:t>开工前中标人应当投保安全生产责任保险，且该保险保障场所应包含中标项目。投标人的投标报价视为包含该项费用。中标人未按规定购买安全生产责任保险，招标人可视严重程度拒绝该单位一年内参与后续工程投标。</w:t>
            </w:r>
          </w:p>
        </w:tc>
      </w:tr>
    </w:tbl>
    <w:p w14:paraId="5B93F76C">
      <w:pPr>
        <w:spacing w:line="480" w:lineRule="auto"/>
        <w:rPr>
          <w:rFonts w:ascii="宋体"/>
          <w:strike/>
          <w:sz w:val="24"/>
        </w:rPr>
      </w:pPr>
      <w:r>
        <w:rPr>
          <w:rFonts w:hint="eastAsia" w:ascii="宋体" w:hAnsi="宋体"/>
          <w:strike/>
          <w:sz w:val="24"/>
        </w:rPr>
        <w:t>注：企业</w:t>
      </w:r>
      <w:r>
        <w:rPr>
          <w:rFonts w:hint="eastAsia" w:ascii="宋体" w:hAnsi="宋体" w:cs="宋体"/>
          <w:strike/>
          <w:kern w:val="0"/>
          <w:sz w:val="24"/>
        </w:rPr>
        <w:t>综合诚信评价得分即</w:t>
      </w:r>
      <w:r>
        <w:rPr>
          <w:rFonts w:hint="eastAsia" w:ascii="宋体" w:hAnsi="宋体"/>
          <w:strike/>
          <w:sz w:val="24"/>
        </w:rPr>
        <w:t>企业</w:t>
      </w:r>
      <w:r>
        <w:rPr>
          <w:rFonts w:hint="eastAsia" w:ascii="宋体" w:hAnsi="宋体" w:cs="宋体"/>
          <w:strike/>
          <w:kern w:val="0"/>
          <w:sz w:val="24"/>
        </w:rPr>
        <w:t>综合诚信评价</w:t>
      </w:r>
      <w:r>
        <w:rPr>
          <w:rFonts w:ascii="宋体" w:hAnsi="宋体" w:cs="宋体"/>
          <w:strike/>
          <w:kern w:val="0"/>
          <w:sz w:val="24"/>
        </w:rPr>
        <w:t>60</w:t>
      </w:r>
      <w:r>
        <w:rPr>
          <w:rFonts w:hint="eastAsia" w:ascii="宋体" w:hAnsi="宋体" w:cs="宋体"/>
          <w:strike/>
          <w:kern w:val="0"/>
          <w:sz w:val="24"/>
        </w:rPr>
        <w:t>日诚信分，以下同。</w:t>
      </w:r>
    </w:p>
    <w:p w14:paraId="16F273D8">
      <w:pPr>
        <w:spacing w:line="360" w:lineRule="auto"/>
        <w:jc w:val="center"/>
        <w:outlineLvl w:val="2"/>
        <w:rPr>
          <w:rFonts w:ascii="黑体" w:hAnsi="黑体" w:eastAsia="黑体"/>
          <w:sz w:val="30"/>
          <w:szCs w:val="30"/>
        </w:rPr>
      </w:pPr>
      <w:r>
        <w:rPr>
          <w:rFonts w:hint="eastAsia" w:ascii="黑体" w:hAnsi="黑体" w:eastAsia="黑体"/>
          <w:sz w:val="30"/>
          <w:szCs w:val="30"/>
        </w:rPr>
        <w:t>否决性条款汇总</w:t>
      </w:r>
    </w:p>
    <w:p w14:paraId="2FC26B8E">
      <w:pPr>
        <w:spacing w:line="360" w:lineRule="auto"/>
        <w:ind w:firstLine="480" w:firstLineChars="200"/>
        <w:rPr>
          <w:rFonts w:ascii="宋体" w:hAnsi="宋体"/>
          <w:kern w:val="21"/>
          <w:sz w:val="24"/>
        </w:rPr>
      </w:pPr>
      <w:r>
        <w:rPr>
          <w:rFonts w:hint="eastAsia" w:ascii="宋体" w:hAnsi="宋体"/>
          <w:kern w:val="21"/>
          <w:sz w:val="24"/>
        </w:rPr>
        <w:t>招标人应当在招标文件中将否决性条款集中载明。如招标文件澄清或修改的内容中增加、删除、修改否决性条款的，招标人应当集中载明调整后完整的否决性条款，并依法发给所有潜在投标人或投标人。</w:t>
      </w:r>
    </w:p>
    <w:tbl>
      <w:tblPr>
        <w:tblStyle w:val="34"/>
        <w:tblW w:w="9397" w:type="dxa"/>
        <w:tblInd w:w="9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2"/>
        <w:gridCol w:w="8435"/>
      </w:tblGrid>
      <w:tr w14:paraId="701F85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 w:hRule="atLeast"/>
        </w:trPr>
        <w:tc>
          <w:tcPr>
            <w:tcW w:w="962" w:type="dxa"/>
            <w:noWrap/>
            <w:vAlign w:val="center"/>
          </w:tcPr>
          <w:p w14:paraId="1858A652">
            <w:pPr>
              <w:spacing w:line="360" w:lineRule="auto"/>
              <w:ind w:firstLine="52"/>
              <w:jc w:val="center"/>
              <w:rPr>
                <w:rFonts w:ascii="宋体" w:hAnsi="宋体" w:cs="宋体"/>
                <w:b/>
                <w:bCs/>
                <w:sz w:val="24"/>
              </w:rPr>
            </w:pPr>
            <w:r>
              <w:rPr>
                <w:rFonts w:hint="eastAsia" w:ascii="宋体" w:hAnsi="宋体" w:cs="宋体"/>
                <w:b/>
                <w:bCs/>
                <w:sz w:val="24"/>
              </w:rPr>
              <w:t>序号</w:t>
            </w:r>
          </w:p>
        </w:tc>
        <w:tc>
          <w:tcPr>
            <w:tcW w:w="8435" w:type="dxa"/>
            <w:noWrap/>
            <w:vAlign w:val="center"/>
          </w:tcPr>
          <w:p w14:paraId="117EF0F9">
            <w:pPr>
              <w:spacing w:line="360" w:lineRule="auto"/>
              <w:ind w:firstLine="426"/>
              <w:jc w:val="center"/>
              <w:rPr>
                <w:rFonts w:ascii="宋体" w:hAnsi="宋体" w:cs="宋体"/>
                <w:b/>
                <w:bCs/>
                <w:sz w:val="24"/>
              </w:rPr>
            </w:pPr>
            <w:r>
              <w:rPr>
                <w:rFonts w:hint="eastAsia" w:ascii="宋体" w:hAnsi="宋体" w:cs="宋体"/>
                <w:b/>
                <w:bCs/>
                <w:sz w:val="24"/>
              </w:rPr>
              <w:t>条款内容</w:t>
            </w:r>
          </w:p>
        </w:tc>
      </w:tr>
      <w:tr w14:paraId="566A3B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9397" w:type="dxa"/>
            <w:gridSpan w:val="2"/>
            <w:noWrap/>
            <w:vAlign w:val="center"/>
          </w:tcPr>
          <w:p w14:paraId="4446BB72">
            <w:pPr>
              <w:spacing w:line="360" w:lineRule="auto"/>
              <w:ind w:firstLine="426"/>
              <w:rPr>
                <w:rFonts w:ascii="宋体" w:hAnsi="宋体" w:cs="宋体"/>
                <w:b/>
                <w:bCs/>
                <w:sz w:val="24"/>
              </w:rPr>
            </w:pPr>
            <w:r>
              <w:rPr>
                <w:rFonts w:hint="eastAsia" w:ascii="宋体" w:hAnsi="宋体" w:cs="宋体"/>
                <w:b/>
                <w:bCs/>
                <w:sz w:val="24"/>
              </w:rPr>
              <w:t>一、拒绝受理投标文件的情形：</w:t>
            </w:r>
          </w:p>
        </w:tc>
      </w:tr>
      <w:tr w14:paraId="0E1551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962" w:type="dxa"/>
            <w:noWrap/>
            <w:vAlign w:val="center"/>
          </w:tcPr>
          <w:p w14:paraId="360823FF">
            <w:pPr>
              <w:spacing w:line="360" w:lineRule="auto"/>
              <w:ind w:firstLine="52"/>
              <w:jc w:val="center"/>
              <w:rPr>
                <w:rFonts w:ascii="宋体" w:hAnsi="宋体" w:cs="宋体"/>
                <w:sz w:val="24"/>
              </w:rPr>
            </w:pPr>
            <w:r>
              <w:rPr>
                <w:rFonts w:hint="eastAsia" w:ascii="宋体" w:hAnsi="宋体" w:cs="宋体"/>
                <w:sz w:val="24"/>
              </w:rPr>
              <w:t>1</w:t>
            </w:r>
          </w:p>
        </w:tc>
        <w:tc>
          <w:tcPr>
            <w:tcW w:w="8435" w:type="dxa"/>
            <w:noWrap/>
            <w:vAlign w:val="center"/>
          </w:tcPr>
          <w:p w14:paraId="42B9272D">
            <w:pPr>
              <w:spacing w:line="360" w:lineRule="auto"/>
              <w:rPr>
                <w:rFonts w:ascii="宋体" w:hAnsi="宋体" w:cs="宋体"/>
                <w:sz w:val="24"/>
              </w:rPr>
            </w:pPr>
            <w:r>
              <w:rPr>
                <w:rFonts w:hint="eastAsia" w:ascii="宋体" w:hAnsi="宋体" w:cs="宋体"/>
                <w:sz w:val="24"/>
              </w:rPr>
              <w:t>（1）未按要求加密的投标文件，广州公共资源交易中心交易平台将予以拒收。</w:t>
            </w:r>
          </w:p>
          <w:p w14:paraId="4BD8864F">
            <w:pPr>
              <w:spacing w:line="360" w:lineRule="auto"/>
              <w:rPr>
                <w:rFonts w:ascii="宋体" w:hAnsi="宋体" w:cs="宋体"/>
                <w:sz w:val="24"/>
              </w:rPr>
            </w:pPr>
            <w:r>
              <w:rPr>
                <w:rFonts w:hint="eastAsia" w:ascii="宋体" w:hAnsi="宋体" w:cs="宋体"/>
                <w:sz w:val="24"/>
              </w:rPr>
              <w:t>（2）逾期送达的电子投标文件，广州公共资源交易中心交易平台将予以拒收。</w:t>
            </w:r>
          </w:p>
        </w:tc>
      </w:tr>
      <w:tr w14:paraId="698716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397" w:type="dxa"/>
            <w:gridSpan w:val="2"/>
            <w:noWrap/>
            <w:vAlign w:val="center"/>
          </w:tcPr>
          <w:p w14:paraId="1BD3DCA8">
            <w:pPr>
              <w:spacing w:line="360" w:lineRule="auto"/>
              <w:ind w:firstLine="459"/>
              <w:rPr>
                <w:rFonts w:ascii="宋体" w:hAnsi="宋体" w:cs="宋体"/>
                <w:sz w:val="24"/>
              </w:rPr>
            </w:pPr>
            <w:r>
              <w:rPr>
                <w:rFonts w:hint="eastAsia" w:ascii="宋体" w:hAnsi="宋体" w:cs="宋体"/>
                <w:b/>
                <w:bCs/>
                <w:sz w:val="24"/>
              </w:rPr>
              <w:t>二、 开标时，出现下列情形之一的，不参与资格审查和评标：</w:t>
            </w:r>
          </w:p>
        </w:tc>
      </w:tr>
      <w:tr w14:paraId="09FFE1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962" w:type="dxa"/>
            <w:noWrap/>
            <w:vAlign w:val="center"/>
          </w:tcPr>
          <w:p w14:paraId="24781BA9">
            <w:pPr>
              <w:spacing w:line="360" w:lineRule="auto"/>
              <w:ind w:firstLine="52"/>
              <w:jc w:val="center"/>
              <w:rPr>
                <w:rFonts w:ascii="宋体" w:hAnsi="宋体" w:cs="宋体"/>
                <w:sz w:val="24"/>
              </w:rPr>
            </w:pPr>
            <w:r>
              <w:rPr>
                <w:rFonts w:ascii="宋体" w:hAnsi="宋体" w:cs="宋体"/>
                <w:sz w:val="24"/>
              </w:rPr>
              <w:t>2</w:t>
            </w:r>
          </w:p>
        </w:tc>
        <w:tc>
          <w:tcPr>
            <w:tcW w:w="8435" w:type="dxa"/>
            <w:noWrap/>
            <w:vAlign w:val="center"/>
          </w:tcPr>
          <w:p w14:paraId="6F5AF6D5">
            <w:pPr>
              <w:spacing w:line="360" w:lineRule="auto"/>
              <w:rPr>
                <w:rFonts w:ascii="宋体" w:hAnsi="宋体" w:cs="宋体"/>
                <w:sz w:val="24"/>
              </w:rPr>
            </w:pPr>
            <w:r>
              <w:rPr>
                <w:rFonts w:hint="eastAsia" w:ascii="宋体" w:hAnsi="宋体" w:cs="宋体"/>
                <w:sz w:val="24"/>
              </w:rPr>
              <w:t>开标时，出现下列情形之一的，不参与资格审查和评标：</w:t>
            </w:r>
          </w:p>
          <w:p w14:paraId="16739A4F">
            <w:pPr>
              <w:spacing w:line="360" w:lineRule="auto"/>
              <w:rPr>
                <w:rFonts w:ascii="宋体" w:hAnsi="宋体" w:cs="仿宋_GB2312"/>
                <w:sz w:val="24"/>
              </w:rPr>
            </w:pPr>
            <w:r>
              <w:rPr>
                <w:rFonts w:hint="eastAsia" w:ascii="宋体" w:hAnsi="宋体" w:cs="宋体"/>
                <w:sz w:val="24"/>
              </w:rPr>
              <w:t>（1）</w:t>
            </w:r>
            <w:r>
              <w:rPr>
                <w:rFonts w:hint="eastAsia" w:ascii="宋体" w:hAnsi="宋体" w:cs="仿宋_GB2312"/>
                <w:sz w:val="24"/>
              </w:rPr>
              <w:t>未完成投标文件传输的或因投标人之外的原因造成投标文件未解密且未按要求递交备用光盘的。因投标人原因造成投标文件未解密或未在规定的时间内解密的。</w:t>
            </w:r>
          </w:p>
          <w:p w14:paraId="3F771960">
            <w:pPr>
              <w:spacing w:line="360" w:lineRule="auto"/>
              <w:rPr>
                <w:rFonts w:ascii="宋体" w:hAnsi="宋体" w:cs="宋体"/>
                <w:sz w:val="24"/>
              </w:rPr>
            </w:pPr>
            <w:r>
              <w:rPr>
                <w:rFonts w:hint="eastAsia" w:ascii="宋体" w:hAnsi="宋体" w:cs="仿宋_GB2312"/>
                <w:sz w:val="24"/>
              </w:rPr>
              <w:t>（2）两个（含两个）以上的投标人加密打包投标文件电脑机器特征码一致的，不参与下一程序，并由评标委员会否决其投标。</w:t>
            </w:r>
            <w:r>
              <w:rPr>
                <w:rFonts w:ascii="宋体" w:hAnsi="宋体" w:cs="仿宋_GB2312"/>
                <w:sz w:val="24"/>
              </w:rPr>
              <w:t>；</w:t>
            </w:r>
          </w:p>
        </w:tc>
      </w:tr>
      <w:tr w14:paraId="253721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 w:hRule="atLeast"/>
        </w:trPr>
        <w:tc>
          <w:tcPr>
            <w:tcW w:w="9397" w:type="dxa"/>
            <w:gridSpan w:val="2"/>
            <w:noWrap/>
            <w:vAlign w:val="center"/>
          </w:tcPr>
          <w:p w14:paraId="43288B02">
            <w:pPr>
              <w:spacing w:line="360" w:lineRule="auto"/>
              <w:ind w:firstLine="426"/>
              <w:jc w:val="left"/>
              <w:rPr>
                <w:rFonts w:ascii="宋体" w:hAnsi="宋体" w:cs="宋体"/>
                <w:b/>
                <w:bCs/>
                <w:sz w:val="24"/>
              </w:rPr>
            </w:pPr>
            <w:r>
              <w:rPr>
                <w:rFonts w:hint="eastAsia" w:ascii="宋体" w:hAnsi="宋体" w:cs="宋体"/>
                <w:b/>
                <w:bCs/>
                <w:sz w:val="24"/>
              </w:rPr>
              <w:t>三、投标文件有下列情形之一的，由评标委员会否决其投标：</w:t>
            </w:r>
          </w:p>
        </w:tc>
      </w:tr>
      <w:tr w14:paraId="66DAF8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 w:hRule="atLeast"/>
        </w:trPr>
        <w:tc>
          <w:tcPr>
            <w:tcW w:w="962" w:type="dxa"/>
            <w:vAlign w:val="center"/>
          </w:tcPr>
          <w:p w14:paraId="505B2ADD">
            <w:pPr>
              <w:spacing w:line="360" w:lineRule="auto"/>
              <w:jc w:val="center"/>
              <w:rPr>
                <w:rFonts w:ascii="宋体" w:hAnsi="宋体" w:cs="宋体"/>
                <w:sz w:val="24"/>
              </w:rPr>
            </w:pPr>
            <w:r>
              <w:rPr>
                <w:rFonts w:ascii="宋体" w:hAnsi="宋体" w:cs="宋体"/>
                <w:sz w:val="24"/>
              </w:rPr>
              <w:t>3</w:t>
            </w:r>
          </w:p>
        </w:tc>
        <w:tc>
          <w:tcPr>
            <w:tcW w:w="8435" w:type="dxa"/>
            <w:vAlign w:val="center"/>
          </w:tcPr>
          <w:p w14:paraId="7F3DDA9B">
            <w:pPr>
              <w:spacing w:line="360" w:lineRule="auto"/>
              <w:rPr>
                <w:rFonts w:ascii="宋体" w:hAnsi="宋体" w:cs="宋体"/>
                <w:sz w:val="24"/>
              </w:rPr>
            </w:pPr>
            <w:r>
              <w:rPr>
                <w:rFonts w:hint="eastAsia" w:ascii="宋体" w:hAnsi="宋体" w:cs="宋体"/>
                <w:sz w:val="24"/>
              </w:rPr>
              <w:t>投标文件（资格审查文件）有不符合招标文件评标办法附表一《资格审查表》中任何一项情形的。</w:t>
            </w:r>
          </w:p>
        </w:tc>
      </w:tr>
      <w:tr w14:paraId="6A6F25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trPr>
        <w:tc>
          <w:tcPr>
            <w:tcW w:w="962" w:type="dxa"/>
            <w:vAlign w:val="center"/>
          </w:tcPr>
          <w:p w14:paraId="6613A9B8">
            <w:pPr>
              <w:spacing w:line="360" w:lineRule="auto"/>
              <w:jc w:val="center"/>
              <w:rPr>
                <w:rFonts w:ascii="宋体" w:hAnsi="宋体" w:cs="宋体"/>
                <w:sz w:val="24"/>
              </w:rPr>
            </w:pPr>
            <w:r>
              <w:rPr>
                <w:rFonts w:ascii="宋体" w:hAnsi="宋体" w:cs="宋体"/>
                <w:sz w:val="24"/>
              </w:rPr>
              <w:t>4</w:t>
            </w:r>
          </w:p>
        </w:tc>
        <w:tc>
          <w:tcPr>
            <w:tcW w:w="8435" w:type="dxa"/>
            <w:vAlign w:val="center"/>
          </w:tcPr>
          <w:p w14:paraId="621BBFA8">
            <w:pPr>
              <w:spacing w:line="360" w:lineRule="auto"/>
              <w:rPr>
                <w:rFonts w:ascii="宋体" w:hAnsi="宋体" w:cs="宋体"/>
                <w:sz w:val="24"/>
              </w:rPr>
            </w:pPr>
            <w:r>
              <w:rPr>
                <w:rFonts w:hint="eastAsia" w:ascii="宋体" w:hAnsi="宋体" w:cs="宋体"/>
                <w:sz w:val="24"/>
              </w:rPr>
              <w:t>投标文件（技术标部分）出现招标文件评标办法附表二《技术标有效性审查表》中任何一项情形的。</w:t>
            </w:r>
          </w:p>
        </w:tc>
      </w:tr>
      <w:tr w14:paraId="6FFF76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962" w:type="dxa"/>
            <w:vAlign w:val="center"/>
          </w:tcPr>
          <w:p w14:paraId="2AA94D2B">
            <w:pPr>
              <w:spacing w:line="360" w:lineRule="auto"/>
              <w:jc w:val="center"/>
              <w:rPr>
                <w:rFonts w:ascii="宋体" w:hAnsi="宋体" w:cs="宋体"/>
                <w:sz w:val="24"/>
              </w:rPr>
            </w:pPr>
            <w:r>
              <w:rPr>
                <w:rFonts w:ascii="宋体" w:hAnsi="宋体" w:cs="宋体"/>
                <w:sz w:val="24"/>
              </w:rPr>
              <w:t>5</w:t>
            </w:r>
          </w:p>
        </w:tc>
        <w:tc>
          <w:tcPr>
            <w:tcW w:w="8435" w:type="dxa"/>
            <w:vAlign w:val="center"/>
          </w:tcPr>
          <w:p w14:paraId="45E5A380">
            <w:pPr>
              <w:spacing w:line="360" w:lineRule="auto"/>
              <w:rPr>
                <w:rFonts w:ascii="宋体" w:hAnsi="宋体" w:cs="宋体"/>
                <w:sz w:val="24"/>
              </w:rPr>
            </w:pPr>
            <w:r>
              <w:rPr>
                <w:rFonts w:hint="eastAsia" w:ascii="宋体" w:hAnsi="宋体" w:cs="宋体"/>
                <w:sz w:val="24"/>
              </w:rPr>
              <w:t>投标文件（经济标部分）出现招标文件评标办法附表三《经济标有效性审查表》中任何一项情形的。</w:t>
            </w:r>
          </w:p>
        </w:tc>
      </w:tr>
    </w:tbl>
    <w:p w14:paraId="4803858F">
      <w:pPr>
        <w:pStyle w:val="7"/>
        <w:ind w:left="0"/>
        <w:rPr>
          <w:color w:val="auto"/>
        </w:rPr>
      </w:pPr>
      <w:r>
        <w:rPr>
          <w:color w:val="auto"/>
        </w:rPr>
        <w:br w:type="page"/>
      </w:r>
      <w:bookmarkStart w:id="2" w:name="_Toc2272547"/>
      <w:r>
        <w:rPr>
          <w:rFonts w:hint="eastAsia"/>
          <w:color w:val="auto"/>
        </w:rPr>
        <w:t>二、投标须知修改表</w:t>
      </w:r>
      <w:bookmarkEnd w:id="2"/>
    </w:p>
    <w:p w14:paraId="342BE4F2">
      <w:pPr>
        <w:pStyle w:val="5"/>
        <w:spacing w:line="360" w:lineRule="auto"/>
        <w:rPr>
          <w:rFonts w:ascii="宋体" w:hAnsi="宋体" w:eastAsia="宋体"/>
          <w:b/>
          <w:szCs w:val="21"/>
        </w:rPr>
      </w:pPr>
      <w:r>
        <w:rPr>
          <w:rFonts w:hint="eastAsia" w:ascii="宋体" w:hAnsi="宋体" w:eastAsia="宋体"/>
          <w:b/>
          <w:szCs w:val="21"/>
        </w:rPr>
        <w:t>声明：本投标须知使用GZZB2018-3招标文件范本的投标须知通用条款，与该通用条款不同之处，均在本表中列明，并以现文为准，原文不再有效。本招标文件中不再转录投标须知通用条款，请投标人自行到广州市住房和城乡建设局网站（网址：</w:t>
      </w:r>
      <w:r>
        <w:rPr>
          <w:rFonts w:ascii="宋体" w:hAnsi="宋体" w:eastAsia="宋体"/>
          <w:b/>
          <w:szCs w:val="21"/>
        </w:rPr>
        <w:t>http://zfcj.gz.gov.cn/</w:t>
      </w:r>
      <w:r>
        <w:rPr>
          <w:rFonts w:hint="eastAsia" w:ascii="宋体" w:hAnsi="宋体" w:eastAsia="宋体"/>
          <w:b/>
          <w:szCs w:val="21"/>
        </w:rPr>
        <w:t>）下载查阅。</w:t>
      </w:r>
    </w:p>
    <w:p w14:paraId="3C9EC787">
      <w:pPr>
        <w:spacing w:line="360" w:lineRule="auto"/>
        <w:ind w:firstLine="420" w:firstLineChars="200"/>
        <w:rPr>
          <w:b/>
          <w:szCs w:val="21"/>
        </w:rPr>
      </w:pPr>
      <w:r>
        <w:rPr>
          <w:rFonts w:hint="eastAsia"/>
          <w:b/>
          <w:szCs w:val="21"/>
        </w:rPr>
        <w:t>条款号：</w:t>
      </w:r>
      <w:r>
        <w:rPr>
          <w:b/>
          <w:szCs w:val="21"/>
        </w:rPr>
        <w:t>7</w:t>
      </w:r>
      <w:r>
        <w:rPr>
          <w:rFonts w:hint="eastAsia"/>
          <w:b/>
          <w:szCs w:val="21"/>
        </w:rPr>
        <w:t>.1             修改类型：修改</w:t>
      </w:r>
    </w:p>
    <w:p w14:paraId="3A7988A7">
      <w:pPr>
        <w:spacing w:line="360" w:lineRule="auto"/>
        <w:ind w:firstLine="420" w:firstLineChars="200"/>
        <w:rPr>
          <w:szCs w:val="21"/>
        </w:rPr>
      </w:pPr>
      <w:r>
        <w:rPr>
          <w:rFonts w:hint="eastAsia"/>
          <w:b/>
          <w:szCs w:val="21"/>
        </w:rPr>
        <w:t>原文：</w:t>
      </w:r>
      <w:r>
        <w:rPr>
          <w:b/>
          <w:szCs w:val="21"/>
        </w:rPr>
        <w:t xml:space="preserve">7.1 </w:t>
      </w:r>
      <w:r>
        <w:rPr>
          <w:rFonts w:hint="eastAsia"/>
          <w:szCs w:val="21"/>
        </w:rPr>
        <w:t>本招标文件包括下列文件，以及所有按本须知第8条发出的招标答疑会会议纪要和按本须知第9条发出的澄清或修改：</w:t>
      </w:r>
    </w:p>
    <w:p w14:paraId="3B808587">
      <w:pPr>
        <w:spacing w:line="360" w:lineRule="auto"/>
        <w:ind w:firstLine="420" w:firstLineChars="200"/>
        <w:rPr>
          <w:szCs w:val="21"/>
        </w:rPr>
      </w:pPr>
      <w:r>
        <w:rPr>
          <w:rFonts w:hint="eastAsia"/>
          <w:szCs w:val="21"/>
        </w:rPr>
        <w:t>第一章  投标须知</w:t>
      </w:r>
    </w:p>
    <w:p w14:paraId="27B8B717">
      <w:pPr>
        <w:spacing w:line="360" w:lineRule="auto"/>
        <w:ind w:firstLine="420" w:firstLineChars="200"/>
        <w:rPr>
          <w:szCs w:val="21"/>
        </w:rPr>
      </w:pPr>
      <w:r>
        <w:rPr>
          <w:rFonts w:hint="eastAsia"/>
          <w:szCs w:val="21"/>
        </w:rPr>
        <w:t>第二章  开标、评标及定标办法</w:t>
      </w:r>
    </w:p>
    <w:p w14:paraId="38AC80E6">
      <w:pPr>
        <w:spacing w:line="360" w:lineRule="auto"/>
        <w:ind w:firstLine="420" w:firstLineChars="200"/>
        <w:rPr>
          <w:szCs w:val="21"/>
        </w:rPr>
      </w:pPr>
      <w:r>
        <w:rPr>
          <w:rFonts w:hint="eastAsia"/>
          <w:szCs w:val="21"/>
        </w:rPr>
        <w:t>第三章  合同条款</w:t>
      </w:r>
    </w:p>
    <w:p w14:paraId="35B86EDF">
      <w:pPr>
        <w:spacing w:line="360" w:lineRule="auto"/>
        <w:ind w:firstLine="420" w:firstLineChars="200"/>
        <w:rPr>
          <w:szCs w:val="21"/>
        </w:rPr>
      </w:pPr>
      <w:r>
        <w:rPr>
          <w:rFonts w:hint="eastAsia"/>
          <w:szCs w:val="21"/>
        </w:rPr>
        <w:t>第四章  投标文件格式</w:t>
      </w:r>
    </w:p>
    <w:p w14:paraId="1269463A">
      <w:pPr>
        <w:spacing w:line="360" w:lineRule="auto"/>
        <w:ind w:firstLine="420" w:firstLineChars="200"/>
        <w:rPr>
          <w:szCs w:val="21"/>
        </w:rPr>
      </w:pPr>
      <w:r>
        <w:rPr>
          <w:rFonts w:hint="eastAsia"/>
          <w:szCs w:val="21"/>
        </w:rPr>
        <w:t>第五章  技术条件（工程建设标准）（另册）</w:t>
      </w:r>
    </w:p>
    <w:p w14:paraId="56F1914A">
      <w:pPr>
        <w:spacing w:line="360" w:lineRule="auto"/>
        <w:ind w:firstLine="420" w:firstLineChars="200"/>
        <w:rPr>
          <w:szCs w:val="21"/>
        </w:rPr>
      </w:pPr>
      <w:r>
        <w:rPr>
          <w:rFonts w:hint="eastAsia"/>
          <w:szCs w:val="21"/>
        </w:rPr>
        <w:t>第六章  图纸资料</w:t>
      </w:r>
      <w:bookmarkStart w:id="3" w:name="_Hlk48663595"/>
      <w:r>
        <w:rPr>
          <w:rFonts w:hint="eastAsia"/>
          <w:szCs w:val="21"/>
        </w:rPr>
        <w:t>（另册）</w:t>
      </w:r>
      <w:bookmarkEnd w:id="3"/>
    </w:p>
    <w:p w14:paraId="416FCEFA">
      <w:pPr>
        <w:spacing w:line="360" w:lineRule="auto"/>
        <w:ind w:firstLine="420" w:firstLineChars="200"/>
        <w:rPr>
          <w:szCs w:val="21"/>
        </w:rPr>
      </w:pPr>
      <w:r>
        <w:rPr>
          <w:rFonts w:hint="eastAsia"/>
          <w:szCs w:val="21"/>
        </w:rPr>
        <w:t>第七章  招标工程量清单（另册）</w:t>
      </w:r>
    </w:p>
    <w:p w14:paraId="1A18D061">
      <w:pPr>
        <w:spacing w:line="360" w:lineRule="auto"/>
        <w:ind w:firstLine="420" w:firstLineChars="200"/>
        <w:rPr>
          <w:szCs w:val="21"/>
        </w:rPr>
      </w:pPr>
      <w:r>
        <w:rPr>
          <w:rFonts w:hint="eastAsia"/>
          <w:szCs w:val="21"/>
        </w:rPr>
        <w:t>第八章  最高投标限价</w:t>
      </w:r>
    </w:p>
    <w:p w14:paraId="6E57E67A">
      <w:pPr>
        <w:spacing w:line="360" w:lineRule="auto"/>
        <w:ind w:firstLine="420" w:firstLineChars="200"/>
        <w:rPr>
          <w:szCs w:val="21"/>
        </w:rPr>
      </w:pPr>
      <w:r>
        <w:rPr>
          <w:rFonts w:hint="eastAsia"/>
          <w:szCs w:val="21"/>
        </w:rPr>
        <w:t>注：招标人应在技术条件（工程建设标准）中明确施工现场建筑垃圾源头减量的具体要求和建筑垃圾综合利用产品的使用要求。</w:t>
      </w:r>
    </w:p>
    <w:p w14:paraId="0D774DDB">
      <w:pPr>
        <w:pBdr>
          <w:bottom w:val="single" w:color="auto" w:sz="6" w:space="1"/>
        </w:pBdr>
        <w:spacing w:line="360" w:lineRule="auto"/>
        <w:ind w:firstLine="470" w:firstLineChars="224"/>
        <w:rPr>
          <w:szCs w:val="21"/>
          <w:u w:val="single"/>
        </w:rPr>
      </w:pPr>
      <w:r>
        <w:rPr>
          <w:rFonts w:hint="eastAsia"/>
          <w:b/>
          <w:szCs w:val="21"/>
        </w:rPr>
        <w:t>现文：</w:t>
      </w:r>
      <w:r>
        <w:rPr>
          <w:b/>
          <w:szCs w:val="21"/>
        </w:rPr>
        <w:t>7.1</w:t>
      </w:r>
      <w:r>
        <w:rPr>
          <w:rFonts w:hint="eastAsia"/>
          <w:szCs w:val="21"/>
        </w:rPr>
        <w:t>本招标文件包括下列文件，以及所有按本须知第8条发出的</w:t>
      </w:r>
      <w:r>
        <w:rPr>
          <w:rFonts w:hint="eastAsia" w:ascii="宋体" w:hAnsi="宋体" w:cs="宋体"/>
          <w:szCs w:val="21"/>
          <w:u w:val="single"/>
        </w:rPr>
        <w:t>招标答疑纪要</w:t>
      </w:r>
      <w:r>
        <w:rPr>
          <w:rFonts w:hint="eastAsia"/>
          <w:szCs w:val="21"/>
        </w:rPr>
        <w:t>和按本须知第9条发出的澄清或修改：</w:t>
      </w:r>
    </w:p>
    <w:p w14:paraId="6BAC499E">
      <w:pPr>
        <w:pBdr>
          <w:bottom w:val="single" w:color="auto" w:sz="6" w:space="1"/>
        </w:pBdr>
        <w:spacing w:line="360" w:lineRule="auto"/>
        <w:ind w:firstLine="470" w:firstLineChars="224"/>
        <w:rPr>
          <w:szCs w:val="21"/>
        </w:rPr>
      </w:pPr>
      <w:r>
        <w:rPr>
          <w:rFonts w:hint="eastAsia"/>
          <w:szCs w:val="21"/>
        </w:rPr>
        <w:t>第一章  投标须知</w:t>
      </w:r>
    </w:p>
    <w:p w14:paraId="06E136BB">
      <w:pPr>
        <w:pBdr>
          <w:bottom w:val="single" w:color="auto" w:sz="6" w:space="1"/>
        </w:pBdr>
        <w:spacing w:line="360" w:lineRule="auto"/>
        <w:ind w:firstLine="470" w:firstLineChars="224"/>
        <w:rPr>
          <w:szCs w:val="21"/>
        </w:rPr>
      </w:pPr>
      <w:r>
        <w:rPr>
          <w:rFonts w:hint="eastAsia"/>
          <w:szCs w:val="21"/>
        </w:rPr>
        <w:t>第二章  开标、评标及定标办法</w:t>
      </w:r>
    </w:p>
    <w:p w14:paraId="718AE468">
      <w:pPr>
        <w:pBdr>
          <w:bottom w:val="single" w:color="auto" w:sz="6" w:space="1"/>
        </w:pBdr>
        <w:spacing w:line="360" w:lineRule="auto"/>
        <w:ind w:firstLine="470" w:firstLineChars="224"/>
        <w:rPr>
          <w:szCs w:val="21"/>
        </w:rPr>
      </w:pPr>
      <w:r>
        <w:rPr>
          <w:rFonts w:hint="eastAsia"/>
          <w:szCs w:val="21"/>
        </w:rPr>
        <w:t>第三章  合同条款</w:t>
      </w:r>
    </w:p>
    <w:p w14:paraId="7A2252FA">
      <w:pPr>
        <w:pBdr>
          <w:bottom w:val="single" w:color="auto" w:sz="6" w:space="1"/>
        </w:pBdr>
        <w:spacing w:line="360" w:lineRule="auto"/>
        <w:ind w:firstLine="470" w:firstLineChars="224"/>
        <w:rPr>
          <w:szCs w:val="21"/>
        </w:rPr>
      </w:pPr>
      <w:r>
        <w:rPr>
          <w:rFonts w:hint="eastAsia"/>
          <w:szCs w:val="21"/>
        </w:rPr>
        <w:t>第四章  投标文件格式</w:t>
      </w:r>
    </w:p>
    <w:p w14:paraId="6618DD90">
      <w:pPr>
        <w:pBdr>
          <w:bottom w:val="single" w:color="auto" w:sz="6" w:space="1"/>
        </w:pBdr>
        <w:spacing w:line="360" w:lineRule="auto"/>
        <w:ind w:firstLine="470" w:firstLineChars="224"/>
        <w:rPr>
          <w:szCs w:val="21"/>
          <w:u w:val="single"/>
        </w:rPr>
      </w:pPr>
      <w:r>
        <w:rPr>
          <w:rFonts w:hint="eastAsia"/>
          <w:szCs w:val="21"/>
        </w:rPr>
        <w:t>第五章  技术条件（工程建设标准）</w:t>
      </w:r>
    </w:p>
    <w:p w14:paraId="01A0CD5A">
      <w:pPr>
        <w:pBdr>
          <w:bottom w:val="single" w:color="auto" w:sz="6" w:space="1"/>
        </w:pBdr>
        <w:spacing w:line="360" w:lineRule="auto"/>
        <w:ind w:firstLine="470" w:firstLineChars="224"/>
        <w:rPr>
          <w:szCs w:val="21"/>
        </w:rPr>
      </w:pPr>
      <w:r>
        <w:rPr>
          <w:rFonts w:hint="eastAsia"/>
          <w:szCs w:val="21"/>
        </w:rPr>
        <w:t>第六章  图纸资料（另册）</w:t>
      </w:r>
    </w:p>
    <w:p w14:paraId="44D9B7F9">
      <w:pPr>
        <w:pBdr>
          <w:bottom w:val="single" w:color="auto" w:sz="6" w:space="1"/>
        </w:pBdr>
        <w:spacing w:line="360" w:lineRule="auto"/>
        <w:ind w:firstLine="470" w:firstLineChars="224"/>
        <w:rPr>
          <w:szCs w:val="21"/>
          <w:u w:val="single"/>
        </w:rPr>
      </w:pPr>
      <w:r>
        <w:rPr>
          <w:rFonts w:hint="eastAsia"/>
          <w:szCs w:val="21"/>
        </w:rPr>
        <w:t>第七章  招标工程量清单（另册）</w:t>
      </w:r>
    </w:p>
    <w:p w14:paraId="349E5725">
      <w:pPr>
        <w:pBdr>
          <w:bottom w:val="single" w:color="auto" w:sz="6" w:space="1"/>
        </w:pBdr>
        <w:spacing w:line="360" w:lineRule="auto"/>
        <w:ind w:firstLine="470" w:firstLineChars="224"/>
        <w:rPr>
          <w:szCs w:val="21"/>
          <w:u w:val="single"/>
        </w:rPr>
      </w:pPr>
      <w:r>
        <w:rPr>
          <w:rFonts w:hint="eastAsia"/>
          <w:szCs w:val="21"/>
          <w:u w:val="single"/>
        </w:rPr>
        <w:t>第八章  最高投标限价（另册）</w:t>
      </w:r>
    </w:p>
    <w:p w14:paraId="664F3D7C">
      <w:pPr>
        <w:pBdr>
          <w:bottom w:val="single" w:color="auto" w:sz="6" w:space="1"/>
        </w:pBdr>
        <w:spacing w:line="360" w:lineRule="auto"/>
        <w:ind w:firstLine="470" w:firstLineChars="224"/>
        <w:rPr>
          <w:szCs w:val="21"/>
        </w:rPr>
      </w:pPr>
      <w:r>
        <w:rPr>
          <w:rFonts w:hint="eastAsia"/>
          <w:szCs w:val="21"/>
        </w:rPr>
        <w:fldChar w:fldCharType="begin"/>
      </w:r>
      <w:r>
        <w:rPr>
          <w:rFonts w:hint="eastAsia"/>
          <w:szCs w:val="21"/>
        </w:rPr>
        <w:instrText xml:space="preserve"> = 1 \* GB3 </w:instrText>
      </w:r>
      <w:r>
        <w:rPr>
          <w:rFonts w:hint="eastAsia"/>
          <w:szCs w:val="21"/>
        </w:rPr>
        <w:fldChar w:fldCharType="separate"/>
      </w:r>
      <w:r>
        <w:rPr>
          <w:rFonts w:hint="eastAsia"/>
          <w:szCs w:val="21"/>
        </w:rPr>
        <w:t>①</w:t>
      </w:r>
      <w:r>
        <w:rPr>
          <w:rFonts w:hint="eastAsia"/>
          <w:szCs w:val="21"/>
        </w:rPr>
        <w:fldChar w:fldCharType="end"/>
      </w:r>
      <w:r>
        <w:rPr>
          <w:rFonts w:hint="eastAsia"/>
          <w:szCs w:val="21"/>
        </w:rPr>
        <w:t>招标人应在技术条件（工程建设标准）中提出本项目对关键技术、工艺、重点、难点，以及拟在本项目采用的智能建造和新型建筑工业化相关技术的具体要求，明确本项目采购绿色建材和对原材料、生产制造工艺的环保、节能、低碳的要求，明确施工现场建筑垃圾源头减量的具体要求以及建筑垃圾综合利用产品的使用要求。</w:t>
      </w:r>
      <w:r>
        <w:rPr>
          <w:rFonts w:hint="eastAsia"/>
          <w:szCs w:val="21"/>
        </w:rPr>
        <w:fldChar w:fldCharType="begin"/>
      </w:r>
      <w:r>
        <w:rPr>
          <w:rFonts w:hint="eastAsia"/>
          <w:szCs w:val="21"/>
        </w:rPr>
        <w:instrText xml:space="preserve"> = 2 \* GB3 </w:instrText>
      </w:r>
      <w:r>
        <w:rPr>
          <w:rFonts w:hint="eastAsia"/>
          <w:szCs w:val="21"/>
        </w:rPr>
        <w:fldChar w:fldCharType="separate"/>
      </w:r>
      <w:r>
        <w:rPr>
          <w:rFonts w:hint="eastAsia"/>
          <w:szCs w:val="21"/>
        </w:rPr>
        <w:t>②</w:t>
      </w:r>
      <w:r>
        <w:rPr>
          <w:rFonts w:hint="eastAsia"/>
          <w:szCs w:val="21"/>
        </w:rPr>
        <w:fldChar w:fldCharType="end"/>
      </w:r>
      <w:r>
        <w:rPr>
          <w:rFonts w:hint="eastAsia"/>
          <w:szCs w:val="21"/>
        </w:rPr>
        <w:t>鼓励招标人对施工组织设计或施工方案实行隐藏投标人信息的暗标评审。</w:t>
      </w:r>
    </w:p>
    <w:p w14:paraId="0B849DB1">
      <w:pPr>
        <w:spacing w:line="360" w:lineRule="auto"/>
        <w:ind w:firstLine="420" w:firstLineChars="200"/>
        <w:rPr>
          <w:b/>
          <w:szCs w:val="21"/>
        </w:rPr>
      </w:pPr>
      <w:r>
        <w:rPr>
          <w:rFonts w:hint="eastAsia"/>
          <w:b/>
          <w:szCs w:val="21"/>
        </w:rPr>
        <w:t>条款号：8.1             修改类型：修改</w:t>
      </w:r>
    </w:p>
    <w:p w14:paraId="09B9BB69">
      <w:pPr>
        <w:spacing w:line="360" w:lineRule="auto"/>
        <w:ind w:firstLine="420" w:firstLineChars="200"/>
        <w:rPr>
          <w:szCs w:val="21"/>
        </w:rPr>
      </w:pPr>
      <w:r>
        <w:rPr>
          <w:rFonts w:hint="eastAsia"/>
          <w:b/>
          <w:szCs w:val="21"/>
        </w:rPr>
        <w:t>原文：</w:t>
      </w:r>
      <w:r>
        <w:rPr>
          <w:rFonts w:hint="eastAsia"/>
          <w:szCs w:val="21"/>
        </w:rPr>
        <w:t>投标人若对招标文件（包括招标图纸）中有疑问，可以书面形式通过交易平台提交给招标人或招标代理人，提交形式见本须知前附表第16项。</w:t>
      </w:r>
    </w:p>
    <w:p w14:paraId="2EA60F32">
      <w:pPr>
        <w:pBdr>
          <w:bottom w:val="single" w:color="auto" w:sz="6" w:space="1"/>
        </w:pBdr>
        <w:spacing w:line="360" w:lineRule="auto"/>
        <w:ind w:firstLine="470" w:firstLineChars="224"/>
        <w:rPr>
          <w:b/>
          <w:szCs w:val="21"/>
        </w:rPr>
      </w:pPr>
      <w:r>
        <w:rPr>
          <w:rFonts w:hint="eastAsia"/>
          <w:b/>
          <w:szCs w:val="21"/>
        </w:rPr>
        <w:t>现文：</w:t>
      </w:r>
      <w:r>
        <w:rPr>
          <w:rFonts w:hint="eastAsia"/>
          <w:szCs w:val="21"/>
          <w:u w:val="single"/>
        </w:rPr>
        <w:t>招标答疑采用网上答疑方式进行。投标人若对招标文件有疑问的，可在规定的时间内通过登录广州公共资源交易中心网站交易系统将问题提交给招标人或招标代理人，提交问题时一律不得署名。网上答疑的操作指南为：登陆广州公共资源交易中心网站交易系统→进入“我的投标”专区→进入“招标答疑”选项→通过项目编号或名称找到所需的项目→在答疑时间内点击“答疑提问-新增提问”→提出问题</w:t>
      </w:r>
      <w:r>
        <w:rPr>
          <w:szCs w:val="21"/>
          <w:u w:val="single"/>
        </w:rPr>
        <w:t>(</w:t>
      </w:r>
      <w:r>
        <w:rPr>
          <w:rFonts w:hint="eastAsia"/>
          <w:szCs w:val="21"/>
          <w:u w:val="single"/>
        </w:rPr>
        <w:t>提问一律不得署名</w:t>
      </w:r>
      <w:r>
        <w:rPr>
          <w:szCs w:val="21"/>
          <w:u w:val="single"/>
        </w:rPr>
        <w:t>)</w:t>
      </w:r>
      <w:r>
        <w:rPr>
          <w:rFonts w:hint="eastAsia"/>
          <w:szCs w:val="21"/>
          <w:u w:val="single"/>
        </w:rPr>
        <w:t>。</w:t>
      </w:r>
    </w:p>
    <w:p w14:paraId="3D4B9E6E">
      <w:pPr>
        <w:spacing w:line="360" w:lineRule="auto"/>
        <w:ind w:firstLine="470" w:firstLineChars="224"/>
        <w:rPr>
          <w:rFonts w:ascii="宋体" w:hAnsi="宋体" w:cs="宋体"/>
          <w:b/>
          <w:szCs w:val="21"/>
        </w:rPr>
      </w:pPr>
      <w:r>
        <w:rPr>
          <w:rFonts w:hint="eastAsia" w:ascii="宋体" w:hAnsi="宋体" w:cs="宋体"/>
          <w:b/>
          <w:szCs w:val="21"/>
        </w:rPr>
        <w:t>条款号：8.2             修改类型：修改</w:t>
      </w:r>
    </w:p>
    <w:p w14:paraId="4FF7E168">
      <w:pPr>
        <w:spacing w:line="360" w:lineRule="auto"/>
        <w:ind w:firstLine="470" w:firstLineChars="224"/>
        <w:rPr>
          <w:rFonts w:ascii="宋体" w:hAnsi="宋体" w:cs="宋体"/>
          <w:b/>
          <w:szCs w:val="21"/>
        </w:rPr>
      </w:pPr>
      <w:r>
        <w:rPr>
          <w:rFonts w:hint="eastAsia" w:ascii="宋体" w:hAnsi="宋体" w:cs="宋体"/>
          <w:b/>
          <w:szCs w:val="21"/>
        </w:rPr>
        <w:t>原文：8.2</w:t>
      </w:r>
      <w:r>
        <w:rPr>
          <w:rFonts w:hint="eastAsia" w:ascii="宋体" w:hAnsi="宋体" w:cs="宋体"/>
          <w:bCs/>
          <w:szCs w:val="21"/>
        </w:rPr>
        <w:t>招标答疑会会议纪要将在提交投标文件截止时间15日前在</w:t>
      </w:r>
      <w:r>
        <w:rPr>
          <w:rFonts w:hint="eastAsia" w:ascii="宋体" w:hAnsi="宋体" w:cs="宋体"/>
          <w:bCs/>
          <w:szCs w:val="21"/>
          <w:u w:val="single"/>
        </w:rPr>
        <w:t xml:space="preserve">        </w:t>
      </w:r>
      <w:r>
        <w:rPr>
          <w:rFonts w:hint="eastAsia" w:ascii="宋体" w:hAnsi="宋体" w:cs="宋体"/>
          <w:bCs/>
          <w:szCs w:val="21"/>
        </w:rPr>
        <w:t>交易平台 “项目答疑纪要”专区公开发布。答疑纪要一经在</w:t>
      </w:r>
      <w:r>
        <w:rPr>
          <w:rFonts w:hint="eastAsia" w:ascii="宋体" w:hAnsi="宋体" w:cs="宋体"/>
          <w:bCs/>
          <w:szCs w:val="21"/>
          <w:u w:val="single"/>
        </w:rPr>
        <w:t xml:space="preserve">        </w:t>
      </w:r>
      <w:r>
        <w:rPr>
          <w:rFonts w:hint="eastAsia" w:ascii="宋体" w:hAnsi="宋体" w:cs="宋体"/>
          <w:bCs/>
          <w:szCs w:val="21"/>
        </w:rPr>
        <w:t>交易平台发布，视作已发放给所有投标人。</w:t>
      </w:r>
    </w:p>
    <w:p w14:paraId="5197DB97">
      <w:pPr>
        <w:pBdr>
          <w:bottom w:val="single" w:color="auto" w:sz="6" w:space="1"/>
        </w:pBdr>
        <w:spacing w:line="360" w:lineRule="auto"/>
        <w:ind w:firstLine="470" w:firstLineChars="224"/>
        <w:rPr>
          <w:b/>
          <w:szCs w:val="21"/>
        </w:rPr>
      </w:pPr>
      <w:r>
        <w:rPr>
          <w:rFonts w:hint="eastAsia" w:ascii="宋体" w:hAnsi="宋体" w:cs="宋体"/>
          <w:b/>
          <w:szCs w:val="21"/>
        </w:rPr>
        <w:t>现文：8.2</w:t>
      </w:r>
      <w:r>
        <w:rPr>
          <w:rFonts w:hint="eastAsia" w:ascii="宋体" w:hAnsi="宋体" w:cs="宋体"/>
          <w:bCs/>
          <w:szCs w:val="21"/>
        </w:rPr>
        <w:t>招标答疑会会议纪要将在提交投标文件截止时间15日前在</w:t>
      </w:r>
      <w:r>
        <w:rPr>
          <w:rFonts w:hint="eastAsia" w:ascii="宋体" w:hAnsi="宋体" w:cs="宋体"/>
          <w:bCs/>
          <w:szCs w:val="21"/>
          <w:u w:val="single"/>
        </w:rPr>
        <w:t>广州公共资源交易中心网站</w:t>
      </w:r>
      <w:r>
        <w:rPr>
          <w:rFonts w:hint="eastAsia" w:ascii="宋体" w:hAnsi="宋体" w:cs="宋体"/>
          <w:bCs/>
          <w:szCs w:val="21"/>
        </w:rPr>
        <w:t>交易平台</w:t>
      </w:r>
      <w:r>
        <w:rPr>
          <w:rFonts w:hint="eastAsia" w:ascii="宋体" w:hAnsi="宋体" w:cs="宋体"/>
          <w:bCs/>
          <w:szCs w:val="21"/>
          <w:u w:val="single"/>
        </w:rPr>
        <w:t>“</w:t>
      </w:r>
      <w:bookmarkStart w:id="4" w:name="_Hlk62738754"/>
      <w:r>
        <w:rPr>
          <w:rFonts w:hint="eastAsia" w:ascii="宋体" w:hAnsi="宋体" w:cs="宋体"/>
          <w:bCs/>
          <w:szCs w:val="21"/>
          <w:u w:val="single"/>
        </w:rPr>
        <w:t>项目查询（日程安排、答疑纪要）</w:t>
      </w:r>
      <w:bookmarkEnd w:id="4"/>
      <w:r>
        <w:rPr>
          <w:rFonts w:hint="eastAsia" w:ascii="宋体" w:hAnsi="宋体" w:cs="宋体"/>
          <w:bCs/>
          <w:szCs w:val="21"/>
          <w:u w:val="single"/>
        </w:rPr>
        <w:t>”</w:t>
      </w:r>
      <w:r>
        <w:rPr>
          <w:rFonts w:hint="eastAsia" w:ascii="宋体" w:hAnsi="宋体" w:cs="宋体"/>
          <w:bCs/>
          <w:szCs w:val="21"/>
        </w:rPr>
        <w:t>专区公开发布。答疑纪要一经在</w:t>
      </w:r>
      <w:r>
        <w:rPr>
          <w:rFonts w:hint="eastAsia" w:ascii="宋体" w:hAnsi="宋体" w:cs="宋体"/>
          <w:bCs/>
          <w:szCs w:val="21"/>
          <w:u w:val="single"/>
        </w:rPr>
        <w:t>广州公共资源交易中心网站</w:t>
      </w:r>
      <w:r>
        <w:rPr>
          <w:rFonts w:hint="eastAsia" w:ascii="宋体" w:hAnsi="宋体" w:cs="宋体"/>
          <w:bCs/>
          <w:szCs w:val="21"/>
        </w:rPr>
        <w:t>发布，视作已发放给所有投标人。</w:t>
      </w:r>
    </w:p>
    <w:p w14:paraId="53B4228A">
      <w:pPr>
        <w:pStyle w:val="5"/>
        <w:spacing w:after="0" w:line="400" w:lineRule="exact"/>
        <w:ind w:firstLine="420" w:firstLineChars="200"/>
        <w:rPr>
          <w:rFonts w:ascii="宋体" w:hAnsi="宋体" w:cs="宋体"/>
          <w:b/>
          <w:szCs w:val="21"/>
        </w:rPr>
      </w:pPr>
      <w:bookmarkStart w:id="5" w:name="_Hlk61366684"/>
      <w:r>
        <w:rPr>
          <w:rFonts w:hint="eastAsia" w:ascii="宋体" w:hAnsi="宋体" w:eastAsia="宋体" w:cs="宋体"/>
          <w:b/>
          <w:szCs w:val="21"/>
        </w:rPr>
        <w:t>条款号：8.</w:t>
      </w:r>
      <w:r>
        <w:rPr>
          <w:rFonts w:ascii="宋体" w:hAnsi="宋体" w:eastAsia="宋体" w:cs="宋体"/>
          <w:b/>
          <w:szCs w:val="21"/>
        </w:rPr>
        <w:t>3</w:t>
      </w:r>
      <w:r>
        <w:rPr>
          <w:rFonts w:hint="eastAsia" w:ascii="宋体" w:hAnsi="宋体" w:eastAsia="宋体" w:cs="宋体"/>
          <w:b/>
          <w:szCs w:val="21"/>
        </w:rPr>
        <w:t xml:space="preserve">              修改类型：修改</w:t>
      </w:r>
    </w:p>
    <w:p w14:paraId="7B63EBC6">
      <w:pPr>
        <w:pStyle w:val="5"/>
        <w:spacing w:after="0" w:line="400" w:lineRule="exact"/>
        <w:ind w:firstLine="420" w:firstLineChars="200"/>
        <w:rPr>
          <w:rFonts w:ascii="宋体" w:hAnsi="宋体" w:eastAsia="宋体" w:cs="宋体"/>
          <w:bCs/>
          <w:szCs w:val="21"/>
        </w:rPr>
      </w:pPr>
      <w:r>
        <w:rPr>
          <w:rFonts w:hint="eastAsia" w:ascii="宋体" w:hAnsi="宋体" w:eastAsia="宋体" w:cs="宋体"/>
          <w:b/>
          <w:szCs w:val="21"/>
        </w:rPr>
        <w:t>原文</w:t>
      </w:r>
      <w:r>
        <w:rPr>
          <w:rFonts w:hint="eastAsia" w:ascii="宋体" w:hAnsi="宋体" w:eastAsia="宋体" w:cs="宋体"/>
          <w:bCs/>
          <w:szCs w:val="21"/>
        </w:rPr>
        <w:t>：</w:t>
      </w:r>
      <w:r>
        <w:rPr>
          <w:rFonts w:hint="eastAsia" w:ascii="宋体" w:hAnsi="宋体" w:eastAsia="宋体" w:cs="宋体"/>
          <w:b/>
          <w:szCs w:val="21"/>
        </w:rPr>
        <w:t>8.</w:t>
      </w:r>
      <w:r>
        <w:rPr>
          <w:rFonts w:ascii="宋体" w:hAnsi="宋体" w:eastAsia="宋体" w:cs="宋体"/>
          <w:b/>
          <w:szCs w:val="21"/>
        </w:rPr>
        <w:t>3</w:t>
      </w:r>
      <w:r>
        <w:rPr>
          <w:rFonts w:hint="eastAsia" w:ascii="宋体" w:hAnsi="宋体" w:eastAsia="宋体" w:cs="宋体"/>
          <w:bCs/>
          <w:szCs w:val="21"/>
        </w:rPr>
        <w:t>答疑会会议纪要为招标文件的一部分。</w:t>
      </w:r>
    </w:p>
    <w:p w14:paraId="0992622E">
      <w:pPr>
        <w:pBdr>
          <w:bottom w:val="single" w:color="auto" w:sz="6" w:space="1"/>
        </w:pBdr>
        <w:spacing w:line="360" w:lineRule="auto"/>
        <w:ind w:firstLine="422" w:firstLineChars="201"/>
        <w:rPr>
          <w:szCs w:val="21"/>
        </w:rPr>
      </w:pPr>
      <w:r>
        <w:rPr>
          <w:rFonts w:hint="eastAsia" w:ascii="宋体" w:hAnsi="宋体" w:cs="宋体"/>
          <w:b/>
          <w:szCs w:val="21"/>
        </w:rPr>
        <w:t>现文：</w:t>
      </w:r>
      <w:r>
        <w:rPr>
          <w:rFonts w:hint="eastAsia" w:ascii="宋体" w:hAnsi="宋体" w:cs="宋体"/>
          <w:b/>
          <w:kern w:val="0"/>
          <w:szCs w:val="21"/>
        </w:rPr>
        <w:t>8.</w:t>
      </w:r>
      <w:r>
        <w:rPr>
          <w:rFonts w:ascii="宋体" w:hAnsi="宋体" w:cs="宋体"/>
          <w:b/>
          <w:kern w:val="0"/>
          <w:szCs w:val="21"/>
        </w:rPr>
        <w:t>3</w:t>
      </w:r>
      <w:r>
        <w:rPr>
          <w:rFonts w:hint="eastAsia" w:ascii="宋体" w:hAnsi="宋体" w:cs="宋体"/>
          <w:szCs w:val="21"/>
          <w:u w:val="single"/>
        </w:rPr>
        <w:t>招标答疑纪要</w:t>
      </w:r>
      <w:r>
        <w:rPr>
          <w:rFonts w:hint="eastAsia" w:ascii="宋体" w:hAnsi="宋体" w:cs="宋体"/>
          <w:szCs w:val="21"/>
        </w:rPr>
        <w:t>为招标文件的一部分。</w:t>
      </w:r>
    </w:p>
    <w:p w14:paraId="11B5A5A3">
      <w:pPr>
        <w:spacing w:line="360" w:lineRule="auto"/>
        <w:ind w:firstLine="470" w:firstLineChars="224"/>
        <w:rPr>
          <w:rFonts w:ascii="宋体" w:hAnsi="宋体" w:cs="宋体"/>
          <w:b/>
          <w:szCs w:val="21"/>
        </w:rPr>
      </w:pPr>
      <w:r>
        <w:rPr>
          <w:rFonts w:hint="eastAsia" w:ascii="宋体" w:hAnsi="宋体" w:cs="宋体"/>
          <w:b/>
          <w:szCs w:val="21"/>
        </w:rPr>
        <w:t xml:space="preserve">条款号：8.4             </w:t>
      </w:r>
      <w:r>
        <w:rPr>
          <w:rFonts w:ascii="宋体" w:hAnsi="宋体" w:cs="宋体"/>
          <w:b/>
          <w:szCs w:val="21"/>
        </w:rPr>
        <w:t xml:space="preserve"> </w:t>
      </w:r>
      <w:r>
        <w:rPr>
          <w:rFonts w:hint="eastAsia" w:ascii="宋体" w:hAnsi="宋体" w:cs="宋体"/>
          <w:b/>
          <w:szCs w:val="21"/>
        </w:rPr>
        <w:t>修改类型：修改</w:t>
      </w:r>
      <w:bookmarkEnd w:id="5"/>
    </w:p>
    <w:p w14:paraId="00FEC3B0">
      <w:pPr>
        <w:pStyle w:val="5"/>
        <w:spacing w:after="0" w:line="400" w:lineRule="exact"/>
        <w:ind w:firstLine="420" w:firstLineChars="200"/>
        <w:rPr>
          <w:rFonts w:ascii="宋体" w:hAnsi="宋体" w:eastAsia="宋体" w:cs="宋体"/>
          <w:bCs/>
          <w:szCs w:val="21"/>
        </w:rPr>
      </w:pPr>
      <w:r>
        <w:rPr>
          <w:rFonts w:hint="eastAsia" w:ascii="宋体" w:hAnsi="宋体" w:eastAsia="宋体" w:cs="宋体"/>
          <w:b/>
          <w:szCs w:val="21"/>
        </w:rPr>
        <w:t>原文：8.4</w:t>
      </w:r>
      <w:r>
        <w:rPr>
          <w:rFonts w:hint="eastAsia" w:ascii="宋体" w:hAnsi="宋体" w:eastAsia="宋体" w:cs="宋体"/>
          <w:bCs/>
          <w:szCs w:val="21"/>
        </w:rPr>
        <w:t>若招标答疑会会议纪要与招标文件有矛盾，以答疑会议纪要最后发出的书面形式的文件为准。</w:t>
      </w:r>
    </w:p>
    <w:p w14:paraId="562A7DD2">
      <w:pPr>
        <w:pBdr>
          <w:bottom w:val="single" w:color="auto" w:sz="6" w:space="1"/>
        </w:pBdr>
        <w:spacing w:line="360" w:lineRule="auto"/>
        <w:ind w:firstLine="525" w:firstLineChars="250"/>
      </w:pPr>
      <w:r>
        <w:rPr>
          <w:rFonts w:hint="eastAsia" w:ascii="宋体" w:hAnsi="宋体" w:cs="宋体"/>
          <w:b/>
          <w:szCs w:val="21"/>
        </w:rPr>
        <w:t>现文：</w:t>
      </w:r>
      <w:r>
        <w:rPr>
          <w:rFonts w:hint="eastAsia" w:ascii="宋体" w:hAnsi="宋体" w:cs="宋体"/>
          <w:b/>
          <w:kern w:val="0"/>
          <w:szCs w:val="21"/>
        </w:rPr>
        <w:t>8.4</w:t>
      </w:r>
      <w:r>
        <w:rPr>
          <w:rFonts w:hint="eastAsia" w:ascii="宋体" w:hAnsi="宋体" w:cs="宋体"/>
          <w:szCs w:val="21"/>
        </w:rPr>
        <w:t>若</w:t>
      </w:r>
      <w:r>
        <w:rPr>
          <w:rFonts w:hint="eastAsia" w:ascii="宋体" w:hAnsi="宋体" w:cs="宋体"/>
          <w:szCs w:val="21"/>
          <w:u w:val="single"/>
        </w:rPr>
        <w:t>招标答疑纪要</w:t>
      </w:r>
      <w:r>
        <w:rPr>
          <w:rFonts w:hint="eastAsia" w:ascii="宋体" w:hAnsi="宋体" w:cs="宋体"/>
          <w:szCs w:val="21"/>
        </w:rPr>
        <w:t>与招标文件有矛盾时，以</w:t>
      </w:r>
      <w:r>
        <w:rPr>
          <w:rFonts w:hint="eastAsia" w:ascii="宋体" w:hAnsi="宋体" w:cs="宋体"/>
          <w:szCs w:val="21"/>
          <w:u w:val="single"/>
        </w:rPr>
        <w:t>广州公共资源交易中心交易平台</w:t>
      </w:r>
      <w:r>
        <w:rPr>
          <w:rFonts w:hint="eastAsia" w:ascii="宋体" w:hAnsi="宋体" w:cs="宋体"/>
          <w:szCs w:val="21"/>
        </w:rPr>
        <w:t>最后发布的答疑纪要为准。</w:t>
      </w:r>
    </w:p>
    <w:p w14:paraId="2A1CEA52">
      <w:pPr>
        <w:spacing w:line="360" w:lineRule="auto"/>
        <w:ind w:firstLine="470" w:firstLineChars="224"/>
        <w:rPr>
          <w:rFonts w:ascii="宋体" w:hAnsi="宋体" w:cs="宋体"/>
          <w:b/>
          <w:szCs w:val="21"/>
        </w:rPr>
      </w:pPr>
      <w:r>
        <w:rPr>
          <w:rFonts w:hint="eastAsia" w:ascii="宋体" w:hAnsi="宋体" w:cs="宋体"/>
          <w:b/>
          <w:szCs w:val="21"/>
        </w:rPr>
        <w:t>条款号：9.2             修改类型：修改</w:t>
      </w:r>
    </w:p>
    <w:p w14:paraId="2B0F2198">
      <w:pPr>
        <w:pStyle w:val="5"/>
        <w:spacing w:after="0" w:line="360" w:lineRule="auto"/>
        <w:rPr>
          <w:rFonts w:ascii="宋体" w:hAnsi="宋体" w:cs="宋体"/>
          <w:szCs w:val="21"/>
        </w:rPr>
      </w:pPr>
      <w:r>
        <w:rPr>
          <w:rFonts w:hint="eastAsia" w:ascii="宋体" w:hAnsi="宋体" w:eastAsia="宋体" w:cs="宋体"/>
          <w:b/>
          <w:szCs w:val="21"/>
        </w:rPr>
        <w:t>原文：</w:t>
      </w:r>
      <w:r>
        <w:rPr>
          <w:rFonts w:hint="eastAsia" w:ascii="宋体" w:hAnsi="宋体" w:cs="宋体"/>
          <w:b/>
          <w:bCs/>
          <w:szCs w:val="21"/>
        </w:rPr>
        <w:t>9.2</w:t>
      </w:r>
      <w:r>
        <w:rPr>
          <w:rFonts w:hint="eastAsia" w:ascii="宋体" w:hAnsi="宋体" w:eastAsia="宋体" w:cs="宋体"/>
          <w:bCs/>
          <w:szCs w:val="21"/>
        </w:rPr>
        <w:t>招标文件的澄清或修改将在</w:t>
      </w:r>
      <w:r>
        <w:rPr>
          <w:rFonts w:hint="eastAsia" w:ascii="宋体" w:hAnsi="宋体" w:cs="宋体"/>
          <w:szCs w:val="21"/>
          <w:u w:val="single"/>
        </w:rPr>
        <w:t xml:space="preserve">        </w:t>
      </w:r>
      <w:r>
        <w:rPr>
          <w:rFonts w:hint="eastAsia" w:ascii="宋体" w:hAnsi="宋体" w:eastAsia="宋体" w:cs="宋体"/>
          <w:bCs/>
          <w:szCs w:val="21"/>
        </w:rPr>
        <w:t>交易平台“项目答疑纪要”专区公开发布。答疑纪要一经在</w:t>
      </w:r>
      <w:r>
        <w:rPr>
          <w:rFonts w:hint="eastAsia" w:ascii="宋体" w:hAnsi="宋体" w:cs="宋体"/>
          <w:szCs w:val="21"/>
          <w:u w:val="single"/>
        </w:rPr>
        <w:t xml:space="preserve">        </w:t>
      </w:r>
      <w:r>
        <w:rPr>
          <w:rFonts w:hint="eastAsia" w:ascii="宋体" w:hAnsi="宋体" w:eastAsia="宋体" w:cs="宋体"/>
          <w:bCs/>
          <w:szCs w:val="21"/>
        </w:rPr>
        <w:t>交易平台发布，视作已发放给所有投标人，以</w:t>
      </w:r>
      <w:r>
        <w:rPr>
          <w:rFonts w:hint="eastAsia" w:ascii="宋体" w:hAnsi="宋体" w:cs="宋体"/>
          <w:szCs w:val="21"/>
          <w:u w:val="single"/>
        </w:rPr>
        <w:t xml:space="preserve">        </w:t>
      </w:r>
      <w:r>
        <w:rPr>
          <w:rFonts w:hint="eastAsia" w:ascii="宋体" w:hAnsi="宋体" w:eastAsia="宋体" w:cs="宋体"/>
          <w:bCs/>
          <w:szCs w:val="21"/>
        </w:rPr>
        <w:t>交易平台上网发布时间作为送达时间。</w:t>
      </w:r>
    </w:p>
    <w:p w14:paraId="7F63FC2D">
      <w:pPr>
        <w:pBdr>
          <w:bottom w:val="single" w:color="auto" w:sz="6" w:space="1"/>
        </w:pBdr>
        <w:spacing w:line="360" w:lineRule="auto"/>
        <w:ind w:firstLine="422" w:firstLineChars="201"/>
      </w:pPr>
      <w:r>
        <w:rPr>
          <w:rFonts w:hint="eastAsia" w:ascii="宋体" w:hAnsi="宋体" w:cs="宋体"/>
          <w:b/>
          <w:szCs w:val="21"/>
        </w:rPr>
        <w:t>现文：</w:t>
      </w:r>
      <w:r>
        <w:rPr>
          <w:rFonts w:hint="eastAsia" w:ascii="宋体" w:hAnsi="宋体" w:cs="宋体"/>
          <w:b/>
          <w:bCs/>
          <w:szCs w:val="21"/>
        </w:rPr>
        <w:t>9.2</w:t>
      </w:r>
      <w:r>
        <w:rPr>
          <w:rFonts w:hint="eastAsia" w:ascii="宋体" w:hAnsi="宋体" w:cs="宋体"/>
          <w:szCs w:val="21"/>
        </w:rPr>
        <w:t>招标文件的澄清或修改将在</w:t>
      </w:r>
      <w:r>
        <w:rPr>
          <w:rFonts w:hint="eastAsia" w:ascii="宋体" w:hAnsi="宋体" w:cs="宋体"/>
          <w:szCs w:val="21"/>
          <w:u w:val="single"/>
        </w:rPr>
        <w:t>广州公共资源交易中心</w:t>
      </w:r>
      <w:r>
        <w:rPr>
          <w:rFonts w:hint="eastAsia" w:ascii="宋体" w:hAnsi="宋体" w:cs="宋体"/>
          <w:szCs w:val="21"/>
        </w:rPr>
        <w:t>交易平台“</w:t>
      </w:r>
      <w:r>
        <w:rPr>
          <w:rFonts w:hint="eastAsia" w:ascii="宋体" w:hAnsi="宋体" w:cs="宋体"/>
          <w:szCs w:val="21"/>
          <w:u w:val="single"/>
        </w:rPr>
        <w:t>项目查询（日程安排、答疑纪要</w:t>
      </w:r>
      <w:r>
        <w:rPr>
          <w:rFonts w:hint="eastAsia" w:ascii="宋体" w:hAnsi="宋体" w:cs="宋体"/>
          <w:szCs w:val="21"/>
        </w:rPr>
        <w:t>）”专区公开发布。答疑纪要一经在</w:t>
      </w:r>
      <w:r>
        <w:rPr>
          <w:rFonts w:hint="eastAsia" w:ascii="宋体" w:hAnsi="宋体" w:cs="宋体"/>
          <w:szCs w:val="21"/>
          <w:u w:val="single"/>
        </w:rPr>
        <w:t>广州公共资源交易中心</w:t>
      </w:r>
      <w:r>
        <w:rPr>
          <w:rFonts w:hint="eastAsia" w:ascii="宋体" w:hAnsi="宋体" w:cs="宋体"/>
          <w:szCs w:val="21"/>
        </w:rPr>
        <w:t>交易平台发布，视作已发放给所有投标人，以</w:t>
      </w:r>
      <w:r>
        <w:rPr>
          <w:rFonts w:hint="eastAsia" w:ascii="宋体" w:hAnsi="宋体" w:cs="宋体"/>
          <w:szCs w:val="21"/>
          <w:u w:val="single"/>
        </w:rPr>
        <w:t xml:space="preserve"> 广州公共资源交易中心</w:t>
      </w:r>
      <w:r>
        <w:rPr>
          <w:rFonts w:hint="eastAsia" w:ascii="宋体" w:hAnsi="宋体" w:cs="宋体"/>
          <w:szCs w:val="21"/>
        </w:rPr>
        <w:t>交易平台上网发布时间作为送达时间。</w:t>
      </w:r>
    </w:p>
    <w:p w14:paraId="778A0752">
      <w:pPr>
        <w:spacing w:line="360" w:lineRule="auto"/>
        <w:ind w:firstLine="210" w:firstLineChars="100"/>
        <w:rPr>
          <w:rFonts w:ascii="宋体" w:hAnsi="宋体" w:cs="宋体"/>
          <w:b/>
          <w:szCs w:val="21"/>
        </w:rPr>
      </w:pPr>
      <w:r>
        <w:rPr>
          <w:rFonts w:hint="eastAsia" w:ascii="宋体" w:hAnsi="宋体" w:cs="宋体"/>
          <w:b/>
          <w:szCs w:val="21"/>
        </w:rPr>
        <w:t>条款号：</w:t>
      </w:r>
      <w:r>
        <w:rPr>
          <w:rFonts w:hint="eastAsia" w:ascii="宋体" w:hAnsi="宋体" w:cs="宋体"/>
          <w:b/>
          <w:bCs/>
          <w:szCs w:val="21"/>
        </w:rPr>
        <w:t xml:space="preserve">9.4 </w:t>
      </w:r>
      <w:r>
        <w:rPr>
          <w:rFonts w:hint="eastAsia" w:ascii="宋体" w:hAnsi="宋体" w:cs="宋体"/>
          <w:b/>
          <w:szCs w:val="21"/>
        </w:rPr>
        <w:t xml:space="preserve">            修改类型：修改</w:t>
      </w:r>
    </w:p>
    <w:p w14:paraId="79A11B85">
      <w:pPr>
        <w:pBdr>
          <w:bottom w:val="single" w:color="auto" w:sz="6" w:space="1"/>
        </w:pBdr>
        <w:spacing w:line="360" w:lineRule="auto"/>
        <w:ind w:firstLine="525" w:firstLineChars="250"/>
        <w:rPr>
          <w:rFonts w:ascii="宋体" w:hAnsi="宋体" w:cs="宋体"/>
          <w:b/>
          <w:szCs w:val="21"/>
        </w:rPr>
      </w:pPr>
      <w:r>
        <w:rPr>
          <w:rFonts w:hint="eastAsia" w:ascii="宋体" w:hAnsi="宋体" w:cs="宋体"/>
          <w:b/>
          <w:szCs w:val="21"/>
        </w:rPr>
        <w:t>原文：</w:t>
      </w:r>
      <w:r>
        <w:rPr>
          <w:rFonts w:hint="eastAsia" w:ascii="宋体" w:hAnsi="宋体" w:cs="宋体"/>
          <w:b/>
          <w:bCs/>
          <w:szCs w:val="21"/>
        </w:rPr>
        <w:t>9.4</w:t>
      </w:r>
      <w:r>
        <w:rPr>
          <w:rFonts w:hint="eastAsia" w:ascii="宋体" w:hAnsi="宋体" w:cs="宋体"/>
          <w:szCs w:val="21"/>
        </w:rPr>
        <w:t>招标文件的澄清或修改均以书面形式明确的内容为准。当招标文件的澄清、修改、补充等在同一内容的表述不一致时，以最后发出的书面形式的文件为准。</w:t>
      </w:r>
    </w:p>
    <w:p w14:paraId="10151AF7">
      <w:pPr>
        <w:pBdr>
          <w:bottom w:val="single" w:color="auto" w:sz="6" w:space="1"/>
        </w:pBdr>
        <w:spacing w:line="360" w:lineRule="auto"/>
        <w:ind w:firstLine="470" w:firstLineChars="224"/>
        <w:rPr>
          <w:rFonts w:ascii="宋体" w:hAnsi="宋体" w:cs="宋体"/>
          <w:b/>
          <w:szCs w:val="21"/>
        </w:rPr>
      </w:pPr>
      <w:r>
        <w:rPr>
          <w:rFonts w:hint="eastAsia" w:ascii="宋体" w:hAnsi="宋体" w:cs="宋体"/>
          <w:b/>
          <w:szCs w:val="21"/>
        </w:rPr>
        <w:t>现文：</w:t>
      </w:r>
      <w:r>
        <w:rPr>
          <w:rFonts w:hint="eastAsia" w:ascii="宋体" w:hAnsi="宋体" w:cs="宋体"/>
          <w:b/>
          <w:bCs/>
          <w:szCs w:val="21"/>
        </w:rPr>
        <w:t>9.4</w:t>
      </w:r>
      <w:r>
        <w:rPr>
          <w:rFonts w:hint="eastAsia" w:ascii="宋体" w:hAnsi="宋体" w:cs="宋体"/>
          <w:szCs w:val="21"/>
        </w:rPr>
        <w:t>招标文件的澄清或修改</w:t>
      </w:r>
      <w:r>
        <w:rPr>
          <w:rFonts w:hint="eastAsia" w:ascii="宋体" w:hAnsi="宋体" w:cs="宋体"/>
          <w:szCs w:val="21"/>
          <w:u w:val="single"/>
        </w:rPr>
        <w:t>在广州公共资源交易中心网站“项目查询（日程安排、答疑纪要）”专区公开发布。</w:t>
      </w:r>
      <w:r>
        <w:rPr>
          <w:rFonts w:hint="eastAsia" w:ascii="宋体" w:hAnsi="宋体" w:cs="宋体"/>
          <w:szCs w:val="21"/>
        </w:rPr>
        <w:t>当招标文件的澄清、修改、补充等在同一内容的表述不一致时，以最后发出的文件为准。</w:t>
      </w:r>
    </w:p>
    <w:p w14:paraId="5849A83C">
      <w:pPr>
        <w:spacing w:line="480" w:lineRule="auto"/>
        <w:ind w:firstLine="470" w:firstLineChars="224"/>
        <w:rPr>
          <w:rFonts w:ascii="宋体" w:hAnsi="宋体" w:cs="宋体"/>
          <w:b/>
          <w:szCs w:val="21"/>
        </w:rPr>
      </w:pPr>
      <w:r>
        <w:rPr>
          <w:rFonts w:hint="eastAsia" w:ascii="宋体" w:hAnsi="宋体" w:cs="宋体"/>
          <w:b/>
          <w:szCs w:val="21"/>
        </w:rPr>
        <w:t>条款号：11.2           修改类型：修改</w:t>
      </w:r>
    </w:p>
    <w:p w14:paraId="2726A940">
      <w:pPr>
        <w:spacing w:line="360" w:lineRule="auto"/>
        <w:ind w:firstLine="470" w:firstLineChars="224"/>
        <w:rPr>
          <w:rFonts w:ascii="宋体" w:hAnsi="宋体" w:cs="宋体"/>
          <w:bCs/>
          <w:szCs w:val="21"/>
        </w:rPr>
      </w:pPr>
      <w:r>
        <w:rPr>
          <w:rFonts w:hint="eastAsia" w:ascii="宋体" w:hAnsi="宋体" w:cs="宋体"/>
          <w:b/>
          <w:szCs w:val="21"/>
        </w:rPr>
        <w:t>原文：</w:t>
      </w:r>
      <w:r>
        <w:rPr>
          <w:rFonts w:hint="eastAsia" w:ascii="宋体" w:hAnsi="宋体" w:cs="宋体"/>
          <w:bCs/>
          <w:szCs w:val="21"/>
        </w:rPr>
        <w:t>11.2投标文件技术标部分主要包括下列内容:</w:t>
      </w:r>
    </w:p>
    <w:p w14:paraId="5B80D334">
      <w:pPr>
        <w:spacing w:line="360" w:lineRule="auto"/>
        <w:ind w:firstLine="470" w:firstLineChars="224"/>
        <w:rPr>
          <w:rFonts w:ascii="宋体" w:hAnsi="宋体" w:cs="宋体"/>
          <w:bCs/>
          <w:szCs w:val="21"/>
        </w:rPr>
      </w:pPr>
      <w:r>
        <w:rPr>
          <w:rFonts w:hint="eastAsia" w:ascii="宋体" w:hAnsi="宋体" w:cs="宋体"/>
          <w:bCs/>
          <w:szCs w:val="21"/>
        </w:rPr>
        <w:t>11.2.1 技术投标文件(按招标文件的要求填写)；</w:t>
      </w:r>
    </w:p>
    <w:p w14:paraId="29BE8B6D">
      <w:pPr>
        <w:spacing w:line="360" w:lineRule="auto"/>
        <w:ind w:firstLine="470" w:firstLineChars="224"/>
        <w:rPr>
          <w:rFonts w:ascii="宋体" w:hAnsi="宋体" w:cs="宋体"/>
          <w:bCs/>
          <w:szCs w:val="21"/>
        </w:rPr>
      </w:pPr>
      <w:r>
        <w:rPr>
          <w:rFonts w:hint="eastAsia" w:ascii="宋体" w:hAnsi="宋体" w:cs="宋体"/>
          <w:bCs/>
          <w:szCs w:val="21"/>
        </w:rPr>
        <w:t>11.2.2 资格审查文件：</w:t>
      </w:r>
    </w:p>
    <w:p w14:paraId="189AE14C">
      <w:pPr>
        <w:spacing w:line="360" w:lineRule="auto"/>
        <w:ind w:firstLine="470" w:firstLineChars="224"/>
        <w:rPr>
          <w:rFonts w:ascii="宋体" w:hAnsi="宋体" w:cs="宋体"/>
          <w:bCs/>
          <w:szCs w:val="21"/>
        </w:rPr>
      </w:pPr>
      <w:r>
        <w:rPr>
          <w:rFonts w:hint="eastAsia" w:ascii="宋体" w:hAnsi="宋体" w:cs="宋体"/>
          <w:bCs/>
          <w:szCs w:val="21"/>
        </w:rPr>
        <w:t xml:space="preserve">（1）投标人声明； </w:t>
      </w:r>
    </w:p>
    <w:p w14:paraId="58D64669">
      <w:pPr>
        <w:spacing w:line="360" w:lineRule="auto"/>
        <w:ind w:firstLine="470" w:firstLineChars="224"/>
        <w:rPr>
          <w:rFonts w:ascii="宋体" w:hAnsi="宋体" w:cs="宋体"/>
          <w:bCs/>
          <w:szCs w:val="21"/>
        </w:rPr>
      </w:pPr>
      <w:r>
        <w:rPr>
          <w:rFonts w:hint="eastAsia" w:ascii="宋体" w:hAnsi="宋体" w:cs="宋体"/>
          <w:bCs/>
          <w:szCs w:val="21"/>
        </w:rPr>
        <w:t>（2）法定代表人证明书、法定代表人签字或盖章的本投标文件授权委托证明书；</w:t>
      </w:r>
    </w:p>
    <w:p w14:paraId="5CB8ECDB">
      <w:pPr>
        <w:spacing w:line="360" w:lineRule="auto"/>
        <w:ind w:firstLine="470" w:firstLineChars="224"/>
        <w:rPr>
          <w:rFonts w:ascii="宋体" w:hAnsi="宋体" w:cs="宋体"/>
          <w:bCs/>
          <w:szCs w:val="21"/>
        </w:rPr>
      </w:pPr>
      <w:r>
        <w:rPr>
          <w:rFonts w:hint="eastAsia" w:ascii="宋体" w:hAnsi="宋体" w:cs="宋体"/>
          <w:bCs/>
          <w:szCs w:val="21"/>
        </w:rPr>
        <w:t>（3）企业营业执照（取自平台内上传件）；</w:t>
      </w:r>
    </w:p>
    <w:p w14:paraId="74C84D03">
      <w:pPr>
        <w:spacing w:line="360" w:lineRule="auto"/>
        <w:ind w:firstLine="470" w:firstLineChars="224"/>
        <w:rPr>
          <w:rFonts w:ascii="宋体" w:hAnsi="宋体" w:cs="宋体"/>
          <w:bCs/>
          <w:szCs w:val="21"/>
        </w:rPr>
      </w:pPr>
      <w:r>
        <w:rPr>
          <w:rFonts w:hint="eastAsia" w:ascii="宋体" w:hAnsi="宋体" w:cs="宋体"/>
          <w:bCs/>
          <w:szCs w:val="21"/>
        </w:rPr>
        <w:t>（4）企业资质证书（取自平台内上传件）；</w:t>
      </w:r>
    </w:p>
    <w:p w14:paraId="1BA86D7E">
      <w:pPr>
        <w:spacing w:line="360" w:lineRule="auto"/>
        <w:ind w:firstLine="470" w:firstLineChars="224"/>
        <w:rPr>
          <w:rFonts w:ascii="宋体" w:hAnsi="宋体" w:cs="宋体"/>
          <w:bCs/>
          <w:szCs w:val="21"/>
        </w:rPr>
      </w:pPr>
      <w:r>
        <w:rPr>
          <w:rFonts w:hint="eastAsia" w:ascii="宋体" w:hAnsi="宋体" w:cs="宋体"/>
          <w:bCs/>
          <w:szCs w:val="21"/>
        </w:rPr>
        <w:t>（5）建筑施工企业安全生产许可证（取自平台内上传件）；</w:t>
      </w:r>
    </w:p>
    <w:p w14:paraId="3E2B0044">
      <w:pPr>
        <w:spacing w:line="360" w:lineRule="auto"/>
        <w:ind w:firstLine="470" w:firstLineChars="224"/>
        <w:rPr>
          <w:rFonts w:ascii="宋体" w:hAnsi="宋体" w:cs="宋体"/>
          <w:bCs/>
          <w:szCs w:val="21"/>
        </w:rPr>
      </w:pPr>
      <w:r>
        <w:rPr>
          <w:rFonts w:hint="eastAsia" w:ascii="宋体" w:hAnsi="宋体" w:cs="宋体"/>
          <w:bCs/>
          <w:szCs w:val="21"/>
        </w:rPr>
        <w:t>（6）项目负责人（按网上投标登记时选择拟投标的项目负责人）</w:t>
      </w:r>
    </w:p>
    <w:p w14:paraId="66630942">
      <w:pPr>
        <w:spacing w:line="360" w:lineRule="auto"/>
        <w:ind w:firstLine="470" w:firstLineChars="224"/>
        <w:rPr>
          <w:rFonts w:ascii="宋体" w:hAnsi="宋体" w:cs="宋体"/>
          <w:bCs/>
          <w:szCs w:val="21"/>
        </w:rPr>
      </w:pPr>
      <w:r>
        <w:rPr>
          <w:rFonts w:hint="eastAsia" w:ascii="宋体" w:hAnsi="宋体" w:cs="宋体"/>
          <w:bCs/>
          <w:szCs w:val="21"/>
        </w:rPr>
        <w:t>（7）专职安全员（按网上投标登记时选择拟投标的专职安全员）</w:t>
      </w:r>
    </w:p>
    <w:p w14:paraId="721B1C9D">
      <w:pPr>
        <w:spacing w:line="360" w:lineRule="auto"/>
        <w:ind w:firstLine="470" w:firstLineChars="224"/>
        <w:rPr>
          <w:rFonts w:ascii="宋体" w:hAnsi="宋体" w:cs="宋体"/>
          <w:bCs/>
          <w:szCs w:val="21"/>
        </w:rPr>
      </w:pPr>
      <w:r>
        <w:rPr>
          <w:rFonts w:hint="eastAsia" w:ascii="宋体" w:hAnsi="宋体" w:cs="宋体"/>
          <w:bCs/>
          <w:szCs w:val="21"/>
        </w:rPr>
        <w:t>（8）拟委托技术负责人的相关证书、资料（具体要求由招标人明确）</w:t>
      </w:r>
    </w:p>
    <w:p w14:paraId="6BADC6B5">
      <w:pPr>
        <w:spacing w:line="360" w:lineRule="auto"/>
        <w:ind w:firstLine="470" w:firstLineChars="224"/>
        <w:rPr>
          <w:rFonts w:ascii="宋体" w:hAnsi="宋体" w:cs="宋体"/>
          <w:bCs/>
          <w:szCs w:val="21"/>
        </w:rPr>
      </w:pPr>
      <w:r>
        <w:rPr>
          <w:rFonts w:hint="eastAsia" w:ascii="宋体" w:hAnsi="宋体" w:cs="宋体"/>
          <w:bCs/>
          <w:szCs w:val="21"/>
        </w:rPr>
        <w:t xml:space="preserve">（9）拟委派项目负责人的建造师注册证书（取自平台内上传件）； </w:t>
      </w:r>
    </w:p>
    <w:p w14:paraId="341416F0">
      <w:pPr>
        <w:spacing w:line="360" w:lineRule="auto"/>
        <w:ind w:firstLine="470" w:firstLineChars="224"/>
        <w:rPr>
          <w:rFonts w:ascii="宋体" w:hAnsi="宋体" w:cs="宋体"/>
          <w:bCs/>
          <w:szCs w:val="21"/>
        </w:rPr>
      </w:pPr>
      <w:r>
        <w:rPr>
          <w:rFonts w:hint="eastAsia" w:ascii="宋体" w:hAnsi="宋体" w:cs="宋体"/>
          <w:bCs/>
          <w:szCs w:val="21"/>
        </w:rPr>
        <w:t>（10）项目负责人安全生产考核合格证明或在有效期内的安全生产考核合格证书（B类）或建筑施工企业项目负责人安全生产考核合格证书（取自平台内上传件）；</w:t>
      </w:r>
    </w:p>
    <w:p w14:paraId="5537561E">
      <w:pPr>
        <w:spacing w:line="360" w:lineRule="auto"/>
        <w:ind w:firstLine="470" w:firstLineChars="224"/>
        <w:rPr>
          <w:rFonts w:ascii="宋体" w:hAnsi="宋体" w:cs="宋体"/>
          <w:bCs/>
          <w:szCs w:val="21"/>
        </w:rPr>
      </w:pPr>
      <w:r>
        <w:rPr>
          <w:rFonts w:hint="eastAsia" w:ascii="宋体" w:hAnsi="宋体" w:cs="宋体"/>
          <w:bCs/>
          <w:szCs w:val="21"/>
        </w:rPr>
        <w:t>（11）专职安全员须具有在有效期内的安全生产考核合格证书（</w:t>
      </w:r>
      <w:r>
        <w:rPr>
          <w:rFonts w:ascii="宋体" w:hAnsi="宋体" w:cs="宋体"/>
          <w:bCs/>
          <w:szCs w:val="21"/>
        </w:rPr>
        <w:t>C类</w:t>
      </w:r>
      <w:r>
        <w:rPr>
          <w:rFonts w:hint="eastAsia" w:ascii="宋体" w:hAnsi="宋体" w:cs="宋体"/>
          <w:bCs/>
          <w:szCs w:val="21"/>
        </w:rPr>
        <w:t>）或建筑施工企业专职安全生产管理人员安全生产考核合格证书（取自平台内上传件）；</w:t>
      </w:r>
    </w:p>
    <w:p w14:paraId="5BE46D43">
      <w:pPr>
        <w:spacing w:line="360" w:lineRule="auto"/>
        <w:ind w:firstLine="470" w:firstLineChars="224"/>
        <w:rPr>
          <w:rFonts w:ascii="宋体" w:hAnsi="宋体" w:cs="宋体"/>
          <w:bCs/>
          <w:szCs w:val="21"/>
        </w:rPr>
      </w:pPr>
      <w:r>
        <w:rPr>
          <w:rFonts w:hint="eastAsia" w:ascii="宋体" w:hAnsi="宋体" w:cs="宋体"/>
          <w:bCs/>
          <w:szCs w:val="21"/>
        </w:rPr>
        <w:t>（12）用于资格审查的业绩（设置业绩要求时选择此项，投标人须提供类似工程业绩的项目名称及项目编号，具体格式由招标人自定）；</w:t>
      </w:r>
    </w:p>
    <w:p w14:paraId="4932294D">
      <w:pPr>
        <w:spacing w:line="360" w:lineRule="auto"/>
        <w:ind w:firstLine="470" w:firstLineChars="224"/>
        <w:rPr>
          <w:rFonts w:ascii="宋体" w:hAnsi="宋体" w:cs="宋体"/>
          <w:bCs/>
          <w:szCs w:val="21"/>
        </w:rPr>
      </w:pPr>
      <w:r>
        <w:rPr>
          <w:rFonts w:hint="eastAsia" w:ascii="宋体" w:hAnsi="宋体" w:cs="宋体"/>
          <w:bCs/>
          <w:szCs w:val="21"/>
        </w:rPr>
        <w:t>（13）资格审查前，投标人须在广州市住房和城乡建设局建立企业信用档案，拟担任本工程项目负责人、专职安全员须是本企业信用档案中的在册人员。</w:t>
      </w:r>
    </w:p>
    <w:p w14:paraId="2CFF596C">
      <w:pPr>
        <w:spacing w:line="360" w:lineRule="auto"/>
        <w:ind w:firstLine="470" w:firstLineChars="224"/>
        <w:rPr>
          <w:rFonts w:ascii="宋体" w:hAnsi="宋体" w:cs="宋体"/>
          <w:bCs/>
          <w:szCs w:val="21"/>
        </w:rPr>
      </w:pPr>
      <w:r>
        <w:rPr>
          <w:rFonts w:hint="eastAsia" w:ascii="宋体" w:hAnsi="宋体" w:cs="宋体"/>
          <w:bCs/>
          <w:szCs w:val="21"/>
        </w:rPr>
        <w:t xml:space="preserve">（14）列明主办单位的联合体工作协议（采用联合体投标时需递交，投标人拟任本工程项目负责人应为联合体主办方信用档案中的在册人员，联合体工作协议应明确约定各方拟承担的工作和责任）； </w:t>
      </w:r>
    </w:p>
    <w:p w14:paraId="5ED0C012">
      <w:pPr>
        <w:spacing w:line="360" w:lineRule="auto"/>
        <w:ind w:firstLine="470" w:firstLineChars="224"/>
        <w:rPr>
          <w:rFonts w:ascii="宋体" w:hAnsi="宋体" w:cs="宋体"/>
          <w:bCs/>
          <w:szCs w:val="21"/>
        </w:rPr>
      </w:pPr>
      <w:r>
        <w:rPr>
          <w:rFonts w:hint="eastAsia" w:ascii="宋体" w:hAnsi="宋体" w:cs="宋体"/>
          <w:bCs/>
          <w:szCs w:val="21"/>
        </w:rPr>
        <w:t>（15）投标人具有在广州地区可使用适合本工程的机械设备的证明文件（提供沥青摊铺机自有发票或权属证明及设备现场全貌彩照（彩照须能反映其规格型号））。（含有市政道路面层沥青摊铺且沥青摊铺占预计发包价50%或以上的大、中修市政公用工程需提供该项内容的证明文件）。</w:t>
      </w:r>
    </w:p>
    <w:p w14:paraId="6B3D4A88">
      <w:pPr>
        <w:spacing w:line="360" w:lineRule="auto"/>
        <w:ind w:firstLine="470" w:firstLineChars="224"/>
        <w:rPr>
          <w:rFonts w:ascii="宋体" w:hAnsi="宋体" w:cs="宋体"/>
          <w:bCs/>
          <w:szCs w:val="21"/>
        </w:rPr>
      </w:pPr>
      <w:r>
        <w:rPr>
          <w:rFonts w:hint="eastAsia" w:ascii="宋体" w:hAnsi="宋体" w:cs="宋体"/>
          <w:bCs/>
          <w:szCs w:val="21"/>
        </w:rPr>
        <w:t>11.2.3项目管理机构配备。</w:t>
      </w:r>
    </w:p>
    <w:p w14:paraId="490FEDA4">
      <w:pPr>
        <w:spacing w:line="360" w:lineRule="auto"/>
        <w:ind w:firstLine="470" w:firstLineChars="224"/>
        <w:rPr>
          <w:rFonts w:ascii="宋体" w:hAnsi="宋体" w:cs="宋体"/>
          <w:bCs/>
          <w:szCs w:val="21"/>
        </w:rPr>
      </w:pPr>
      <w:r>
        <w:rPr>
          <w:rFonts w:hint="eastAsia" w:ascii="宋体" w:hAnsi="宋体" w:cs="宋体"/>
          <w:bCs/>
          <w:szCs w:val="21"/>
        </w:rPr>
        <w:t>（1）投标人应列出该项目工程的施工组织机构构成和画出机构框架图及其负责人；</w:t>
      </w:r>
    </w:p>
    <w:p w14:paraId="456A4721">
      <w:pPr>
        <w:spacing w:line="360" w:lineRule="auto"/>
        <w:ind w:firstLine="470" w:firstLineChars="224"/>
        <w:rPr>
          <w:rFonts w:ascii="宋体" w:hAnsi="宋体" w:cs="宋体"/>
          <w:bCs/>
          <w:szCs w:val="21"/>
        </w:rPr>
      </w:pPr>
      <w:r>
        <w:rPr>
          <w:rFonts w:hint="eastAsia" w:ascii="宋体" w:hAnsi="宋体" w:cs="宋体"/>
          <w:bCs/>
          <w:szCs w:val="21"/>
        </w:rPr>
        <w:t>（2）投标人应详细列出该施工组织机构中主要成员的名单、简历资料、职务职称和在本项目中拟担任的职务等资料，并附上有关证明材料扫描件；</w:t>
      </w:r>
    </w:p>
    <w:p w14:paraId="580DCFD6">
      <w:pPr>
        <w:spacing w:line="360" w:lineRule="auto"/>
        <w:ind w:firstLine="470" w:firstLineChars="224"/>
        <w:rPr>
          <w:rFonts w:ascii="宋体" w:hAnsi="宋体" w:cs="宋体"/>
          <w:bCs/>
          <w:szCs w:val="21"/>
        </w:rPr>
      </w:pPr>
      <w:r>
        <w:rPr>
          <w:rFonts w:hint="eastAsia" w:ascii="宋体" w:hAnsi="宋体" w:cs="宋体"/>
          <w:bCs/>
          <w:szCs w:val="21"/>
        </w:rPr>
        <w:t>（3）其他辅助说明资料。</w:t>
      </w:r>
    </w:p>
    <w:p w14:paraId="07933FE0">
      <w:pPr>
        <w:spacing w:line="360" w:lineRule="auto"/>
        <w:ind w:firstLine="470" w:firstLineChars="224"/>
        <w:rPr>
          <w:rFonts w:ascii="宋体" w:hAnsi="宋体" w:cs="宋体"/>
          <w:bCs/>
          <w:szCs w:val="21"/>
        </w:rPr>
      </w:pPr>
      <w:r>
        <w:rPr>
          <w:rFonts w:hint="eastAsia" w:ascii="宋体" w:hAnsi="宋体" w:cs="宋体"/>
          <w:bCs/>
          <w:szCs w:val="21"/>
        </w:rPr>
        <w:t>11.2.4投标人在广州市可使用适合本工程的机械设备（附：机械设备为自有或租赁的说明；及承诺机械设备如属于租赁的，其租赁是不属于重复租赁）。</w:t>
      </w:r>
    </w:p>
    <w:p w14:paraId="2C91B593">
      <w:pPr>
        <w:spacing w:line="360" w:lineRule="auto"/>
        <w:ind w:firstLine="470" w:firstLineChars="224"/>
        <w:rPr>
          <w:rFonts w:ascii="宋体" w:hAnsi="宋体" w:cs="宋体"/>
          <w:bCs/>
          <w:szCs w:val="21"/>
        </w:rPr>
      </w:pPr>
      <w:r>
        <w:rPr>
          <w:rFonts w:hint="eastAsia" w:ascii="宋体" w:hAnsi="宋体" w:cs="宋体"/>
          <w:bCs/>
          <w:szCs w:val="21"/>
        </w:rPr>
        <w:t>11.2.5施工组织设计或施工方案。（投标人在编制施工组织设计或施工方案时应按照招标文件要求，并针对本项目的关键技术、工艺、重点、难点以及拟在本项目采用的新工艺、新技术、新材料编制，应突出重点，标准、规范中已有的内容无需赘述，一般篇幅不宜超过150页；对于技术特别复杂，施工工艺超出国家标准的项目，施工组织设计的篇幅要求可适当放宽，但不宜超过200页。超过部分不予评审。）</w:t>
      </w:r>
    </w:p>
    <w:p w14:paraId="5D1028B7">
      <w:pPr>
        <w:spacing w:line="360" w:lineRule="auto"/>
        <w:ind w:firstLine="470" w:firstLineChars="224"/>
        <w:rPr>
          <w:rFonts w:ascii="宋体" w:hAnsi="宋体" w:cs="宋体"/>
          <w:bCs/>
          <w:szCs w:val="21"/>
        </w:rPr>
      </w:pPr>
      <w:r>
        <w:rPr>
          <w:rFonts w:hint="eastAsia" w:ascii="宋体" w:hAnsi="宋体" w:cs="宋体"/>
          <w:bCs/>
          <w:szCs w:val="21"/>
        </w:rPr>
        <w:t>11.2.6按照招标文件要求填写的《参与编制技术标投标文件人员名单》。</w:t>
      </w:r>
    </w:p>
    <w:p w14:paraId="4C1FAC18">
      <w:pPr>
        <w:pBdr>
          <w:bottom w:val="single" w:color="auto" w:sz="6" w:space="1"/>
        </w:pBdr>
        <w:spacing w:line="360" w:lineRule="auto"/>
        <w:ind w:firstLine="525" w:firstLineChars="250"/>
        <w:rPr>
          <w:rFonts w:ascii="宋体" w:hAnsi="宋体" w:cs="宋体"/>
          <w:bCs/>
          <w:szCs w:val="21"/>
        </w:rPr>
      </w:pPr>
      <w:r>
        <w:rPr>
          <w:rFonts w:hint="eastAsia" w:ascii="宋体" w:hAnsi="宋体" w:cs="宋体"/>
          <w:b/>
          <w:szCs w:val="21"/>
        </w:rPr>
        <w:t>现文：</w:t>
      </w:r>
      <w:r>
        <w:rPr>
          <w:rFonts w:hint="eastAsia" w:ascii="宋体" w:hAnsi="宋体" w:cs="宋体"/>
          <w:bCs/>
          <w:szCs w:val="21"/>
          <w:u w:val="single"/>
        </w:rPr>
        <w:t>11.2技术标投标文件主要包括下列内容:</w:t>
      </w:r>
    </w:p>
    <w:p w14:paraId="03527A38">
      <w:pPr>
        <w:pBdr>
          <w:bottom w:val="single" w:color="auto" w:sz="6" w:space="1"/>
        </w:pBdr>
        <w:spacing w:line="360" w:lineRule="auto"/>
        <w:ind w:firstLine="525" w:firstLineChars="250"/>
        <w:rPr>
          <w:rFonts w:ascii="宋体" w:hAnsi="宋体" w:cs="宋体"/>
          <w:bCs/>
          <w:szCs w:val="21"/>
        </w:rPr>
      </w:pPr>
      <w:r>
        <w:rPr>
          <w:rFonts w:hint="eastAsia" w:ascii="宋体" w:hAnsi="宋体" w:cs="宋体"/>
          <w:bCs/>
          <w:szCs w:val="21"/>
          <w:u w:val="single"/>
        </w:rPr>
        <w:t xml:space="preserve">11.2.1 </w:t>
      </w:r>
      <w:bookmarkStart w:id="6" w:name="_Hlk47945758"/>
      <w:r>
        <w:rPr>
          <w:rFonts w:hint="eastAsia" w:ascii="宋体" w:hAnsi="宋体" w:cs="宋体"/>
          <w:bCs/>
          <w:szCs w:val="21"/>
          <w:u w:val="single"/>
        </w:rPr>
        <w:t>技术标投标文件封面、广州建设工程施工招标投标书(格式按招标文件要求)</w:t>
      </w:r>
      <w:bookmarkEnd w:id="6"/>
      <w:r>
        <w:rPr>
          <w:rFonts w:hint="eastAsia" w:ascii="宋体" w:hAnsi="宋体" w:cs="宋体"/>
          <w:bCs/>
          <w:szCs w:val="21"/>
          <w:u w:val="single"/>
        </w:rPr>
        <w:t>；</w:t>
      </w:r>
    </w:p>
    <w:p w14:paraId="68E09B14">
      <w:pPr>
        <w:pBdr>
          <w:bottom w:val="single" w:color="auto" w:sz="6" w:space="1"/>
        </w:pBdr>
        <w:spacing w:line="360" w:lineRule="auto"/>
        <w:ind w:firstLine="525" w:firstLineChars="250"/>
        <w:rPr>
          <w:rFonts w:ascii="宋体" w:hAnsi="宋体" w:cs="宋体"/>
          <w:bCs/>
          <w:szCs w:val="21"/>
        </w:rPr>
      </w:pPr>
      <w:r>
        <w:rPr>
          <w:rFonts w:hint="eastAsia" w:ascii="宋体" w:hAnsi="宋体" w:cs="宋体"/>
          <w:bCs/>
          <w:szCs w:val="21"/>
        </w:rPr>
        <w:t>11.2.2 资格审查文件：</w:t>
      </w:r>
    </w:p>
    <w:p w14:paraId="09129E31">
      <w:pPr>
        <w:pBdr>
          <w:bottom w:val="single" w:color="auto" w:sz="6" w:space="1"/>
        </w:pBdr>
        <w:spacing w:line="360" w:lineRule="auto"/>
        <w:ind w:firstLine="525" w:firstLineChars="250"/>
        <w:rPr>
          <w:rFonts w:ascii="宋体" w:hAnsi="宋体" w:cs="宋体"/>
          <w:bCs/>
          <w:szCs w:val="21"/>
        </w:rPr>
      </w:pPr>
      <w:r>
        <w:rPr>
          <w:rFonts w:hint="eastAsia" w:ascii="宋体" w:hAnsi="宋体" w:cs="宋体"/>
          <w:bCs/>
          <w:szCs w:val="21"/>
        </w:rPr>
        <w:t xml:space="preserve">（1）投标人声明； </w:t>
      </w:r>
    </w:p>
    <w:p w14:paraId="67D6643D">
      <w:pPr>
        <w:pBdr>
          <w:bottom w:val="single" w:color="auto" w:sz="6" w:space="1"/>
        </w:pBdr>
        <w:spacing w:line="360" w:lineRule="auto"/>
        <w:ind w:firstLine="525" w:firstLineChars="250"/>
        <w:rPr>
          <w:rFonts w:ascii="宋体" w:hAnsi="宋体" w:cs="宋体"/>
          <w:bCs/>
          <w:szCs w:val="21"/>
        </w:rPr>
      </w:pPr>
      <w:r>
        <w:rPr>
          <w:rFonts w:hint="eastAsia" w:ascii="宋体" w:hAnsi="宋体" w:cs="宋体"/>
          <w:bCs/>
          <w:szCs w:val="21"/>
        </w:rPr>
        <w:t>（2）</w:t>
      </w:r>
      <w:r>
        <w:rPr>
          <w:rFonts w:hint="eastAsia" w:ascii="宋体" w:hAnsi="宋体" w:cs="宋体"/>
          <w:bCs/>
          <w:szCs w:val="21"/>
          <w:u w:val="single"/>
        </w:rPr>
        <w:t>经投标人盖章的法定代表人证明书、投标人盖章及法定代表人签字或盖章的本投标文件授权委托证明书</w:t>
      </w:r>
      <w:r>
        <w:rPr>
          <w:rFonts w:hint="eastAsia" w:ascii="宋体" w:hAnsi="宋体" w:cs="宋体"/>
          <w:bCs/>
          <w:szCs w:val="21"/>
        </w:rPr>
        <w:t>；</w:t>
      </w:r>
    </w:p>
    <w:p w14:paraId="205B392A">
      <w:pPr>
        <w:pBdr>
          <w:bottom w:val="single" w:color="auto" w:sz="6" w:space="1"/>
        </w:pBdr>
        <w:spacing w:line="360" w:lineRule="auto"/>
        <w:ind w:firstLine="525" w:firstLineChars="250"/>
        <w:rPr>
          <w:rFonts w:ascii="宋体" w:hAnsi="宋体" w:cs="宋体"/>
          <w:bCs/>
          <w:szCs w:val="21"/>
        </w:rPr>
      </w:pPr>
      <w:r>
        <w:rPr>
          <w:rFonts w:hint="eastAsia" w:ascii="宋体" w:hAnsi="宋体" w:cs="宋体"/>
          <w:bCs/>
          <w:szCs w:val="21"/>
        </w:rPr>
        <w:t>（3）企业营业执照（取自平台内上传件）；</w:t>
      </w:r>
    </w:p>
    <w:p w14:paraId="5FBA9DD3">
      <w:pPr>
        <w:pBdr>
          <w:bottom w:val="single" w:color="auto" w:sz="6" w:space="1"/>
        </w:pBdr>
        <w:spacing w:line="360" w:lineRule="auto"/>
        <w:ind w:firstLine="525" w:firstLineChars="250"/>
        <w:rPr>
          <w:rFonts w:ascii="宋体" w:hAnsi="宋体" w:cs="宋体"/>
          <w:bCs/>
          <w:szCs w:val="21"/>
        </w:rPr>
      </w:pPr>
      <w:r>
        <w:rPr>
          <w:rFonts w:hint="eastAsia" w:ascii="宋体" w:hAnsi="宋体" w:cs="宋体"/>
          <w:bCs/>
          <w:szCs w:val="21"/>
        </w:rPr>
        <w:t>（4）企业资质证书（取自平台内上传件）；</w:t>
      </w:r>
    </w:p>
    <w:p w14:paraId="6903C49B">
      <w:pPr>
        <w:pBdr>
          <w:bottom w:val="single" w:color="auto" w:sz="6" w:space="1"/>
        </w:pBdr>
        <w:spacing w:line="360" w:lineRule="auto"/>
        <w:ind w:firstLine="525" w:firstLineChars="250"/>
        <w:rPr>
          <w:rFonts w:ascii="宋体" w:hAnsi="宋体" w:cs="宋体"/>
          <w:bCs/>
          <w:szCs w:val="21"/>
        </w:rPr>
      </w:pPr>
      <w:r>
        <w:rPr>
          <w:rFonts w:hint="eastAsia" w:ascii="宋体" w:hAnsi="宋体" w:cs="宋体"/>
          <w:bCs/>
          <w:szCs w:val="21"/>
        </w:rPr>
        <w:t>（5）建筑施工企业安全生产许可证（取自平台内上传件）；</w:t>
      </w:r>
    </w:p>
    <w:p w14:paraId="03DD6F59">
      <w:pPr>
        <w:pBdr>
          <w:bottom w:val="single" w:color="auto" w:sz="6" w:space="1"/>
        </w:pBdr>
        <w:spacing w:line="360" w:lineRule="auto"/>
        <w:ind w:firstLine="525" w:firstLineChars="250"/>
        <w:rPr>
          <w:rFonts w:ascii="宋体" w:hAnsi="宋体" w:cs="宋体"/>
          <w:bCs/>
          <w:szCs w:val="21"/>
        </w:rPr>
      </w:pPr>
      <w:r>
        <w:rPr>
          <w:rFonts w:hint="eastAsia" w:ascii="宋体" w:hAnsi="宋体" w:cs="宋体"/>
          <w:bCs/>
          <w:szCs w:val="21"/>
        </w:rPr>
        <w:t>（6）项目负责人（按网上投标登记时选择拟投标的项目负责人）；</w:t>
      </w:r>
    </w:p>
    <w:p w14:paraId="72A301B4">
      <w:pPr>
        <w:pBdr>
          <w:bottom w:val="single" w:color="auto" w:sz="6" w:space="1"/>
        </w:pBdr>
        <w:spacing w:line="360" w:lineRule="auto"/>
        <w:ind w:firstLine="525" w:firstLineChars="250"/>
        <w:rPr>
          <w:rFonts w:ascii="宋体" w:hAnsi="宋体" w:cs="宋体"/>
          <w:bCs/>
          <w:szCs w:val="21"/>
        </w:rPr>
      </w:pPr>
      <w:r>
        <w:rPr>
          <w:rFonts w:hint="eastAsia" w:ascii="宋体" w:hAnsi="宋体" w:cs="宋体"/>
          <w:bCs/>
          <w:szCs w:val="21"/>
        </w:rPr>
        <w:t>（7）专职安全员（按网上投标登记时选择拟投标的专职安全员）</w:t>
      </w:r>
    </w:p>
    <w:p w14:paraId="2C4B0FAC">
      <w:pPr>
        <w:pBdr>
          <w:bottom w:val="single" w:color="auto" w:sz="6" w:space="1"/>
        </w:pBdr>
        <w:spacing w:line="360" w:lineRule="auto"/>
        <w:ind w:firstLine="525" w:firstLineChars="250"/>
        <w:rPr>
          <w:rFonts w:ascii="宋体" w:hAnsi="宋体" w:cs="宋体"/>
          <w:bCs/>
          <w:szCs w:val="21"/>
          <w:u w:val="single"/>
        </w:rPr>
      </w:pPr>
      <w:r>
        <w:rPr>
          <w:rFonts w:hint="eastAsia" w:ascii="宋体" w:hAnsi="宋体" w:cs="宋体"/>
          <w:bCs/>
          <w:szCs w:val="21"/>
        </w:rPr>
        <w:t>（8）拟委托技术负责人的相关证书、资料</w:t>
      </w:r>
      <w:r>
        <w:rPr>
          <w:rFonts w:hint="eastAsia" w:ascii="宋体" w:hAnsi="宋体" w:cs="宋体"/>
          <w:bCs/>
          <w:szCs w:val="21"/>
          <w:u w:val="single"/>
        </w:rPr>
        <w:t>，具体要求详见招标公告（扫描件或取自平台内上传件）；</w:t>
      </w:r>
    </w:p>
    <w:p w14:paraId="02E7032F">
      <w:pPr>
        <w:pBdr>
          <w:bottom w:val="single" w:color="auto" w:sz="6" w:space="1"/>
        </w:pBdr>
        <w:spacing w:line="360" w:lineRule="auto"/>
        <w:ind w:firstLine="525" w:firstLineChars="250"/>
        <w:rPr>
          <w:rFonts w:ascii="宋体" w:hAnsi="宋体" w:cs="宋体"/>
          <w:bCs/>
          <w:szCs w:val="21"/>
        </w:rPr>
      </w:pPr>
      <w:r>
        <w:rPr>
          <w:rFonts w:hint="eastAsia" w:ascii="宋体" w:hAnsi="宋体" w:cs="宋体"/>
          <w:bCs/>
          <w:szCs w:val="21"/>
        </w:rPr>
        <w:t>（9）</w:t>
      </w:r>
      <w:bookmarkStart w:id="7" w:name="_Hlk127870179"/>
      <w:r>
        <w:rPr>
          <w:rFonts w:hint="eastAsia" w:ascii="宋体" w:hAnsi="宋体" w:cs="宋体"/>
          <w:bCs/>
          <w:szCs w:val="21"/>
        </w:rPr>
        <w:t>拟委派项目负责人的建造师注册证书</w:t>
      </w:r>
      <w:bookmarkEnd w:id="7"/>
      <w:r>
        <w:rPr>
          <w:rFonts w:hint="eastAsia" w:ascii="宋体" w:hAnsi="宋体" w:cs="宋体"/>
          <w:bCs/>
          <w:szCs w:val="21"/>
        </w:rPr>
        <w:t xml:space="preserve">（取自平台内上传件）； </w:t>
      </w:r>
    </w:p>
    <w:p w14:paraId="53F97AB3">
      <w:pPr>
        <w:pBdr>
          <w:bottom w:val="single" w:color="auto" w:sz="6" w:space="1"/>
        </w:pBdr>
        <w:spacing w:line="360" w:lineRule="auto"/>
        <w:ind w:firstLine="525" w:firstLineChars="250"/>
        <w:rPr>
          <w:rFonts w:ascii="宋体" w:hAnsi="宋体" w:cs="宋体"/>
          <w:bCs/>
          <w:szCs w:val="21"/>
        </w:rPr>
      </w:pPr>
      <w:r>
        <w:rPr>
          <w:rFonts w:hint="eastAsia" w:ascii="宋体" w:hAnsi="宋体" w:cs="宋体"/>
          <w:bCs/>
          <w:szCs w:val="21"/>
        </w:rPr>
        <w:t>（10）项目负责人安全生产考核合格证明或在有效期内的安全生产考核合格证书（B类）或建筑施工企业项目负责人安全生产考核合格证书（取自平台内上传件）；</w:t>
      </w:r>
    </w:p>
    <w:p w14:paraId="79FD321A">
      <w:pPr>
        <w:pBdr>
          <w:bottom w:val="single" w:color="auto" w:sz="6" w:space="1"/>
        </w:pBdr>
        <w:spacing w:line="360" w:lineRule="auto"/>
        <w:ind w:firstLine="525" w:firstLineChars="250"/>
        <w:rPr>
          <w:rFonts w:ascii="宋体" w:hAnsi="宋体" w:cs="宋体"/>
          <w:bCs/>
          <w:szCs w:val="21"/>
        </w:rPr>
      </w:pPr>
      <w:r>
        <w:rPr>
          <w:rFonts w:hint="eastAsia" w:ascii="宋体" w:hAnsi="宋体" w:cs="宋体"/>
          <w:bCs/>
          <w:szCs w:val="21"/>
        </w:rPr>
        <w:t>（11）专职安全员须具有在有效期内的安全生产考核合格证书（C类）或建筑施工企业专职安全生产管理人员安全生产考核合格证书</w:t>
      </w:r>
      <w:r>
        <w:rPr>
          <w:rFonts w:hint="eastAsia" w:ascii="宋体" w:hAnsi="宋体" w:cs="宋体"/>
          <w:bCs/>
          <w:szCs w:val="21"/>
          <w:u w:val="single"/>
        </w:rPr>
        <w:t>（</w:t>
      </w:r>
      <w:r>
        <w:rPr>
          <w:rFonts w:ascii="宋体" w:hAnsi="宋体" w:cs="宋体"/>
          <w:bCs/>
          <w:szCs w:val="21"/>
          <w:u w:val="single"/>
        </w:rPr>
        <w:t>C3</w:t>
      </w:r>
      <w:r>
        <w:rPr>
          <w:rFonts w:hint="eastAsia" w:ascii="宋体" w:hAnsi="宋体" w:cs="宋体"/>
          <w:bCs/>
          <w:szCs w:val="21"/>
          <w:u w:val="single"/>
        </w:rPr>
        <w:t>）</w:t>
      </w:r>
      <w:r>
        <w:rPr>
          <w:rFonts w:hint="eastAsia" w:ascii="宋体" w:hAnsi="宋体" w:cs="宋体"/>
          <w:bCs/>
          <w:szCs w:val="21"/>
        </w:rPr>
        <w:t>（取自平台内上传件）；</w:t>
      </w:r>
    </w:p>
    <w:p w14:paraId="6A9B5DDE">
      <w:pPr>
        <w:pBdr>
          <w:bottom w:val="single" w:color="auto" w:sz="6" w:space="1"/>
        </w:pBdr>
        <w:spacing w:line="360" w:lineRule="auto"/>
        <w:ind w:firstLine="525" w:firstLineChars="250"/>
        <w:rPr>
          <w:rFonts w:ascii="宋体" w:hAnsi="宋体" w:cs="宋体"/>
          <w:bCs/>
          <w:szCs w:val="21"/>
          <w:u w:val="single"/>
        </w:rPr>
      </w:pPr>
      <w:r>
        <w:rPr>
          <w:rFonts w:hint="eastAsia" w:ascii="宋体" w:hAnsi="宋体" w:cs="宋体"/>
          <w:bCs/>
          <w:szCs w:val="21"/>
        </w:rPr>
        <w:t>（12）资格审查前，投标人须在广州市住房和城乡建设局建立企业信用档案，拟担任本工程项目负责人、专职安全员须是本企业信用档案中的在册人员。</w:t>
      </w:r>
    </w:p>
    <w:p w14:paraId="3FD6FE22">
      <w:pPr>
        <w:pBdr>
          <w:bottom w:val="single" w:color="auto" w:sz="6" w:space="1"/>
        </w:pBdr>
        <w:spacing w:line="360" w:lineRule="auto"/>
        <w:ind w:firstLine="525" w:firstLineChars="250"/>
        <w:rPr>
          <w:rFonts w:ascii="宋体" w:hAnsi="宋体" w:cs="宋体"/>
          <w:bCs/>
          <w:szCs w:val="21"/>
          <w:u w:val="single"/>
        </w:rPr>
      </w:pPr>
      <w:r>
        <w:rPr>
          <w:rFonts w:hint="eastAsia" w:ascii="宋体" w:hAnsi="宋体" w:cs="宋体"/>
          <w:bCs/>
          <w:szCs w:val="21"/>
          <w:u w:val="single"/>
        </w:rPr>
        <w:t>11.2.3 技术评审资料；</w:t>
      </w:r>
    </w:p>
    <w:p w14:paraId="3B68DFC1">
      <w:pPr>
        <w:pBdr>
          <w:bottom w:val="single" w:color="auto" w:sz="6" w:space="1"/>
        </w:pBdr>
        <w:spacing w:line="360" w:lineRule="auto"/>
        <w:ind w:firstLine="525" w:firstLineChars="250"/>
        <w:rPr>
          <w:rFonts w:ascii="宋体" w:hAnsi="宋体" w:cs="宋体"/>
          <w:bCs/>
          <w:szCs w:val="21"/>
          <w:u w:val="single"/>
        </w:rPr>
      </w:pPr>
      <w:r>
        <w:rPr>
          <w:rFonts w:hint="eastAsia" w:ascii="宋体" w:hAnsi="宋体" w:cs="宋体"/>
          <w:bCs/>
          <w:szCs w:val="21"/>
          <w:u w:val="single"/>
        </w:rPr>
        <w:t>11.2.</w:t>
      </w:r>
      <w:r>
        <w:rPr>
          <w:rFonts w:ascii="宋体" w:hAnsi="宋体" w:cs="宋体"/>
          <w:bCs/>
          <w:szCs w:val="21"/>
          <w:u w:val="single"/>
        </w:rPr>
        <w:t>4</w:t>
      </w:r>
      <w:r>
        <w:rPr>
          <w:rFonts w:hint="eastAsia" w:ascii="宋体" w:hAnsi="宋体" w:cs="宋体"/>
          <w:bCs/>
          <w:szCs w:val="21"/>
          <w:u w:val="single"/>
        </w:rPr>
        <w:t xml:space="preserve"> 人员投入承诺书(格式按招标文件要求)；</w:t>
      </w:r>
    </w:p>
    <w:p w14:paraId="62A420E1">
      <w:pPr>
        <w:pBdr>
          <w:bottom w:val="single" w:color="auto" w:sz="6" w:space="1"/>
        </w:pBdr>
        <w:spacing w:line="360" w:lineRule="auto"/>
        <w:ind w:firstLine="525" w:firstLineChars="250"/>
        <w:rPr>
          <w:rFonts w:ascii="宋体" w:hAnsi="宋体" w:cs="宋体"/>
          <w:bCs/>
          <w:szCs w:val="21"/>
          <w:u w:val="single"/>
        </w:rPr>
      </w:pPr>
      <w:r>
        <w:rPr>
          <w:rFonts w:hint="eastAsia" w:ascii="宋体" w:hAnsi="宋体" w:cs="宋体"/>
          <w:bCs/>
          <w:szCs w:val="21"/>
          <w:u w:val="single"/>
        </w:rPr>
        <w:t>11.2.</w:t>
      </w:r>
      <w:r>
        <w:rPr>
          <w:rFonts w:ascii="宋体" w:hAnsi="宋体" w:cs="宋体"/>
          <w:bCs/>
          <w:szCs w:val="21"/>
          <w:u w:val="single"/>
        </w:rPr>
        <w:t>5</w:t>
      </w:r>
      <w:r>
        <w:rPr>
          <w:rFonts w:hint="eastAsia" w:ascii="宋体" w:hAnsi="宋体" w:cs="宋体"/>
          <w:bCs/>
          <w:szCs w:val="21"/>
          <w:u w:val="single"/>
        </w:rPr>
        <w:t xml:space="preserve"> 投标人廉洁承诺书(格式按招标文件要求)；</w:t>
      </w:r>
    </w:p>
    <w:p w14:paraId="6A8B04C9">
      <w:pPr>
        <w:pBdr>
          <w:bottom w:val="single" w:color="auto" w:sz="6" w:space="1"/>
        </w:pBdr>
        <w:spacing w:line="360" w:lineRule="auto"/>
        <w:ind w:firstLine="525" w:firstLineChars="250"/>
        <w:rPr>
          <w:rFonts w:ascii="宋体" w:hAnsi="宋体" w:cs="宋体"/>
          <w:bCs/>
          <w:szCs w:val="21"/>
        </w:rPr>
      </w:pPr>
      <w:r>
        <w:rPr>
          <w:rFonts w:hint="eastAsia" w:ascii="宋体" w:hAnsi="宋体" w:cs="宋体"/>
          <w:bCs/>
          <w:szCs w:val="21"/>
          <w:u w:val="single"/>
        </w:rPr>
        <w:t>11.2.</w:t>
      </w:r>
      <w:r>
        <w:rPr>
          <w:rFonts w:ascii="宋体" w:hAnsi="宋体" w:cs="宋体"/>
          <w:bCs/>
          <w:szCs w:val="21"/>
          <w:u w:val="single"/>
        </w:rPr>
        <w:t>6</w:t>
      </w:r>
      <w:r>
        <w:rPr>
          <w:rFonts w:hint="eastAsia" w:ascii="宋体" w:hAnsi="宋体" w:cs="宋体"/>
          <w:bCs/>
          <w:szCs w:val="21"/>
          <w:u w:val="single"/>
        </w:rPr>
        <w:t xml:space="preserve"> 承诺书(格式按招标文件要求)；</w:t>
      </w:r>
    </w:p>
    <w:p w14:paraId="30403DC0">
      <w:pPr>
        <w:pBdr>
          <w:bottom w:val="single" w:color="auto" w:sz="6" w:space="1"/>
        </w:pBdr>
        <w:spacing w:line="360" w:lineRule="auto"/>
        <w:ind w:firstLine="525" w:firstLineChars="250"/>
        <w:rPr>
          <w:rFonts w:ascii="宋体" w:hAnsi="宋体" w:cs="宋体"/>
          <w:bCs/>
          <w:szCs w:val="21"/>
          <w:u w:val="single"/>
        </w:rPr>
      </w:pPr>
      <w:r>
        <w:rPr>
          <w:rFonts w:hint="eastAsia" w:ascii="宋体" w:hAnsi="宋体" w:cs="宋体"/>
          <w:bCs/>
          <w:szCs w:val="21"/>
          <w:u w:val="single"/>
        </w:rPr>
        <w:t>11.2.</w:t>
      </w:r>
      <w:r>
        <w:rPr>
          <w:rFonts w:ascii="宋体" w:hAnsi="宋体" w:cs="宋体"/>
          <w:bCs/>
          <w:szCs w:val="21"/>
          <w:u w:val="single"/>
        </w:rPr>
        <w:t>7</w:t>
      </w:r>
      <w:r>
        <w:rPr>
          <w:rFonts w:hint="eastAsia" w:ascii="宋体" w:hAnsi="宋体" w:cs="宋体"/>
          <w:bCs/>
          <w:szCs w:val="21"/>
          <w:u w:val="single"/>
        </w:rPr>
        <w:t xml:space="preserve"> 投标函(格式按招标文件要求)；</w:t>
      </w:r>
    </w:p>
    <w:p w14:paraId="7B8A24C9">
      <w:pPr>
        <w:pBdr>
          <w:bottom w:val="single" w:color="auto" w:sz="6" w:space="1"/>
        </w:pBdr>
        <w:spacing w:line="360" w:lineRule="auto"/>
        <w:ind w:firstLine="525" w:firstLineChars="250"/>
        <w:rPr>
          <w:rFonts w:ascii="宋体" w:hAnsi="宋体" w:cs="宋体"/>
          <w:bCs/>
          <w:szCs w:val="21"/>
          <w:u w:val="single"/>
        </w:rPr>
      </w:pPr>
      <w:r>
        <w:rPr>
          <w:rFonts w:hint="eastAsia" w:ascii="宋体" w:hAnsi="宋体" w:cs="宋体"/>
          <w:bCs/>
          <w:szCs w:val="21"/>
          <w:u w:val="single"/>
        </w:rPr>
        <w:t>11.2.</w:t>
      </w:r>
      <w:r>
        <w:rPr>
          <w:rFonts w:ascii="宋体" w:hAnsi="宋体" w:cs="宋体"/>
          <w:bCs/>
          <w:szCs w:val="21"/>
          <w:u w:val="single"/>
        </w:rPr>
        <w:t>8</w:t>
      </w:r>
      <w:r>
        <w:rPr>
          <w:rFonts w:hint="eastAsia" w:ascii="宋体" w:hAnsi="宋体" w:cs="宋体"/>
          <w:bCs/>
          <w:szCs w:val="21"/>
          <w:u w:val="single"/>
        </w:rPr>
        <w:t xml:space="preserve"> 施工项目管理团队人员信息表(格式按招标文件要求)；</w:t>
      </w:r>
    </w:p>
    <w:p w14:paraId="7AE8492B">
      <w:pPr>
        <w:pBdr>
          <w:bottom w:val="single" w:color="auto" w:sz="6" w:space="1"/>
        </w:pBdr>
        <w:spacing w:line="360" w:lineRule="auto"/>
        <w:ind w:firstLine="525" w:firstLineChars="250"/>
        <w:rPr>
          <w:rFonts w:ascii="宋体" w:hAnsi="宋体" w:cs="宋体"/>
          <w:bCs/>
          <w:szCs w:val="21"/>
          <w:u w:val="single"/>
        </w:rPr>
      </w:pPr>
      <w:r>
        <w:rPr>
          <w:rFonts w:hint="eastAsia" w:ascii="宋体" w:hAnsi="宋体" w:cs="宋体"/>
          <w:bCs/>
          <w:szCs w:val="21"/>
          <w:u w:val="single"/>
        </w:rPr>
        <w:t>11.2.</w:t>
      </w:r>
      <w:r>
        <w:rPr>
          <w:rFonts w:ascii="宋体" w:hAnsi="宋体" w:cs="宋体"/>
          <w:bCs/>
          <w:szCs w:val="21"/>
          <w:u w:val="single"/>
        </w:rPr>
        <w:t>9</w:t>
      </w:r>
      <w:r>
        <w:rPr>
          <w:rFonts w:hint="eastAsia" w:ascii="宋体" w:hAnsi="宋体" w:cs="宋体"/>
          <w:bCs/>
          <w:szCs w:val="21"/>
          <w:u w:val="single"/>
        </w:rPr>
        <w:t xml:space="preserve"> 按照招标文件要求填写的《参与编制技术标投标文件人员名单》；</w:t>
      </w:r>
    </w:p>
    <w:p w14:paraId="43DC57CE">
      <w:pPr>
        <w:pBdr>
          <w:bottom w:val="single" w:color="auto" w:sz="6" w:space="1"/>
        </w:pBdr>
        <w:spacing w:line="360" w:lineRule="auto"/>
        <w:ind w:firstLine="525" w:firstLineChars="250"/>
        <w:rPr>
          <w:rFonts w:ascii="宋体" w:hAnsi="宋体" w:cs="宋体"/>
          <w:bCs/>
          <w:szCs w:val="21"/>
        </w:rPr>
      </w:pPr>
      <w:r>
        <w:rPr>
          <w:rFonts w:hint="eastAsia" w:ascii="宋体" w:hAnsi="宋体" w:cs="宋体"/>
          <w:bCs/>
          <w:szCs w:val="21"/>
          <w:u w:val="single"/>
        </w:rPr>
        <w:t>11.2.1</w:t>
      </w:r>
      <w:r>
        <w:rPr>
          <w:rFonts w:ascii="宋体" w:hAnsi="宋体" w:cs="宋体"/>
          <w:bCs/>
          <w:szCs w:val="21"/>
          <w:u w:val="single"/>
        </w:rPr>
        <w:t>0</w:t>
      </w:r>
      <w:r>
        <w:rPr>
          <w:rFonts w:hint="eastAsia" w:ascii="宋体" w:hAnsi="宋体" w:cs="宋体"/>
          <w:bCs/>
          <w:szCs w:val="21"/>
          <w:u w:val="single"/>
        </w:rPr>
        <w:t>投标人认为应该提供的其他资料。</w:t>
      </w:r>
    </w:p>
    <w:p w14:paraId="5B7D27D4">
      <w:pPr>
        <w:spacing w:line="360" w:lineRule="auto"/>
        <w:ind w:firstLine="420" w:firstLineChars="200"/>
        <w:rPr>
          <w:b/>
          <w:szCs w:val="21"/>
        </w:rPr>
      </w:pPr>
      <w:r>
        <w:rPr>
          <w:rFonts w:hint="eastAsia"/>
          <w:b/>
          <w:szCs w:val="21"/>
        </w:rPr>
        <w:t>条款号：11.3</w:t>
      </w:r>
      <w:r>
        <w:rPr>
          <w:b/>
          <w:szCs w:val="21"/>
        </w:rPr>
        <w:t xml:space="preserve">                 </w:t>
      </w:r>
      <w:r>
        <w:rPr>
          <w:rFonts w:hint="eastAsia"/>
          <w:b/>
          <w:szCs w:val="21"/>
        </w:rPr>
        <w:t>修改类型：修改</w:t>
      </w:r>
    </w:p>
    <w:p w14:paraId="4B1F930D">
      <w:pPr>
        <w:spacing w:line="360" w:lineRule="auto"/>
        <w:ind w:firstLine="420" w:firstLineChars="200"/>
        <w:rPr>
          <w:szCs w:val="21"/>
        </w:rPr>
      </w:pPr>
      <w:r>
        <w:rPr>
          <w:rFonts w:hint="eastAsia"/>
          <w:b/>
          <w:szCs w:val="21"/>
        </w:rPr>
        <w:t>原文：</w:t>
      </w:r>
      <w:r>
        <w:rPr>
          <w:rFonts w:hint="eastAsia"/>
          <w:szCs w:val="21"/>
        </w:rPr>
        <w:t>11.3 经济部分投标文件主要包括下列内容：</w:t>
      </w:r>
    </w:p>
    <w:p w14:paraId="26018A73">
      <w:pPr>
        <w:spacing w:line="360" w:lineRule="auto"/>
        <w:ind w:firstLine="420" w:firstLineChars="200"/>
        <w:rPr>
          <w:szCs w:val="21"/>
        </w:rPr>
      </w:pPr>
      <w:r>
        <w:rPr>
          <w:rFonts w:hint="eastAsia"/>
          <w:szCs w:val="21"/>
        </w:rPr>
        <w:t>11.3.1 经济投标文件(按招标文件的要求填写)。</w:t>
      </w:r>
    </w:p>
    <w:p w14:paraId="43B86254">
      <w:pPr>
        <w:spacing w:line="360" w:lineRule="auto"/>
        <w:ind w:firstLine="420" w:firstLineChars="200"/>
        <w:rPr>
          <w:szCs w:val="21"/>
        </w:rPr>
      </w:pPr>
      <w:r>
        <w:rPr>
          <w:rFonts w:hint="eastAsia"/>
          <w:szCs w:val="21"/>
        </w:rPr>
        <w:t>11.3.2投标总价。投标人必须按招标工程量清单填报价格，工程量清单的组成、格式、项目编码、项目名称、项目特征、计量单位、工程量和工程量计算规则必须与招标工程量清单一致。投标报价由投标人依据建设工程工程量清单计价规范、招标文件、招标工程量清单、设计文件、企业定额、施工现场情况和投标时拟定的施工组织设计或者施工方案，结合企业成本、市场价格以及招标文件中载明的风险内容和范围等编制。其中包括如下：</w:t>
      </w:r>
    </w:p>
    <w:p w14:paraId="46016939">
      <w:pPr>
        <w:spacing w:line="360" w:lineRule="auto"/>
        <w:ind w:firstLine="420" w:firstLineChars="200"/>
        <w:rPr>
          <w:szCs w:val="21"/>
        </w:rPr>
      </w:pPr>
      <w:r>
        <w:rPr>
          <w:rFonts w:hint="eastAsia"/>
          <w:szCs w:val="21"/>
        </w:rPr>
        <w:t>（1）投标总价封面、扉页；</w:t>
      </w:r>
    </w:p>
    <w:p w14:paraId="5C2FEBDA">
      <w:pPr>
        <w:spacing w:line="360" w:lineRule="auto"/>
        <w:ind w:firstLine="420" w:firstLineChars="200"/>
        <w:rPr>
          <w:szCs w:val="21"/>
        </w:rPr>
      </w:pPr>
      <w:r>
        <w:rPr>
          <w:rFonts w:hint="eastAsia"/>
          <w:szCs w:val="21"/>
        </w:rPr>
        <w:t>（2）总说明</w:t>
      </w:r>
    </w:p>
    <w:p w14:paraId="19BA7C4E">
      <w:pPr>
        <w:spacing w:line="360" w:lineRule="auto"/>
        <w:ind w:firstLine="420" w:firstLineChars="200"/>
        <w:rPr>
          <w:szCs w:val="21"/>
        </w:rPr>
      </w:pPr>
      <w:r>
        <w:rPr>
          <w:rFonts w:hint="eastAsia"/>
          <w:szCs w:val="21"/>
        </w:rPr>
        <w:t>（3）工程项目投标报价汇总表；</w:t>
      </w:r>
    </w:p>
    <w:p w14:paraId="5209D11B">
      <w:pPr>
        <w:spacing w:line="360" w:lineRule="auto"/>
        <w:ind w:firstLine="420" w:firstLineChars="200"/>
        <w:rPr>
          <w:szCs w:val="21"/>
        </w:rPr>
      </w:pPr>
      <w:r>
        <w:rPr>
          <w:rFonts w:hint="eastAsia"/>
          <w:szCs w:val="21"/>
        </w:rPr>
        <w:t>（4）单项工程投标报价汇总表；</w:t>
      </w:r>
    </w:p>
    <w:p w14:paraId="1893E43F">
      <w:pPr>
        <w:spacing w:line="360" w:lineRule="auto"/>
        <w:ind w:firstLine="420" w:firstLineChars="200"/>
        <w:rPr>
          <w:szCs w:val="21"/>
        </w:rPr>
      </w:pPr>
      <w:r>
        <w:rPr>
          <w:rFonts w:hint="eastAsia"/>
          <w:szCs w:val="21"/>
        </w:rPr>
        <w:t>（5）单位工程投标报价汇总表；</w:t>
      </w:r>
    </w:p>
    <w:p w14:paraId="5A324991">
      <w:pPr>
        <w:spacing w:line="360" w:lineRule="auto"/>
        <w:ind w:firstLine="420" w:firstLineChars="200"/>
        <w:rPr>
          <w:szCs w:val="21"/>
        </w:rPr>
      </w:pPr>
      <w:r>
        <w:rPr>
          <w:rFonts w:hint="eastAsia"/>
          <w:szCs w:val="21"/>
        </w:rPr>
        <w:t>（6）分部分项工程清单与计价表；</w:t>
      </w:r>
    </w:p>
    <w:p w14:paraId="4F3DBE39">
      <w:pPr>
        <w:spacing w:line="360" w:lineRule="auto"/>
        <w:ind w:firstLine="420" w:firstLineChars="200"/>
        <w:rPr>
          <w:szCs w:val="21"/>
        </w:rPr>
      </w:pPr>
      <w:r>
        <w:rPr>
          <w:rFonts w:hint="eastAsia"/>
          <w:szCs w:val="21"/>
        </w:rPr>
        <w:t>（7）单价措施项目清单与计价表；</w:t>
      </w:r>
    </w:p>
    <w:p w14:paraId="3E8D19B5">
      <w:pPr>
        <w:spacing w:line="360" w:lineRule="auto"/>
        <w:ind w:firstLine="420" w:firstLineChars="200"/>
        <w:rPr>
          <w:szCs w:val="21"/>
        </w:rPr>
      </w:pPr>
      <w:r>
        <w:rPr>
          <w:rFonts w:hint="eastAsia"/>
          <w:szCs w:val="21"/>
        </w:rPr>
        <w:t>（8）总价措施项目清单与计价表；</w:t>
      </w:r>
    </w:p>
    <w:p w14:paraId="1000B594">
      <w:pPr>
        <w:spacing w:line="360" w:lineRule="auto"/>
        <w:ind w:firstLine="420" w:firstLineChars="200"/>
        <w:rPr>
          <w:szCs w:val="21"/>
        </w:rPr>
      </w:pPr>
      <w:r>
        <w:rPr>
          <w:rFonts w:hint="eastAsia"/>
          <w:szCs w:val="21"/>
        </w:rPr>
        <w:t>（9）综合单价分析表；</w:t>
      </w:r>
    </w:p>
    <w:p w14:paraId="6E11A35A">
      <w:pPr>
        <w:spacing w:line="360" w:lineRule="auto"/>
        <w:ind w:firstLine="420" w:firstLineChars="200"/>
        <w:rPr>
          <w:szCs w:val="21"/>
        </w:rPr>
      </w:pPr>
      <w:r>
        <w:rPr>
          <w:rFonts w:hint="eastAsia"/>
          <w:szCs w:val="21"/>
        </w:rPr>
        <w:t>（10）其他项目清单与计价汇总表；</w:t>
      </w:r>
    </w:p>
    <w:p w14:paraId="25F19C52">
      <w:pPr>
        <w:spacing w:line="360" w:lineRule="auto"/>
        <w:ind w:firstLine="420" w:firstLineChars="200"/>
        <w:rPr>
          <w:szCs w:val="21"/>
        </w:rPr>
      </w:pPr>
      <w:r>
        <w:rPr>
          <w:rFonts w:hint="eastAsia"/>
          <w:szCs w:val="21"/>
        </w:rPr>
        <w:t>（11）暂列金额明细表；</w:t>
      </w:r>
    </w:p>
    <w:p w14:paraId="539995F0">
      <w:pPr>
        <w:spacing w:line="360" w:lineRule="auto"/>
        <w:ind w:firstLine="420" w:firstLineChars="200"/>
        <w:rPr>
          <w:szCs w:val="21"/>
        </w:rPr>
      </w:pPr>
      <w:r>
        <w:rPr>
          <w:rFonts w:hint="eastAsia"/>
          <w:szCs w:val="21"/>
        </w:rPr>
        <w:t>（12）材料（工程设备）暂估价明细表；</w:t>
      </w:r>
    </w:p>
    <w:p w14:paraId="68C13AA3">
      <w:pPr>
        <w:spacing w:line="360" w:lineRule="auto"/>
        <w:ind w:firstLine="420" w:firstLineChars="200"/>
        <w:rPr>
          <w:szCs w:val="21"/>
        </w:rPr>
      </w:pPr>
      <w:r>
        <w:rPr>
          <w:rFonts w:hint="eastAsia"/>
          <w:szCs w:val="21"/>
        </w:rPr>
        <w:t>（13）专业工程暂估价明细表；</w:t>
      </w:r>
    </w:p>
    <w:p w14:paraId="3A4839D2">
      <w:pPr>
        <w:spacing w:line="360" w:lineRule="auto"/>
        <w:ind w:firstLine="420" w:firstLineChars="200"/>
        <w:rPr>
          <w:szCs w:val="21"/>
        </w:rPr>
      </w:pPr>
      <w:r>
        <w:rPr>
          <w:rFonts w:hint="eastAsia"/>
          <w:szCs w:val="21"/>
        </w:rPr>
        <w:t>（14）计日工表；</w:t>
      </w:r>
    </w:p>
    <w:p w14:paraId="716003E2">
      <w:pPr>
        <w:spacing w:line="360" w:lineRule="auto"/>
        <w:ind w:firstLine="420" w:firstLineChars="200"/>
        <w:rPr>
          <w:szCs w:val="21"/>
        </w:rPr>
      </w:pPr>
      <w:r>
        <w:rPr>
          <w:rFonts w:hint="eastAsia"/>
          <w:szCs w:val="21"/>
        </w:rPr>
        <w:t>（15）总承包服务计价表；</w:t>
      </w:r>
    </w:p>
    <w:p w14:paraId="0ABE18D6">
      <w:pPr>
        <w:spacing w:line="360" w:lineRule="auto"/>
        <w:ind w:firstLine="420" w:firstLineChars="200"/>
        <w:rPr>
          <w:szCs w:val="21"/>
        </w:rPr>
      </w:pPr>
      <w:r>
        <w:rPr>
          <w:rFonts w:hint="eastAsia"/>
          <w:szCs w:val="21"/>
        </w:rPr>
        <w:t>（16）规费和税金项目计价表；</w:t>
      </w:r>
    </w:p>
    <w:p w14:paraId="1355937B">
      <w:pPr>
        <w:spacing w:line="360" w:lineRule="auto"/>
        <w:ind w:firstLine="420" w:firstLineChars="200"/>
        <w:rPr>
          <w:szCs w:val="21"/>
        </w:rPr>
      </w:pPr>
      <w:r>
        <w:rPr>
          <w:rFonts w:hint="eastAsia"/>
          <w:szCs w:val="21"/>
        </w:rPr>
        <w:t>（17）人工、主要材料和设备一览表</w:t>
      </w:r>
    </w:p>
    <w:p w14:paraId="332CF737">
      <w:pPr>
        <w:spacing w:line="360" w:lineRule="auto"/>
        <w:ind w:firstLine="420" w:firstLineChars="200"/>
        <w:rPr>
          <w:szCs w:val="21"/>
        </w:rPr>
      </w:pPr>
      <w:r>
        <w:rPr>
          <w:rFonts w:hint="eastAsia"/>
          <w:szCs w:val="21"/>
        </w:rPr>
        <w:t>11.3.3按照招标文件要求填写的《参与编制经济标投标文件人员名单》。</w:t>
      </w:r>
    </w:p>
    <w:p w14:paraId="16F52573">
      <w:pPr>
        <w:spacing w:line="360" w:lineRule="auto"/>
        <w:ind w:firstLine="420" w:firstLineChars="200"/>
        <w:rPr>
          <w:szCs w:val="21"/>
        </w:rPr>
      </w:pPr>
      <w:r>
        <w:rPr>
          <w:rFonts w:hint="eastAsia"/>
          <w:szCs w:val="21"/>
        </w:rPr>
        <w:t>11.3.4若投标人的投标报价低于工程成本警戒价的，投标人还须提供详细的施工组织设计、单价、措施性费用、单价分析表、主要材料价格表、投标人成本分析供评标委员会评审。</w:t>
      </w:r>
    </w:p>
    <w:p w14:paraId="63FFA75E">
      <w:pPr>
        <w:spacing w:line="360" w:lineRule="auto"/>
        <w:ind w:firstLine="420" w:firstLineChars="200"/>
        <w:rPr>
          <w:rFonts w:ascii="宋体" w:hAnsi="宋体" w:cs="宋体"/>
          <w:szCs w:val="21"/>
        </w:rPr>
      </w:pPr>
      <w:r>
        <w:rPr>
          <w:rFonts w:hint="eastAsia"/>
          <w:b/>
          <w:szCs w:val="21"/>
        </w:rPr>
        <w:t>现文：</w:t>
      </w:r>
      <w:r>
        <w:rPr>
          <w:rFonts w:hint="eastAsia" w:ascii="宋体" w:hAnsi="宋体" w:cs="宋体"/>
          <w:szCs w:val="21"/>
          <w:u w:val="single"/>
        </w:rPr>
        <w:t>11.3 经济标投标文件主要包括下列内容：</w:t>
      </w:r>
    </w:p>
    <w:p w14:paraId="40E5C396">
      <w:pPr>
        <w:pBdr>
          <w:bottom w:val="single" w:color="auto" w:sz="4" w:space="1"/>
        </w:pBdr>
        <w:spacing w:line="360" w:lineRule="auto"/>
        <w:ind w:firstLine="420" w:firstLineChars="200"/>
        <w:rPr>
          <w:szCs w:val="21"/>
          <w:u w:val="single"/>
        </w:rPr>
      </w:pPr>
      <w:r>
        <w:rPr>
          <w:rFonts w:hint="eastAsia" w:ascii="宋体" w:hAnsi="宋体" w:cs="宋体"/>
          <w:szCs w:val="21"/>
          <w:u w:val="single"/>
        </w:rPr>
        <w:t>11.3.1</w:t>
      </w:r>
      <w:r>
        <w:rPr>
          <w:rFonts w:hint="eastAsia"/>
          <w:szCs w:val="21"/>
          <w:u w:val="single"/>
        </w:rPr>
        <w:t xml:space="preserve"> </w:t>
      </w:r>
      <w:bookmarkStart w:id="8" w:name="_Hlk60754295"/>
      <w:r>
        <w:rPr>
          <w:rFonts w:hint="eastAsia"/>
          <w:szCs w:val="21"/>
          <w:u w:val="single"/>
        </w:rPr>
        <w:t>经济标投标文件封面</w:t>
      </w:r>
      <w:bookmarkEnd w:id="8"/>
      <w:r>
        <w:rPr>
          <w:rFonts w:hint="eastAsia"/>
          <w:szCs w:val="21"/>
          <w:u w:val="single"/>
        </w:rPr>
        <w:t>(格式按招标文件要求)。</w:t>
      </w:r>
    </w:p>
    <w:p w14:paraId="7AA98E03">
      <w:pPr>
        <w:pBdr>
          <w:bottom w:val="single" w:color="auto" w:sz="4" w:space="1"/>
        </w:pBdr>
        <w:spacing w:line="360" w:lineRule="auto"/>
        <w:ind w:firstLine="420" w:firstLineChars="200"/>
        <w:rPr>
          <w:szCs w:val="21"/>
          <w:u w:val="single"/>
        </w:rPr>
      </w:pPr>
      <w:r>
        <w:rPr>
          <w:rFonts w:hint="eastAsia" w:ascii="宋体" w:hAnsi="宋体" w:cs="宋体"/>
          <w:szCs w:val="21"/>
        </w:rPr>
        <w:t>11.3.2投标总价。投标人必须按招标工程量清单填报价格，工程量清单的组成、格式、项目编</w:t>
      </w:r>
      <w:r>
        <w:rPr>
          <w:rFonts w:hint="eastAsia"/>
          <w:szCs w:val="21"/>
        </w:rPr>
        <w:t>码、项目名称、项目特征、计量单位、工程量和工程量计算规则必须与招标工程量清单一致。投标报价由投标人依据建设工程工程量清单计价规范、招标文件、招标工程量清单、设计文件、企业定额、施工现场情况和投标时拟定的施工组织设计或者施工方案，结合企业成本、市场价格以及招标文件中载明的风险内容和范围等编制。</w:t>
      </w:r>
      <w:r>
        <w:rPr>
          <w:rFonts w:hint="eastAsia"/>
          <w:szCs w:val="21"/>
          <w:u w:val="single"/>
        </w:rPr>
        <w:t>（具体内容详见第七章工程量清单）</w:t>
      </w:r>
    </w:p>
    <w:p w14:paraId="454F5B8F">
      <w:pPr>
        <w:pBdr>
          <w:bottom w:val="single" w:color="auto" w:sz="4" w:space="1"/>
        </w:pBdr>
        <w:spacing w:line="360" w:lineRule="auto"/>
        <w:ind w:firstLine="420" w:firstLineChars="200"/>
        <w:rPr>
          <w:szCs w:val="21"/>
        </w:rPr>
      </w:pPr>
      <w:r>
        <w:rPr>
          <w:rFonts w:hint="eastAsia" w:ascii="宋体" w:hAnsi="宋体" w:cs="宋体"/>
          <w:szCs w:val="21"/>
        </w:rPr>
        <w:t>11.3.3</w:t>
      </w:r>
      <w:r>
        <w:rPr>
          <w:rFonts w:hint="eastAsia"/>
          <w:szCs w:val="21"/>
        </w:rPr>
        <w:t>按照招标文件要求填写的《参与编制经济标投标文件人员名单》。</w:t>
      </w:r>
    </w:p>
    <w:p w14:paraId="017685E9">
      <w:pPr>
        <w:pBdr>
          <w:bottom w:val="single" w:color="auto" w:sz="4" w:space="1"/>
        </w:pBdr>
        <w:spacing w:line="360" w:lineRule="auto"/>
        <w:ind w:firstLine="420" w:firstLineChars="200"/>
        <w:rPr>
          <w:rFonts w:ascii="宋体" w:hAnsi="宋体" w:cs="宋体"/>
          <w:bCs/>
          <w:szCs w:val="21"/>
          <w:u w:val="single"/>
        </w:rPr>
      </w:pPr>
      <w:r>
        <w:rPr>
          <w:rFonts w:hint="eastAsia" w:ascii="宋体" w:hAnsi="宋体" w:cs="宋体"/>
          <w:szCs w:val="21"/>
          <w:u w:val="single"/>
        </w:rPr>
        <w:t>1</w:t>
      </w:r>
      <w:r>
        <w:rPr>
          <w:rFonts w:ascii="宋体" w:hAnsi="宋体" w:cs="宋体"/>
          <w:szCs w:val="21"/>
          <w:u w:val="single"/>
        </w:rPr>
        <w:t xml:space="preserve">1.3.4 </w:t>
      </w:r>
      <w:r>
        <w:rPr>
          <w:rFonts w:hint="eastAsia" w:ascii="宋体" w:hAnsi="宋体" w:cs="宋体"/>
          <w:szCs w:val="21"/>
          <w:u w:val="single"/>
        </w:rPr>
        <w:t>对投标文件编制的承诺</w:t>
      </w:r>
      <w:r>
        <w:rPr>
          <w:rFonts w:hint="eastAsia" w:ascii="宋体" w:hAnsi="宋体" w:cs="宋体"/>
          <w:bCs/>
          <w:szCs w:val="21"/>
          <w:u w:val="single"/>
        </w:rPr>
        <w:t>(格式按招标文件要求)；</w:t>
      </w:r>
    </w:p>
    <w:p w14:paraId="48B04617">
      <w:pPr>
        <w:pBdr>
          <w:bottom w:val="single" w:color="auto" w:sz="4" w:space="1"/>
        </w:pBdr>
        <w:spacing w:line="360" w:lineRule="auto"/>
        <w:ind w:firstLine="420" w:firstLineChars="200"/>
        <w:rPr>
          <w:szCs w:val="21"/>
        </w:rPr>
      </w:pPr>
      <w:r>
        <w:rPr>
          <w:rFonts w:hint="eastAsia" w:ascii="宋体" w:hAnsi="宋体" w:cs="宋体"/>
          <w:szCs w:val="21"/>
          <w:u w:val="single"/>
        </w:rPr>
        <w:t>11.3.</w:t>
      </w:r>
      <w:r>
        <w:rPr>
          <w:rFonts w:ascii="宋体" w:hAnsi="宋体" w:cs="宋体"/>
          <w:szCs w:val="21"/>
          <w:u w:val="single"/>
        </w:rPr>
        <w:t>5</w:t>
      </w:r>
      <w:r>
        <w:rPr>
          <w:rFonts w:hint="eastAsia"/>
          <w:szCs w:val="21"/>
          <w:u w:val="single"/>
        </w:rPr>
        <w:t>若投标人的投标报价低于工程成本警戒价的，投标人还须提供详细的施工组织设计、单价、措施性费用、单价分析表、主要材料价格表、投标人成本分析供评标委员会评审。</w:t>
      </w:r>
    </w:p>
    <w:p w14:paraId="6EF7D82D">
      <w:pPr>
        <w:spacing w:line="480" w:lineRule="auto"/>
        <w:ind w:firstLine="470" w:firstLineChars="224"/>
        <w:rPr>
          <w:rFonts w:ascii="宋体" w:hAnsi="宋体" w:cs="宋体"/>
          <w:b/>
          <w:szCs w:val="21"/>
        </w:rPr>
      </w:pPr>
      <w:r>
        <w:rPr>
          <w:rFonts w:hint="eastAsia" w:ascii="宋体" w:hAnsi="宋体" w:cs="宋体"/>
          <w:b/>
          <w:szCs w:val="21"/>
        </w:rPr>
        <w:t>条款号：12.2             修改类型：修改</w:t>
      </w:r>
    </w:p>
    <w:p w14:paraId="72C6569C">
      <w:pPr>
        <w:spacing w:line="360" w:lineRule="auto"/>
        <w:ind w:firstLine="470" w:firstLineChars="224"/>
        <w:rPr>
          <w:rFonts w:ascii="宋体" w:hAnsi="宋体" w:cs="宋体"/>
          <w:bCs/>
          <w:szCs w:val="21"/>
        </w:rPr>
      </w:pPr>
      <w:r>
        <w:rPr>
          <w:rFonts w:hint="eastAsia" w:ascii="宋体" w:hAnsi="宋体" w:cs="宋体"/>
          <w:b/>
          <w:szCs w:val="21"/>
        </w:rPr>
        <w:t xml:space="preserve">原文：12.2 </w:t>
      </w:r>
      <w:r>
        <w:rPr>
          <w:rFonts w:hint="eastAsia" w:ascii="宋体" w:hAnsi="宋体" w:cs="宋体"/>
          <w:bCs/>
          <w:szCs w:val="21"/>
        </w:rPr>
        <w:t>投标文件全部采用电子文档，投标文件所附证书证件均为原件扫描件，并采用单位数字证书，按招标文件要求在相应位置加盖电子印章。投标文件中需个人签字或盖章的，应加盖个人电子印章或在线下完成后扫描上传。按照交易平台关于全流程电子化项目的相关指南进行操作。详见：</w:t>
      </w:r>
      <w:r>
        <w:rPr>
          <w:rFonts w:hint="eastAsia" w:ascii="宋体" w:hAnsi="宋体" w:cs="宋体"/>
          <w:bCs/>
          <w:szCs w:val="21"/>
          <w:u w:val="single"/>
        </w:rPr>
        <w:t xml:space="preserve">             </w:t>
      </w:r>
      <w:r>
        <w:rPr>
          <w:rFonts w:hint="eastAsia" w:ascii="宋体" w:hAnsi="宋体" w:cs="宋体"/>
          <w:bCs/>
          <w:szCs w:val="21"/>
        </w:rPr>
        <w:t>。</w:t>
      </w:r>
    </w:p>
    <w:p w14:paraId="0F075910">
      <w:pPr>
        <w:pBdr>
          <w:bottom w:val="single" w:color="auto" w:sz="6" w:space="1"/>
        </w:pBdr>
        <w:spacing w:line="360" w:lineRule="auto"/>
        <w:ind w:firstLine="525" w:firstLineChars="250"/>
        <w:rPr>
          <w:rFonts w:ascii="宋体" w:hAnsi="宋体" w:cs="宋体"/>
          <w:szCs w:val="21"/>
        </w:rPr>
      </w:pPr>
      <w:r>
        <w:rPr>
          <w:rFonts w:hint="eastAsia" w:ascii="宋体" w:hAnsi="宋体" w:cs="宋体"/>
          <w:b/>
          <w:szCs w:val="21"/>
        </w:rPr>
        <w:t xml:space="preserve">现文：12.2 </w:t>
      </w:r>
      <w:r>
        <w:rPr>
          <w:rFonts w:hint="eastAsia" w:ascii="宋体" w:hAnsi="宋体" w:cs="宋体"/>
          <w:bCs/>
          <w:szCs w:val="21"/>
        </w:rPr>
        <w:t>投标文件全部采用电子文档，投标文件所附证书证件均为原件扫描件，并采用单位数字证书，按招标文件要求在相应位置加盖电子印章。投标文件中需个人签字或盖章的，应加盖个人电子印章或在线下完成签字或盖章后扫描上传。按照</w:t>
      </w:r>
      <w:r>
        <w:rPr>
          <w:rFonts w:hint="eastAsia" w:ascii="宋体" w:hAnsi="宋体" w:cs="宋体"/>
          <w:bCs/>
          <w:szCs w:val="21"/>
          <w:u w:val="single"/>
        </w:rPr>
        <w:t>广州公共资源交易中心</w:t>
      </w:r>
      <w:r>
        <w:rPr>
          <w:rFonts w:hint="eastAsia" w:ascii="宋体" w:hAnsi="宋体" w:cs="宋体"/>
          <w:bCs/>
          <w:szCs w:val="21"/>
        </w:rPr>
        <w:t>交易平台关于全流程电子化项目的相关指南进行操作。详见：</w:t>
      </w:r>
      <w:r>
        <w:rPr>
          <w:rFonts w:hint="eastAsia" w:ascii="宋体" w:hAnsi="宋体" w:cs="宋体"/>
          <w:b/>
          <w:bCs/>
          <w:szCs w:val="21"/>
          <w:u w:val="single"/>
        </w:rPr>
        <w:t>【全流程电子化项目】电子招投标操作手册（无纸化）。</w:t>
      </w:r>
    </w:p>
    <w:p w14:paraId="36284981">
      <w:pPr>
        <w:spacing w:line="480" w:lineRule="auto"/>
        <w:ind w:firstLine="470" w:firstLineChars="224"/>
        <w:rPr>
          <w:rFonts w:ascii="宋体" w:hAnsi="宋体" w:cs="宋体"/>
          <w:b/>
          <w:szCs w:val="21"/>
        </w:rPr>
      </w:pPr>
      <w:r>
        <w:rPr>
          <w:rFonts w:hint="eastAsia" w:ascii="宋体" w:hAnsi="宋体" w:cs="宋体"/>
          <w:b/>
          <w:szCs w:val="21"/>
        </w:rPr>
        <w:t>条款号：12.3             修改类型：修改</w:t>
      </w:r>
    </w:p>
    <w:p w14:paraId="4D2FBBA5">
      <w:pPr>
        <w:spacing w:line="360" w:lineRule="auto"/>
        <w:ind w:firstLine="470" w:firstLineChars="224"/>
        <w:rPr>
          <w:rFonts w:ascii="宋体" w:hAnsi="宋体" w:cs="宋体"/>
          <w:bCs/>
          <w:szCs w:val="21"/>
        </w:rPr>
      </w:pPr>
      <w:r>
        <w:rPr>
          <w:rFonts w:hint="eastAsia" w:ascii="宋体" w:hAnsi="宋体" w:cs="宋体"/>
          <w:b/>
          <w:szCs w:val="21"/>
        </w:rPr>
        <w:t>原文：12.3</w:t>
      </w:r>
      <w:r>
        <w:rPr>
          <w:rFonts w:hint="eastAsia" w:ascii="宋体" w:hAnsi="宋体" w:cs="宋体"/>
          <w:bCs/>
          <w:szCs w:val="21"/>
        </w:rPr>
        <w:t xml:space="preserve"> 投标文件应按照交易平台关于全流程电子化项目的相关指南进行编制，详见：</w:t>
      </w:r>
      <w:r>
        <w:rPr>
          <w:rFonts w:hint="eastAsia" w:ascii="宋体" w:hAnsi="宋体" w:cs="宋体"/>
          <w:bCs/>
          <w:szCs w:val="21"/>
          <w:u w:val="single"/>
        </w:rPr>
        <w:t xml:space="preserve">            </w:t>
      </w:r>
      <w:r>
        <w:rPr>
          <w:rFonts w:hint="eastAsia" w:ascii="宋体" w:hAnsi="宋体" w:cs="宋体"/>
          <w:bCs/>
          <w:szCs w:val="21"/>
        </w:rPr>
        <w:t>。</w:t>
      </w:r>
    </w:p>
    <w:p w14:paraId="3F3392A2">
      <w:pPr>
        <w:spacing w:line="360" w:lineRule="auto"/>
        <w:ind w:firstLine="470" w:firstLineChars="224"/>
        <w:rPr>
          <w:rFonts w:ascii="宋体" w:hAnsi="宋体" w:cs="宋体"/>
          <w:b/>
          <w:szCs w:val="21"/>
        </w:rPr>
      </w:pPr>
      <w:r>
        <w:rPr>
          <w:rFonts w:hint="eastAsia" w:ascii="宋体" w:hAnsi="宋体" w:cs="宋体"/>
          <w:szCs w:val="21"/>
        </w:rPr>
        <w:t>如不按上述要求编制引起系统无法检索、读取相关信息的，其后果由投标人承担。</w:t>
      </w:r>
    </w:p>
    <w:p w14:paraId="1A0F7560">
      <w:pPr>
        <w:pBdr>
          <w:bottom w:val="single" w:color="auto" w:sz="6" w:space="1"/>
        </w:pBdr>
        <w:spacing w:line="360" w:lineRule="auto"/>
        <w:ind w:firstLine="525" w:firstLineChars="250"/>
        <w:rPr>
          <w:rFonts w:ascii="宋体" w:hAnsi="宋体" w:cs="宋体"/>
          <w:b/>
          <w:bCs/>
          <w:szCs w:val="21"/>
          <w:u w:val="single"/>
        </w:rPr>
      </w:pPr>
      <w:r>
        <w:rPr>
          <w:rFonts w:hint="eastAsia" w:ascii="宋体" w:hAnsi="宋体" w:cs="宋体"/>
          <w:b/>
          <w:szCs w:val="21"/>
        </w:rPr>
        <w:t>现文：12.3</w:t>
      </w:r>
      <w:r>
        <w:rPr>
          <w:rFonts w:hint="eastAsia" w:ascii="宋体" w:hAnsi="宋体" w:cs="宋体"/>
          <w:bCs/>
          <w:szCs w:val="21"/>
        </w:rPr>
        <w:t xml:space="preserve"> 投标文件应按照交易平台关于全流程电子化项目的相关指南进行编制，详见：</w:t>
      </w:r>
      <w:r>
        <w:rPr>
          <w:rFonts w:hint="eastAsia" w:ascii="宋体" w:hAnsi="宋体" w:cs="宋体"/>
          <w:b/>
          <w:bCs/>
          <w:szCs w:val="21"/>
          <w:u w:val="single"/>
        </w:rPr>
        <w:t>【全流程电子化项目】电子招投标操作手册（无纸化）。</w:t>
      </w:r>
    </w:p>
    <w:p w14:paraId="7A5C2C81">
      <w:pPr>
        <w:pBdr>
          <w:bottom w:val="single" w:color="auto" w:sz="6" w:space="1"/>
        </w:pBdr>
        <w:spacing w:line="360" w:lineRule="auto"/>
        <w:ind w:firstLine="525" w:firstLineChars="250"/>
        <w:rPr>
          <w:rFonts w:ascii="宋体" w:hAnsi="宋体" w:cs="宋体"/>
          <w:szCs w:val="21"/>
        </w:rPr>
      </w:pPr>
      <w:r>
        <w:rPr>
          <w:rFonts w:hint="eastAsia" w:ascii="宋体" w:hAnsi="宋体" w:cs="宋体"/>
          <w:szCs w:val="21"/>
        </w:rPr>
        <w:t>如不按上述要求编制引起系统无法检索、读取相关信息的，其后果由投标人承担。</w:t>
      </w:r>
    </w:p>
    <w:p w14:paraId="6236B28C">
      <w:pPr>
        <w:spacing w:line="480" w:lineRule="auto"/>
        <w:ind w:firstLine="470" w:firstLineChars="224"/>
        <w:rPr>
          <w:rFonts w:ascii="宋体" w:hAnsi="宋体" w:cs="宋体"/>
          <w:b/>
          <w:szCs w:val="21"/>
        </w:rPr>
      </w:pPr>
      <w:r>
        <w:rPr>
          <w:rFonts w:hint="eastAsia" w:ascii="宋体" w:hAnsi="宋体" w:cs="宋体"/>
          <w:b/>
          <w:szCs w:val="21"/>
        </w:rPr>
        <w:t>条款号：13.1             修改类型：修改</w:t>
      </w:r>
    </w:p>
    <w:p w14:paraId="3502D665">
      <w:pPr>
        <w:spacing w:line="360" w:lineRule="auto"/>
        <w:ind w:firstLine="470" w:firstLineChars="224"/>
        <w:rPr>
          <w:rFonts w:ascii="宋体" w:hAnsi="宋体" w:cs="宋体"/>
          <w:b/>
          <w:szCs w:val="21"/>
        </w:rPr>
      </w:pPr>
      <w:r>
        <w:rPr>
          <w:rFonts w:hint="eastAsia" w:ascii="宋体" w:hAnsi="宋体" w:cs="宋体"/>
          <w:b/>
          <w:szCs w:val="21"/>
        </w:rPr>
        <w:t>原文：</w:t>
      </w:r>
      <w:r>
        <w:rPr>
          <w:rFonts w:hint="eastAsia" w:ascii="宋体" w:hAnsi="宋体" w:cs="宋体"/>
          <w:b/>
          <w:bCs/>
          <w:szCs w:val="21"/>
        </w:rPr>
        <w:t>13.1</w:t>
      </w:r>
      <w:r>
        <w:rPr>
          <w:rFonts w:hint="eastAsia" w:ascii="宋体" w:hAnsi="宋体" w:cs="宋体"/>
          <w:szCs w:val="21"/>
        </w:rPr>
        <w:t>本工程的投标报价采用投标须知前附表第12项所规定的方式。投标报价（含单价及总价）精确到“分”。</w:t>
      </w:r>
    </w:p>
    <w:p w14:paraId="08379765">
      <w:pPr>
        <w:pBdr>
          <w:bottom w:val="single" w:color="auto" w:sz="6" w:space="1"/>
        </w:pBdr>
        <w:spacing w:line="360" w:lineRule="auto"/>
        <w:ind w:firstLine="525" w:firstLineChars="250"/>
        <w:rPr>
          <w:rFonts w:ascii="宋体" w:hAnsi="宋体" w:cs="宋体"/>
          <w:szCs w:val="21"/>
        </w:rPr>
      </w:pPr>
      <w:r>
        <w:rPr>
          <w:rFonts w:hint="eastAsia" w:ascii="宋体" w:hAnsi="宋体" w:cs="宋体"/>
          <w:b/>
          <w:szCs w:val="21"/>
        </w:rPr>
        <w:t>现文：</w:t>
      </w:r>
      <w:r>
        <w:rPr>
          <w:rFonts w:hint="eastAsia" w:ascii="宋体" w:hAnsi="宋体" w:cs="宋体"/>
          <w:b/>
          <w:bCs/>
          <w:szCs w:val="21"/>
        </w:rPr>
        <w:t>13.1</w:t>
      </w:r>
      <w:r>
        <w:rPr>
          <w:rFonts w:hint="eastAsia" w:ascii="宋体" w:hAnsi="宋体" w:cs="宋体"/>
          <w:szCs w:val="21"/>
        </w:rPr>
        <w:t>本工程的投标报价采用投标须知前附表第12项所规定的方式。</w:t>
      </w:r>
      <w:r>
        <w:rPr>
          <w:rFonts w:hint="eastAsia" w:ascii="宋体" w:hAnsi="宋体" w:cs="宋体"/>
          <w:szCs w:val="21"/>
          <w:u w:val="single"/>
        </w:rPr>
        <w:t>投标文件中的大写金额和小写金额不一致的，以大写金额为准，投标报价精确到“分”。</w:t>
      </w:r>
    </w:p>
    <w:p w14:paraId="534C8D01">
      <w:pPr>
        <w:spacing w:line="360" w:lineRule="auto"/>
        <w:ind w:firstLine="420" w:firstLineChars="200"/>
        <w:rPr>
          <w:rFonts w:ascii="宋体" w:hAnsi="宋体" w:cs="宋体"/>
          <w:b/>
          <w:szCs w:val="21"/>
        </w:rPr>
      </w:pPr>
      <w:r>
        <w:rPr>
          <w:rFonts w:hint="eastAsia" w:ascii="宋体" w:hAnsi="宋体" w:cs="宋体"/>
          <w:b/>
          <w:szCs w:val="21"/>
        </w:rPr>
        <w:t>条款号：13.4</w:t>
      </w:r>
      <w:r>
        <w:rPr>
          <w:rFonts w:ascii="宋体" w:hAnsi="宋体" w:cs="宋体"/>
          <w:b/>
          <w:szCs w:val="21"/>
        </w:rPr>
        <w:t xml:space="preserve">             </w:t>
      </w:r>
      <w:r>
        <w:rPr>
          <w:rFonts w:hint="eastAsia" w:ascii="宋体" w:hAnsi="宋体" w:cs="宋体"/>
          <w:b/>
          <w:szCs w:val="21"/>
        </w:rPr>
        <w:t>修改类型：修改</w:t>
      </w:r>
    </w:p>
    <w:p w14:paraId="259AE0A4">
      <w:pPr>
        <w:spacing w:line="360" w:lineRule="auto"/>
        <w:ind w:firstLine="420" w:firstLineChars="200"/>
        <w:rPr>
          <w:rFonts w:ascii="宋体" w:hAnsi="宋体" w:cs="宋体"/>
          <w:szCs w:val="21"/>
        </w:rPr>
      </w:pPr>
      <w:r>
        <w:rPr>
          <w:rFonts w:hint="eastAsia" w:ascii="宋体" w:hAnsi="宋体" w:cs="宋体"/>
          <w:b/>
          <w:szCs w:val="21"/>
        </w:rPr>
        <w:t>原文：13.4</w:t>
      </w:r>
      <w:r>
        <w:rPr>
          <w:rFonts w:hint="eastAsia" w:ascii="宋体" w:hAnsi="宋体" w:cs="宋体"/>
          <w:szCs w:val="21"/>
        </w:rPr>
        <w:t>投标人一旦中标，投标人对招标人提供的招标工程量清单中列出的工程项目所报出的综合单价，在工程结算时将不得变更，招标人应在招标文件及合同中明确在人工、材料、设备或机械台班市场价格发生异常变动情况时合同价款的调整办法。因应计算的实际工程量与招标工程量清单出现偏差或因工程变更等原因导致的工程量偏差，引起相关措施项目相应发生变化时，按系数或单一总价方式计价的措施项目费，工程量增加的措施项目费调增，工程量减少的措施项目费调减。</w:t>
      </w:r>
    </w:p>
    <w:p w14:paraId="699AB152">
      <w:pPr>
        <w:pBdr>
          <w:bottom w:val="single" w:color="auto" w:sz="4" w:space="1"/>
        </w:pBdr>
        <w:spacing w:line="360" w:lineRule="auto"/>
        <w:ind w:firstLine="420" w:firstLineChars="200"/>
        <w:rPr>
          <w:rFonts w:ascii="宋体" w:hAnsi="宋体" w:cs="宋体"/>
          <w:szCs w:val="21"/>
          <w:u w:val="single"/>
        </w:rPr>
      </w:pPr>
      <w:r>
        <w:rPr>
          <w:rFonts w:hint="eastAsia" w:ascii="宋体" w:hAnsi="宋体" w:cs="宋体"/>
          <w:b/>
          <w:szCs w:val="21"/>
        </w:rPr>
        <w:t>现文：13.4</w:t>
      </w:r>
      <w:r>
        <w:rPr>
          <w:rFonts w:hint="eastAsia" w:ascii="宋体" w:hAnsi="宋体" w:cs="宋体"/>
          <w:bCs/>
          <w:szCs w:val="21"/>
        </w:rPr>
        <w:t>投标人一旦中标，投标人对招标人提供的招标工程量清单中列出的工程项目所报出的综合单价，在工程结算时将不得变更，</w:t>
      </w:r>
      <w:r>
        <w:rPr>
          <w:rFonts w:hint="eastAsia" w:ascii="宋体" w:hAnsi="宋体" w:cs="宋体"/>
          <w:bCs/>
          <w:szCs w:val="21"/>
          <w:u w:val="single"/>
        </w:rPr>
        <w:t>若投标人的综合单价存在不平衡报价，招标人有权对投标人的不平衡报价进行调整，调整后的综合单价在工程结算时将不得变更。招标人应在合同中明确在市场价格发生异常变动情况及发生不平衡报价时合同价款的调整办法。因应计算的实际工程量与招标工程量清单出现偏差或因工程变更等原因导致的工程量偏差，引起相关措施项目相应发生变化时，按合同条款相关约定调整。</w:t>
      </w:r>
    </w:p>
    <w:p w14:paraId="7721CB50">
      <w:pPr>
        <w:spacing w:line="360" w:lineRule="auto"/>
        <w:ind w:firstLine="420" w:firstLineChars="200"/>
        <w:rPr>
          <w:rFonts w:ascii="宋体" w:hAnsi="宋体" w:cs="宋体"/>
          <w:b/>
          <w:szCs w:val="21"/>
        </w:rPr>
      </w:pPr>
      <w:r>
        <w:rPr>
          <w:rFonts w:hint="eastAsia" w:ascii="宋体" w:hAnsi="宋体" w:cs="宋体"/>
          <w:b/>
          <w:szCs w:val="21"/>
        </w:rPr>
        <w:t>条款号：13.5  13.5.1  13.5.2  13.5.3  13.5.4          修改类型：修改</w:t>
      </w:r>
    </w:p>
    <w:p w14:paraId="039D7C0C">
      <w:pPr>
        <w:pStyle w:val="5"/>
        <w:pBdr>
          <w:bottom w:val="single" w:color="auto" w:sz="6" w:space="1"/>
        </w:pBdr>
        <w:spacing w:after="0" w:line="360" w:lineRule="auto"/>
        <w:ind w:firstLine="420" w:firstLineChars="200"/>
        <w:rPr>
          <w:rFonts w:ascii="宋体" w:hAnsi="宋体" w:cs="宋体"/>
          <w:szCs w:val="21"/>
        </w:rPr>
      </w:pPr>
      <w:r>
        <w:rPr>
          <w:rFonts w:hint="eastAsia" w:ascii="宋体" w:hAnsi="宋体" w:eastAsia="宋体" w:cs="宋体"/>
          <w:b/>
          <w:szCs w:val="21"/>
        </w:rPr>
        <w:t>原文：</w:t>
      </w:r>
      <w:r>
        <w:rPr>
          <w:rFonts w:hint="eastAsia" w:ascii="宋体" w:hAnsi="宋体" w:eastAsia="宋体" w:cs="宋体"/>
          <w:b/>
          <w:bCs/>
          <w:szCs w:val="21"/>
        </w:rPr>
        <w:t>13.5</w:t>
      </w:r>
      <w:r>
        <w:rPr>
          <w:rFonts w:hint="eastAsia" w:ascii="宋体" w:hAnsi="宋体" w:eastAsia="宋体" w:cs="宋体"/>
          <w:szCs w:val="21"/>
        </w:rPr>
        <w:t>工程项目实施期间……，中标后双方协商约定。</w:t>
      </w:r>
    </w:p>
    <w:p w14:paraId="39C34255">
      <w:pPr>
        <w:pStyle w:val="5"/>
        <w:pBdr>
          <w:bottom w:val="single" w:color="auto" w:sz="6" w:space="1"/>
        </w:pBdr>
        <w:spacing w:after="0" w:line="360" w:lineRule="auto"/>
        <w:ind w:firstLine="420" w:firstLineChars="200"/>
        <w:rPr>
          <w:rFonts w:ascii="宋体" w:hAnsi="宋体" w:cs="宋体"/>
          <w:szCs w:val="21"/>
          <w:u w:val="single"/>
        </w:rPr>
      </w:pPr>
      <w:r>
        <w:rPr>
          <w:rFonts w:hint="eastAsia" w:ascii="宋体" w:hAnsi="宋体" w:eastAsia="宋体" w:cs="宋体"/>
          <w:b/>
          <w:szCs w:val="21"/>
        </w:rPr>
        <w:t>现文：13.5</w:t>
      </w:r>
      <w:r>
        <w:rPr>
          <w:rFonts w:hint="eastAsia" w:ascii="宋体" w:hAnsi="宋体" w:eastAsia="宋体" w:cs="宋体"/>
          <w:szCs w:val="21"/>
          <w:u w:val="single"/>
        </w:rPr>
        <w:t>变更结算方式按招标文件及施工合同相关规定执行。</w:t>
      </w:r>
    </w:p>
    <w:p w14:paraId="62B7639A">
      <w:pPr>
        <w:spacing w:line="360" w:lineRule="auto"/>
        <w:ind w:firstLine="420" w:firstLineChars="200"/>
        <w:rPr>
          <w:rFonts w:ascii="宋体" w:hAnsi="宋体" w:cs="宋体"/>
          <w:b/>
          <w:szCs w:val="21"/>
        </w:rPr>
      </w:pPr>
      <w:r>
        <w:rPr>
          <w:rFonts w:hint="eastAsia" w:ascii="宋体" w:hAnsi="宋体" w:cs="宋体"/>
          <w:b/>
          <w:szCs w:val="21"/>
        </w:rPr>
        <w:t>条款号：13.9             修改类型：修改</w:t>
      </w:r>
    </w:p>
    <w:p w14:paraId="177590D6">
      <w:pPr>
        <w:pBdr>
          <w:bottom w:val="single" w:color="auto" w:sz="6" w:space="1"/>
        </w:pBdr>
        <w:spacing w:line="360" w:lineRule="auto"/>
        <w:ind w:firstLine="420" w:firstLineChars="200"/>
        <w:rPr>
          <w:rFonts w:ascii="宋体" w:hAnsi="宋体" w:cs="宋体"/>
          <w:b/>
          <w:szCs w:val="21"/>
        </w:rPr>
      </w:pPr>
      <w:r>
        <w:rPr>
          <w:rFonts w:hint="eastAsia" w:ascii="宋体" w:hAnsi="宋体" w:cs="宋体"/>
          <w:b/>
          <w:szCs w:val="21"/>
        </w:rPr>
        <w:t>原文：1</w:t>
      </w:r>
      <w:r>
        <w:rPr>
          <w:rFonts w:ascii="宋体" w:hAnsi="宋体" w:cs="宋体"/>
          <w:b/>
          <w:szCs w:val="21"/>
        </w:rPr>
        <w:t>3.9</w:t>
      </w:r>
      <w:r>
        <w:rPr>
          <w:rFonts w:hint="eastAsia" w:ascii="宋体" w:hAnsi="宋体" w:cs="宋体"/>
          <w:szCs w:val="21"/>
        </w:rPr>
        <w:t>招标人与中标人应本着实事求是、风险共担的原则，充分考虑施工合同履行期间人工、建筑材料、机械设备价格因素的影响。对于各类钢筋、混凝土等主要材料以及人工、机械设备等，应结合合同工期、各价格因素对工程总造价的影响等，合理约定调价机制。调价机制应由招标人在招标文件及合同中明确，内容包括调价范围（含材料、机械的具体名称、工种等）、价格变动时限、幅度以及相应的合同价款调整方法。</w:t>
      </w:r>
    </w:p>
    <w:p w14:paraId="5D1F0855">
      <w:pPr>
        <w:pBdr>
          <w:bottom w:val="single" w:color="auto" w:sz="6" w:space="1"/>
        </w:pBdr>
        <w:spacing w:line="360" w:lineRule="auto"/>
        <w:ind w:firstLine="420" w:firstLineChars="200"/>
        <w:rPr>
          <w:rFonts w:ascii="宋体" w:hAnsi="宋体" w:cs="宋体"/>
          <w:szCs w:val="21"/>
        </w:rPr>
      </w:pPr>
      <w:r>
        <w:rPr>
          <w:rFonts w:hint="eastAsia" w:ascii="宋体" w:hAnsi="宋体" w:cs="宋体"/>
          <w:b/>
          <w:szCs w:val="21"/>
        </w:rPr>
        <w:t>现文：</w:t>
      </w:r>
      <w:r>
        <w:rPr>
          <w:rFonts w:hint="eastAsia" w:ascii="宋体" w:hAnsi="宋体" w:cs="宋体"/>
          <w:b/>
          <w:bCs/>
          <w:szCs w:val="21"/>
        </w:rPr>
        <w:t>13.9</w:t>
      </w:r>
      <w:r>
        <w:rPr>
          <w:rFonts w:hint="eastAsia" w:ascii="宋体" w:hAnsi="宋体" w:cs="宋体"/>
          <w:szCs w:val="21"/>
          <w:u w:val="single"/>
        </w:rPr>
        <w:t>主要材料的价格调整按照合同约定执行。</w:t>
      </w:r>
    </w:p>
    <w:p w14:paraId="2D9F5D56">
      <w:pPr>
        <w:pBdr>
          <w:bottom w:val="single" w:color="auto" w:sz="4" w:space="1"/>
        </w:pBdr>
        <w:spacing w:line="360" w:lineRule="auto"/>
        <w:ind w:firstLine="420" w:firstLineChars="200"/>
        <w:rPr>
          <w:rFonts w:ascii="宋体" w:hAnsi="宋体" w:cs="宋体"/>
          <w:b/>
          <w:szCs w:val="21"/>
        </w:rPr>
      </w:pPr>
      <w:r>
        <w:rPr>
          <w:rFonts w:hint="eastAsia" w:ascii="宋体" w:hAnsi="宋体" w:cs="宋体"/>
          <w:b/>
          <w:szCs w:val="21"/>
        </w:rPr>
        <w:t>条款号：16.1.3-16.5           修改类型：修改</w:t>
      </w:r>
    </w:p>
    <w:p w14:paraId="40068F15">
      <w:pPr>
        <w:pBdr>
          <w:bottom w:val="single" w:color="auto" w:sz="4" w:space="1"/>
        </w:pBdr>
        <w:spacing w:line="360" w:lineRule="auto"/>
        <w:ind w:firstLine="420" w:firstLineChars="200"/>
        <w:rPr>
          <w:rFonts w:ascii="宋体" w:hAnsi="宋体" w:cs="宋体"/>
          <w:szCs w:val="21"/>
        </w:rPr>
      </w:pPr>
      <w:r>
        <w:rPr>
          <w:rFonts w:hint="eastAsia" w:ascii="宋体" w:hAnsi="宋体" w:cs="宋体"/>
          <w:b/>
          <w:szCs w:val="21"/>
        </w:rPr>
        <w:t>原文：</w:t>
      </w:r>
      <w:r>
        <w:rPr>
          <w:rFonts w:hint="eastAsia" w:ascii="宋体" w:hAnsi="宋体" w:cs="宋体"/>
          <w:b/>
          <w:bCs/>
          <w:szCs w:val="21"/>
        </w:rPr>
        <w:t xml:space="preserve">16.1.3 </w:t>
      </w:r>
      <w:r>
        <w:rPr>
          <w:rFonts w:hint="eastAsia" w:ascii="宋体" w:hAnsi="宋体" w:cs="宋体"/>
          <w:szCs w:val="21"/>
        </w:rPr>
        <w:t>采用电子形式的保函、担保或保证保险提交投标保证金的，应在招标文件中明确电子递交途径。</w:t>
      </w:r>
    </w:p>
    <w:p w14:paraId="5FC9D29C">
      <w:pPr>
        <w:pBdr>
          <w:bottom w:val="single" w:color="auto" w:sz="4" w:space="1"/>
        </w:pBdr>
        <w:spacing w:line="360" w:lineRule="auto"/>
        <w:ind w:firstLine="420" w:firstLineChars="200"/>
        <w:rPr>
          <w:rFonts w:ascii="宋体" w:hAnsi="宋体" w:cs="宋体"/>
          <w:szCs w:val="21"/>
        </w:rPr>
      </w:pPr>
      <w:r>
        <w:rPr>
          <w:rFonts w:hint="eastAsia" w:ascii="宋体" w:hAnsi="宋体" w:cs="宋体"/>
          <w:b/>
          <w:bCs/>
          <w:szCs w:val="21"/>
        </w:rPr>
        <w:t>16.2</w:t>
      </w:r>
      <w:r>
        <w:rPr>
          <w:rFonts w:hint="eastAsia" w:ascii="宋体" w:hAnsi="宋体" w:cs="宋体"/>
          <w:szCs w:val="21"/>
        </w:rPr>
        <w:t>开标时投标人没有按要求提供投标保证金的，其投标文件将被否决；未按招标文件要求提交符合免予提供投标保证金相关证明材料，且未提交投标保证金的投标人，视为未按要求提供投标保证金。</w:t>
      </w:r>
    </w:p>
    <w:p w14:paraId="722AA5F4">
      <w:pPr>
        <w:pBdr>
          <w:bottom w:val="single" w:color="auto" w:sz="4" w:space="1"/>
        </w:pBdr>
        <w:spacing w:line="360" w:lineRule="auto"/>
        <w:ind w:firstLine="420" w:firstLineChars="200"/>
        <w:rPr>
          <w:rFonts w:ascii="宋体" w:hAnsi="宋体" w:cs="宋体"/>
          <w:szCs w:val="21"/>
        </w:rPr>
      </w:pPr>
      <w:r>
        <w:rPr>
          <w:rFonts w:hint="eastAsia" w:ascii="宋体" w:hAnsi="宋体" w:cs="宋体"/>
          <w:b/>
          <w:bCs/>
          <w:szCs w:val="21"/>
        </w:rPr>
        <w:t>16.3</w:t>
      </w:r>
      <w:r>
        <w:rPr>
          <w:rFonts w:hint="eastAsia" w:ascii="宋体" w:hAnsi="宋体" w:cs="宋体"/>
          <w:szCs w:val="21"/>
        </w:rPr>
        <w:t>投标保证金应依据法律法规的相关规定退还。</w:t>
      </w:r>
    </w:p>
    <w:p w14:paraId="3DFC9CC8">
      <w:pPr>
        <w:pBdr>
          <w:bottom w:val="single" w:color="auto" w:sz="4" w:space="1"/>
        </w:pBdr>
        <w:spacing w:line="360" w:lineRule="auto"/>
        <w:ind w:firstLine="420" w:firstLineChars="200"/>
        <w:rPr>
          <w:rFonts w:ascii="宋体" w:hAnsi="宋体" w:cs="宋体"/>
          <w:szCs w:val="21"/>
        </w:rPr>
      </w:pPr>
      <w:r>
        <w:rPr>
          <w:rFonts w:hint="eastAsia" w:ascii="宋体" w:hAnsi="宋体" w:cs="宋体"/>
          <w:b/>
          <w:bCs/>
          <w:szCs w:val="21"/>
        </w:rPr>
        <w:t>16.4</w:t>
      </w:r>
      <w:r>
        <w:rPr>
          <w:rFonts w:hint="eastAsia" w:ascii="宋体" w:hAnsi="宋体" w:cs="宋体"/>
          <w:szCs w:val="21"/>
        </w:rPr>
        <w:t>如有下列情况之一的，招标人可以不予退还投标保证金（是否退还投标保证金由招标人在招标文件中规定）：</w:t>
      </w:r>
    </w:p>
    <w:p w14:paraId="65997570">
      <w:pPr>
        <w:pBdr>
          <w:bottom w:val="single" w:color="auto" w:sz="4" w:space="1"/>
        </w:pBdr>
        <w:spacing w:line="360" w:lineRule="auto"/>
        <w:ind w:firstLine="420" w:firstLineChars="200"/>
        <w:rPr>
          <w:rFonts w:ascii="宋体" w:hAnsi="宋体" w:cs="宋体"/>
          <w:szCs w:val="21"/>
        </w:rPr>
      </w:pPr>
      <w:r>
        <w:rPr>
          <w:rFonts w:hint="eastAsia" w:ascii="宋体" w:hAnsi="宋体" w:cs="宋体"/>
          <w:b/>
          <w:bCs/>
          <w:szCs w:val="21"/>
        </w:rPr>
        <w:t>16.4.1</w:t>
      </w:r>
      <w:r>
        <w:rPr>
          <w:rFonts w:hint="eastAsia" w:ascii="宋体" w:hAnsi="宋体" w:cs="宋体"/>
          <w:szCs w:val="21"/>
        </w:rPr>
        <w:t>因投标人原因造成投标文件未解密的；</w:t>
      </w:r>
    </w:p>
    <w:p w14:paraId="14EB1A05">
      <w:pPr>
        <w:pBdr>
          <w:bottom w:val="single" w:color="auto" w:sz="4" w:space="1"/>
        </w:pBdr>
        <w:spacing w:line="360" w:lineRule="auto"/>
        <w:ind w:firstLine="420" w:firstLineChars="200"/>
        <w:rPr>
          <w:rFonts w:ascii="宋体" w:hAnsi="宋体" w:cs="宋体"/>
          <w:szCs w:val="21"/>
        </w:rPr>
      </w:pPr>
      <w:r>
        <w:rPr>
          <w:rFonts w:hint="eastAsia" w:ascii="宋体" w:hAnsi="宋体" w:cs="宋体"/>
          <w:b/>
          <w:bCs/>
          <w:szCs w:val="21"/>
        </w:rPr>
        <w:t>16.4.2</w:t>
      </w:r>
      <w:r>
        <w:rPr>
          <w:rFonts w:hint="eastAsia" w:ascii="宋体" w:hAnsi="宋体" w:cs="宋体"/>
          <w:szCs w:val="21"/>
        </w:rPr>
        <w:t>投标人在投标有效期内撤销投标文件；</w:t>
      </w:r>
    </w:p>
    <w:p w14:paraId="35D56166">
      <w:pPr>
        <w:pBdr>
          <w:bottom w:val="single" w:color="auto" w:sz="4" w:space="1"/>
        </w:pBdr>
        <w:spacing w:line="360" w:lineRule="auto"/>
        <w:ind w:firstLine="420" w:firstLineChars="200"/>
        <w:rPr>
          <w:rFonts w:ascii="宋体" w:hAnsi="宋体" w:cs="宋体"/>
          <w:szCs w:val="21"/>
        </w:rPr>
      </w:pPr>
      <w:r>
        <w:rPr>
          <w:rFonts w:hint="eastAsia" w:ascii="宋体" w:hAnsi="宋体" w:cs="宋体"/>
          <w:b/>
          <w:bCs/>
          <w:szCs w:val="21"/>
        </w:rPr>
        <w:t>16.4.3</w:t>
      </w:r>
      <w:r>
        <w:rPr>
          <w:rFonts w:hint="eastAsia" w:ascii="宋体" w:hAnsi="宋体" w:cs="宋体"/>
          <w:szCs w:val="21"/>
        </w:rPr>
        <w:t>中标人未能在规定期限内按要求提交履约担保；</w:t>
      </w:r>
    </w:p>
    <w:p w14:paraId="5C71EDAB">
      <w:pPr>
        <w:pBdr>
          <w:bottom w:val="single" w:color="auto" w:sz="4" w:space="1"/>
        </w:pBdr>
        <w:spacing w:line="360" w:lineRule="auto"/>
        <w:ind w:firstLine="420" w:firstLineChars="200"/>
        <w:rPr>
          <w:rFonts w:ascii="宋体" w:hAnsi="宋体" w:cs="宋体"/>
          <w:szCs w:val="21"/>
        </w:rPr>
      </w:pPr>
      <w:r>
        <w:rPr>
          <w:rFonts w:hint="eastAsia" w:ascii="宋体" w:hAnsi="宋体" w:cs="宋体"/>
          <w:b/>
          <w:bCs/>
          <w:szCs w:val="21"/>
        </w:rPr>
        <w:t>16.4.4</w:t>
      </w:r>
      <w:r>
        <w:rPr>
          <w:rFonts w:hint="eastAsia" w:ascii="宋体" w:hAnsi="宋体" w:cs="宋体"/>
          <w:szCs w:val="21"/>
        </w:rPr>
        <w:t>中标人未能在规定期限内签署合同协议。</w:t>
      </w:r>
    </w:p>
    <w:p w14:paraId="3CC3BB29">
      <w:pPr>
        <w:pBdr>
          <w:bottom w:val="single" w:color="auto" w:sz="4" w:space="1"/>
        </w:pBdr>
        <w:spacing w:line="360" w:lineRule="auto"/>
        <w:ind w:firstLine="420" w:firstLineChars="200"/>
        <w:rPr>
          <w:rFonts w:ascii="宋体" w:hAnsi="宋体" w:cs="宋体"/>
          <w:szCs w:val="21"/>
        </w:rPr>
      </w:pPr>
      <w:r>
        <w:rPr>
          <w:rFonts w:hint="eastAsia" w:ascii="宋体" w:hAnsi="宋体" w:cs="宋体"/>
          <w:b/>
          <w:bCs/>
          <w:szCs w:val="21"/>
        </w:rPr>
        <w:t>16.5</w:t>
      </w:r>
      <w:r>
        <w:rPr>
          <w:rFonts w:hint="eastAsia" w:ascii="宋体" w:hAnsi="宋体" w:cs="宋体"/>
          <w:szCs w:val="21"/>
        </w:rPr>
        <w:t>投标人如存在下列情况之一的，将被拒绝在一定时期内参与招标人后续工程投标（拒绝时限需在招标文件中明确）：</w:t>
      </w:r>
    </w:p>
    <w:p w14:paraId="127A81D2">
      <w:pPr>
        <w:pBdr>
          <w:bottom w:val="single" w:color="auto" w:sz="4" w:space="1"/>
        </w:pBdr>
        <w:spacing w:line="360" w:lineRule="auto"/>
        <w:ind w:firstLine="420" w:firstLineChars="200"/>
        <w:rPr>
          <w:rFonts w:ascii="宋体" w:hAnsi="宋体" w:cs="宋体"/>
          <w:szCs w:val="21"/>
        </w:rPr>
      </w:pPr>
      <w:r>
        <w:rPr>
          <w:rFonts w:hint="eastAsia" w:ascii="宋体" w:hAnsi="宋体" w:cs="宋体"/>
          <w:b/>
          <w:bCs/>
          <w:szCs w:val="21"/>
        </w:rPr>
        <w:t>16.5.1</w:t>
      </w:r>
      <w:r>
        <w:rPr>
          <w:rFonts w:hint="eastAsia" w:ascii="宋体" w:hAnsi="宋体" w:cs="宋体"/>
          <w:szCs w:val="21"/>
        </w:rPr>
        <w:t>投标人存在16.4条款所列情形且投标人提交的保函、担保或保证保险无法兑付的；</w:t>
      </w:r>
    </w:p>
    <w:p w14:paraId="2FEE999D">
      <w:pPr>
        <w:pBdr>
          <w:bottom w:val="single" w:color="auto" w:sz="4" w:space="1"/>
        </w:pBdr>
        <w:spacing w:line="360" w:lineRule="auto"/>
        <w:ind w:firstLine="420" w:firstLineChars="200"/>
        <w:rPr>
          <w:rFonts w:ascii="宋体" w:hAnsi="宋体" w:cs="宋体"/>
          <w:szCs w:val="21"/>
        </w:rPr>
      </w:pPr>
      <w:r>
        <w:rPr>
          <w:rFonts w:hint="eastAsia" w:ascii="宋体" w:hAnsi="宋体" w:cs="宋体"/>
          <w:b/>
          <w:bCs/>
          <w:szCs w:val="21"/>
        </w:rPr>
        <w:t>16.5.2</w:t>
      </w:r>
      <w:r>
        <w:rPr>
          <w:rFonts w:hint="eastAsia" w:ascii="宋体" w:hAnsi="宋体" w:cs="宋体"/>
          <w:szCs w:val="21"/>
        </w:rPr>
        <w:t>采用非电子形式提交投标保证金的投标人存在16.4条款所列情形，且未按招标人要求补交银行保函、专业工程担保公司担保或保证保险原件的；</w:t>
      </w:r>
    </w:p>
    <w:p w14:paraId="23610253">
      <w:pPr>
        <w:pBdr>
          <w:bottom w:val="single" w:color="auto" w:sz="4" w:space="1"/>
        </w:pBdr>
        <w:spacing w:line="360" w:lineRule="auto"/>
        <w:ind w:firstLine="420" w:firstLineChars="200"/>
        <w:rPr>
          <w:rFonts w:ascii="宋体" w:hAnsi="宋体" w:cs="宋体"/>
          <w:szCs w:val="21"/>
        </w:rPr>
      </w:pPr>
      <w:r>
        <w:rPr>
          <w:rFonts w:hint="eastAsia" w:ascii="宋体" w:hAnsi="宋体" w:cs="宋体"/>
          <w:b/>
          <w:bCs/>
          <w:szCs w:val="21"/>
        </w:rPr>
        <w:t>16.5.3</w:t>
      </w:r>
      <w:r>
        <w:rPr>
          <w:rFonts w:hint="eastAsia" w:ascii="宋体" w:hAnsi="宋体" w:cs="宋体"/>
          <w:szCs w:val="21"/>
        </w:rPr>
        <w:t>按招标文件要求免于提供投标保证金的投标人存在16.4条款所列情形，且未按招标人要求补交投标保证金的；</w:t>
      </w:r>
    </w:p>
    <w:p w14:paraId="5B1F21F8">
      <w:pPr>
        <w:pBdr>
          <w:bottom w:val="single" w:color="auto" w:sz="4" w:space="1"/>
        </w:pBdr>
        <w:spacing w:line="360" w:lineRule="auto"/>
        <w:ind w:firstLine="420" w:firstLineChars="200"/>
        <w:rPr>
          <w:rFonts w:ascii="宋体" w:hAnsi="宋体" w:cs="宋体"/>
          <w:szCs w:val="21"/>
        </w:rPr>
      </w:pPr>
      <w:r>
        <w:rPr>
          <w:rFonts w:hint="eastAsia" w:ascii="宋体" w:hAnsi="宋体" w:cs="宋体"/>
          <w:b/>
          <w:bCs/>
          <w:szCs w:val="21"/>
        </w:rPr>
        <w:t>16.5.3</w:t>
      </w:r>
      <w:r>
        <w:rPr>
          <w:rFonts w:hint="eastAsia" w:ascii="宋体" w:hAnsi="宋体" w:cs="宋体"/>
          <w:szCs w:val="21"/>
        </w:rPr>
        <w:t>按招标文件要求免于提供投标保证金的投标人存在16.4条款所列情形的。</w:t>
      </w:r>
    </w:p>
    <w:p w14:paraId="0444C0CB">
      <w:pPr>
        <w:pBdr>
          <w:bottom w:val="single" w:color="auto" w:sz="4" w:space="1"/>
        </w:pBdr>
        <w:spacing w:line="360" w:lineRule="auto"/>
        <w:ind w:firstLine="420" w:firstLineChars="200"/>
        <w:rPr>
          <w:rFonts w:ascii="宋体" w:hAnsi="宋体" w:cs="宋体"/>
          <w:szCs w:val="21"/>
        </w:rPr>
      </w:pPr>
      <w:r>
        <w:rPr>
          <w:rFonts w:hint="eastAsia" w:ascii="宋体" w:hAnsi="宋体" w:cs="宋体"/>
          <w:szCs w:val="21"/>
        </w:rPr>
        <w:t>注：16.5.3款由招标人二选一，需在招标文件中明确。</w:t>
      </w:r>
    </w:p>
    <w:p w14:paraId="3ED81D42">
      <w:pPr>
        <w:pBdr>
          <w:bottom w:val="single" w:color="auto" w:sz="4" w:space="1"/>
        </w:pBdr>
        <w:spacing w:line="360" w:lineRule="auto"/>
        <w:ind w:firstLine="420" w:firstLineChars="200"/>
        <w:rPr>
          <w:rFonts w:ascii="宋体" w:hAnsi="宋体" w:cs="宋体"/>
          <w:szCs w:val="21"/>
          <w:u w:val="single"/>
        </w:rPr>
      </w:pPr>
      <w:r>
        <w:rPr>
          <w:rFonts w:hint="eastAsia" w:ascii="宋体" w:hAnsi="宋体" w:cs="宋体"/>
          <w:b/>
          <w:szCs w:val="21"/>
        </w:rPr>
        <w:t>现文：</w:t>
      </w:r>
      <w:r>
        <w:rPr>
          <w:rFonts w:hint="eastAsia" w:ascii="宋体" w:hAnsi="宋体" w:cs="宋体"/>
          <w:b/>
          <w:bCs/>
          <w:szCs w:val="21"/>
          <w:u w:val="single"/>
        </w:rPr>
        <w:t>16.1.3</w:t>
      </w:r>
      <w:r>
        <w:rPr>
          <w:rFonts w:hint="eastAsia" w:ascii="宋体" w:hAnsi="宋体" w:cs="宋体"/>
          <w:szCs w:val="21"/>
          <w:u w:val="single"/>
        </w:rPr>
        <w:t xml:space="preserve"> 采用电子形式的保函、担保或保证保险提交投标保证金的，具体操作要求详见广州交易集团有限公司（广州公共资源交易中心）有关指引，递交事宜请自行咨询广州交易集团有限公司（广州公共资源交易中心）。</w:t>
      </w:r>
    </w:p>
    <w:p w14:paraId="121F856B">
      <w:pPr>
        <w:pBdr>
          <w:bottom w:val="single" w:color="auto" w:sz="4" w:space="1"/>
        </w:pBdr>
        <w:spacing w:line="360" w:lineRule="auto"/>
        <w:ind w:firstLine="420" w:firstLineChars="200"/>
        <w:rPr>
          <w:rFonts w:ascii="宋体" w:hAnsi="宋体" w:cs="宋体"/>
          <w:szCs w:val="21"/>
          <w:u w:val="single"/>
        </w:rPr>
      </w:pPr>
      <w:r>
        <w:rPr>
          <w:rFonts w:hint="eastAsia" w:ascii="宋体" w:hAnsi="宋体" w:cs="宋体"/>
          <w:b/>
          <w:bCs/>
          <w:szCs w:val="21"/>
          <w:u w:val="single"/>
        </w:rPr>
        <w:t>16.2</w:t>
      </w:r>
      <w:r>
        <w:rPr>
          <w:rFonts w:hint="eastAsia" w:ascii="宋体" w:hAnsi="宋体" w:cs="宋体"/>
          <w:szCs w:val="21"/>
          <w:u w:val="single"/>
        </w:rPr>
        <w:t>开标时投标人没有按要求提供投标保证金的，其投标文件将被否决；未按招标文件要求提交符合免予提供投标保证金相关证明材料，且未提交投标保证金的投标人，视为未按要求提供投标保证金。</w:t>
      </w:r>
    </w:p>
    <w:p w14:paraId="765408C6">
      <w:pPr>
        <w:pBdr>
          <w:bottom w:val="single" w:color="auto" w:sz="4" w:space="1"/>
        </w:pBdr>
        <w:spacing w:line="360" w:lineRule="auto"/>
        <w:ind w:firstLine="420" w:firstLineChars="200"/>
        <w:rPr>
          <w:rFonts w:ascii="宋体" w:hAnsi="宋体" w:cs="宋体"/>
          <w:szCs w:val="21"/>
          <w:u w:val="single"/>
        </w:rPr>
      </w:pPr>
      <w:r>
        <w:rPr>
          <w:rFonts w:hint="eastAsia" w:ascii="宋体" w:hAnsi="宋体" w:cs="宋体"/>
          <w:b/>
          <w:bCs/>
          <w:szCs w:val="21"/>
          <w:u w:val="single"/>
        </w:rPr>
        <w:t>16.3</w:t>
      </w:r>
      <w:r>
        <w:rPr>
          <w:rFonts w:hint="eastAsia" w:ascii="宋体" w:hAnsi="宋体" w:cs="宋体"/>
          <w:szCs w:val="21"/>
          <w:u w:val="single"/>
        </w:rPr>
        <w:t>投标保证金应依据法律法规的相关规定退还。</w:t>
      </w:r>
    </w:p>
    <w:p w14:paraId="390AEE2A">
      <w:pPr>
        <w:pBdr>
          <w:bottom w:val="single" w:color="auto" w:sz="4" w:space="1"/>
        </w:pBdr>
        <w:spacing w:line="360" w:lineRule="auto"/>
        <w:ind w:firstLine="420" w:firstLineChars="200"/>
        <w:rPr>
          <w:rFonts w:ascii="宋体" w:hAnsi="宋体" w:cs="宋体"/>
          <w:szCs w:val="21"/>
          <w:u w:val="single"/>
        </w:rPr>
      </w:pPr>
      <w:r>
        <w:rPr>
          <w:rFonts w:hint="eastAsia" w:ascii="宋体" w:hAnsi="宋体" w:cs="宋体"/>
          <w:b/>
          <w:bCs/>
          <w:szCs w:val="21"/>
          <w:u w:val="single"/>
        </w:rPr>
        <w:t>16.4</w:t>
      </w:r>
      <w:r>
        <w:rPr>
          <w:rFonts w:hint="eastAsia" w:ascii="宋体" w:hAnsi="宋体" w:cs="宋体"/>
          <w:szCs w:val="21"/>
          <w:u w:val="single"/>
        </w:rPr>
        <w:t>如有下列情况之一的，招标人将不予退还投标保证金：</w:t>
      </w:r>
    </w:p>
    <w:p w14:paraId="54524354">
      <w:pPr>
        <w:pBdr>
          <w:bottom w:val="single" w:color="auto" w:sz="4" w:space="1"/>
        </w:pBdr>
        <w:spacing w:line="360" w:lineRule="auto"/>
        <w:ind w:firstLine="420" w:firstLineChars="200"/>
        <w:rPr>
          <w:rFonts w:ascii="宋体" w:hAnsi="宋体" w:cs="宋体"/>
          <w:szCs w:val="21"/>
          <w:u w:val="single"/>
        </w:rPr>
      </w:pPr>
      <w:r>
        <w:rPr>
          <w:rFonts w:hint="eastAsia" w:ascii="宋体" w:hAnsi="宋体" w:cs="宋体"/>
          <w:b/>
          <w:bCs/>
          <w:szCs w:val="21"/>
          <w:u w:val="single"/>
        </w:rPr>
        <w:t>16.4.1</w:t>
      </w:r>
      <w:r>
        <w:rPr>
          <w:rFonts w:hint="eastAsia" w:ascii="宋体" w:hAnsi="宋体" w:cs="宋体"/>
          <w:szCs w:val="21"/>
          <w:u w:val="single"/>
        </w:rPr>
        <w:t>因投标人原因造成投标文件未解密的；</w:t>
      </w:r>
    </w:p>
    <w:p w14:paraId="20930538">
      <w:pPr>
        <w:pBdr>
          <w:bottom w:val="single" w:color="auto" w:sz="4" w:space="1"/>
        </w:pBdr>
        <w:spacing w:line="360" w:lineRule="auto"/>
        <w:ind w:firstLine="420" w:firstLineChars="200"/>
        <w:rPr>
          <w:rFonts w:ascii="宋体" w:hAnsi="宋体" w:cs="宋体"/>
          <w:szCs w:val="21"/>
          <w:u w:val="single"/>
        </w:rPr>
      </w:pPr>
      <w:r>
        <w:rPr>
          <w:rFonts w:hint="eastAsia" w:ascii="宋体" w:hAnsi="宋体" w:cs="宋体"/>
          <w:b/>
          <w:bCs/>
          <w:szCs w:val="21"/>
          <w:u w:val="single"/>
        </w:rPr>
        <w:t>16.4.2</w:t>
      </w:r>
      <w:r>
        <w:rPr>
          <w:rFonts w:hint="eastAsia" w:ascii="宋体" w:hAnsi="宋体" w:cs="宋体"/>
          <w:szCs w:val="21"/>
          <w:u w:val="single"/>
        </w:rPr>
        <w:t>投标人在投标有效期内撤销投标文件；</w:t>
      </w:r>
    </w:p>
    <w:p w14:paraId="4DF13224">
      <w:pPr>
        <w:pBdr>
          <w:bottom w:val="single" w:color="auto" w:sz="4" w:space="1"/>
        </w:pBdr>
        <w:spacing w:line="360" w:lineRule="auto"/>
        <w:ind w:firstLine="420" w:firstLineChars="200"/>
        <w:rPr>
          <w:rFonts w:ascii="宋体" w:hAnsi="宋体" w:cs="宋体"/>
          <w:szCs w:val="21"/>
          <w:u w:val="single"/>
        </w:rPr>
      </w:pPr>
      <w:r>
        <w:rPr>
          <w:rFonts w:hint="eastAsia" w:ascii="宋体" w:hAnsi="宋体" w:cs="宋体"/>
          <w:b/>
          <w:bCs/>
          <w:szCs w:val="21"/>
          <w:u w:val="single"/>
        </w:rPr>
        <w:t>16.4.3</w:t>
      </w:r>
      <w:r>
        <w:rPr>
          <w:rFonts w:hint="eastAsia" w:ascii="宋体" w:hAnsi="宋体" w:cs="宋体"/>
          <w:szCs w:val="21"/>
          <w:u w:val="single"/>
        </w:rPr>
        <w:t>中标人未能在规定期限内按要求提交履约担保；</w:t>
      </w:r>
    </w:p>
    <w:p w14:paraId="394CC068">
      <w:pPr>
        <w:pBdr>
          <w:bottom w:val="single" w:color="auto" w:sz="4" w:space="1"/>
        </w:pBdr>
        <w:spacing w:line="360" w:lineRule="auto"/>
        <w:ind w:firstLine="420" w:firstLineChars="200"/>
        <w:rPr>
          <w:rFonts w:ascii="宋体" w:hAnsi="宋体" w:cs="宋体"/>
          <w:szCs w:val="21"/>
          <w:u w:val="single"/>
        </w:rPr>
      </w:pPr>
      <w:r>
        <w:rPr>
          <w:rFonts w:hint="eastAsia" w:ascii="宋体" w:hAnsi="宋体" w:cs="宋体"/>
          <w:b/>
          <w:bCs/>
          <w:szCs w:val="21"/>
          <w:u w:val="single"/>
        </w:rPr>
        <w:t>16.4.4</w:t>
      </w:r>
      <w:r>
        <w:rPr>
          <w:rFonts w:hint="eastAsia" w:ascii="宋体" w:hAnsi="宋体" w:cs="宋体"/>
          <w:szCs w:val="21"/>
          <w:u w:val="single"/>
        </w:rPr>
        <w:t>中标人未能在规定期限内签署合同协议。</w:t>
      </w:r>
    </w:p>
    <w:p w14:paraId="186F240A">
      <w:pPr>
        <w:pBdr>
          <w:bottom w:val="single" w:color="auto" w:sz="4" w:space="1"/>
        </w:pBdr>
        <w:spacing w:line="360" w:lineRule="auto"/>
        <w:ind w:firstLine="420" w:firstLineChars="200"/>
        <w:rPr>
          <w:rFonts w:ascii="宋体" w:hAnsi="宋体" w:cs="宋体"/>
          <w:szCs w:val="21"/>
          <w:u w:val="single"/>
        </w:rPr>
      </w:pPr>
      <w:r>
        <w:rPr>
          <w:rFonts w:hint="eastAsia" w:ascii="宋体" w:hAnsi="宋体" w:cs="宋体"/>
          <w:b/>
          <w:bCs/>
          <w:szCs w:val="21"/>
          <w:u w:val="single"/>
        </w:rPr>
        <w:t>16.5</w:t>
      </w:r>
      <w:r>
        <w:rPr>
          <w:rFonts w:hint="eastAsia" w:ascii="宋体" w:hAnsi="宋体" w:cs="宋体"/>
          <w:szCs w:val="21"/>
          <w:u w:val="single"/>
        </w:rPr>
        <w:t>投标</w:t>
      </w:r>
      <w:r>
        <w:rPr>
          <w:rFonts w:hint="eastAsia" w:ascii="宋体" w:hAnsi="宋体" w:cs="宋体"/>
          <w:szCs w:val="21"/>
        </w:rPr>
        <w:t>人如存在下列情况之一的，将被拒绝在一定时期内参与招标人后续工程投标（拒绝时限需在招标文件中明确）：</w:t>
      </w:r>
    </w:p>
    <w:p w14:paraId="54C600A4">
      <w:pPr>
        <w:pBdr>
          <w:bottom w:val="single" w:color="auto" w:sz="4" w:space="1"/>
        </w:pBdr>
        <w:spacing w:line="360" w:lineRule="auto"/>
        <w:ind w:firstLine="420" w:firstLineChars="200"/>
        <w:rPr>
          <w:rFonts w:ascii="宋体" w:hAnsi="宋体" w:cs="宋体"/>
          <w:szCs w:val="21"/>
          <w:u w:val="single"/>
        </w:rPr>
      </w:pPr>
      <w:r>
        <w:rPr>
          <w:rFonts w:hint="eastAsia" w:ascii="宋体" w:hAnsi="宋体" w:cs="宋体"/>
          <w:b/>
          <w:bCs/>
          <w:szCs w:val="21"/>
          <w:u w:val="single"/>
        </w:rPr>
        <w:t>16.5.1</w:t>
      </w:r>
      <w:r>
        <w:rPr>
          <w:rFonts w:hint="eastAsia" w:ascii="宋体" w:hAnsi="宋体" w:cs="宋体"/>
          <w:szCs w:val="21"/>
          <w:u w:val="single"/>
        </w:rPr>
        <w:t>投标人存在16.4条款所列情形且投标人提交的保函、担保或保证保险无法兑付的；</w:t>
      </w:r>
    </w:p>
    <w:p w14:paraId="6EFA7FB7">
      <w:pPr>
        <w:pBdr>
          <w:bottom w:val="single" w:color="auto" w:sz="4" w:space="1"/>
        </w:pBdr>
        <w:spacing w:line="360" w:lineRule="auto"/>
        <w:ind w:firstLine="420" w:firstLineChars="200"/>
        <w:rPr>
          <w:rFonts w:ascii="宋体" w:hAnsi="宋体" w:cs="宋体"/>
          <w:szCs w:val="21"/>
          <w:u w:val="single"/>
        </w:rPr>
      </w:pPr>
      <w:r>
        <w:rPr>
          <w:rFonts w:hint="eastAsia" w:ascii="宋体" w:hAnsi="宋体" w:cs="宋体"/>
          <w:b/>
          <w:bCs/>
          <w:szCs w:val="21"/>
          <w:u w:val="single"/>
        </w:rPr>
        <w:t>16.5.2</w:t>
      </w:r>
      <w:r>
        <w:rPr>
          <w:rFonts w:hint="eastAsia" w:ascii="宋体" w:hAnsi="宋体" w:cs="宋体"/>
          <w:szCs w:val="21"/>
          <w:u w:val="single"/>
        </w:rPr>
        <w:t>采用非电子形式提交投标保证金的投标人存在16.4条款所列情形，且未按招标人要求补交银行保函、专业工程担保公司担保或保证保险原件的。</w:t>
      </w:r>
    </w:p>
    <w:p w14:paraId="2A84BA16">
      <w:pPr>
        <w:spacing w:line="360" w:lineRule="auto"/>
        <w:ind w:firstLine="470" w:firstLineChars="224"/>
        <w:rPr>
          <w:rFonts w:ascii="宋体" w:hAnsi="宋体" w:cs="宋体"/>
          <w:b/>
          <w:szCs w:val="21"/>
        </w:rPr>
      </w:pPr>
      <w:r>
        <w:rPr>
          <w:rFonts w:hint="eastAsia" w:ascii="宋体" w:hAnsi="宋体" w:cs="宋体"/>
          <w:b/>
          <w:szCs w:val="21"/>
        </w:rPr>
        <w:t>条款号：17.1             修改类型：修改</w:t>
      </w:r>
    </w:p>
    <w:p w14:paraId="4F4997BB">
      <w:pPr>
        <w:spacing w:line="360" w:lineRule="auto"/>
        <w:ind w:firstLine="470" w:firstLineChars="224"/>
        <w:rPr>
          <w:rFonts w:ascii="宋体" w:hAnsi="宋体" w:cs="宋体"/>
          <w:b/>
          <w:szCs w:val="21"/>
        </w:rPr>
      </w:pPr>
      <w:r>
        <w:rPr>
          <w:rFonts w:hint="eastAsia" w:ascii="宋体" w:hAnsi="宋体" w:cs="宋体"/>
          <w:b/>
          <w:szCs w:val="21"/>
        </w:rPr>
        <w:t>原文：17.1</w:t>
      </w:r>
      <w:r>
        <w:rPr>
          <w:rFonts w:hint="eastAsia" w:ascii="宋体" w:hAnsi="宋体" w:cs="宋体"/>
          <w:bCs/>
          <w:szCs w:val="21"/>
        </w:rPr>
        <w:t>投标人应采用单位数字证书，按招标文件要求在相应位置加盖电子印章。投标文件中需个人签字或盖章的，应加盖个人电子印章或在线下完成后扫描上传。按照交易平台关于全流程电子化项目的相关指南进行操作。详见：</w:t>
      </w:r>
      <w:r>
        <w:rPr>
          <w:rFonts w:hint="eastAsia" w:ascii="宋体" w:hAnsi="宋体" w:cs="宋体"/>
          <w:bCs/>
          <w:szCs w:val="21"/>
          <w:u w:val="single"/>
        </w:rPr>
        <w:t xml:space="preserve">             </w:t>
      </w:r>
      <w:r>
        <w:rPr>
          <w:rFonts w:hint="eastAsia" w:ascii="宋体" w:hAnsi="宋体" w:cs="宋体"/>
          <w:bCs/>
          <w:szCs w:val="21"/>
        </w:rPr>
        <w:t>。</w:t>
      </w:r>
    </w:p>
    <w:p w14:paraId="19EF56C4">
      <w:pPr>
        <w:pBdr>
          <w:bottom w:val="single" w:color="auto" w:sz="6" w:space="1"/>
        </w:pBdr>
        <w:spacing w:line="360" w:lineRule="auto"/>
        <w:ind w:firstLine="525" w:firstLineChars="250"/>
        <w:rPr>
          <w:rFonts w:ascii="宋体" w:hAnsi="宋体" w:cs="宋体"/>
          <w:szCs w:val="21"/>
        </w:rPr>
      </w:pPr>
      <w:r>
        <w:rPr>
          <w:rFonts w:hint="eastAsia" w:ascii="宋体" w:hAnsi="宋体" w:cs="宋体"/>
          <w:b/>
          <w:szCs w:val="21"/>
        </w:rPr>
        <w:t>现文：17.1</w:t>
      </w:r>
      <w:r>
        <w:rPr>
          <w:rFonts w:hint="eastAsia" w:ascii="宋体" w:hAnsi="宋体" w:cs="宋体"/>
          <w:bCs/>
          <w:szCs w:val="21"/>
        </w:rPr>
        <w:t>投标人应采用单位数字证书，按招标文件要求在相应位置加盖电子印章。投标文件中需个人签字或盖章的，应加盖个人电子印章或在线下完成签字或盖章后扫描上传。按照交易平台关于全流程电子化项目的相关指南进行操作。详见：</w:t>
      </w:r>
      <w:r>
        <w:rPr>
          <w:rFonts w:hint="eastAsia" w:ascii="宋体" w:hAnsi="宋体" w:cs="宋体"/>
          <w:b/>
          <w:bCs/>
          <w:szCs w:val="21"/>
          <w:u w:val="single"/>
        </w:rPr>
        <w:t>【全流程电子化项目】电子招投标操作手册（无纸化）</w:t>
      </w:r>
      <w:r>
        <w:rPr>
          <w:rFonts w:hint="eastAsia" w:ascii="宋体" w:hAnsi="宋体" w:cs="宋体"/>
          <w:szCs w:val="21"/>
        </w:rPr>
        <w:t>。</w:t>
      </w:r>
    </w:p>
    <w:p w14:paraId="7A47F55E">
      <w:pPr>
        <w:spacing w:line="480" w:lineRule="auto"/>
        <w:ind w:firstLine="470" w:firstLineChars="224"/>
        <w:rPr>
          <w:rFonts w:ascii="宋体" w:hAnsi="宋体" w:cs="宋体"/>
          <w:b/>
          <w:szCs w:val="21"/>
        </w:rPr>
      </w:pPr>
      <w:r>
        <w:rPr>
          <w:rFonts w:hint="eastAsia" w:ascii="宋体" w:hAnsi="宋体" w:cs="宋体"/>
          <w:b/>
          <w:szCs w:val="21"/>
        </w:rPr>
        <w:t>条款号：18.1             修改类型：修改</w:t>
      </w:r>
    </w:p>
    <w:p w14:paraId="65E2BD8F">
      <w:pPr>
        <w:spacing w:line="360" w:lineRule="auto"/>
        <w:ind w:firstLine="470" w:firstLineChars="224"/>
        <w:rPr>
          <w:rFonts w:ascii="宋体" w:hAnsi="宋体" w:cs="宋体"/>
          <w:b/>
          <w:szCs w:val="21"/>
        </w:rPr>
      </w:pPr>
      <w:r>
        <w:rPr>
          <w:rFonts w:hint="eastAsia" w:ascii="宋体" w:hAnsi="宋体" w:cs="宋体"/>
          <w:b/>
          <w:szCs w:val="21"/>
        </w:rPr>
        <w:t>原文：18.1</w:t>
      </w:r>
      <w:r>
        <w:rPr>
          <w:rFonts w:hint="eastAsia" w:ascii="宋体" w:hAnsi="宋体" w:cs="宋体"/>
          <w:bCs/>
          <w:szCs w:val="21"/>
        </w:rPr>
        <w:t>递交的电子投标文件（不含备用光盘）必须进行加密。按照交易平台关于全流程电子化项目的相关指南进行操作。详见：</w:t>
      </w:r>
      <w:r>
        <w:rPr>
          <w:rFonts w:hint="eastAsia" w:ascii="宋体" w:hAnsi="宋体" w:cs="宋体"/>
          <w:bCs/>
          <w:szCs w:val="21"/>
          <w:u w:val="single"/>
        </w:rPr>
        <w:t xml:space="preserve">            </w:t>
      </w:r>
      <w:r>
        <w:rPr>
          <w:rFonts w:hint="eastAsia" w:ascii="宋体" w:hAnsi="宋体" w:cs="宋体"/>
          <w:bCs/>
          <w:szCs w:val="21"/>
        </w:rPr>
        <w:t>。</w:t>
      </w:r>
    </w:p>
    <w:p w14:paraId="7CADEF1D">
      <w:pPr>
        <w:pBdr>
          <w:bottom w:val="single" w:color="auto" w:sz="6" w:space="1"/>
        </w:pBdr>
        <w:spacing w:line="360" w:lineRule="auto"/>
        <w:ind w:firstLine="420" w:firstLineChars="200"/>
        <w:jc w:val="left"/>
        <w:rPr>
          <w:rFonts w:ascii="宋体" w:hAnsi="宋体" w:cs="宋体"/>
          <w:b/>
          <w:szCs w:val="21"/>
        </w:rPr>
      </w:pPr>
      <w:r>
        <w:rPr>
          <w:rFonts w:hint="eastAsia" w:ascii="宋体" w:hAnsi="宋体" w:cs="宋体"/>
          <w:b/>
          <w:szCs w:val="21"/>
        </w:rPr>
        <w:t>现文：18.1</w:t>
      </w:r>
      <w:r>
        <w:rPr>
          <w:rFonts w:hint="eastAsia" w:ascii="宋体" w:hAnsi="宋体" w:cs="宋体"/>
          <w:bCs/>
          <w:szCs w:val="21"/>
        </w:rPr>
        <w:t>递交的电子投标文件（不含备用光盘）必须进行加密。按照交易平台关于全流程电子化项目的相关指南进行操作。详见：</w:t>
      </w:r>
      <w:r>
        <w:rPr>
          <w:rFonts w:hint="eastAsia" w:ascii="宋体" w:hAnsi="宋体" w:cs="宋体"/>
          <w:b/>
          <w:bCs/>
          <w:szCs w:val="21"/>
          <w:u w:val="single"/>
        </w:rPr>
        <w:t>【全流程电子化项目】电子招投标操作手册（无纸化）</w:t>
      </w:r>
      <w:r>
        <w:rPr>
          <w:rFonts w:hint="eastAsia" w:ascii="宋体" w:hAnsi="宋体" w:cs="宋体"/>
          <w:szCs w:val="21"/>
        </w:rPr>
        <w:t>。</w:t>
      </w:r>
    </w:p>
    <w:p w14:paraId="72296252">
      <w:pPr>
        <w:spacing w:line="360" w:lineRule="auto"/>
        <w:ind w:firstLine="470" w:firstLineChars="224"/>
        <w:rPr>
          <w:rFonts w:ascii="宋体" w:hAnsi="宋体" w:cs="宋体"/>
          <w:b/>
          <w:szCs w:val="21"/>
        </w:rPr>
      </w:pPr>
      <w:r>
        <w:rPr>
          <w:rFonts w:hint="eastAsia" w:ascii="宋体" w:hAnsi="宋体" w:cs="宋体"/>
          <w:b/>
          <w:szCs w:val="21"/>
        </w:rPr>
        <w:t xml:space="preserve">条款号：18.2          </w:t>
      </w:r>
      <w:r>
        <w:rPr>
          <w:rFonts w:ascii="宋体" w:hAnsi="宋体" w:cs="宋体"/>
          <w:b/>
          <w:szCs w:val="21"/>
        </w:rPr>
        <w:t xml:space="preserve">   </w:t>
      </w:r>
      <w:r>
        <w:rPr>
          <w:rFonts w:hint="eastAsia" w:ascii="宋体" w:hAnsi="宋体" w:cs="宋体"/>
          <w:b/>
          <w:szCs w:val="21"/>
        </w:rPr>
        <w:t>修改类型：修改</w:t>
      </w:r>
    </w:p>
    <w:p w14:paraId="16FC48B3">
      <w:pPr>
        <w:spacing w:line="360" w:lineRule="auto"/>
        <w:ind w:firstLine="420" w:firstLineChars="200"/>
        <w:rPr>
          <w:rFonts w:ascii="宋体" w:hAnsi="宋体" w:cs="宋体"/>
          <w:bCs/>
          <w:szCs w:val="21"/>
        </w:rPr>
      </w:pPr>
      <w:r>
        <w:rPr>
          <w:rFonts w:hint="eastAsia" w:ascii="宋体" w:hAnsi="宋体" w:cs="宋体"/>
          <w:b/>
          <w:szCs w:val="21"/>
        </w:rPr>
        <w:t>原文：18.2</w:t>
      </w:r>
      <w:r>
        <w:rPr>
          <w:rFonts w:hint="eastAsia" w:ascii="宋体" w:hAnsi="宋体" w:cs="宋体"/>
          <w:bCs/>
          <w:szCs w:val="21"/>
        </w:rPr>
        <w:t xml:space="preserve"> 未按要求加密的投标文件，</w:t>
      </w:r>
      <w:r>
        <w:rPr>
          <w:rFonts w:hint="eastAsia" w:ascii="宋体" w:hAnsi="宋体" w:cs="宋体"/>
          <w:bCs/>
          <w:szCs w:val="21"/>
          <w:u w:val="single"/>
        </w:rPr>
        <w:t xml:space="preserve">        </w:t>
      </w:r>
      <w:r>
        <w:rPr>
          <w:rFonts w:hint="eastAsia" w:ascii="宋体" w:hAnsi="宋体" w:cs="宋体"/>
          <w:bCs/>
          <w:szCs w:val="21"/>
        </w:rPr>
        <w:t>交易平台将予以拒收。</w:t>
      </w:r>
    </w:p>
    <w:p w14:paraId="35065297">
      <w:pPr>
        <w:pBdr>
          <w:bottom w:val="single" w:color="auto" w:sz="6" w:space="1"/>
        </w:pBdr>
        <w:spacing w:line="360" w:lineRule="auto"/>
        <w:ind w:firstLine="420" w:firstLineChars="200"/>
        <w:jc w:val="left"/>
        <w:rPr>
          <w:rFonts w:ascii="宋体" w:hAnsi="宋体" w:cs="宋体"/>
          <w:szCs w:val="21"/>
        </w:rPr>
      </w:pPr>
      <w:r>
        <w:rPr>
          <w:rFonts w:hint="eastAsia" w:ascii="宋体" w:hAnsi="宋体" w:cs="宋体"/>
          <w:b/>
          <w:szCs w:val="21"/>
        </w:rPr>
        <w:t>现文：18.2</w:t>
      </w:r>
      <w:r>
        <w:rPr>
          <w:rFonts w:hint="eastAsia" w:ascii="宋体" w:hAnsi="宋体" w:cs="宋体"/>
          <w:bCs/>
          <w:szCs w:val="21"/>
        </w:rPr>
        <w:t xml:space="preserve"> 未按要求加密的投标文件，</w:t>
      </w:r>
      <w:r>
        <w:rPr>
          <w:rFonts w:hint="eastAsia" w:ascii="宋体" w:hAnsi="宋体" w:cs="宋体"/>
          <w:bCs/>
          <w:szCs w:val="21"/>
          <w:u w:val="single"/>
        </w:rPr>
        <w:t>广州公共资源交易中心</w:t>
      </w:r>
      <w:r>
        <w:rPr>
          <w:rFonts w:hint="eastAsia" w:ascii="宋体" w:hAnsi="宋体" w:cs="宋体"/>
          <w:bCs/>
          <w:szCs w:val="21"/>
        </w:rPr>
        <w:t>交易平台将予以拒收。</w:t>
      </w:r>
    </w:p>
    <w:p w14:paraId="70766702">
      <w:pPr>
        <w:spacing w:line="360" w:lineRule="auto"/>
        <w:ind w:firstLine="420" w:firstLineChars="200"/>
        <w:rPr>
          <w:rFonts w:ascii="宋体" w:hAnsi="宋体" w:cs="宋体"/>
          <w:b/>
          <w:szCs w:val="21"/>
        </w:rPr>
      </w:pPr>
      <w:r>
        <w:rPr>
          <w:rFonts w:hint="eastAsia" w:ascii="宋体" w:hAnsi="宋体" w:cs="宋体"/>
          <w:b/>
          <w:szCs w:val="21"/>
        </w:rPr>
        <w:t>条款号：19               修改类型：修改</w:t>
      </w:r>
    </w:p>
    <w:p w14:paraId="5CF3C1F4">
      <w:pPr>
        <w:spacing w:line="360" w:lineRule="auto"/>
        <w:ind w:firstLine="420" w:firstLineChars="200"/>
        <w:rPr>
          <w:rFonts w:ascii="宋体" w:hAnsi="宋体" w:cs="宋体"/>
          <w:szCs w:val="21"/>
        </w:rPr>
      </w:pPr>
      <w:r>
        <w:rPr>
          <w:rFonts w:hint="eastAsia" w:ascii="宋体" w:hAnsi="宋体" w:cs="宋体"/>
          <w:b/>
          <w:szCs w:val="21"/>
        </w:rPr>
        <w:t>原文：</w:t>
      </w:r>
      <w:r>
        <w:rPr>
          <w:rFonts w:hint="eastAsia" w:ascii="宋体" w:hAnsi="宋体" w:cs="宋体"/>
          <w:szCs w:val="21"/>
        </w:rPr>
        <w:t>19．投标文件的递交和接收</w:t>
      </w:r>
    </w:p>
    <w:p w14:paraId="539F8CDF">
      <w:pPr>
        <w:spacing w:line="360" w:lineRule="auto"/>
        <w:ind w:firstLine="420" w:firstLineChars="200"/>
        <w:rPr>
          <w:rFonts w:ascii="宋体" w:hAnsi="宋体" w:cs="宋体"/>
          <w:szCs w:val="21"/>
        </w:rPr>
      </w:pPr>
      <w:r>
        <w:rPr>
          <w:rFonts w:hint="eastAsia" w:ascii="宋体" w:hAnsi="宋体" w:cs="宋体"/>
          <w:szCs w:val="21"/>
        </w:rPr>
        <w:t>19.1投标人通过交易平台递交电子投标文件。</w:t>
      </w:r>
    </w:p>
    <w:p w14:paraId="0EC69A57">
      <w:pPr>
        <w:spacing w:line="360" w:lineRule="auto"/>
        <w:ind w:firstLine="420" w:firstLineChars="200"/>
        <w:rPr>
          <w:rFonts w:ascii="宋体" w:hAnsi="宋体" w:cs="宋体"/>
          <w:szCs w:val="21"/>
        </w:rPr>
      </w:pPr>
      <w:r>
        <w:rPr>
          <w:rFonts w:hint="eastAsia" w:ascii="宋体" w:hAnsi="宋体" w:cs="宋体"/>
          <w:szCs w:val="21"/>
        </w:rPr>
        <w:t>19.2投标人完成电子投标文件上传后，交易平台即时向投标人发出递交回执通知。递交时间以递交回执通知载明的传输完成时间为准。</w:t>
      </w:r>
    </w:p>
    <w:p w14:paraId="3DB5FF51">
      <w:pPr>
        <w:spacing w:line="360" w:lineRule="auto"/>
        <w:ind w:firstLine="420" w:firstLineChars="200"/>
        <w:rPr>
          <w:rFonts w:ascii="宋体" w:hAnsi="宋体" w:cs="宋体"/>
          <w:szCs w:val="21"/>
        </w:rPr>
      </w:pPr>
      <w:r>
        <w:rPr>
          <w:rFonts w:hint="eastAsia" w:ascii="宋体" w:hAnsi="宋体" w:cs="宋体"/>
          <w:szCs w:val="21"/>
        </w:rPr>
        <w:t>19.3逾期送达的电子投标文件，交易平台将予以拒收。</w:t>
      </w:r>
    </w:p>
    <w:p w14:paraId="187E3529">
      <w:pPr>
        <w:spacing w:line="360" w:lineRule="auto"/>
        <w:ind w:firstLine="420" w:firstLineChars="200"/>
        <w:rPr>
          <w:rFonts w:ascii="宋体" w:hAnsi="宋体" w:cs="宋体"/>
          <w:szCs w:val="21"/>
        </w:rPr>
      </w:pPr>
      <w:r>
        <w:rPr>
          <w:rFonts w:hint="eastAsia" w:ascii="宋体" w:hAnsi="宋体" w:cs="宋体"/>
          <w:szCs w:val="21"/>
        </w:rPr>
        <w:t>19.4 投标截止前，招标人拒绝接收符合条件的投标文件，投标人可向招标投标监督机构投诉。</w:t>
      </w:r>
    </w:p>
    <w:p w14:paraId="1FB85392">
      <w:pPr>
        <w:spacing w:line="360" w:lineRule="auto"/>
        <w:ind w:firstLine="420" w:firstLineChars="200"/>
        <w:rPr>
          <w:rFonts w:ascii="宋体" w:hAnsi="宋体" w:cs="宋体"/>
          <w:szCs w:val="21"/>
        </w:rPr>
      </w:pPr>
      <w:r>
        <w:rPr>
          <w:rFonts w:hint="eastAsia" w:ascii="宋体" w:hAnsi="宋体" w:cs="宋体"/>
          <w:szCs w:val="21"/>
        </w:rPr>
        <w:t>19.5如技术标和经济标先后分别开启，交易平台将按招标文件规定的时间分别开启技术标和经济标。</w:t>
      </w:r>
    </w:p>
    <w:p w14:paraId="30B6D6BC">
      <w:pPr>
        <w:spacing w:line="360" w:lineRule="auto"/>
        <w:ind w:firstLine="420" w:firstLineChars="200"/>
        <w:rPr>
          <w:rFonts w:ascii="宋体" w:hAnsi="宋体" w:cs="宋体"/>
          <w:szCs w:val="21"/>
        </w:rPr>
      </w:pPr>
      <w:r>
        <w:rPr>
          <w:rFonts w:hint="eastAsia" w:ascii="宋体" w:hAnsi="宋体" w:cs="宋体"/>
          <w:b/>
          <w:szCs w:val="21"/>
        </w:rPr>
        <w:t>现文：</w:t>
      </w:r>
      <w:r>
        <w:rPr>
          <w:rFonts w:hint="eastAsia" w:ascii="宋体" w:hAnsi="宋体" w:cs="宋体"/>
          <w:szCs w:val="21"/>
        </w:rPr>
        <w:t>19．投标文件的递交和接收</w:t>
      </w:r>
    </w:p>
    <w:p w14:paraId="3A9AA412">
      <w:pPr>
        <w:spacing w:line="360" w:lineRule="auto"/>
        <w:ind w:firstLine="420" w:firstLineChars="200"/>
        <w:rPr>
          <w:rFonts w:ascii="宋体" w:hAnsi="宋体" w:cs="宋体"/>
          <w:szCs w:val="21"/>
        </w:rPr>
      </w:pPr>
      <w:r>
        <w:rPr>
          <w:rFonts w:hint="eastAsia" w:ascii="宋体" w:hAnsi="宋体" w:cs="宋体"/>
          <w:szCs w:val="21"/>
        </w:rPr>
        <w:t>19.1投标人通过</w:t>
      </w:r>
      <w:r>
        <w:rPr>
          <w:rFonts w:hint="eastAsia" w:ascii="宋体" w:hAnsi="宋体" w:cs="宋体"/>
          <w:szCs w:val="21"/>
          <w:u w:val="single"/>
        </w:rPr>
        <w:t>广州公共资源交易中心</w:t>
      </w:r>
      <w:r>
        <w:rPr>
          <w:rFonts w:hint="eastAsia" w:ascii="宋体" w:hAnsi="宋体" w:cs="宋体"/>
          <w:szCs w:val="21"/>
        </w:rPr>
        <w:t>交易平台递交电子投标文件。</w:t>
      </w:r>
    </w:p>
    <w:p w14:paraId="76E72733">
      <w:pPr>
        <w:pBdr>
          <w:bottom w:val="single" w:color="auto" w:sz="6" w:space="1"/>
        </w:pBdr>
        <w:spacing w:line="360" w:lineRule="auto"/>
        <w:ind w:firstLine="420" w:firstLineChars="200"/>
        <w:rPr>
          <w:rFonts w:ascii="宋体" w:hAnsi="宋体" w:cs="宋体"/>
          <w:szCs w:val="21"/>
        </w:rPr>
      </w:pPr>
      <w:r>
        <w:rPr>
          <w:rFonts w:hint="eastAsia" w:ascii="宋体" w:hAnsi="宋体" w:cs="宋体"/>
          <w:szCs w:val="21"/>
        </w:rPr>
        <w:t>19.2投标人完成电子投标文件上传后，</w:t>
      </w:r>
      <w:r>
        <w:rPr>
          <w:rFonts w:hint="eastAsia" w:ascii="宋体" w:hAnsi="宋体" w:cs="宋体"/>
          <w:szCs w:val="21"/>
          <w:u w:val="single"/>
        </w:rPr>
        <w:t>广州公共资源交易中心</w:t>
      </w:r>
      <w:r>
        <w:rPr>
          <w:rFonts w:hint="eastAsia" w:ascii="宋体" w:hAnsi="宋体" w:cs="宋体"/>
          <w:szCs w:val="21"/>
        </w:rPr>
        <w:t>交易平台即时向投标人发出递交回执通知。递交时间以递交回执通知载明的传输完成时间为准。</w:t>
      </w:r>
    </w:p>
    <w:p w14:paraId="3DF9825A">
      <w:pPr>
        <w:pBdr>
          <w:bottom w:val="single" w:color="auto" w:sz="6" w:space="1"/>
        </w:pBdr>
        <w:spacing w:line="360" w:lineRule="auto"/>
        <w:ind w:firstLine="420" w:firstLineChars="200"/>
        <w:rPr>
          <w:rFonts w:ascii="宋体" w:hAnsi="宋体" w:cs="宋体"/>
          <w:szCs w:val="21"/>
        </w:rPr>
      </w:pPr>
      <w:r>
        <w:rPr>
          <w:rFonts w:hint="eastAsia" w:ascii="宋体" w:hAnsi="宋体" w:cs="宋体"/>
          <w:szCs w:val="21"/>
        </w:rPr>
        <w:t>19.3逾期送达的电子投标文件，</w:t>
      </w:r>
      <w:r>
        <w:rPr>
          <w:rFonts w:hint="eastAsia" w:ascii="宋体" w:hAnsi="宋体" w:cs="宋体"/>
          <w:szCs w:val="21"/>
          <w:u w:val="single"/>
        </w:rPr>
        <w:t>广州公共资源交易中心</w:t>
      </w:r>
      <w:r>
        <w:rPr>
          <w:rFonts w:hint="eastAsia" w:ascii="宋体" w:hAnsi="宋体" w:cs="宋体"/>
          <w:szCs w:val="21"/>
        </w:rPr>
        <w:t>交易平台将予以拒收。</w:t>
      </w:r>
    </w:p>
    <w:p w14:paraId="44D5FD05">
      <w:pPr>
        <w:pBdr>
          <w:bottom w:val="single" w:color="auto" w:sz="6" w:space="1"/>
        </w:pBdr>
        <w:spacing w:line="360" w:lineRule="auto"/>
        <w:ind w:firstLine="420" w:firstLineChars="200"/>
        <w:rPr>
          <w:rFonts w:ascii="宋体" w:hAnsi="宋体" w:cs="宋体"/>
          <w:szCs w:val="21"/>
        </w:rPr>
      </w:pPr>
      <w:r>
        <w:rPr>
          <w:rFonts w:hint="eastAsia" w:ascii="宋体" w:hAnsi="宋体" w:cs="宋体"/>
          <w:szCs w:val="21"/>
        </w:rPr>
        <w:t>19.4 投标截止前，招标人拒绝接收符合条件的投标文件，投标人可向招标投标监督机构投诉。</w:t>
      </w:r>
    </w:p>
    <w:p w14:paraId="4A0870FC">
      <w:pPr>
        <w:spacing w:line="360" w:lineRule="auto"/>
        <w:ind w:firstLine="420" w:firstLineChars="200"/>
        <w:rPr>
          <w:rFonts w:ascii="宋体" w:hAnsi="宋体"/>
          <w:b/>
          <w:szCs w:val="21"/>
        </w:rPr>
      </w:pPr>
      <w:r>
        <w:rPr>
          <w:rFonts w:hint="eastAsia" w:ascii="宋体" w:hAnsi="宋体"/>
          <w:b/>
          <w:szCs w:val="21"/>
        </w:rPr>
        <w:t>条款号：21.1                       修改类型：修改</w:t>
      </w:r>
    </w:p>
    <w:p w14:paraId="5F96A58E">
      <w:pPr>
        <w:pBdr>
          <w:bottom w:val="single" w:color="auto" w:sz="6" w:space="1"/>
        </w:pBdr>
        <w:spacing w:line="360" w:lineRule="auto"/>
        <w:ind w:firstLine="420" w:firstLineChars="200"/>
        <w:rPr>
          <w:rFonts w:ascii="宋体" w:hAnsi="宋体"/>
          <w:szCs w:val="21"/>
        </w:rPr>
      </w:pPr>
      <w:r>
        <w:rPr>
          <w:rFonts w:hint="eastAsia" w:ascii="宋体" w:hAnsi="宋体"/>
          <w:b/>
          <w:szCs w:val="21"/>
        </w:rPr>
        <w:t>原文：</w:t>
      </w:r>
      <w:r>
        <w:rPr>
          <w:rFonts w:hint="eastAsia" w:ascii="宋体" w:hAnsi="宋体"/>
          <w:szCs w:val="21"/>
        </w:rPr>
        <w:t>21.1 本须知前附表第17项规定的投标截止时间后送达的电子投标文件，交易平台将予以拒收。</w:t>
      </w:r>
    </w:p>
    <w:p w14:paraId="64C8A4AF">
      <w:pPr>
        <w:pBdr>
          <w:bottom w:val="single" w:color="auto" w:sz="6" w:space="1"/>
        </w:pBdr>
        <w:spacing w:line="360" w:lineRule="auto"/>
        <w:ind w:firstLine="420" w:firstLineChars="200"/>
        <w:rPr>
          <w:rFonts w:ascii="宋体" w:hAnsi="宋体"/>
          <w:szCs w:val="21"/>
        </w:rPr>
      </w:pPr>
      <w:r>
        <w:rPr>
          <w:rFonts w:hint="eastAsia" w:ascii="宋体" w:hAnsi="宋体"/>
          <w:b/>
          <w:szCs w:val="21"/>
        </w:rPr>
        <w:t>现文：</w:t>
      </w:r>
      <w:r>
        <w:rPr>
          <w:rFonts w:hint="eastAsia" w:ascii="宋体" w:hAnsi="宋体"/>
          <w:szCs w:val="21"/>
        </w:rPr>
        <w:t>21.1 本须知前附表第17项规定的投标截止时间后送达的电子投标文件，</w:t>
      </w:r>
      <w:r>
        <w:rPr>
          <w:rFonts w:hint="eastAsia"/>
          <w:szCs w:val="21"/>
          <w:u w:val="single"/>
        </w:rPr>
        <w:t>广州公共资源交易中心</w:t>
      </w:r>
      <w:r>
        <w:rPr>
          <w:rFonts w:hint="eastAsia" w:ascii="宋体" w:hAnsi="宋体"/>
          <w:szCs w:val="21"/>
        </w:rPr>
        <w:t>交易平台将予以拒收。</w:t>
      </w:r>
    </w:p>
    <w:p w14:paraId="5A92D218">
      <w:pPr>
        <w:spacing w:line="360" w:lineRule="auto"/>
        <w:ind w:firstLine="420" w:firstLineChars="200"/>
        <w:rPr>
          <w:rFonts w:ascii="宋体" w:hAnsi="宋体"/>
          <w:b/>
          <w:szCs w:val="21"/>
        </w:rPr>
      </w:pPr>
      <w:r>
        <w:rPr>
          <w:rFonts w:hint="eastAsia" w:ascii="宋体" w:hAnsi="宋体"/>
          <w:b/>
          <w:szCs w:val="21"/>
        </w:rPr>
        <w:t>条款号：27                         修改类型：修改</w:t>
      </w:r>
    </w:p>
    <w:p w14:paraId="3F9E2544">
      <w:pPr>
        <w:pBdr>
          <w:bottom w:val="single" w:color="auto" w:sz="6" w:space="1"/>
        </w:pBdr>
        <w:spacing w:line="360" w:lineRule="auto"/>
        <w:ind w:firstLine="420" w:firstLineChars="200"/>
        <w:rPr>
          <w:rFonts w:ascii="宋体" w:hAnsi="宋体"/>
          <w:szCs w:val="21"/>
        </w:rPr>
      </w:pPr>
      <w:r>
        <w:rPr>
          <w:rFonts w:hint="eastAsia" w:ascii="宋体" w:hAnsi="宋体"/>
          <w:b/>
          <w:szCs w:val="21"/>
        </w:rPr>
        <w:t>原文：</w:t>
      </w:r>
      <w:r>
        <w:rPr>
          <w:rFonts w:hint="eastAsia" w:ascii="宋体" w:hAnsi="宋体"/>
          <w:szCs w:val="21"/>
        </w:rPr>
        <w:t>27．中标通知书</w:t>
      </w:r>
    </w:p>
    <w:p w14:paraId="389B9874">
      <w:pPr>
        <w:pBdr>
          <w:bottom w:val="single" w:color="auto" w:sz="6" w:space="1"/>
        </w:pBdr>
        <w:spacing w:line="360" w:lineRule="auto"/>
        <w:ind w:firstLine="420" w:firstLineChars="200"/>
        <w:rPr>
          <w:rFonts w:ascii="宋体" w:hAnsi="宋体"/>
          <w:szCs w:val="21"/>
          <w:u w:val="single"/>
        </w:rPr>
      </w:pPr>
      <w:r>
        <w:rPr>
          <w:rFonts w:hint="eastAsia" w:ascii="宋体" w:hAnsi="宋体"/>
          <w:szCs w:val="21"/>
        </w:rPr>
        <w:t>27.1招标人将在</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rPr>
        <w:t>交易平台、广东省招标投标监管网和中国招标投标公共服务平台公示中标候选人，公示期为三天。投标人或其他利害关系人对评标结果有异议的，应当在中标候选人公示期间提出，可以通过线下或线上的形式提出异议。线上提交的，应通过交易平台进行，招标人也应通过交易平台答复线上提交的异议。作出答复前，应当暂停招标投标活动。</w:t>
      </w:r>
    </w:p>
    <w:p w14:paraId="721496E9">
      <w:pPr>
        <w:pBdr>
          <w:bottom w:val="single" w:color="auto" w:sz="6" w:space="1"/>
        </w:pBdr>
        <w:spacing w:line="360" w:lineRule="auto"/>
        <w:ind w:firstLine="420" w:firstLineChars="200"/>
        <w:rPr>
          <w:rFonts w:ascii="宋体" w:hAnsi="宋体"/>
          <w:szCs w:val="21"/>
        </w:rPr>
      </w:pPr>
      <w:r>
        <w:rPr>
          <w:rFonts w:hint="eastAsia" w:ascii="宋体" w:hAnsi="宋体"/>
          <w:szCs w:val="21"/>
        </w:rPr>
        <w:t>27.2招标人应当自确定中标人后，向招标投标监管机构提交招标投标情况的书面报告；经招投标监管机构备案后，方可发出中标通知书。</w:t>
      </w:r>
    </w:p>
    <w:p w14:paraId="026D7901">
      <w:pPr>
        <w:pBdr>
          <w:bottom w:val="single" w:color="auto" w:sz="6" w:space="1"/>
        </w:pBdr>
        <w:spacing w:line="360" w:lineRule="auto"/>
        <w:ind w:firstLine="420" w:firstLineChars="200"/>
        <w:rPr>
          <w:rFonts w:ascii="宋体" w:hAnsi="宋体"/>
          <w:szCs w:val="21"/>
        </w:rPr>
      </w:pPr>
      <w:r>
        <w:rPr>
          <w:rFonts w:hint="eastAsia" w:ascii="宋体" w:hAnsi="宋体"/>
          <w:szCs w:val="21"/>
        </w:rPr>
        <w:t>27.3中标人必须在收到中标通知书后24小时之内以书面形式回复招标人，确认收到。</w:t>
      </w:r>
    </w:p>
    <w:p w14:paraId="05AE8E95">
      <w:pPr>
        <w:pBdr>
          <w:bottom w:val="single" w:color="auto" w:sz="6" w:space="1"/>
        </w:pBdr>
        <w:spacing w:line="360" w:lineRule="auto"/>
        <w:ind w:firstLine="420" w:firstLineChars="200"/>
        <w:rPr>
          <w:rFonts w:ascii="宋体" w:hAnsi="宋体"/>
          <w:szCs w:val="21"/>
        </w:rPr>
      </w:pPr>
      <w:r>
        <w:rPr>
          <w:rFonts w:hint="eastAsia" w:ascii="宋体" w:hAnsi="宋体"/>
          <w:szCs w:val="21"/>
        </w:rPr>
        <w:t>27.4在产生中标候选人后，招标人将中标候选人的投标文件商务部分文件的所有内容（包括人员、业绩、奖项等资料）在交易平台和广东省招标投标监管网公开。</w:t>
      </w:r>
    </w:p>
    <w:p w14:paraId="1B3D84A1">
      <w:pPr>
        <w:pBdr>
          <w:bottom w:val="single" w:color="auto" w:sz="6" w:space="1"/>
        </w:pBdr>
        <w:spacing w:line="360" w:lineRule="auto"/>
        <w:ind w:firstLine="420" w:firstLineChars="200"/>
        <w:rPr>
          <w:rFonts w:ascii="宋体" w:hAnsi="宋体"/>
          <w:szCs w:val="21"/>
        </w:rPr>
      </w:pPr>
      <w:r>
        <w:rPr>
          <w:rFonts w:hint="eastAsia" w:ascii="宋体" w:hAnsi="宋体"/>
          <w:b/>
          <w:szCs w:val="21"/>
        </w:rPr>
        <w:t>现文：</w:t>
      </w:r>
      <w:r>
        <w:rPr>
          <w:rFonts w:hint="eastAsia" w:ascii="宋体" w:hAnsi="宋体"/>
          <w:szCs w:val="21"/>
        </w:rPr>
        <w:t>27．中标通知书</w:t>
      </w:r>
    </w:p>
    <w:p w14:paraId="778FF123">
      <w:pPr>
        <w:pBdr>
          <w:bottom w:val="single" w:color="auto" w:sz="6" w:space="1"/>
        </w:pBdr>
        <w:spacing w:line="360" w:lineRule="auto"/>
        <w:ind w:firstLine="420" w:firstLineChars="200"/>
        <w:rPr>
          <w:rFonts w:ascii="宋体" w:hAnsi="宋体"/>
          <w:szCs w:val="21"/>
          <w:u w:val="single"/>
        </w:rPr>
      </w:pPr>
      <w:r>
        <w:rPr>
          <w:rFonts w:hint="eastAsia" w:ascii="宋体" w:hAnsi="宋体"/>
          <w:szCs w:val="21"/>
        </w:rPr>
        <w:t>27.1招标人将在</w:t>
      </w:r>
      <w:r>
        <w:rPr>
          <w:rFonts w:hint="eastAsia"/>
          <w:szCs w:val="21"/>
          <w:u w:val="single"/>
        </w:rPr>
        <w:t>广州公共资源交易中心</w:t>
      </w:r>
      <w:r>
        <w:rPr>
          <w:rFonts w:hint="eastAsia" w:ascii="宋体" w:hAnsi="宋体"/>
          <w:szCs w:val="21"/>
        </w:rPr>
        <w:t>交易平台、广东省招标投标监管网和中国招标投标公共服务平台公示中标候选人，公示期为三天。投标人或其他利害关系人对评标结果有异议的，应当在中标候选人公示期间提出，可以通过线下或线上的形式提出异议。线上提交的，应通过交易平台进行，招标人也应通过交易平台答复线上提交的异议。作出答复前，应当暂停招标投标活动。</w:t>
      </w:r>
    </w:p>
    <w:p w14:paraId="187F0B36">
      <w:pPr>
        <w:pBdr>
          <w:bottom w:val="single" w:color="auto" w:sz="6" w:space="1"/>
        </w:pBdr>
        <w:spacing w:line="360" w:lineRule="auto"/>
        <w:ind w:firstLine="420" w:firstLineChars="200"/>
        <w:rPr>
          <w:rFonts w:ascii="宋体" w:hAnsi="宋体"/>
          <w:szCs w:val="21"/>
        </w:rPr>
      </w:pPr>
      <w:r>
        <w:rPr>
          <w:rFonts w:hint="eastAsia" w:ascii="宋体" w:hAnsi="宋体"/>
          <w:szCs w:val="21"/>
        </w:rPr>
        <w:t>27.2招标人应当自确定中标人后，向招标投标监管机构提交招标投标情况的书面报告；经招投标监管机构备案后，方可发出中标通知书。</w:t>
      </w:r>
    </w:p>
    <w:p w14:paraId="505137B0">
      <w:pPr>
        <w:pBdr>
          <w:bottom w:val="single" w:color="auto" w:sz="6" w:space="1"/>
        </w:pBdr>
        <w:spacing w:line="360" w:lineRule="auto"/>
        <w:ind w:firstLine="420" w:firstLineChars="200"/>
        <w:rPr>
          <w:rFonts w:ascii="宋体" w:hAnsi="宋体"/>
          <w:szCs w:val="21"/>
        </w:rPr>
      </w:pPr>
      <w:r>
        <w:rPr>
          <w:rFonts w:hint="eastAsia" w:ascii="宋体" w:hAnsi="宋体"/>
          <w:szCs w:val="21"/>
        </w:rPr>
        <w:t>27.3</w:t>
      </w:r>
      <w:r>
        <w:rPr>
          <w:rFonts w:hint="eastAsia" w:ascii="宋体" w:hAnsi="宋体"/>
          <w:szCs w:val="21"/>
          <w:u w:val="single"/>
        </w:rPr>
        <w:t>中标人自行于广州公共资源交易中心交易平台下载中标通知书。中标人须对其投标文件真实性负责，并准备投标文件涉及的所有原件待查，如存在弄虚作假情况或原件不齐或与原件不符的，招标人有权取消其中标人资格，并上报建设行政主管部门。</w:t>
      </w:r>
    </w:p>
    <w:p w14:paraId="639FED7F">
      <w:pPr>
        <w:pBdr>
          <w:bottom w:val="single" w:color="auto" w:sz="6" w:space="1"/>
        </w:pBdr>
        <w:spacing w:line="360" w:lineRule="auto"/>
        <w:ind w:firstLine="420" w:firstLineChars="200"/>
        <w:rPr>
          <w:rFonts w:ascii="宋体" w:hAnsi="宋体"/>
          <w:szCs w:val="21"/>
        </w:rPr>
      </w:pPr>
      <w:r>
        <w:rPr>
          <w:rFonts w:hint="eastAsia" w:ascii="宋体" w:hAnsi="宋体"/>
          <w:szCs w:val="21"/>
        </w:rPr>
        <w:t>27.4在产生中标候选人后，招标人将中标候选人的投标文件商务部分文件的人员、业绩、奖项等资料在</w:t>
      </w:r>
      <w:r>
        <w:rPr>
          <w:rFonts w:hint="eastAsia"/>
          <w:szCs w:val="21"/>
          <w:u w:val="single"/>
        </w:rPr>
        <w:t>广州公共资源交易中心</w:t>
      </w:r>
      <w:r>
        <w:rPr>
          <w:rFonts w:hint="eastAsia" w:ascii="宋体" w:hAnsi="宋体"/>
          <w:szCs w:val="21"/>
        </w:rPr>
        <w:t>交易平台和广东省招标投标监管网公开。</w:t>
      </w:r>
    </w:p>
    <w:p w14:paraId="1DC05646">
      <w:pPr>
        <w:pBdr>
          <w:bottom w:val="single" w:color="auto" w:sz="6" w:space="1"/>
        </w:pBdr>
        <w:spacing w:line="360" w:lineRule="auto"/>
        <w:ind w:firstLine="420" w:firstLineChars="200"/>
        <w:rPr>
          <w:rFonts w:ascii="宋体" w:hAnsi="宋体"/>
          <w:szCs w:val="21"/>
          <w:u w:val="single"/>
        </w:rPr>
      </w:pPr>
      <w:r>
        <w:rPr>
          <w:rFonts w:ascii="宋体" w:hAnsi="宋体"/>
          <w:b/>
          <w:bCs/>
          <w:szCs w:val="21"/>
          <w:u w:val="single"/>
        </w:rPr>
        <w:t>27.5</w:t>
      </w:r>
      <w:r>
        <w:rPr>
          <w:rFonts w:hint="eastAsia" w:ascii="宋体" w:hAnsi="宋体"/>
          <w:szCs w:val="21"/>
          <w:u w:val="single"/>
        </w:rPr>
        <w:t>中标人在签订合同前需向招标人另行提供与投标递交的电子标书一致的纸质投标文件（含投标人须知</w:t>
      </w:r>
      <w:r>
        <w:rPr>
          <w:rFonts w:ascii="宋体" w:hAnsi="宋体"/>
          <w:szCs w:val="21"/>
          <w:u w:val="single"/>
        </w:rPr>
        <w:t>11.3列表明细包含的所有工程量清单报价表）2份</w:t>
      </w:r>
      <w:r>
        <w:rPr>
          <w:rFonts w:hint="eastAsia" w:ascii="宋体" w:hAnsi="宋体"/>
          <w:szCs w:val="21"/>
          <w:u w:val="single"/>
        </w:rPr>
        <w:t>及电子文件</w:t>
      </w:r>
      <w:r>
        <w:rPr>
          <w:rFonts w:ascii="宋体" w:hAnsi="宋体"/>
          <w:szCs w:val="21"/>
          <w:u w:val="single"/>
        </w:rPr>
        <w:t xml:space="preserve">1份（不用生成投标书；包括用Microsoft Excel </w:t>
      </w:r>
      <w:r>
        <w:rPr>
          <w:rFonts w:hint="eastAsia" w:ascii="宋体" w:hAnsi="宋体"/>
          <w:szCs w:val="21"/>
          <w:u w:val="single"/>
        </w:rPr>
        <w:t>软件或广州公共资源交易中心提供的投标书制作软件制作的工程量清单报价表和单价分析表，用</w:t>
      </w:r>
      <w:r>
        <w:rPr>
          <w:rFonts w:ascii="宋体" w:hAnsi="宋体"/>
          <w:szCs w:val="21"/>
          <w:u w:val="single"/>
        </w:rPr>
        <w:t xml:space="preserve"> Microsoft Word </w:t>
      </w:r>
      <w:r>
        <w:rPr>
          <w:rFonts w:hint="eastAsia" w:ascii="宋体" w:hAnsi="宋体"/>
          <w:szCs w:val="21"/>
          <w:u w:val="single"/>
        </w:rPr>
        <w:t>软件或广州公共资源交易中心提供的投标书制作软件制作的经济投标文件其他部分。电子文件介质使用</w:t>
      </w:r>
      <w:r>
        <w:rPr>
          <w:rFonts w:ascii="宋体" w:hAnsi="宋体"/>
          <w:szCs w:val="21"/>
          <w:u w:val="single"/>
        </w:rPr>
        <w:t xml:space="preserve">CD-R </w:t>
      </w:r>
      <w:r>
        <w:rPr>
          <w:rFonts w:hint="eastAsia" w:ascii="宋体" w:hAnsi="宋体"/>
          <w:szCs w:val="21"/>
          <w:u w:val="single"/>
        </w:rPr>
        <w:t>光盘，所有电子文件不能采用压缩处理）。</w:t>
      </w:r>
    </w:p>
    <w:p w14:paraId="760C9539">
      <w:pPr>
        <w:spacing w:line="360" w:lineRule="auto"/>
        <w:ind w:firstLine="420" w:firstLineChars="200"/>
        <w:rPr>
          <w:rFonts w:ascii="宋体" w:hAnsi="宋体" w:cs="宋体"/>
          <w:b/>
          <w:szCs w:val="21"/>
        </w:rPr>
      </w:pPr>
      <w:r>
        <w:rPr>
          <w:rFonts w:hint="eastAsia" w:ascii="宋体" w:hAnsi="宋体" w:cs="宋体"/>
          <w:b/>
          <w:szCs w:val="21"/>
        </w:rPr>
        <w:t>条款号：28.4                       修改类型：修改</w:t>
      </w:r>
    </w:p>
    <w:p w14:paraId="7956227D">
      <w:pPr>
        <w:spacing w:line="360" w:lineRule="auto"/>
        <w:ind w:firstLine="420" w:firstLineChars="200"/>
        <w:rPr>
          <w:rFonts w:ascii="宋体" w:hAnsi="宋体" w:cs="宋体"/>
          <w:szCs w:val="21"/>
        </w:rPr>
      </w:pPr>
      <w:r>
        <w:rPr>
          <w:rFonts w:hint="eastAsia" w:ascii="宋体" w:hAnsi="宋体" w:cs="宋体"/>
          <w:b/>
          <w:szCs w:val="21"/>
        </w:rPr>
        <w:t>原文：</w:t>
      </w:r>
      <w:r>
        <w:rPr>
          <w:rFonts w:hint="eastAsia" w:ascii="宋体" w:hAnsi="宋体" w:cs="宋体"/>
          <w:szCs w:val="21"/>
        </w:rPr>
        <w:t>28.4招标人支付工程款时，中标人应按规定开具发票。</w:t>
      </w:r>
    </w:p>
    <w:p w14:paraId="1A189DFD">
      <w:pPr>
        <w:pBdr>
          <w:bottom w:val="single" w:color="auto" w:sz="6" w:space="1"/>
        </w:pBdr>
        <w:spacing w:line="360" w:lineRule="auto"/>
        <w:ind w:firstLine="420" w:firstLineChars="200"/>
        <w:rPr>
          <w:rFonts w:ascii="宋体" w:hAnsi="宋体" w:cs="宋体"/>
          <w:bCs/>
          <w:szCs w:val="21"/>
        </w:rPr>
      </w:pPr>
      <w:r>
        <w:rPr>
          <w:rFonts w:hint="eastAsia" w:ascii="宋体" w:hAnsi="宋体" w:cs="宋体"/>
          <w:b/>
          <w:szCs w:val="21"/>
        </w:rPr>
        <w:t>现文：</w:t>
      </w:r>
      <w:r>
        <w:rPr>
          <w:rFonts w:hint="eastAsia" w:ascii="宋体" w:hAnsi="宋体" w:cs="宋体"/>
          <w:bCs/>
          <w:szCs w:val="21"/>
        </w:rPr>
        <w:t>28.4招标人支付工程款时，中标人应</w:t>
      </w:r>
      <w:r>
        <w:rPr>
          <w:rFonts w:hint="eastAsia" w:ascii="宋体" w:hAnsi="宋体" w:cs="宋体"/>
          <w:szCs w:val="21"/>
        </w:rPr>
        <w:t>按规定开具</w:t>
      </w:r>
      <w:r>
        <w:rPr>
          <w:rFonts w:hint="eastAsia" w:ascii="宋体" w:hAnsi="宋体" w:cs="宋体"/>
          <w:bCs/>
          <w:szCs w:val="21"/>
          <w:u w:val="single"/>
        </w:rPr>
        <w:t>符合国家税务相关部门要求的</w:t>
      </w:r>
      <w:r>
        <w:rPr>
          <w:rFonts w:hint="eastAsia" w:ascii="宋体" w:hAnsi="宋体" w:cs="宋体"/>
          <w:bCs/>
          <w:szCs w:val="21"/>
        </w:rPr>
        <w:t>发票。</w:t>
      </w:r>
    </w:p>
    <w:p w14:paraId="638741C0">
      <w:pPr>
        <w:spacing w:line="276" w:lineRule="auto"/>
        <w:ind w:firstLine="420" w:firstLineChars="200"/>
        <w:rPr>
          <w:rFonts w:ascii="宋体" w:hAnsi="宋体" w:cs="宋体"/>
          <w:b/>
          <w:szCs w:val="21"/>
        </w:rPr>
      </w:pPr>
      <w:r>
        <w:rPr>
          <w:rFonts w:hint="eastAsia" w:ascii="宋体" w:hAnsi="宋体" w:cs="宋体"/>
          <w:b/>
          <w:szCs w:val="21"/>
        </w:rPr>
        <w:t>条款号：</w:t>
      </w:r>
      <w:r>
        <w:rPr>
          <w:rFonts w:ascii="宋体" w:hAnsi="宋体" w:cs="宋体"/>
          <w:b/>
          <w:szCs w:val="21"/>
        </w:rPr>
        <w:t>29</w:t>
      </w:r>
      <w:r>
        <w:rPr>
          <w:rFonts w:hint="eastAsia" w:ascii="宋体" w:hAnsi="宋体" w:cs="宋体"/>
          <w:b/>
          <w:szCs w:val="21"/>
        </w:rPr>
        <w:t xml:space="preserve">                       修改类型：修改</w:t>
      </w:r>
    </w:p>
    <w:p w14:paraId="170D0437">
      <w:pPr>
        <w:spacing w:line="360" w:lineRule="auto"/>
        <w:ind w:firstLine="420" w:firstLineChars="200"/>
        <w:rPr>
          <w:rFonts w:ascii="宋体" w:hAnsi="宋体" w:cs="宋体"/>
          <w:b/>
          <w:szCs w:val="21"/>
        </w:rPr>
      </w:pPr>
      <w:r>
        <w:rPr>
          <w:rFonts w:hint="eastAsia" w:ascii="宋体" w:hAnsi="宋体" w:cs="宋体"/>
          <w:b/>
          <w:szCs w:val="21"/>
        </w:rPr>
        <w:t>原文：29．履约担保</w:t>
      </w:r>
    </w:p>
    <w:p w14:paraId="5BF33301">
      <w:pPr>
        <w:spacing w:line="360" w:lineRule="auto"/>
        <w:ind w:firstLine="420" w:firstLineChars="200"/>
        <w:rPr>
          <w:rFonts w:ascii="宋体" w:hAnsi="宋体" w:cs="宋体"/>
          <w:szCs w:val="21"/>
        </w:rPr>
      </w:pPr>
      <w:r>
        <w:rPr>
          <w:rFonts w:hint="eastAsia" w:ascii="宋体" w:hAnsi="宋体" w:cs="宋体"/>
          <w:b/>
          <w:szCs w:val="21"/>
        </w:rPr>
        <w:t xml:space="preserve">29.1 </w:t>
      </w:r>
      <w:r>
        <w:rPr>
          <w:rFonts w:hint="eastAsia" w:ascii="宋体" w:hAnsi="宋体" w:cs="宋体"/>
          <w:szCs w:val="21"/>
        </w:rPr>
        <w:t>在收到中标通知书后的15日内，中标人应按本须知前附表第20项的规定向招标人提交履约担保。</w:t>
      </w:r>
    </w:p>
    <w:p w14:paraId="3765E42F">
      <w:pPr>
        <w:spacing w:line="360" w:lineRule="auto"/>
        <w:ind w:firstLine="420" w:firstLineChars="200"/>
        <w:rPr>
          <w:rFonts w:ascii="宋体"/>
          <w:sz w:val="24"/>
        </w:rPr>
      </w:pPr>
      <w:r>
        <w:rPr>
          <w:rFonts w:hint="eastAsia" w:ascii="宋体" w:hAnsi="宋体" w:cs="宋体"/>
          <w:b/>
          <w:szCs w:val="21"/>
        </w:rPr>
        <w:t>29.2</w:t>
      </w:r>
      <w:r>
        <w:rPr>
          <w:rFonts w:hint="eastAsia" w:ascii="宋体" w:hAnsi="宋体" w:cs="宋体"/>
          <w:szCs w:val="21"/>
        </w:rPr>
        <w:t>中标通知书发出之日起15日后，中标人未按上款的规定提交履约担保，招标人将解除中标通知书，原中标人的投标保证金不予退还，且依法承担相应法律责任。原中标人给招标人造成的损失超过投标保证金数额的，还应当对超过部分予以赔偿。原中标人有异议的，可以向人民法院起诉。</w:t>
      </w:r>
    </w:p>
    <w:p w14:paraId="3AF1A87E">
      <w:pPr>
        <w:snapToGrid w:val="0"/>
        <w:spacing w:line="360" w:lineRule="auto"/>
        <w:ind w:firstLine="420" w:firstLineChars="200"/>
        <w:rPr>
          <w:rFonts w:ascii="宋体" w:hAnsi="宋体" w:cs="宋体"/>
          <w:b/>
          <w:szCs w:val="21"/>
        </w:rPr>
      </w:pPr>
      <w:r>
        <w:rPr>
          <w:rFonts w:hint="eastAsia" w:ascii="宋体" w:hAnsi="宋体" w:cs="宋体"/>
          <w:b/>
          <w:szCs w:val="21"/>
        </w:rPr>
        <w:t>现文：29．履约担保</w:t>
      </w:r>
    </w:p>
    <w:p w14:paraId="27C0816B">
      <w:pPr>
        <w:snapToGrid w:val="0"/>
        <w:spacing w:line="360" w:lineRule="auto"/>
        <w:ind w:firstLine="420" w:firstLineChars="200"/>
        <w:rPr>
          <w:rFonts w:ascii="宋体" w:hAnsi="宋体" w:cs="宋体"/>
          <w:szCs w:val="21"/>
          <w:u w:val="single"/>
        </w:rPr>
      </w:pPr>
      <w:r>
        <w:rPr>
          <w:rFonts w:hint="eastAsia" w:ascii="宋体" w:hAnsi="宋体" w:cs="宋体"/>
          <w:b/>
          <w:szCs w:val="21"/>
        </w:rPr>
        <w:t>29.1</w:t>
      </w:r>
      <w:r>
        <w:rPr>
          <w:rFonts w:hint="eastAsia" w:ascii="宋体" w:hAnsi="宋体" w:cs="宋体"/>
          <w:szCs w:val="21"/>
          <w:u w:val="single"/>
        </w:rPr>
        <w:t>中标人应按本须知前附表第20项的规定向招标人提交履约担保，具体以合同约定为准。</w:t>
      </w:r>
    </w:p>
    <w:p w14:paraId="56CEA3DA">
      <w:pPr>
        <w:pBdr>
          <w:bottom w:val="single" w:color="auto" w:sz="6" w:space="1"/>
        </w:pBdr>
        <w:spacing w:line="360" w:lineRule="auto"/>
        <w:ind w:firstLine="420" w:firstLineChars="200"/>
        <w:rPr>
          <w:rFonts w:ascii="宋体" w:hAnsi="宋体" w:cs="宋体"/>
          <w:bCs/>
          <w:szCs w:val="21"/>
          <w:u w:val="single"/>
        </w:rPr>
      </w:pPr>
      <w:r>
        <w:rPr>
          <w:rFonts w:hint="eastAsia" w:ascii="宋体" w:hAnsi="宋体" w:cs="宋体"/>
          <w:b/>
          <w:szCs w:val="21"/>
        </w:rPr>
        <w:t>29.2</w:t>
      </w:r>
      <w:r>
        <w:rPr>
          <w:rFonts w:hint="eastAsia" w:ascii="宋体" w:hAnsi="宋体" w:cs="宋体"/>
          <w:szCs w:val="21"/>
          <w:u w:val="single"/>
        </w:rPr>
        <w:t>中标人未按上款的规定提交履约担保，招标人将解除中标通知书，且依法承担相应法律责任。原中标人给招标人造成的损失，应当予以赔偿。原中标人有异议的，可以向人民法院起诉。具体以合同约定为准。</w:t>
      </w:r>
    </w:p>
    <w:p w14:paraId="7549876D">
      <w:pPr>
        <w:adjustRightInd w:val="0"/>
        <w:spacing w:line="400" w:lineRule="exact"/>
        <w:ind w:firstLine="470" w:firstLineChars="224"/>
        <w:textAlignment w:val="baseline"/>
        <w:rPr>
          <w:rFonts w:ascii="宋体" w:hAnsi="宋体" w:cs="宋体"/>
          <w:b/>
          <w:szCs w:val="21"/>
        </w:rPr>
      </w:pPr>
      <w:r>
        <w:rPr>
          <w:rFonts w:hint="eastAsia" w:ascii="宋体" w:hAnsi="宋体" w:cs="宋体"/>
          <w:b/>
          <w:szCs w:val="21"/>
        </w:rPr>
        <w:t xml:space="preserve">条款号：30.1             </w:t>
      </w:r>
      <w:r>
        <w:rPr>
          <w:rFonts w:ascii="宋体" w:hAnsi="宋体" w:cs="宋体"/>
          <w:b/>
          <w:szCs w:val="21"/>
        </w:rPr>
        <w:t xml:space="preserve">         </w:t>
      </w:r>
      <w:r>
        <w:rPr>
          <w:rFonts w:hint="eastAsia" w:ascii="宋体" w:hAnsi="宋体" w:cs="宋体"/>
          <w:b/>
          <w:szCs w:val="21"/>
        </w:rPr>
        <w:t>修改类型：修改</w:t>
      </w:r>
    </w:p>
    <w:p w14:paraId="43C67870">
      <w:pPr>
        <w:adjustRightInd w:val="0"/>
        <w:spacing w:line="400" w:lineRule="exact"/>
        <w:ind w:firstLine="470" w:firstLineChars="224"/>
        <w:textAlignment w:val="baseline"/>
        <w:rPr>
          <w:rFonts w:ascii="宋体" w:hAnsi="宋体" w:cs="宋体"/>
          <w:b/>
          <w:szCs w:val="21"/>
        </w:rPr>
      </w:pPr>
      <w:r>
        <w:rPr>
          <w:rFonts w:hint="eastAsia" w:ascii="宋体" w:hAnsi="宋体" w:cs="宋体"/>
          <w:b/>
          <w:szCs w:val="21"/>
        </w:rPr>
        <w:t>原文：</w:t>
      </w:r>
      <w:r>
        <w:rPr>
          <w:rFonts w:hint="eastAsia" w:ascii="宋体" w:hAnsi="宋体" w:cs="宋体"/>
          <w:szCs w:val="21"/>
        </w:rPr>
        <w:t>30.1在合同双方全权代表在合同协议书上签字，并分别加盖双方单位的公章后，合同正式生效。</w:t>
      </w:r>
    </w:p>
    <w:p w14:paraId="0A52B2E7">
      <w:pPr>
        <w:pBdr>
          <w:bottom w:val="single" w:color="auto" w:sz="6" w:space="1"/>
        </w:pBdr>
        <w:adjustRightInd w:val="0"/>
        <w:spacing w:line="400" w:lineRule="exact"/>
        <w:ind w:firstLine="422" w:firstLineChars="201"/>
        <w:textAlignment w:val="baseline"/>
        <w:rPr>
          <w:rFonts w:ascii="宋体" w:hAnsi="宋体" w:cs="宋体"/>
          <w:szCs w:val="21"/>
          <w:u w:val="single"/>
        </w:rPr>
      </w:pPr>
      <w:r>
        <w:rPr>
          <w:rFonts w:hint="eastAsia" w:ascii="宋体" w:hAnsi="宋体" w:cs="宋体"/>
          <w:b/>
          <w:szCs w:val="21"/>
        </w:rPr>
        <w:t>现文：</w:t>
      </w:r>
      <w:r>
        <w:rPr>
          <w:rFonts w:hint="eastAsia" w:ascii="宋体" w:hAnsi="宋体" w:cs="宋体"/>
          <w:szCs w:val="21"/>
        </w:rPr>
        <w:t>30.1在合同双方全权代表在合同协议书上签字，并分别加盖双方单位的公章</w:t>
      </w:r>
      <w:r>
        <w:rPr>
          <w:rFonts w:hint="eastAsia" w:ascii="宋体" w:hAnsi="宋体" w:cs="宋体"/>
          <w:szCs w:val="21"/>
          <w:u w:val="single"/>
        </w:rPr>
        <w:t>且承包人提交履约担保后，合同正式生效。</w:t>
      </w:r>
    </w:p>
    <w:p w14:paraId="6C0B9348">
      <w:pPr>
        <w:spacing w:line="360" w:lineRule="auto"/>
        <w:ind w:firstLine="210" w:firstLineChars="100"/>
        <w:rPr>
          <w:b/>
          <w:szCs w:val="21"/>
        </w:rPr>
      </w:pPr>
      <w:r>
        <w:rPr>
          <w:rFonts w:hint="eastAsia"/>
          <w:b/>
          <w:szCs w:val="21"/>
        </w:rPr>
        <w:t>注：以上修改，仅限于本范本中有可供选择条款的情形。</w:t>
      </w:r>
    </w:p>
    <w:p w14:paraId="6F9DA8AE">
      <w:pPr>
        <w:spacing w:line="360" w:lineRule="auto"/>
      </w:pPr>
      <w:r>
        <w:rPr>
          <w:rFonts w:hint="eastAsia"/>
          <w:b/>
          <w:szCs w:val="21"/>
        </w:rPr>
        <w:t>（以下无正文）</w:t>
      </w:r>
    </w:p>
    <w:p w14:paraId="76B45AA2">
      <w:pPr>
        <w:pStyle w:val="7"/>
        <w:rPr>
          <w:color w:val="auto"/>
        </w:rPr>
      </w:pPr>
      <w:r>
        <w:rPr>
          <w:color w:val="auto"/>
        </w:rPr>
        <w:br w:type="page"/>
      </w:r>
      <w:bookmarkStart w:id="9" w:name="_Toc2272548"/>
      <w:r>
        <w:rPr>
          <w:rFonts w:hint="eastAsia"/>
          <w:color w:val="auto"/>
        </w:rPr>
        <w:t>三、投标须知通用条款</w:t>
      </w:r>
      <w:bookmarkEnd w:id="9"/>
    </w:p>
    <w:p w14:paraId="5C6F4A69">
      <w:pPr>
        <w:pStyle w:val="8"/>
        <w:spacing w:before="156" w:after="156"/>
      </w:pPr>
      <w:bookmarkStart w:id="10" w:name="_Toc2272549"/>
      <w:r>
        <w:rPr>
          <w:rFonts w:hint="eastAsia"/>
        </w:rPr>
        <w:t>（一）总则</w:t>
      </w:r>
      <w:bookmarkEnd w:id="10"/>
    </w:p>
    <w:p w14:paraId="3767D3D1">
      <w:pPr>
        <w:pStyle w:val="5"/>
        <w:spacing w:after="0" w:line="360" w:lineRule="auto"/>
        <w:ind w:firstLine="480" w:firstLineChars="200"/>
        <w:rPr>
          <w:rFonts w:ascii="宋体" w:hAnsi="宋体" w:eastAsia="宋体"/>
          <w:b/>
          <w:bCs/>
          <w:sz w:val="24"/>
        </w:rPr>
      </w:pPr>
      <w:r>
        <w:rPr>
          <w:rFonts w:ascii="宋体" w:hAnsi="宋体" w:eastAsia="宋体"/>
          <w:b/>
          <w:bCs/>
          <w:sz w:val="24"/>
        </w:rPr>
        <w:t>1</w:t>
      </w:r>
      <w:r>
        <w:rPr>
          <w:rFonts w:hint="eastAsia" w:ascii="宋体" w:hAnsi="宋体" w:eastAsia="宋体"/>
          <w:b/>
          <w:bCs/>
          <w:sz w:val="24"/>
        </w:rPr>
        <w:t>、定义</w:t>
      </w:r>
    </w:p>
    <w:p w14:paraId="63144C59">
      <w:pPr>
        <w:pStyle w:val="5"/>
        <w:spacing w:after="0" w:line="360" w:lineRule="auto"/>
        <w:ind w:firstLine="480" w:firstLineChars="200"/>
        <w:rPr>
          <w:rFonts w:ascii="宋体" w:hAnsi="宋体" w:eastAsia="宋体"/>
          <w:b/>
          <w:bCs/>
          <w:sz w:val="24"/>
        </w:rPr>
      </w:pPr>
      <w:r>
        <w:rPr>
          <w:rFonts w:hint="eastAsia" w:ascii="宋体" w:hAnsi="宋体" w:eastAsia="宋体"/>
          <w:sz w:val="24"/>
        </w:rPr>
        <w:t>本招标文件使用的下列词语具有如下规定的意义：</w:t>
      </w:r>
    </w:p>
    <w:p w14:paraId="0C64408A">
      <w:pPr>
        <w:pStyle w:val="5"/>
        <w:spacing w:after="0" w:line="360" w:lineRule="auto"/>
        <w:ind w:firstLine="480" w:firstLineChars="200"/>
        <w:rPr>
          <w:rFonts w:ascii="宋体" w:hAnsi="宋体" w:eastAsia="宋体"/>
          <w:b/>
          <w:bCs/>
          <w:sz w:val="24"/>
          <w:u w:val="single"/>
        </w:rPr>
      </w:pPr>
      <w:r>
        <w:rPr>
          <w:rFonts w:hint="eastAsia" w:ascii="宋体" w:hAnsi="宋体" w:eastAsia="宋体"/>
          <w:sz w:val="24"/>
        </w:rPr>
        <w:t>（</w:t>
      </w:r>
      <w:r>
        <w:rPr>
          <w:rFonts w:ascii="宋体" w:hAnsi="宋体" w:eastAsia="宋体"/>
          <w:sz w:val="24"/>
        </w:rPr>
        <w:t>1</w:t>
      </w:r>
      <w:r>
        <w:rPr>
          <w:rFonts w:hint="eastAsia" w:ascii="宋体" w:hAnsi="宋体" w:eastAsia="宋体"/>
          <w:sz w:val="24"/>
        </w:rPr>
        <w:t>）“招标人”（即发包人）、“项目建设管理单位”（或称“项目代建单位”）、“招标代理”、“设计单位”、“监理单位”均已在投标须知前附表中列明。</w:t>
      </w:r>
    </w:p>
    <w:p w14:paraId="4C28E11F">
      <w:pPr>
        <w:pStyle w:val="5"/>
        <w:spacing w:after="0" w:line="360" w:lineRule="auto"/>
        <w:ind w:firstLine="480" w:firstLineChars="200"/>
        <w:rPr>
          <w:rFonts w:ascii="宋体" w:hAnsi="宋体" w:eastAsia="宋体"/>
          <w:sz w:val="24"/>
          <w:u w:val="single"/>
        </w:rPr>
      </w:pPr>
      <w:r>
        <w:rPr>
          <w:rFonts w:hint="eastAsia" w:ascii="宋体" w:hAnsi="宋体" w:eastAsia="宋体"/>
          <w:sz w:val="24"/>
        </w:rPr>
        <w:t>（</w:t>
      </w:r>
      <w:r>
        <w:rPr>
          <w:rFonts w:ascii="宋体" w:hAnsi="宋体" w:eastAsia="宋体"/>
          <w:sz w:val="24"/>
        </w:rPr>
        <w:t>2</w:t>
      </w:r>
      <w:r>
        <w:rPr>
          <w:rFonts w:hint="eastAsia" w:ascii="宋体" w:hAnsi="宋体" w:eastAsia="宋体"/>
          <w:sz w:val="24"/>
        </w:rPr>
        <w:t>）“投标人”指向招标人提交投标文件的当事人。</w:t>
      </w:r>
      <w:r>
        <w:rPr>
          <w:rFonts w:ascii="宋体" w:hAnsi="宋体" w:eastAsia="宋体"/>
          <w:sz w:val="24"/>
        </w:rPr>
        <w:t xml:space="preserve">   </w:t>
      </w:r>
    </w:p>
    <w:p w14:paraId="4FADDA9A">
      <w:pPr>
        <w:pStyle w:val="5"/>
        <w:spacing w:after="0" w:line="360" w:lineRule="auto"/>
        <w:ind w:firstLine="480" w:firstLineChars="200"/>
        <w:rPr>
          <w:rFonts w:ascii="宋体" w:hAnsi="宋体" w:eastAsia="宋体"/>
          <w:sz w:val="24"/>
        </w:rPr>
      </w:pPr>
      <w:r>
        <w:rPr>
          <w:rFonts w:hint="eastAsia" w:ascii="宋体" w:hAnsi="宋体" w:eastAsia="宋体"/>
          <w:sz w:val="24"/>
        </w:rPr>
        <w:t>（</w:t>
      </w:r>
      <w:r>
        <w:rPr>
          <w:rFonts w:ascii="宋体" w:hAnsi="宋体" w:eastAsia="宋体"/>
          <w:sz w:val="24"/>
        </w:rPr>
        <w:t>3</w:t>
      </w:r>
      <w:r>
        <w:rPr>
          <w:rFonts w:hint="eastAsia" w:ascii="宋体" w:hAnsi="宋体" w:eastAsia="宋体"/>
          <w:sz w:val="24"/>
        </w:rPr>
        <w:t>）“承包人”指其投标被招标人接受并与其签订承包合同的当事人。</w:t>
      </w:r>
    </w:p>
    <w:p w14:paraId="15A48058">
      <w:pPr>
        <w:pStyle w:val="5"/>
        <w:spacing w:after="0" w:line="360" w:lineRule="auto"/>
        <w:ind w:firstLine="480" w:firstLineChars="200"/>
        <w:rPr>
          <w:rFonts w:ascii="宋体" w:hAnsi="宋体" w:eastAsia="宋体"/>
          <w:sz w:val="24"/>
          <w:u w:val="single"/>
        </w:rPr>
      </w:pPr>
      <w:r>
        <w:rPr>
          <w:rFonts w:hint="eastAsia" w:ascii="宋体" w:hAnsi="宋体" w:eastAsia="宋体"/>
          <w:sz w:val="24"/>
        </w:rPr>
        <w:t>（</w:t>
      </w:r>
      <w:r>
        <w:rPr>
          <w:rFonts w:ascii="宋体" w:hAnsi="宋体" w:eastAsia="宋体"/>
          <w:sz w:val="24"/>
        </w:rPr>
        <w:t>4</w:t>
      </w:r>
      <w:r>
        <w:rPr>
          <w:rFonts w:hint="eastAsia" w:ascii="宋体" w:hAnsi="宋体" w:eastAsia="宋体"/>
          <w:sz w:val="24"/>
        </w:rPr>
        <w:t>）“招标文件”指由招标代理发出的本文件（包括全部章节、附件）及招标答疑会会议纪要和</w:t>
      </w:r>
      <w:r>
        <w:rPr>
          <w:rFonts w:hint="eastAsia" w:ascii="宋体" w:hAnsi="宋体" w:eastAsia="宋体"/>
          <w:bCs/>
          <w:sz w:val="24"/>
        </w:rPr>
        <w:t>招标文件的澄清与修改</w:t>
      </w:r>
      <w:r>
        <w:rPr>
          <w:rFonts w:hint="eastAsia" w:ascii="宋体" w:hAnsi="宋体" w:eastAsia="宋体"/>
          <w:sz w:val="24"/>
        </w:rPr>
        <w:t>文件。</w:t>
      </w:r>
    </w:p>
    <w:p w14:paraId="570658BF">
      <w:pPr>
        <w:pStyle w:val="5"/>
        <w:spacing w:after="0" w:line="360" w:lineRule="auto"/>
        <w:ind w:firstLine="480" w:firstLineChars="200"/>
        <w:rPr>
          <w:rFonts w:ascii="宋体" w:hAnsi="宋体" w:eastAsia="宋体"/>
          <w:sz w:val="24"/>
        </w:rPr>
      </w:pPr>
      <w:r>
        <w:rPr>
          <w:rFonts w:hint="eastAsia" w:ascii="宋体" w:hAnsi="宋体" w:eastAsia="宋体"/>
          <w:sz w:val="24"/>
        </w:rPr>
        <w:t>（</w:t>
      </w:r>
      <w:r>
        <w:rPr>
          <w:rFonts w:ascii="宋体" w:hAnsi="宋体" w:eastAsia="宋体"/>
          <w:sz w:val="24"/>
        </w:rPr>
        <w:t>5</w:t>
      </w:r>
      <w:r>
        <w:rPr>
          <w:rFonts w:hint="eastAsia" w:ascii="宋体" w:hAnsi="宋体" w:eastAsia="宋体"/>
          <w:sz w:val="24"/>
        </w:rPr>
        <w:t>）“投标文件”指投标人根据本项目招标文件向招标人提交的全部文件。</w:t>
      </w:r>
    </w:p>
    <w:p w14:paraId="246EF9E8">
      <w:pPr>
        <w:pStyle w:val="5"/>
        <w:spacing w:after="0" w:line="360" w:lineRule="auto"/>
        <w:ind w:firstLine="480" w:firstLineChars="200"/>
        <w:rPr>
          <w:rFonts w:ascii="宋体" w:hAnsi="宋体" w:eastAsia="宋体"/>
          <w:sz w:val="24"/>
        </w:rPr>
      </w:pPr>
      <w:r>
        <w:rPr>
          <w:rFonts w:hint="eastAsia" w:ascii="宋体" w:hAnsi="宋体" w:eastAsia="宋体"/>
          <w:sz w:val="24"/>
        </w:rPr>
        <w:t>（</w:t>
      </w:r>
      <w:r>
        <w:rPr>
          <w:rFonts w:ascii="宋体" w:hAnsi="宋体" w:eastAsia="宋体"/>
          <w:sz w:val="24"/>
        </w:rPr>
        <w:t>6</w:t>
      </w:r>
      <w:r>
        <w:rPr>
          <w:rFonts w:hint="eastAsia" w:ascii="宋体" w:hAnsi="宋体" w:eastAsia="宋体"/>
          <w:sz w:val="24"/>
        </w:rPr>
        <w:t>）“书面形式”指打字或印刷的文件和数据电文（包括电报、电传、传真、电子数据交换和电子邮件）。</w:t>
      </w:r>
    </w:p>
    <w:p w14:paraId="238D8CF8">
      <w:pPr>
        <w:spacing w:line="360" w:lineRule="auto"/>
        <w:ind w:firstLine="480" w:firstLineChars="200"/>
        <w:rPr>
          <w:rFonts w:ascii="宋体"/>
          <w:b/>
          <w:sz w:val="24"/>
        </w:rPr>
      </w:pPr>
      <w:r>
        <w:rPr>
          <w:rFonts w:ascii="宋体" w:hAnsi="宋体"/>
          <w:b/>
          <w:sz w:val="24"/>
        </w:rPr>
        <w:t>2</w:t>
      </w:r>
      <w:r>
        <w:rPr>
          <w:rFonts w:hint="eastAsia" w:ascii="宋体" w:hAnsi="宋体"/>
          <w:b/>
          <w:sz w:val="24"/>
        </w:rPr>
        <w:t>、招标说明</w:t>
      </w:r>
    </w:p>
    <w:p w14:paraId="553FE3F0">
      <w:pPr>
        <w:spacing w:line="360" w:lineRule="auto"/>
        <w:ind w:firstLine="480" w:firstLineChars="200"/>
        <w:rPr>
          <w:rFonts w:ascii="宋体"/>
          <w:bCs/>
          <w:sz w:val="24"/>
        </w:rPr>
      </w:pPr>
      <w:r>
        <w:rPr>
          <w:rFonts w:ascii="宋体" w:hAnsi="宋体"/>
          <w:bCs/>
          <w:sz w:val="24"/>
        </w:rPr>
        <w:t>2.1</w:t>
      </w:r>
      <w:r>
        <w:rPr>
          <w:rFonts w:hint="eastAsia" w:ascii="宋体" w:hAnsi="宋体"/>
          <w:bCs/>
          <w:sz w:val="24"/>
        </w:rPr>
        <w:t>本招标工程项目按照《中华人民共和国招标投标法》等有关法律、行政法规、规章和规范性文件，通过招标方式选定承包人。</w:t>
      </w:r>
    </w:p>
    <w:p w14:paraId="7037A79A">
      <w:pPr>
        <w:spacing w:line="360" w:lineRule="auto"/>
        <w:ind w:firstLine="480" w:firstLineChars="200"/>
        <w:rPr>
          <w:rFonts w:ascii="宋体"/>
          <w:bCs/>
          <w:sz w:val="24"/>
        </w:rPr>
      </w:pPr>
      <w:r>
        <w:rPr>
          <w:rFonts w:ascii="宋体" w:hAnsi="宋体"/>
          <w:bCs/>
          <w:sz w:val="24"/>
        </w:rPr>
        <w:t>2.2</w:t>
      </w:r>
      <w:r>
        <w:rPr>
          <w:rFonts w:hint="eastAsia" w:ascii="宋体" w:hAnsi="宋体"/>
          <w:bCs/>
          <w:sz w:val="24"/>
        </w:rPr>
        <w:t>工程名称、建设地点、建设规模、承包方式、质量标准、招标范围、工期要求等均在投标须知前附表中列明。</w:t>
      </w:r>
    </w:p>
    <w:p w14:paraId="385294D3">
      <w:pPr>
        <w:spacing w:line="360" w:lineRule="auto"/>
        <w:ind w:firstLine="480" w:firstLineChars="200"/>
        <w:rPr>
          <w:rFonts w:ascii="宋体"/>
          <w:bCs/>
          <w:sz w:val="24"/>
        </w:rPr>
      </w:pPr>
      <w:r>
        <w:rPr>
          <w:rFonts w:ascii="宋体" w:hAnsi="宋体"/>
          <w:bCs/>
          <w:sz w:val="24"/>
        </w:rPr>
        <w:t>2.3</w:t>
      </w:r>
      <w:r>
        <w:rPr>
          <w:rFonts w:hint="eastAsia" w:ascii="宋体" w:hAnsi="宋体"/>
          <w:bCs/>
          <w:sz w:val="24"/>
        </w:rPr>
        <w:t>设计说明：详见招标图纸。</w:t>
      </w:r>
    </w:p>
    <w:p w14:paraId="79BD2D3C">
      <w:pPr>
        <w:spacing w:line="360" w:lineRule="auto"/>
        <w:ind w:firstLine="480" w:firstLineChars="200"/>
        <w:rPr>
          <w:rFonts w:ascii="宋体"/>
          <w:bCs/>
          <w:sz w:val="24"/>
        </w:rPr>
      </w:pPr>
      <w:r>
        <w:rPr>
          <w:rFonts w:ascii="宋体" w:hAnsi="宋体"/>
          <w:bCs/>
          <w:sz w:val="24"/>
        </w:rPr>
        <w:t>2.4</w:t>
      </w:r>
      <w:r>
        <w:rPr>
          <w:rFonts w:hint="eastAsia" w:ascii="宋体" w:hAnsi="宋体"/>
          <w:bCs/>
          <w:sz w:val="24"/>
        </w:rPr>
        <w:t>工程施工特点：详见招标图纸。</w:t>
      </w:r>
    </w:p>
    <w:p w14:paraId="1FAA22A3">
      <w:pPr>
        <w:tabs>
          <w:tab w:val="left" w:pos="105"/>
        </w:tabs>
        <w:spacing w:line="360" w:lineRule="auto"/>
        <w:ind w:firstLine="480" w:firstLineChars="200"/>
        <w:rPr>
          <w:rFonts w:ascii="宋体"/>
          <w:b/>
          <w:sz w:val="24"/>
        </w:rPr>
      </w:pPr>
      <w:r>
        <w:rPr>
          <w:rFonts w:ascii="宋体" w:hAnsi="宋体"/>
          <w:b/>
          <w:sz w:val="24"/>
        </w:rPr>
        <w:t>3</w:t>
      </w:r>
      <w:r>
        <w:rPr>
          <w:rFonts w:hint="eastAsia" w:ascii="宋体" w:hAnsi="宋体"/>
          <w:b/>
          <w:sz w:val="24"/>
        </w:rPr>
        <w:t>．资金来源</w:t>
      </w:r>
    </w:p>
    <w:p w14:paraId="019645EF">
      <w:pPr>
        <w:spacing w:line="360" w:lineRule="auto"/>
        <w:ind w:firstLine="480" w:firstLineChars="200"/>
        <w:rPr>
          <w:rFonts w:ascii="宋体"/>
          <w:bCs/>
          <w:sz w:val="24"/>
        </w:rPr>
      </w:pPr>
      <w:r>
        <w:rPr>
          <w:rFonts w:ascii="宋体" w:hAnsi="宋体"/>
          <w:bCs/>
          <w:sz w:val="24"/>
        </w:rPr>
        <w:t>3.1</w:t>
      </w:r>
      <w:r>
        <w:rPr>
          <w:rFonts w:hint="eastAsia" w:ascii="宋体" w:hAnsi="宋体"/>
          <w:bCs/>
          <w:sz w:val="24"/>
        </w:rPr>
        <w:t>本招标工程项目资金来源见投标须知前附表第</w:t>
      </w:r>
      <w:r>
        <w:rPr>
          <w:rFonts w:ascii="宋体" w:hAnsi="宋体"/>
          <w:bCs/>
          <w:sz w:val="24"/>
        </w:rPr>
        <w:t>9</w:t>
      </w:r>
      <w:r>
        <w:rPr>
          <w:rFonts w:hint="eastAsia" w:ascii="宋体" w:hAnsi="宋体"/>
          <w:bCs/>
          <w:sz w:val="24"/>
        </w:rPr>
        <w:t>项</w:t>
      </w:r>
    </w:p>
    <w:p w14:paraId="77930E66">
      <w:pPr>
        <w:tabs>
          <w:tab w:val="left" w:pos="105"/>
        </w:tabs>
        <w:spacing w:line="360" w:lineRule="auto"/>
        <w:ind w:firstLine="480" w:firstLineChars="200"/>
        <w:rPr>
          <w:rFonts w:ascii="宋体"/>
          <w:b/>
          <w:sz w:val="24"/>
        </w:rPr>
      </w:pPr>
      <w:r>
        <w:rPr>
          <w:rFonts w:ascii="宋体" w:hAnsi="宋体"/>
          <w:b/>
          <w:sz w:val="24"/>
        </w:rPr>
        <w:t>4</w:t>
      </w:r>
      <w:r>
        <w:rPr>
          <w:rFonts w:hint="eastAsia" w:ascii="宋体" w:hAnsi="宋体"/>
          <w:b/>
          <w:sz w:val="24"/>
        </w:rPr>
        <w:t>．合格投标人的条件</w:t>
      </w:r>
    </w:p>
    <w:p w14:paraId="59D84151">
      <w:pPr>
        <w:spacing w:line="360" w:lineRule="auto"/>
        <w:ind w:firstLine="480" w:firstLineChars="200"/>
        <w:rPr>
          <w:rFonts w:ascii="宋体"/>
          <w:bCs/>
          <w:sz w:val="24"/>
        </w:rPr>
      </w:pPr>
      <w:r>
        <w:rPr>
          <w:rFonts w:ascii="宋体" w:hAnsi="宋体"/>
          <w:bCs/>
          <w:sz w:val="24"/>
        </w:rPr>
        <w:t>4.1</w:t>
      </w:r>
      <w:r>
        <w:rPr>
          <w:rFonts w:hint="eastAsia" w:ascii="宋体" w:hAnsi="宋体"/>
          <w:bCs/>
          <w:sz w:val="24"/>
        </w:rPr>
        <w:t>详见本项目招标公告</w:t>
      </w:r>
    </w:p>
    <w:p w14:paraId="52F4F85F">
      <w:pPr>
        <w:tabs>
          <w:tab w:val="left" w:pos="105"/>
        </w:tabs>
        <w:spacing w:line="360" w:lineRule="auto"/>
        <w:ind w:firstLine="480" w:firstLineChars="200"/>
        <w:rPr>
          <w:rFonts w:ascii="宋体"/>
          <w:b/>
          <w:sz w:val="24"/>
        </w:rPr>
      </w:pPr>
      <w:r>
        <w:rPr>
          <w:rFonts w:ascii="宋体" w:hAnsi="宋体"/>
          <w:b/>
          <w:sz w:val="24"/>
        </w:rPr>
        <w:t>5</w:t>
      </w:r>
      <w:r>
        <w:rPr>
          <w:rFonts w:hint="eastAsia" w:ascii="宋体" w:hAnsi="宋体"/>
          <w:b/>
          <w:sz w:val="24"/>
        </w:rPr>
        <w:t>．踏勘现场</w:t>
      </w:r>
    </w:p>
    <w:p w14:paraId="14AF230B">
      <w:pPr>
        <w:spacing w:line="360" w:lineRule="auto"/>
        <w:ind w:firstLine="480" w:firstLineChars="200"/>
        <w:rPr>
          <w:rFonts w:ascii="宋体"/>
          <w:bCs/>
          <w:sz w:val="24"/>
          <w:u w:val="single"/>
        </w:rPr>
      </w:pPr>
      <w:r>
        <w:rPr>
          <w:rFonts w:ascii="宋体" w:hAnsi="宋体"/>
          <w:bCs/>
          <w:sz w:val="24"/>
        </w:rPr>
        <w:t xml:space="preserve">5.1 </w:t>
      </w:r>
      <w:r>
        <w:rPr>
          <w:rFonts w:hint="eastAsia" w:ascii="宋体" w:hAnsi="宋体"/>
          <w:bCs/>
          <w:sz w:val="24"/>
        </w:rPr>
        <w:t>投标人应按本投标须知前附表第</w:t>
      </w:r>
      <w:r>
        <w:rPr>
          <w:rFonts w:ascii="宋体" w:hAnsi="宋体"/>
          <w:bCs/>
          <w:sz w:val="24"/>
        </w:rPr>
        <w:t>15</w:t>
      </w:r>
      <w:r>
        <w:rPr>
          <w:rFonts w:hint="eastAsia" w:ascii="宋体" w:hAnsi="宋体"/>
          <w:bCs/>
          <w:sz w:val="24"/>
        </w:rPr>
        <w:t>项所述时间和要求对工程现场及周围环境进行踏勘，</w:t>
      </w:r>
      <w:r>
        <w:rPr>
          <w:rFonts w:hint="eastAsia" w:ascii="宋体" w:hAnsi="宋体"/>
          <w:sz w:val="24"/>
        </w:rPr>
        <w:t>投标人应充分重视和仔细地进行这种考察，</w:t>
      </w:r>
      <w:r>
        <w:rPr>
          <w:rFonts w:hint="eastAsia" w:ascii="宋体" w:hAnsi="宋体"/>
          <w:bCs/>
          <w:sz w:val="24"/>
        </w:rPr>
        <w:t>以便投标人获取</w:t>
      </w:r>
      <w:r>
        <w:rPr>
          <w:rFonts w:hint="eastAsia" w:ascii="宋体" w:hAnsi="宋体"/>
          <w:sz w:val="24"/>
        </w:rPr>
        <w:t>那些须投标人自己负责的</w:t>
      </w:r>
      <w:r>
        <w:rPr>
          <w:rFonts w:hint="eastAsia" w:ascii="宋体" w:hAnsi="宋体"/>
          <w:bCs/>
          <w:sz w:val="24"/>
        </w:rPr>
        <w:t>有关编制投标文件和签署合同所涉及现场所有的资料。</w:t>
      </w:r>
      <w:r>
        <w:rPr>
          <w:rFonts w:hint="eastAsia" w:ascii="宋体" w:hAnsi="宋体"/>
          <w:sz w:val="24"/>
        </w:rPr>
        <w:t>一旦中标，这种考察即被认为其结果已在中标文件中得到充分反映。考察现场的费用由投标人自己承担。</w:t>
      </w:r>
    </w:p>
    <w:p w14:paraId="6894F28E">
      <w:pPr>
        <w:tabs>
          <w:tab w:val="left" w:pos="105"/>
        </w:tabs>
        <w:spacing w:line="360" w:lineRule="auto"/>
        <w:ind w:firstLine="480" w:firstLineChars="200"/>
        <w:rPr>
          <w:rFonts w:ascii="宋体"/>
          <w:bCs/>
          <w:sz w:val="24"/>
        </w:rPr>
      </w:pPr>
      <w:r>
        <w:rPr>
          <w:rFonts w:ascii="宋体" w:hAnsi="宋体"/>
          <w:bCs/>
          <w:sz w:val="24"/>
        </w:rPr>
        <w:t xml:space="preserve">5.2 </w:t>
      </w:r>
      <w:r>
        <w:rPr>
          <w:rFonts w:hint="eastAsia" w:ascii="宋体" w:hAnsi="宋体"/>
          <w:bCs/>
          <w:sz w:val="24"/>
        </w:rPr>
        <w:t>招标人向投标人提供的有关现场的数据和资料，是招标人现有的能被投标人利用的资料，招标人对投标人做出的任何推论、理解和结论均不负责任。</w:t>
      </w:r>
    </w:p>
    <w:p w14:paraId="0604C3AA">
      <w:pPr>
        <w:spacing w:line="360" w:lineRule="auto"/>
        <w:ind w:firstLine="480" w:firstLineChars="200"/>
        <w:rPr>
          <w:rFonts w:ascii="宋体"/>
          <w:bCs/>
          <w:sz w:val="24"/>
        </w:rPr>
      </w:pPr>
      <w:r>
        <w:rPr>
          <w:rFonts w:ascii="宋体" w:hAnsi="宋体"/>
          <w:bCs/>
          <w:sz w:val="24"/>
        </w:rPr>
        <w:t xml:space="preserve">5.3 </w:t>
      </w:r>
      <w:r>
        <w:rPr>
          <w:rFonts w:hint="eastAsia" w:ascii="宋体" w:hAnsi="宋体"/>
          <w:bCs/>
          <w:sz w:val="24"/>
        </w:rPr>
        <w:t>经招标人允许，投标人可为踏勘目的进入招标人的项目现场。</w:t>
      </w:r>
      <w:r>
        <w:rPr>
          <w:rFonts w:hint="eastAsia" w:ascii="宋体" w:hAnsi="宋体"/>
          <w:sz w:val="24"/>
        </w:rPr>
        <w:t>在考察过程中，投标人及其代表必须承担那些进入现场后，由于他们的行为所造成的人身伤害（不管是否致命）、财产损失或损坏，以及其他任何原因造成的损失、损坏或费用，</w:t>
      </w:r>
      <w:r>
        <w:rPr>
          <w:rFonts w:hint="eastAsia" w:ascii="宋体" w:hAnsi="宋体"/>
          <w:bCs/>
          <w:sz w:val="24"/>
        </w:rPr>
        <w:t>投标人不得因此使招标人承担有关的责任和蒙受损失。</w:t>
      </w:r>
    </w:p>
    <w:p w14:paraId="472C6D85">
      <w:pPr>
        <w:tabs>
          <w:tab w:val="left" w:pos="105"/>
        </w:tabs>
        <w:spacing w:line="360" w:lineRule="auto"/>
        <w:ind w:firstLine="480" w:firstLineChars="200"/>
        <w:rPr>
          <w:rFonts w:ascii="宋体"/>
          <w:b/>
          <w:sz w:val="24"/>
        </w:rPr>
      </w:pPr>
      <w:r>
        <w:rPr>
          <w:rFonts w:ascii="宋体" w:hAnsi="宋体"/>
          <w:b/>
          <w:sz w:val="24"/>
        </w:rPr>
        <w:t>6</w:t>
      </w:r>
      <w:r>
        <w:rPr>
          <w:rFonts w:hint="eastAsia" w:ascii="宋体" w:hAnsi="宋体"/>
          <w:b/>
          <w:sz w:val="24"/>
        </w:rPr>
        <w:t>．投标费用</w:t>
      </w:r>
    </w:p>
    <w:p w14:paraId="74F08DF0">
      <w:pPr>
        <w:tabs>
          <w:tab w:val="left" w:pos="105"/>
        </w:tabs>
        <w:spacing w:line="360" w:lineRule="auto"/>
        <w:ind w:firstLine="480" w:firstLineChars="200"/>
        <w:rPr>
          <w:rFonts w:ascii="宋体"/>
          <w:bCs/>
          <w:sz w:val="24"/>
        </w:rPr>
      </w:pPr>
      <w:r>
        <w:rPr>
          <w:rFonts w:ascii="宋体" w:hAnsi="宋体"/>
          <w:bCs/>
          <w:sz w:val="24"/>
        </w:rPr>
        <w:t>6.1</w:t>
      </w:r>
      <w:r>
        <w:rPr>
          <w:rFonts w:hint="eastAsia" w:ascii="宋体" w:hAnsi="宋体"/>
          <w:sz w:val="24"/>
        </w:rPr>
        <w:t>不论投标结果如何，投标人应承担</w:t>
      </w:r>
      <w:r>
        <w:rPr>
          <w:rFonts w:hint="eastAsia" w:ascii="宋体" w:hAnsi="宋体"/>
          <w:bCs/>
          <w:sz w:val="24"/>
        </w:rPr>
        <w:t>自身</w:t>
      </w:r>
      <w:r>
        <w:rPr>
          <w:rFonts w:hint="eastAsia" w:ascii="宋体" w:hAnsi="宋体"/>
          <w:sz w:val="24"/>
        </w:rPr>
        <w:t>因投标文件编制、递交及其他</w:t>
      </w:r>
      <w:r>
        <w:rPr>
          <w:rFonts w:hint="eastAsia" w:ascii="宋体" w:hAnsi="宋体"/>
          <w:bCs/>
          <w:sz w:val="24"/>
        </w:rPr>
        <w:t>参加本招标活动</w:t>
      </w:r>
      <w:r>
        <w:rPr>
          <w:rFonts w:hint="eastAsia" w:ascii="宋体" w:hAnsi="宋体"/>
          <w:sz w:val="24"/>
        </w:rPr>
        <w:t>所涉及的一切费用，招标人对上述费用不负任何责任。</w:t>
      </w:r>
    </w:p>
    <w:p w14:paraId="40B46035">
      <w:pPr>
        <w:pStyle w:val="8"/>
        <w:spacing w:before="156" w:after="156"/>
      </w:pPr>
      <w:bookmarkStart w:id="11" w:name="_Toc2272550"/>
      <w:r>
        <w:rPr>
          <w:rFonts w:hint="eastAsia"/>
        </w:rPr>
        <w:t>（二）招标文件</w:t>
      </w:r>
      <w:bookmarkEnd w:id="11"/>
    </w:p>
    <w:p w14:paraId="7822BC61">
      <w:pPr>
        <w:tabs>
          <w:tab w:val="left" w:pos="105"/>
        </w:tabs>
        <w:spacing w:line="360" w:lineRule="auto"/>
        <w:ind w:firstLine="480" w:firstLineChars="200"/>
        <w:rPr>
          <w:rFonts w:ascii="宋体"/>
          <w:b/>
          <w:sz w:val="24"/>
        </w:rPr>
      </w:pPr>
      <w:r>
        <w:rPr>
          <w:rFonts w:ascii="宋体" w:hAnsi="宋体"/>
          <w:b/>
          <w:sz w:val="24"/>
        </w:rPr>
        <w:t>7.</w:t>
      </w:r>
      <w:r>
        <w:rPr>
          <w:rFonts w:hint="eastAsia" w:ascii="宋体" w:hAnsi="宋体"/>
          <w:b/>
          <w:sz w:val="24"/>
        </w:rPr>
        <w:t>招标文件的组成</w:t>
      </w:r>
    </w:p>
    <w:p w14:paraId="2425CC4E">
      <w:pPr>
        <w:spacing w:line="360" w:lineRule="auto"/>
        <w:ind w:firstLine="480" w:firstLineChars="200"/>
        <w:rPr>
          <w:rFonts w:ascii="宋体"/>
          <w:sz w:val="24"/>
        </w:rPr>
      </w:pPr>
      <w:r>
        <w:rPr>
          <w:rFonts w:ascii="宋体" w:hAnsi="宋体"/>
          <w:bCs/>
          <w:sz w:val="24"/>
        </w:rPr>
        <w:t>7.1</w:t>
      </w:r>
      <w:r>
        <w:rPr>
          <w:rFonts w:hint="eastAsia" w:ascii="宋体" w:hAnsi="宋体"/>
          <w:sz w:val="24"/>
        </w:rPr>
        <w:t>本招标文件包括下列文件，以及所有按本须知第</w:t>
      </w:r>
      <w:r>
        <w:rPr>
          <w:rFonts w:ascii="宋体" w:hAnsi="宋体"/>
          <w:sz w:val="24"/>
        </w:rPr>
        <w:t>8</w:t>
      </w:r>
      <w:r>
        <w:rPr>
          <w:rFonts w:hint="eastAsia" w:ascii="宋体" w:hAnsi="宋体"/>
          <w:sz w:val="24"/>
        </w:rPr>
        <w:t>条发出的招标答疑会会议纪要和按本须知第</w:t>
      </w:r>
      <w:r>
        <w:rPr>
          <w:rFonts w:ascii="宋体" w:hAnsi="宋体"/>
          <w:sz w:val="24"/>
        </w:rPr>
        <w:t>9</w:t>
      </w:r>
      <w:r>
        <w:rPr>
          <w:rFonts w:hint="eastAsia" w:ascii="宋体" w:hAnsi="宋体"/>
          <w:sz w:val="24"/>
        </w:rPr>
        <w:t>条发出的澄清或修改：</w:t>
      </w:r>
    </w:p>
    <w:p w14:paraId="485E30BD">
      <w:pPr>
        <w:pStyle w:val="5"/>
        <w:spacing w:after="0" w:line="360" w:lineRule="auto"/>
        <w:ind w:left="-2" w:firstLine="480" w:firstLineChars="200"/>
        <w:rPr>
          <w:rFonts w:ascii="宋体" w:hAnsi="宋体" w:eastAsia="宋体"/>
          <w:sz w:val="24"/>
        </w:rPr>
      </w:pPr>
      <w:r>
        <w:rPr>
          <w:rFonts w:hint="eastAsia" w:ascii="宋体" w:hAnsi="宋体" w:eastAsia="宋体"/>
          <w:bCs/>
          <w:sz w:val="24"/>
        </w:rPr>
        <w:t>第一章</w:t>
      </w:r>
      <w:r>
        <w:rPr>
          <w:rFonts w:ascii="宋体" w:hAnsi="宋体" w:eastAsia="宋体"/>
          <w:bCs/>
          <w:sz w:val="24"/>
        </w:rPr>
        <w:t xml:space="preserve">  </w:t>
      </w:r>
      <w:r>
        <w:rPr>
          <w:rFonts w:hint="eastAsia" w:ascii="宋体" w:hAnsi="宋体" w:eastAsia="宋体"/>
          <w:sz w:val="24"/>
        </w:rPr>
        <w:t>投标须知</w:t>
      </w:r>
    </w:p>
    <w:p w14:paraId="20B4C40B">
      <w:pPr>
        <w:pStyle w:val="5"/>
        <w:spacing w:after="0" w:line="360" w:lineRule="auto"/>
        <w:ind w:left="-2" w:firstLine="480" w:firstLineChars="200"/>
        <w:rPr>
          <w:rFonts w:ascii="宋体" w:hAnsi="宋体" w:eastAsia="宋体"/>
          <w:sz w:val="24"/>
        </w:rPr>
      </w:pPr>
      <w:r>
        <w:rPr>
          <w:rFonts w:hint="eastAsia" w:ascii="宋体" w:hAnsi="宋体" w:eastAsia="宋体"/>
          <w:bCs/>
          <w:sz w:val="24"/>
        </w:rPr>
        <w:t>第二章</w:t>
      </w:r>
      <w:r>
        <w:rPr>
          <w:rFonts w:ascii="宋体" w:hAnsi="宋体" w:eastAsia="宋体"/>
          <w:bCs/>
          <w:sz w:val="24"/>
        </w:rPr>
        <w:t xml:space="preserve">  </w:t>
      </w:r>
      <w:r>
        <w:rPr>
          <w:rFonts w:hint="eastAsia" w:ascii="宋体" w:hAnsi="宋体" w:eastAsia="宋体"/>
          <w:sz w:val="24"/>
        </w:rPr>
        <w:t>开标、评标及定标办法</w:t>
      </w:r>
    </w:p>
    <w:p w14:paraId="72B0B4CE">
      <w:pPr>
        <w:pStyle w:val="5"/>
        <w:spacing w:after="0" w:line="360" w:lineRule="auto"/>
        <w:ind w:firstLine="480" w:firstLineChars="200"/>
        <w:rPr>
          <w:rFonts w:ascii="宋体" w:hAnsi="宋体" w:eastAsia="宋体"/>
          <w:sz w:val="24"/>
        </w:rPr>
      </w:pPr>
      <w:r>
        <w:rPr>
          <w:rFonts w:hint="eastAsia" w:ascii="宋体" w:hAnsi="宋体" w:eastAsia="宋体"/>
          <w:sz w:val="24"/>
        </w:rPr>
        <w:t>第三章</w:t>
      </w:r>
      <w:r>
        <w:rPr>
          <w:rFonts w:ascii="宋体" w:hAnsi="宋体" w:eastAsia="宋体"/>
          <w:sz w:val="24"/>
        </w:rPr>
        <w:t xml:space="preserve">  </w:t>
      </w:r>
      <w:r>
        <w:rPr>
          <w:rFonts w:hint="eastAsia" w:ascii="宋体" w:hAnsi="宋体" w:eastAsia="宋体"/>
          <w:sz w:val="24"/>
        </w:rPr>
        <w:t>合同条款</w:t>
      </w:r>
    </w:p>
    <w:p w14:paraId="19AD91D2">
      <w:pPr>
        <w:pStyle w:val="5"/>
        <w:spacing w:after="0" w:line="360" w:lineRule="auto"/>
        <w:ind w:firstLine="480" w:firstLineChars="200"/>
        <w:rPr>
          <w:rFonts w:ascii="宋体" w:hAnsi="宋体" w:eastAsia="宋体"/>
          <w:sz w:val="24"/>
        </w:rPr>
      </w:pPr>
      <w:r>
        <w:rPr>
          <w:rFonts w:hint="eastAsia" w:ascii="宋体" w:hAnsi="宋体" w:eastAsia="宋体"/>
          <w:bCs/>
          <w:sz w:val="24"/>
        </w:rPr>
        <w:t>第四章</w:t>
      </w:r>
      <w:r>
        <w:rPr>
          <w:rFonts w:ascii="宋体" w:hAnsi="宋体" w:eastAsia="宋体"/>
          <w:bCs/>
          <w:sz w:val="24"/>
        </w:rPr>
        <w:t xml:space="preserve">  </w:t>
      </w:r>
      <w:r>
        <w:rPr>
          <w:rFonts w:hint="eastAsia" w:ascii="宋体" w:hAnsi="宋体" w:eastAsia="宋体"/>
          <w:sz w:val="24"/>
        </w:rPr>
        <w:t>投标文件格式</w:t>
      </w:r>
    </w:p>
    <w:p w14:paraId="1AD9D314">
      <w:pPr>
        <w:pStyle w:val="5"/>
        <w:spacing w:after="0" w:line="360" w:lineRule="auto"/>
        <w:ind w:left="-2" w:firstLine="480" w:firstLineChars="200"/>
        <w:rPr>
          <w:rFonts w:ascii="宋体" w:hAnsi="宋体" w:eastAsia="宋体"/>
          <w:sz w:val="24"/>
        </w:rPr>
      </w:pPr>
      <w:r>
        <w:rPr>
          <w:rFonts w:hint="eastAsia" w:ascii="宋体" w:hAnsi="宋体" w:eastAsia="宋体"/>
          <w:bCs/>
          <w:sz w:val="24"/>
        </w:rPr>
        <w:t>第五章</w:t>
      </w:r>
      <w:r>
        <w:rPr>
          <w:rFonts w:ascii="宋体" w:hAnsi="宋体" w:eastAsia="宋体"/>
          <w:bCs/>
          <w:sz w:val="24"/>
        </w:rPr>
        <w:t xml:space="preserve">  </w:t>
      </w:r>
      <w:r>
        <w:rPr>
          <w:rFonts w:hint="eastAsia" w:ascii="宋体" w:hAnsi="宋体" w:eastAsia="宋体"/>
          <w:sz w:val="24"/>
        </w:rPr>
        <w:t>技术条件（工程建设标准）（另册）</w:t>
      </w:r>
    </w:p>
    <w:p w14:paraId="4D5AEF25">
      <w:pPr>
        <w:pStyle w:val="5"/>
        <w:spacing w:after="0" w:line="360" w:lineRule="auto"/>
        <w:ind w:left="-2" w:firstLine="480" w:firstLineChars="200"/>
        <w:rPr>
          <w:rFonts w:ascii="宋体" w:hAnsi="宋体" w:eastAsia="宋体"/>
          <w:sz w:val="24"/>
        </w:rPr>
      </w:pPr>
      <w:r>
        <w:rPr>
          <w:rFonts w:hint="eastAsia" w:ascii="宋体" w:hAnsi="宋体" w:eastAsia="宋体"/>
          <w:bCs/>
          <w:sz w:val="24"/>
        </w:rPr>
        <w:t>第六章</w:t>
      </w:r>
      <w:r>
        <w:rPr>
          <w:rFonts w:ascii="宋体" w:hAnsi="宋体" w:eastAsia="宋体"/>
          <w:bCs/>
          <w:sz w:val="24"/>
        </w:rPr>
        <w:t xml:space="preserve">  </w:t>
      </w:r>
      <w:r>
        <w:rPr>
          <w:rFonts w:hint="eastAsia" w:ascii="宋体" w:hAnsi="宋体" w:eastAsia="宋体"/>
          <w:sz w:val="24"/>
        </w:rPr>
        <w:t>图纸资料（另册）</w:t>
      </w:r>
    </w:p>
    <w:p w14:paraId="3746FA81">
      <w:pPr>
        <w:pStyle w:val="5"/>
        <w:spacing w:after="0" w:line="360" w:lineRule="auto"/>
        <w:ind w:left="-2" w:firstLine="480" w:firstLineChars="200"/>
        <w:rPr>
          <w:rFonts w:ascii="宋体" w:hAnsi="宋体" w:eastAsia="宋体"/>
          <w:sz w:val="24"/>
        </w:rPr>
      </w:pPr>
      <w:r>
        <w:rPr>
          <w:rFonts w:hint="eastAsia" w:ascii="宋体" w:hAnsi="宋体" w:eastAsia="宋体"/>
          <w:bCs/>
          <w:sz w:val="24"/>
        </w:rPr>
        <w:t>第七章</w:t>
      </w:r>
      <w:r>
        <w:rPr>
          <w:rFonts w:ascii="宋体" w:hAnsi="宋体" w:eastAsia="宋体"/>
          <w:bCs/>
          <w:sz w:val="24"/>
        </w:rPr>
        <w:t xml:space="preserve">  </w:t>
      </w:r>
      <w:r>
        <w:rPr>
          <w:rFonts w:hint="eastAsia" w:ascii="宋体" w:hAnsi="宋体" w:eastAsia="宋体"/>
          <w:bCs/>
          <w:sz w:val="24"/>
        </w:rPr>
        <w:t>招标</w:t>
      </w:r>
      <w:r>
        <w:rPr>
          <w:rFonts w:hint="eastAsia" w:ascii="宋体" w:hAnsi="宋体" w:eastAsia="宋体"/>
          <w:sz w:val="24"/>
        </w:rPr>
        <w:t>工程量清单（另册）</w:t>
      </w:r>
    </w:p>
    <w:p w14:paraId="2DD2CC63">
      <w:pPr>
        <w:pStyle w:val="5"/>
        <w:spacing w:after="0" w:line="360" w:lineRule="auto"/>
        <w:ind w:left="-2" w:firstLine="480" w:firstLineChars="200"/>
        <w:rPr>
          <w:rFonts w:ascii="宋体" w:hAnsi="宋体" w:eastAsia="宋体"/>
          <w:sz w:val="24"/>
        </w:rPr>
      </w:pPr>
      <w:r>
        <w:rPr>
          <w:rFonts w:hint="eastAsia" w:ascii="宋体" w:hAnsi="宋体" w:eastAsia="宋体"/>
          <w:sz w:val="24"/>
        </w:rPr>
        <w:t>第八章</w:t>
      </w:r>
      <w:r>
        <w:rPr>
          <w:rFonts w:ascii="宋体" w:hAnsi="宋体" w:eastAsia="宋体"/>
          <w:sz w:val="24"/>
        </w:rPr>
        <w:t xml:space="preserve">  </w:t>
      </w:r>
      <w:r>
        <w:rPr>
          <w:rFonts w:hint="eastAsia" w:ascii="宋体" w:hAnsi="宋体" w:eastAsia="宋体"/>
          <w:sz w:val="24"/>
        </w:rPr>
        <w:t>最高投标限价</w:t>
      </w:r>
    </w:p>
    <w:p w14:paraId="6662980D">
      <w:pPr>
        <w:pStyle w:val="5"/>
        <w:spacing w:after="0" w:line="360" w:lineRule="auto"/>
        <w:ind w:left="-2" w:firstLine="480" w:firstLineChars="200"/>
        <w:rPr>
          <w:rFonts w:ascii="宋体" w:hAnsi="宋体" w:eastAsia="宋体"/>
          <w:sz w:val="24"/>
        </w:rPr>
      </w:pPr>
      <w:r>
        <w:rPr>
          <w:rFonts w:hint="eastAsia" w:ascii="宋体" w:hAnsi="宋体" w:eastAsia="宋体"/>
          <w:sz w:val="24"/>
        </w:rPr>
        <w:t>注：招标人应在技术条件（工程建设标准）中明确施工现场建筑垃圾源头减量的具体要求和建筑垃圾综合利用产品的使用要求。</w:t>
      </w:r>
    </w:p>
    <w:p w14:paraId="1482E5B9">
      <w:pPr>
        <w:pStyle w:val="5"/>
        <w:spacing w:after="0" w:line="360" w:lineRule="auto"/>
        <w:ind w:firstLine="480" w:firstLineChars="200"/>
        <w:rPr>
          <w:rFonts w:ascii="宋体" w:hAnsi="宋体" w:eastAsia="宋体"/>
          <w:sz w:val="24"/>
        </w:rPr>
      </w:pPr>
      <w:r>
        <w:rPr>
          <w:rFonts w:ascii="宋体" w:hAnsi="宋体" w:eastAsia="宋体"/>
          <w:sz w:val="24"/>
        </w:rPr>
        <w:t xml:space="preserve">7.2 </w:t>
      </w:r>
      <w:r>
        <w:rPr>
          <w:rFonts w:hint="eastAsia" w:ascii="宋体" w:hAnsi="宋体" w:eastAsia="宋体"/>
          <w:sz w:val="24"/>
        </w:rPr>
        <w:t>投标人获取招标文件后，应仔细检查招标文件的所有内容，认真审阅招标文件中所有的事项、格式、条款和规范要求等，若投标人的投标文件没有按招标文件要求提交全部资料，或投标文件实质上没有响应招标文件的要求，招标人将按评标办法的规定予以拒绝，并且不允许投标人通过修改或撤消其不符合要求的差异或保留使之成为具有响应性的投标文件。</w:t>
      </w:r>
    </w:p>
    <w:p w14:paraId="27E32539">
      <w:pPr>
        <w:pStyle w:val="5"/>
        <w:spacing w:after="0" w:line="360" w:lineRule="auto"/>
        <w:ind w:firstLine="480" w:firstLineChars="200"/>
        <w:rPr>
          <w:rFonts w:ascii="宋体" w:hAnsi="宋体" w:eastAsia="宋体"/>
          <w:sz w:val="24"/>
        </w:rPr>
      </w:pPr>
      <w:r>
        <w:rPr>
          <w:rFonts w:ascii="宋体" w:hAnsi="宋体" w:eastAsia="宋体"/>
          <w:sz w:val="24"/>
        </w:rPr>
        <w:t xml:space="preserve">7.3 </w:t>
      </w:r>
      <w:r>
        <w:rPr>
          <w:rFonts w:hint="eastAsia" w:ascii="宋体" w:hAnsi="宋体" w:eastAsia="宋体"/>
          <w:sz w:val="24"/>
        </w:rPr>
        <w:t>投标人一旦中标，招标文件的内容对招标人和中标人双方均有约束力。</w:t>
      </w:r>
    </w:p>
    <w:p w14:paraId="0D254D2D">
      <w:pPr>
        <w:pStyle w:val="5"/>
        <w:spacing w:after="0" w:line="360" w:lineRule="auto"/>
        <w:ind w:firstLine="480" w:firstLineChars="200"/>
        <w:rPr>
          <w:rFonts w:ascii="宋体" w:hAnsi="宋体" w:eastAsia="宋体"/>
          <w:b/>
          <w:bCs/>
          <w:sz w:val="24"/>
        </w:rPr>
      </w:pPr>
      <w:r>
        <w:rPr>
          <w:rFonts w:ascii="宋体" w:hAnsi="宋体" w:eastAsia="宋体"/>
          <w:b/>
          <w:bCs/>
          <w:sz w:val="24"/>
        </w:rPr>
        <w:t>8</w:t>
      </w:r>
      <w:r>
        <w:rPr>
          <w:rFonts w:hint="eastAsia" w:ascii="宋体" w:hAnsi="宋体" w:eastAsia="宋体"/>
          <w:b/>
          <w:bCs/>
          <w:sz w:val="24"/>
        </w:rPr>
        <w:t>．招标答疑</w:t>
      </w:r>
    </w:p>
    <w:p w14:paraId="37DBB5D4">
      <w:pPr>
        <w:pStyle w:val="5"/>
        <w:spacing w:after="0" w:line="360" w:lineRule="auto"/>
        <w:ind w:firstLine="480" w:firstLineChars="200"/>
        <w:rPr>
          <w:rFonts w:ascii="宋体" w:hAnsi="宋体" w:eastAsia="宋体"/>
          <w:sz w:val="24"/>
        </w:rPr>
      </w:pPr>
      <w:r>
        <w:rPr>
          <w:rFonts w:ascii="宋体" w:hAnsi="宋体" w:eastAsia="宋体"/>
          <w:sz w:val="24"/>
        </w:rPr>
        <w:t xml:space="preserve">8.1 </w:t>
      </w:r>
      <w:r>
        <w:rPr>
          <w:rFonts w:hint="eastAsia" w:ascii="宋体" w:hAnsi="宋体" w:eastAsia="宋体"/>
          <w:sz w:val="24"/>
        </w:rPr>
        <w:t>投标人若对招标文件（包括招标图纸）中有疑问，可以书面形式</w:t>
      </w:r>
      <w:r>
        <w:rPr>
          <w:rFonts w:hint="eastAsia" w:ascii="宋体" w:hAnsi="宋体" w:eastAsia="宋体"/>
          <w:sz w:val="24"/>
          <w:szCs w:val="24"/>
        </w:rPr>
        <w:t>通过</w:t>
      </w:r>
      <w:r>
        <w:rPr>
          <w:rFonts w:ascii="宋体" w:hAnsi="宋体" w:eastAsia="宋体"/>
          <w:sz w:val="24"/>
          <w:szCs w:val="24"/>
          <w:u w:val="single"/>
        </w:rPr>
        <w:t xml:space="preserve">        </w:t>
      </w:r>
      <w:r>
        <w:rPr>
          <w:rFonts w:hint="eastAsia" w:ascii="宋体" w:hAnsi="宋体" w:eastAsia="宋体"/>
          <w:sz w:val="24"/>
          <w:szCs w:val="24"/>
        </w:rPr>
        <w:t>交易平台提交</w:t>
      </w:r>
      <w:r>
        <w:rPr>
          <w:rFonts w:hint="eastAsia" w:ascii="宋体" w:hAnsi="宋体" w:eastAsia="宋体"/>
          <w:sz w:val="24"/>
        </w:rPr>
        <w:t>给招标人或招标代理人，提交形式见本须知前附表第</w:t>
      </w:r>
      <w:r>
        <w:rPr>
          <w:rFonts w:ascii="宋体" w:hAnsi="宋体" w:eastAsia="宋体"/>
          <w:sz w:val="24"/>
        </w:rPr>
        <w:t>16</w:t>
      </w:r>
      <w:r>
        <w:rPr>
          <w:rFonts w:hint="eastAsia" w:ascii="宋体" w:hAnsi="宋体" w:eastAsia="宋体"/>
          <w:sz w:val="24"/>
        </w:rPr>
        <w:t>项。</w:t>
      </w:r>
    </w:p>
    <w:p w14:paraId="6ACB1013">
      <w:pPr>
        <w:pStyle w:val="5"/>
        <w:spacing w:after="0" w:line="360" w:lineRule="auto"/>
        <w:ind w:firstLine="480" w:firstLineChars="200"/>
        <w:rPr>
          <w:rFonts w:ascii="宋体" w:hAnsi="宋体" w:eastAsia="宋体"/>
          <w:sz w:val="24"/>
        </w:rPr>
      </w:pPr>
      <w:r>
        <w:rPr>
          <w:rFonts w:ascii="宋体" w:hAnsi="宋体" w:eastAsia="宋体"/>
          <w:sz w:val="24"/>
        </w:rPr>
        <w:t>8.2</w:t>
      </w:r>
      <w:r>
        <w:rPr>
          <w:rFonts w:hint="eastAsia" w:ascii="宋体" w:hAnsi="宋体" w:eastAsia="宋体"/>
          <w:sz w:val="24"/>
        </w:rPr>
        <w:t>招标答疑会会议纪要将在提交投标文件截止时间15日前在</w:t>
      </w:r>
      <w:r>
        <w:rPr>
          <w:rFonts w:ascii="宋体" w:hAnsi="宋体" w:eastAsia="宋体"/>
          <w:sz w:val="24"/>
          <w:szCs w:val="24"/>
          <w:u w:val="single"/>
        </w:rPr>
        <w:t xml:space="preserve">        </w:t>
      </w:r>
      <w:r>
        <w:rPr>
          <w:rFonts w:hint="eastAsia" w:ascii="宋体" w:hAnsi="宋体" w:eastAsia="宋体"/>
          <w:sz w:val="24"/>
          <w:szCs w:val="24"/>
        </w:rPr>
        <w:t>交易平台</w:t>
      </w:r>
      <w:r>
        <w:rPr>
          <w:rFonts w:hint="eastAsia" w:ascii="宋体" w:hAnsi="宋体" w:eastAsia="宋体"/>
          <w:sz w:val="24"/>
        </w:rPr>
        <w:t xml:space="preserve"> “项目答疑纪要”专区公开发布。答疑纪要一经在</w:t>
      </w:r>
      <w:r>
        <w:rPr>
          <w:rFonts w:ascii="宋体" w:hAnsi="宋体" w:eastAsia="宋体"/>
          <w:sz w:val="24"/>
          <w:szCs w:val="24"/>
          <w:u w:val="single"/>
        </w:rPr>
        <w:t xml:space="preserve">        </w:t>
      </w:r>
      <w:r>
        <w:rPr>
          <w:rFonts w:hint="eastAsia" w:ascii="宋体" w:hAnsi="宋体" w:eastAsia="宋体"/>
          <w:sz w:val="24"/>
          <w:szCs w:val="24"/>
        </w:rPr>
        <w:t>交易平台</w:t>
      </w:r>
      <w:r>
        <w:rPr>
          <w:rFonts w:hint="eastAsia" w:ascii="宋体" w:hAnsi="宋体" w:eastAsia="宋体"/>
          <w:sz w:val="24"/>
        </w:rPr>
        <w:t>发布，视作已发放给所有投标人。</w:t>
      </w:r>
    </w:p>
    <w:p w14:paraId="5DFCD4AF">
      <w:pPr>
        <w:pStyle w:val="5"/>
        <w:spacing w:after="0" w:line="360" w:lineRule="auto"/>
        <w:ind w:firstLine="480" w:firstLineChars="200"/>
        <w:rPr>
          <w:rFonts w:ascii="宋体" w:hAnsi="宋体" w:eastAsia="宋体"/>
          <w:sz w:val="24"/>
        </w:rPr>
      </w:pPr>
      <w:r>
        <w:rPr>
          <w:rFonts w:ascii="宋体" w:hAnsi="宋体" w:eastAsia="宋体"/>
          <w:sz w:val="24"/>
        </w:rPr>
        <w:t>8.3</w:t>
      </w:r>
      <w:r>
        <w:rPr>
          <w:rFonts w:hint="eastAsia" w:ascii="宋体" w:hAnsi="宋体" w:eastAsia="宋体"/>
          <w:sz w:val="24"/>
        </w:rPr>
        <w:t>答疑会会议纪要为招标文件的一部分。</w:t>
      </w:r>
    </w:p>
    <w:p w14:paraId="2A6CDB37">
      <w:pPr>
        <w:pStyle w:val="5"/>
        <w:spacing w:after="0" w:line="360" w:lineRule="auto"/>
        <w:ind w:firstLine="480" w:firstLineChars="200"/>
        <w:rPr>
          <w:rFonts w:ascii="宋体" w:hAnsi="宋体" w:eastAsia="宋体"/>
          <w:sz w:val="24"/>
        </w:rPr>
      </w:pPr>
      <w:r>
        <w:rPr>
          <w:rFonts w:ascii="宋体" w:hAnsi="宋体" w:eastAsia="宋体"/>
          <w:sz w:val="24"/>
        </w:rPr>
        <w:t>8.4</w:t>
      </w:r>
      <w:r>
        <w:rPr>
          <w:rFonts w:hint="eastAsia" w:ascii="宋体" w:hAnsi="宋体" w:eastAsia="宋体"/>
          <w:sz w:val="24"/>
        </w:rPr>
        <w:t>若招标答疑会会议纪要与招标文件有矛盾，以答疑会议纪要最后发出的书面形式的文件为准。</w:t>
      </w:r>
    </w:p>
    <w:p w14:paraId="131B7AB1">
      <w:pPr>
        <w:pStyle w:val="5"/>
        <w:spacing w:after="0" w:line="360" w:lineRule="auto"/>
        <w:ind w:firstLine="480" w:firstLineChars="200"/>
        <w:rPr>
          <w:rFonts w:ascii="宋体" w:hAnsi="宋体" w:eastAsia="宋体"/>
          <w:b/>
          <w:bCs/>
          <w:sz w:val="24"/>
        </w:rPr>
      </w:pPr>
      <w:r>
        <w:rPr>
          <w:rFonts w:ascii="宋体" w:hAnsi="宋体" w:eastAsia="宋体"/>
          <w:b/>
          <w:bCs/>
          <w:sz w:val="24"/>
        </w:rPr>
        <w:t>9.</w:t>
      </w:r>
      <w:r>
        <w:rPr>
          <w:rFonts w:hint="eastAsia" w:ascii="宋体" w:hAnsi="宋体" w:eastAsia="宋体"/>
          <w:b/>
          <w:bCs/>
          <w:sz w:val="24"/>
        </w:rPr>
        <w:t>招标文件的澄清与修改</w:t>
      </w:r>
    </w:p>
    <w:p w14:paraId="745F0800">
      <w:pPr>
        <w:pStyle w:val="5"/>
        <w:spacing w:after="0" w:line="360" w:lineRule="auto"/>
        <w:ind w:firstLine="480" w:firstLineChars="200"/>
        <w:rPr>
          <w:rFonts w:ascii="宋体" w:hAnsi="宋体" w:eastAsia="宋体"/>
          <w:sz w:val="24"/>
        </w:rPr>
      </w:pPr>
      <w:r>
        <w:rPr>
          <w:rFonts w:ascii="宋体" w:hAnsi="宋体" w:eastAsia="宋体"/>
          <w:sz w:val="24"/>
        </w:rPr>
        <w:t>9.1</w:t>
      </w:r>
      <w:r>
        <w:rPr>
          <w:rFonts w:hint="eastAsia" w:ascii="宋体" w:hAnsi="宋体" w:eastAsia="宋体"/>
          <w:sz w:val="24"/>
        </w:rPr>
        <w:t>招标文件发出后</w:t>
      </w:r>
      <w:r>
        <w:rPr>
          <w:rFonts w:ascii="宋体" w:hAnsi="宋体" w:eastAsia="宋体"/>
          <w:sz w:val="24"/>
        </w:rPr>
        <w:t>,</w:t>
      </w:r>
      <w:r>
        <w:rPr>
          <w:rFonts w:hint="eastAsia" w:ascii="宋体" w:hAnsi="宋体" w:eastAsia="宋体"/>
          <w:sz w:val="24"/>
        </w:rPr>
        <w:t>在提交投标文件截止时间15日前，招标人可对招标文件进行必要的澄清或修改。</w:t>
      </w:r>
    </w:p>
    <w:p w14:paraId="366FF40A">
      <w:pPr>
        <w:pStyle w:val="5"/>
        <w:spacing w:after="0" w:line="360" w:lineRule="auto"/>
        <w:ind w:firstLine="480" w:firstLineChars="200"/>
        <w:rPr>
          <w:rFonts w:ascii="宋体" w:hAnsi="宋体" w:eastAsia="宋体"/>
          <w:sz w:val="24"/>
        </w:rPr>
      </w:pPr>
      <w:r>
        <w:rPr>
          <w:rFonts w:ascii="宋体" w:hAnsi="宋体" w:eastAsia="宋体"/>
          <w:sz w:val="24"/>
        </w:rPr>
        <w:t>9.2</w:t>
      </w:r>
      <w:r>
        <w:rPr>
          <w:rFonts w:hint="eastAsia" w:ascii="宋体" w:hAnsi="宋体" w:eastAsia="宋体"/>
          <w:sz w:val="24"/>
        </w:rPr>
        <w:t>招标文件的澄清或修改将在</w:t>
      </w:r>
      <w:r>
        <w:rPr>
          <w:rFonts w:ascii="宋体" w:hAnsi="宋体" w:eastAsia="宋体"/>
          <w:sz w:val="24"/>
          <w:szCs w:val="24"/>
          <w:u w:val="single"/>
        </w:rPr>
        <w:t xml:space="preserve">        </w:t>
      </w:r>
      <w:r>
        <w:rPr>
          <w:rFonts w:hint="eastAsia" w:ascii="宋体" w:hAnsi="宋体" w:eastAsia="宋体"/>
          <w:sz w:val="24"/>
          <w:szCs w:val="24"/>
        </w:rPr>
        <w:t>交易平台</w:t>
      </w:r>
      <w:r>
        <w:rPr>
          <w:rFonts w:hint="eastAsia" w:ascii="宋体" w:hAnsi="宋体" w:eastAsia="宋体"/>
          <w:sz w:val="24"/>
        </w:rPr>
        <w:t>“项目答疑纪要”专区公开发布。答疑纪要一经在</w:t>
      </w:r>
      <w:r>
        <w:rPr>
          <w:rFonts w:ascii="宋体" w:hAnsi="宋体" w:eastAsia="宋体"/>
          <w:sz w:val="24"/>
          <w:szCs w:val="24"/>
          <w:u w:val="single"/>
        </w:rPr>
        <w:t xml:space="preserve">        </w:t>
      </w:r>
      <w:r>
        <w:rPr>
          <w:rFonts w:hint="eastAsia" w:ascii="宋体" w:hAnsi="宋体" w:eastAsia="宋体"/>
          <w:sz w:val="24"/>
          <w:szCs w:val="24"/>
        </w:rPr>
        <w:t>交易平台</w:t>
      </w:r>
      <w:r>
        <w:rPr>
          <w:rFonts w:hint="eastAsia" w:ascii="宋体" w:hAnsi="宋体" w:eastAsia="宋体"/>
          <w:sz w:val="24"/>
        </w:rPr>
        <w:t>发布，视作已发放给所有投标人，以</w:t>
      </w:r>
      <w:r>
        <w:rPr>
          <w:rFonts w:ascii="宋体" w:hAnsi="宋体" w:eastAsia="宋体"/>
          <w:sz w:val="24"/>
          <w:szCs w:val="24"/>
          <w:u w:val="single"/>
        </w:rPr>
        <w:t xml:space="preserve">        </w:t>
      </w:r>
      <w:r>
        <w:rPr>
          <w:rFonts w:hint="eastAsia" w:ascii="宋体" w:hAnsi="宋体" w:eastAsia="宋体"/>
          <w:sz w:val="24"/>
          <w:szCs w:val="24"/>
        </w:rPr>
        <w:t>交易平台</w:t>
      </w:r>
      <w:r>
        <w:rPr>
          <w:rFonts w:hint="eastAsia" w:ascii="宋体" w:hAnsi="宋体" w:eastAsia="宋体"/>
          <w:sz w:val="24"/>
        </w:rPr>
        <w:t>上网发布时间作为送达时间。</w:t>
      </w:r>
    </w:p>
    <w:p w14:paraId="4163695D">
      <w:pPr>
        <w:pStyle w:val="5"/>
        <w:spacing w:after="0" w:line="360" w:lineRule="auto"/>
        <w:ind w:firstLine="480" w:firstLineChars="200"/>
        <w:rPr>
          <w:rFonts w:ascii="宋体" w:hAnsi="宋体" w:eastAsia="宋体"/>
          <w:sz w:val="24"/>
        </w:rPr>
      </w:pPr>
      <w:r>
        <w:rPr>
          <w:rFonts w:ascii="宋体" w:hAnsi="宋体" w:eastAsia="宋体"/>
          <w:sz w:val="24"/>
        </w:rPr>
        <w:t>9.3</w:t>
      </w:r>
      <w:r>
        <w:rPr>
          <w:rFonts w:hint="eastAsia" w:ascii="宋体" w:hAnsi="宋体" w:eastAsia="宋体"/>
          <w:sz w:val="24"/>
        </w:rPr>
        <w:t>招标文件的修改内容为招标文件的组成部分。</w:t>
      </w:r>
    </w:p>
    <w:p w14:paraId="4D314E5B">
      <w:pPr>
        <w:pStyle w:val="5"/>
        <w:spacing w:after="0" w:line="360" w:lineRule="auto"/>
        <w:ind w:firstLine="480" w:firstLineChars="200"/>
        <w:rPr>
          <w:rFonts w:ascii="宋体" w:hAnsi="宋体" w:eastAsia="宋体"/>
          <w:sz w:val="24"/>
        </w:rPr>
      </w:pPr>
      <w:r>
        <w:rPr>
          <w:rFonts w:ascii="宋体" w:hAnsi="宋体" w:eastAsia="宋体"/>
          <w:sz w:val="24"/>
        </w:rPr>
        <w:t>9.4</w:t>
      </w:r>
      <w:r>
        <w:rPr>
          <w:rFonts w:hint="eastAsia" w:ascii="宋体" w:hAnsi="宋体" w:eastAsia="宋体"/>
          <w:sz w:val="24"/>
        </w:rPr>
        <w:t>招标文件的澄清或修改均以书面形式明确的内容为准。当招标文件的澄清、修改、补充等在同一内容的表述不一致时，以最后发出的书面形式的文件为准。</w:t>
      </w:r>
    </w:p>
    <w:p w14:paraId="109907E3">
      <w:pPr>
        <w:pStyle w:val="5"/>
        <w:spacing w:after="0" w:line="360" w:lineRule="auto"/>
        <w:ind w:firstLine="480" w:firstLineChars="200"/>
        <w:rPr>
          <w:rFonts w:ascii="宋体" w:hAnsi="宋体" w:eastAsia="宋体"/>
          <w:sz w:val="24"/>
        </w:rPr>
      </w:pPr>
      <w:r>
        <w:rPr>
          <w:rFonts w:ascii="宋体" w:hAnsi="宋体" w:eastAsia="宋体"/>
          <w:sz w:val="24"/>
        </w:rPr>
        <w:t>9.5</w:t>
      </w:r>
      <w:r>
        <w:rPr>
          <w:rFonts w:hint="eastAsia" w:ascii="宋体" w:hAnsi="宋体" w:eastAsia="宋体"/>
          <w:sz w:val="24"/>
        </w:rPr>
        <w:t>为使投标人在编制投标文件时有充分的时间对招标文件的澄清或修改等内容考虑进去，招标人将酌情延长提交投标文件的截止时间，具体时间将在招标文件的澄清或修改中予以明确。若澄清或修改中没有明确延长时间，即表示投标时间不延长。</w:t>
      </w:r>
    </w:p>
    <w:p w14:paraId="4ED43458">
      <w:pPr>
        <w:pStyle w:val="8"/>
        <w:spacing w:before="156" w:after="156"/>
      </w:pPr>
      <w:bookmarkStart w:id="12" w:name="_Toc2272551"/>
      <w:r>
        <w:rPr>
          <w:rFonts w:hint="eastAsia"/>
        </w:rPr>
        <w:t>（三）投标文件的编制</w:t>
      </w:r>
      <w:bookmarkEnd w:id="12"/>
    </w:p>
    <w:p w14:paraId="75A71CAF">
      <w:pPr>
        <w:pStyle w:val="5"/>
        <w:spacing w:after="0" w:line="360" w:lineRule="auto"/>
        <w:ind w:firstLine="480" w:firstLineChars="200"/>
        <w:rPr>
          <w:rFonts w:ascii="宋体" w:hAnsi="宋体" w:eastAsia="宋体"/>
          <w:b/>
          <w:bCs/>
          <w:sz w:val="24"/>
        </w:rPr>
      </w:pPr>
      <w:r>
        <w:rPr>
          <w:rFonts w:ascii="宋体" w:hAnsi="宋体" w:eastAsia="宋体"/>
          <w:b/>
          <w:bCs/>
          <w:sz w:val="24"/>
        </w:rPr>
        <w:t>10</w:t>
      </w:r>
      <w:r>
        <w:rPr>
          <w:rFonts w:hint="eastAsia" w:ascii="宋体" w:hAnsi="宋体" w:eastAsia="宋体"/>
          <w:b/>
          <w:bCs/>
          <w:sz w:val="24"/>
        </w:rPr>
        <w:t>．投标文件的语言及度量衡单位</w:t>
      </w:r>
    </w:p>
    <w:p w14:paraId="1616B96E">
      <w:pPr>
        <w:pStyle w:val="5"/>
        <w:spacing w:after="0" w:line="360" w:lineRule="auto"/>
        <w:ind w:firstLine="480" w:firstLineChars="200"/>
        <w:rPr>
          <w:rFonts w:ascii="宋体" w:hAnsi="宋体" w:eastAsia="宋体"/>
          <w:sz w:val="24"/>
        </w:rPr>
      </w:pPr>
      <w:r>
        <w:rPr>
          <w:rFonts w:ascii="宋体" w:hAnsi="宋体" w:eastAsia="宋体"/>
          <w:sz w:val="24"/>
        </w:rPr>
        <w:t xml:space="preserve">10.1 </w:t>
      </w:r>
      <w:r>
        <w:rPr>
          <w:rFonts w:hint="eastAsia" w:ascii="宋体" w:hAnsi="宋体" w:eastAsia="宋体"/>
          <w:sz w:val="24"/>
        </w:rPr>
        <w:t>投标文件和与投标有关的所有文件均应使用中文。</w:t>
      </w:r>
    </w:p>
    <w:p w14:paraId="5DCEA65B">
      <w:pPr>
        <w:pStyle w:val="5"/>
        <w:spacing w:after="0" w:line="360" w:lineRule="auto"/>
        <w:ind w:firstLine="480" w:firstLineChars="200"/>
        <w:rPr>
          <w:rFonts w:ascii="宋体" w:hAnsi="宋体" w:eastAsia="宋体"/>
          <w:sz w:val="24"/>
        </w:rPr>
      </w:pPr>
      <w:r>
        <w:rPr>
          <w:rFonts w:ascii="宋体" w:hAnsi="宋体" w:eastAsia="宋体"/>
          <w:sz w:val="24"/>
        </w:rPr>
        <w:t xml:space="preserve">10.2 </w:t>
      </w:r>
      <w:r>
        <w:rPr>
          <w:rFonts w:hint="eastAsia" w:ascii="宋体" w:hAnsi="宋体" w:eastAsia="宋体"/>
          <w:sz w:val="24"/>
        </w:rPr>
        <w:t>除工程规范另有规定外，投标文件使用的度量衡单位，均采用中华人民共和国法定计量单位。</w:t>
      </w:r>
    </w:p>
    <w:p w14:paraId="5D035469">
      <w:pPr>
        <w:pStyle w:val="5"/>
        <w:spacing w:after="0" w:line="360" w:lineRule="auto"/>
        <w:ind w:firstLine="480" w:firstLineChars="200"/>
        <w:rPr>
          <w:rFonts w:ascii="宋体" w:hAnsi="宋体" w:eastAsia="宋体"/>
          <w:b/>
          <w:bCs/>
          <w:sz w:val="24"/>
        </w:rPr>
      </w:pPr>
      <w:r>
        <w:rPr>
          <w:rFonts w:ascii="宋体" w:hAnsi="宋体" w:eastAsia="宋体"/>
          <w:b/>
          <w:bCs/>
          <w:sz w:val="24"/>
        </w:rPr>
        <w:t>11</w:t>
      </w:r>
      <w:r>
        <w:rPr>
          <w:rFonts w:hint="eastAsia" w:ascii="宋体" w:hAnsi="宋体" w:eastAsia="宋体"/>
          <w:b/>
          <w:bCs/>
          <w:sz w:val="24"/>
        </w:rPr>
        <w:t>．投标文件的组成</w:t>
      </w:r>
    </w:p>
    <w:p w14:paraId="686FD5AB">
      <w:pPr>
        <w:pStyle w:val="5"/>
        <w:spacing w:after="0" w:line="360" w:lineRule="auto"/>
        <w:ind w:firstLine="480" w:firstLineChars="200"/>
        <w:rPr>
          <w:rFonts w:ascii="宋体" w:hAnsi="宋体" w:eastAsia="宋体"/>
          <w:b/>
          <w:sz w:val="24"/>
        </w:rPr>
      </w:pPr>
      <w:r>
        <w:rPr>
          <w:rFonts w:ascii="宋体" w:hAnsi="宋体" w:eastAsia="宋体"/>
          <w:sz w:val="24"/>
        </w:rPr>
        <w:t xml:space="preserve">11.1 </w:t>
      </w:r>
      <w:r>
        <w:rPr>
          <w:rFonts w:hint="eastAsia" w:ascii="宋体" w:hAnsi="宋体" w:eastAsia="宋体"/>
          <w:sz w:val="24"/>
        </w:rPr>
        <w:t>投标文件由技术部分（含资格审查文件）和经济部分二部分投标文件组成</w:t>
      </w:r>
      <w:r>
        <w:rPr>
          <w:rFonts w:hint="eastAsia" w:ascii="宋体" w:hAnsi="宋体" w:eastAsia="宋体"/>
          <w:b/>
          <w:sz w:val="24"/>
        </w:rPr>
        <w:t>。</w:t>
      </w:r>
    </w:p>
    <w:p w14:paraId="2978C47E">
      <w:pPr>
        <w:spacing w:line="360" w:lineRule="auto"/>
        <w:ind w:firstLine="480" w:firstLineChars="200"/>
        <w:rPr>
          <w:rFonts w:ascii="宋体" w:hAnsi="宋体"/>
          <w:bCs/>
          <w:sz w:val="24"/>
        </w:rPr>
      </w:pPr>
      <w:r>
        <w:rPr>
          <w:rFonts w:ascii="宋体" w:hAnsi="宋体"/>
          <w:bCs/>
          <w:sz w:val="24"/>
        </w:rPr>
        <w:t>11.2</w:t>
      </w:r>
      <w:r>
        <w:rPr>
          <w:rFonts w:hint="eastAsia" w:ascii="宋体" w:hAnsi="宋体"/>
          <w:bCs/>
          <w:sz w:val="24"/>
        </w:rPr>
        <w:t>投标文件技术标部分主要包括下列内容</w:t>
      </w:r>
      <w:r>
        <w:rPr>
          <w:rFonts w:ascii="宋体" w:hAnsi="宋体"/>
          <w:bCs/>
          <w:sz w:val="24"/>
        </w:rPr>
        <w:t>:</w:t>
      </w:r>
    </w:p>
    <w:p w14:paraId="1A0429E9">
      <w:pPr>
        <w:spacing w:line="360" w:lineRule="auto"/>
        <w:ind w:firstLine="480" w:firstLineChars="200"/>
        <w:rPr>
          <w:rFonts w:ascii="宋体"/>
          <w:bCs/>
          <w:sz w:val="24"/>
        </w:rPr>
      </w:pPr>
      <w:r>
        <w:rPr>
          <w:rFonts w:hint="eastAsia" w:ascii="宋体"/>
          <w:bCs/>
          <w:sz w:val="24"/>
        </w:rPr>
        <w:t>11.2.1 技术投标文件</w:t>
      </w:r>
      <w:r>
        <w:rPr>
          <w:rFonts w:ascii="宋体" w:hAnsi="宋体"/>
          <w:sz w:val="24"/>
        </w:rPr>
        <w:t>(</w:t>
      </w:r>
      <w:r>
        <w:rPr>
          <w:rFonts w:hint="eastAsia" w:ascii="宋体" w:hAnsi="宋体"/>
          <w:sz w:val="24"/>
        </w:rPr>
        <w:t>按招标文件的要求填写</w:t>
      </w:r>
      <w:r>
        <w:rPr>
          <w:rFonts w:ascii="宋体" w:hAnsi="宋体"/>
          <w:sz w:val="24"/>
        </w:rPr>
        <w:t>)</w:t>
      </w:r>
      <w:r>
        <w:rPr>
          <w:rFonts w:hint="eastAsia" w:ascii="宋体"/>
          <w:bCs/>
          <w:sz w:val="24"/>
        </w:rPr>
        <w:t>；</w:t>
      </w:r>
    </w:p>
    <w:p w14:paraId="16710024">
      <w:pPr>
        <w:spacing w:line="360" w:lineRule="auto"/>
        <w:ind w:firstLine="480" w:firstLineChars="200"/>
        <w:rPr>
          <w:rFonts w:ascii="宋体"/>
          <w:bCs/>
          <w:sz w:val="24"/>
        </w:rPr>
      </w:pPr>
      <w:r>
        <w:rPr>
          <w:rFonts w:hint="eastAsia" w:ascii="宋体"/>
          <w:bCs/>
          <w:sz w:val="24"/>
        </w:rPr>
        <w:t>11.2.2 资格审查文件：</w:t>
      </w:r>
    </w:p>
    <w:p w14:paraId="70CBED7D">
      <w:pPr>
        <w:spacing w:line="360" w:lineRule="auto"/>
        <w:ind w:firstLine="480" w:firstLineChars="200"/>
        <w:rPr>
          <w:rFonts w:ascii="宋体"/>
          <w:bCs/>
          <w:sz w:val="24"/>
        </w:rPr>
      </w:pPr>
      <w:r>
        <w:rPr>
          <w:rFonts w:hint="eastAsia" w:ascii="宋体"/>
          <w:bCs/>
          <w:sz w:val="24"/>
        </w:rPr>
        <w:t xml:space="preserve">（1）投标人声明； </w:t>
      </w:r>
    </w:p>
    <w:p w14:paraId="057600FC">
      <w:pPr>
        <w:spacing w:line="360" w:lineRule="auto"/>
        <w:ind w:firstLine="480" w:firstLineChars="200"/>
        <w:rPr>
          <w:rFonts w:ascii="宋体"/>
          <w:bCs/>
          <w:sz w:val="24"/>
        </w:rPr>
      </w:pPr>
      <w:r>
        <w:rPr>
          <w:rFonts w:hint="eastAsia" w:ascii="宋体"/>
          <w:bCs/>
          <w:sz w:val="24"/>
        </w:rPr>
        <w:t>（2）法定代表人证明书、法定代表人签字或盖章的本投标文件授权委托证明书；</w:t>
      </w:r>
    </w:p>
    <w:p w14:paraId="1CCD4E55">
      <w:pPr>
        <w:spacing w:line="360" w:lineRule="auto"/>
        <w:ind w:firstLine="480" w:firstLineChars="200"/>
        <w:rPr>
          <w:rFonts w:ascii="宋体"/>
          <w:bCs/>
          <w:sz w:val="24"/>
        </w:rPr>
      </w:pPr>
      <w:r>
        <w:rPr>
          <w:rFonts w:hint="eastAsia" w:ascii="宋体"/>
          <w:bCs/>
          <w:sz w:val="24"/>
        </w:rPr>
        <w:t>（3）企业营业执照（取自平台内上传件）；</w:t>
      </w:r>
    </w:p>
    <w:p w14:paraId="05669DEC">
      <w:pPr>
        <w:spacing w:line="360" w:lineRule="auto"/>
        <w:ind w:firstLine="480" w:firstLineChars="200"/>
        <w:rPr>
          <w:rFonts w:ascii="宋体"/>
          <w:bCs/>
          <w:sz w:val="24"/>
        </w:rPr>
      </w:pPr>
      <w:r>
        <w:rPr>
          <w:rFonts w:hint="eastAsia" w:ascii="宋体"/>
          <w:bCs/>
          <w:sz w:val="24"/>
        </w:rPr>
        <w:t>（4）企业资质证书（取自平台内上传件）；</w:t>
      </w:r>
    </w:p>
    <w:p w14:paraId="4CB57353">
      <w:pPr>
        <w:spacing w:line="360" w:lineRule="auto"/>
        <w:ind w:firstLine="480" w:firstLineChars="200"/>
        <w:rPr>
          <w:rFonts w:ascii="宋体"/>
          <w:bCs/>
          <w:sz w:val="24"/>
        </w:rPr>
      </w:pPr>
      <w:r>
        <w:rPr>
          <w:rFonts w:hint="eastAsia" w:ascii="宋体"/>
          <w:bCs/>
          <w:sz w:val="24"/>
        </w:rPr>
        <w:t>（5）建筑施工企业安全生产许可证（取自平台内上传件）；</w:t>
      </w:r>
    </w:p>
    <w:p w14:paraId="4AE41232">
      <w:pPr>
        <w:spacing w:line="360" w:lineRule="auto"/>
        <w:ind w:firstLine="480" w:firstLineChars="200"/>
        <w:rPr>
          <w:rFonts w:ascii="宋体" w:hAnsi="宋体"/>
          <w:bCs/>
          <w:sz w:val="24"/>
          <w:szCs w:val="24"/>
        </w:rPr>
      </w:pPr>
      <w:r>
        <w:rPr>
          <w:rFonts w:hint="eastAsia" w:ascii="宋体"/>
          <w:bCs/>
          <w:sz w:val="24"/>
        </w:rPr>
        <w:t>（6）</w:t>
      </w:r>
      <w:r>
        <w:rPr>
          <w:rFonts w:hint="eastAsia" w:ascii="宋体" w:hAnsi="宋体"/>
          <w:bCs/>
          <w:sz w:val="24"/>
          <w:szCs w:val="24"/>
        </w:rPr>
        <w:t>项目负责人（按网上投标登记时选择拟投标的项目负责人）</w:t>
      </w:r>
    </w:p>
    <w:p w14:paraId="4DB452D4">
      <w:pPr>
        <w:spacing w:line="360" w:lineRule="auto"/>
        <w:ind w:firstLine="480" w:firstLineChars="200"/>
        <w:rPr>
          <w:rFonts w:ascii="宋体" w:hAnsi="宋体"/>
          <w:bCs/>
          <w:sz w:val="24"/>
          <w:szCs w:val="24"/>
        </w:rPr>
      </w:pPr>
      <w:r>
        <w:rPr>
          <w:rFonts w:hint="eastAsia" w:ascii="宋体" w:hAnsi="宋体"/>
          <w:bCs/>
          <w:sz w:val="24"/>
          <w:szCs w:val="24"/>
        </w:rPr>
        <w:t>（7）专职安全员（按网上投标登记时选择拟投标的专职安全员）</w:t>
      </w:r>
    </w:p>
    <w:p w14:paraId="1C01477D">
      <w:pPr>
        <w:spacing w:line="360" w:lineRule="auto"/>
        <w:ind w:firstLine="480" w:firstLineChars="200"/>
        <w:rPr>
          <w:rFonts w:ascii="宋体"/>
          <w:bCs/>
          <w:sz w:val="24"/>
        </w:rPr>
      </w:pPr>
      <w:r>
        <w:rPr>
          <w:rFonts w:hint="eastAsia" w:ascii="宋体"/>
          <w:bCs/>
          <w:sz w:val="24"/>
        </w:rPr>
        <w:t>（8）拟委托技术负责人的相关证书、资料（具体要求由招标人明确）</w:t>
      </w:r>
    </w:p>
    <w:p w14:paraId="3761F020">
      <w:pPr>
        <w:spacing w:line="360" w:lineRule="auto"/>
        <w:ind w:firstLine="480" w:firstLineChars="200"/>
        <w:rPr>
          <w:rFonts w:ascii="宋体"/>
          <w:bCs/>
          <w:sz w:val="24"/>
        </w:rPr>
      </w:pPr>
      <w:r>
        <w:rPr>
          <w:rFonts w:hint="eastAsia" w:ascii="宋体"/>
          <w:bCs/>
          <w:sz w:val="24"/>
        </w:rPr>
        <w:t xml:space="preserve">（9）拟委派项目负责人的建造师注册证书（取自平台内上传件）； </w:t>
      </w:r>
    </w:p>
    <w:p w14:paraId="477A3667">
      <w:pPr>
        <w:spacing w:line="360" w:lineRule="auto"/>
        <w:ind w:firstLine="480" w:firstLineChars="200"/>
        <w:rPr>
          <w:rFonts w:ascii="宋体"/>
          <w:bCs/>
          <w:sz w:val="24"/>
        </w:rPr>
      </w:pPr>
      <w:r>
        <w:rPr>
          <w:rFonts w:hint="eastAsia" w:ascii="宋体"/>
          <w:bCs/>
          <w:sz w:val="24"/>
        </w:rPr>
        <w:t>（10）项目负责人安全生产考核合格证明或在有效期内的安全生产考核合格证书（B类）或建筑施工企业项目负责人安全生产考核合格证书（取自平台内上传件）</w:t>
      </w:r>
      <w:r>
        <w:rPr>
          <w:rFonts w:hint="eastAsia" w:ascii="宋体"/>
          <w:bCs/>
          <w:sz w:val="24"/>
          <w:szCs w:val="24"/>
        </w:rPr>
        <w:t>；</w:t>
      </w:r>
    </w:p>
    <w:p w14:paraId="213AE57C">
      <w:pPr>
        <w:spacing w:line="360" w:lineRule="auto"/>
        <w:ind w:firstLine="480" w:firstLineChars="200"/>
        <w:rPr>
          <w:rFonts w:ascii="宋体"/>
          <w:bCs/>
          <w:sz w:val="24"/>
          <w:szCs w:val="24"/>
        </w:rPr>
      </w:pPr>
      <w:r>
        <w:rPr>
          <w:rFonts w:hint="eastAsia" w:ascii="宋体"/>
          <w:bCs/>
          <w:sz w:val="24"/>
        </w:rPr>
        <w:t>（11）专职安全员须具有在有效期内的安全生产考核合格证书（C类）或建筑施工企业专职安全生产管理人员安全生产考核合格证书（取自平台内上传件）</w:t>
      </w:r>
      <w:r>
        <w:rPr>
          <w:rFonts w:hint="eastAsia" w:ascii="宋体"/>
          <w:bCs/>
          <w:sz w:val="24"/>
          <w:szCs w:val="24"/>
        </w:rPr>
        <w:t>；</w:t>
      </w:r>
    </w:p>
    <w:p w14:paraId="42F9B16D">
      <w:pPr>
        <w:spacing w:line="360" w:lineRule="auto"/>
        <w:ind w:firstLine="480" w:firstLineChars="200"/>
        <w:rPr>
          <w:rFonts w:ascii="宋体"/>
          <w:bCs/>
          <w:sz w:val="24"/>
          <w:szCs w:val="24"/>
        </w:rPr>
      </w:pPr>
      <w:r>
        <w:rPr>
          <w:rFonts w:hint="eastAsia" w:ascii="宋体"/>
          <w:bCs/>
          <w:sz w:val="24"/>
          <w:szCs w:val="24"/>
        </w:rPr>
        <w:t>（12）</w:t>
      </w:r>
      <w:r>
        <w:rPr>
          <w:rFonts w:hint="eastAsia" w:ascii="宋体" w:hAnsi="宋体"/>
          <w:bCs/>
          <w:sz w:val="24"/>
          <w:szCs w:val="24"/>
        </w:rPr>
        <w:t>用于资格审查的业绩（设置业绩要求时选择此项，投标人</w:t>
      </w:r>
      <w:r>
        <w:rPr>
          <w:rFonts w:hint="eastAsia" w:ascii="宋体" w:hAnsi="宋体"/>
          <w:sz w:val="24"/>
        </w:rPr>
        <w:t>须提供类似工程业绩的项目名称及项目编号，具体格式由招标人自定</w:t>
      </w:r>
      <w:r>
        <w:rPr>
          <w:rFonts w:hint="eastAsia" w:ascii="宋体" w:hAnsi="宋体"/>
          <w:bCs/>
          <w:sz w:val="24"/>
          <w:szCs w:val="24"/>
        </w:rPr>
        <w:t>）；</w:t>
      </w:r>
    </w:p>
    <w:p w14:paraId="38149663">
      <w:pPr>
        <w:spacing w:line="360" w:lineRule="auto"/>
        <w:ind w:firstLine="480" w:firstLineChars="200"/>
        <w:rPr>
          <w:rFonts w:ascii="宋体"/>
          <w:bCs/>
          <w:sz w:val="24"/>
        </w:rPr>
      </w:pPr>
      <w:r>
        <w:rPr>
          <w:rFonts w:hint="eastAsia" w:ascii="宋体"/>
          <w:bCs/>
          <w:sz w:val="24"/>
        </w:rPr>
        <w:t>（13）资格审查前，投标人须在广州市住房和城乡建设局建立企业信用档案，拟担任本工程项目负责人、专职安全员须是本企业信用档案中的在册人员。</w:t>
      </w:r>
    </w:p>
    <w:p w14:paraId="38497EC5">
      <w:pPr>
        <w:spacing w:line="360" w:lineRule="auto"/>
        <w:ind w:firstLine="480" w:firstLineChars="200"/>
        <w:rPr>
          <w:rFonts w:ascii="宋体" w:hAnsi="宋体"/>
          <w:bCs/>
          <w:sz w:val="24"/>
          <w:szCs w:val="24"/>
        </w:rPr>
      </w:pPr>
      <w:r>
        <w:rPr>
          <w:rFonts w:hint="eastAsia" w:ascii="宋体" w:hAnsi="宋体"/>
          <w:bCs/>
          <w:sz w:val="24"/>
          <w:szCs w:val="24"/>
        </w:rPr>
        <w:t>（14）列明主办单位的联合体工作协议（采用联合体投标时需递交，投标人拟任本工程项目负责人应为联合体主办方信用档案中的在册人员，</w:t>
      </w:r>
      <w:r>
        <w:rPr>
          <w:rFonts w:hint="eastAsia" w:ascii="宋体" w:hAnsi="宋体"/>
          <w:sz w:val="24"/>
          <w:szCs w:val="24"/>
        </w:rPr>
        <w:t>联合体工作协议应明确约定各方拟承担的工作和责任</w:t>
      </w:r>
      <w:r>
        <w:rPr>
          <w:rFonts w:hint="eastAsia" w:ascii="宋体" w:hAnsi="宋体"/>
          <w:bCs/>
          <w:sz w:val="24"/>
          <w:szCs w:val="24"/>
        </w:rPr>
        <w:t xml:space="preserve">）； </w:t>
      </w:r>
    </w:p>
    <w:p w14:paraId="2268706A">
      <w:pPr>
        <w:spacing w:line="360" w:lineRule="auto"/>
        <w:ind w:firstLine="480" w:firstLineChars="200"/>
        <w:rPr>
          <w:rFonts w:ascii="宋体"/>
          <w:bCs/>
          <w:sz w:val="24"/>
        </w:rPr>
      </w:pPr>
      <w:r>
        <w:rPr>
          <w:rFonts w:hint="eastAsia" w:ascii="宋体" w:hAnsi="宋体"/>
          <w:bCs/>
          <w:sz w:val="24"/>
          <w:szCs w:val="24"/>
        </w:rPr>
        <w:t>（15）</w:t>
      </w:r>
      <w:r>
        <w:rPr>
          <w:rFonts w:hint="eastAsia" w:ascii="宋体" w:hAnsi="宋体"/>
          <w:sz w:val="24"/>
          <w:szCs w:val="24"/>
        </w:rPr>
        <w:t>投标人具有在广州地区可使用适合本工程的机械设备的证明文件（</w:t>
      </w:r>
      <w:r>
        <w:rPr>
          <w:rFonts w:hint="eastAsia" w:ascii="宋体" w:hAnsi="宋体"/>
          <w:sz w:val="24"/>
        </w:rPr>
        <w:t>提供沥青摊铺机自有发票或权属证明及设备现场全貌彩照（彩照须能反映其规格型号）</w:t>
      </w:r>
      <w:r>
        <w:rPr>
          <w:rFonts w:hint="eastAsia" w:ascii="宋体" w:hAnsi="宋体"/>
          <w:sz w:val="24"/>
          <w:szCs w:val="24"/>
        </w:rPr>
        <w:t>）。（含有市政道路面层沥青摊铺且沥青摊铺占预计发包价50%或以上的大、中修市政公用工程需提供该项内容的证明文件）。</w:t>
      </w:r>
    </w:p>
    <w:p w14:paraId="7F69FD51">
      <w:pPr>
        <w:spacing w:line="360" w:lineRule="auto"/>
        <w:ind w:firstLine="480" w:firstLineChars="200"/>
        <w:rPr>
          <w:rFonts w:ascii="宋体"/>
          <w:sz w:val="24"/>
        </w:rPr>
      </w:pPr>
      <w:r>
        <w:rPr>
          <w:rFonts w:ascii="宋体" w:hAnsi="宋体"/>
          <w:sz w:val="24"/>
        </w:rPr>
        <w:t>11.2.3</w:t>
      </w:r>
      <w:r>
        <w:rPr>
          <w:rFonts w:hint="eastAsia" w:ascii="宋体" w:hAnsi="宋体"/>
          <w:sz w:val="24"/>
        </w:rPr>
        <w:t>项目管理机构配备。</w:t>
      </w:r>
    </w:p>
    <w:p w14:paraId="01C69E43">
      <w:pPr>
        <w:spacing w:line="360" w:lineRule="auto"/>
        <w:ind w:firstLine="480" w:firstLineChars="200"/>
        <w:rPr>
          <w:rFonts w:ascii="宋体" w:hAnsi="宋体"/>
          <w:sz w:val="24"/>
        </w:rPr>
      </w:pPr>
      <w:r>
        <w:rPr>
          <w:rFonts w:hint="eastAsia" w:ascii="宋体" w:hAnsi="宋体"/>
          <w:sz w:val="24"/>
        </w:rPr>
        <w:t>（</w:t>
      </w:r>
      <w:r>
        <w:rPr>
          <w:rFonts w:ascii="宋体" w:hAnsi="宋体"/>
          <w:sz w:val="24"/>
        </w:rPr>
        <w:t>1</w:t>
      </w:r>
      <w:r>
        <w:rPr>
          <w:rFonts w:hint="eastAsia" w:ascii="宋体" w:hAnsi="宋体"/>
          <w:sz w:val="24"/>
        </w:rPr>
        <w:t>）投标人应列出该项目工程的施工组织机构构成和画出机构框架图及其负责人；</w:t>
      </w:r>
    </w:p>
    <w:p w14:paraId="3377DA67">
      <w:pPr>
        <w:spacing w:line="360" w:lineRule="auto"/>
        <w:ind w:firstLine="480" w:firstLineChars="200"/>
        <w:rPr>
          <w:rFonts w:ascii="宋体"/>
          <w:sz w:val="24"/>
        </w:rPr>
      </w:pPr>
      <w:r>
        <w:rPr>
          <w:rFonts w:hint="eastAsia" w:ascii="宋体" w:hAnsi="宋体"/>
          <w:sz w:val="24"/>
        </w:rPr>
        <w:t>（</w:t>
      </w:r>
      <w:r>
        <w:rPr>
          <w:rFonts w:ascii="宋体" w:hAnsi="宋体"/>
          <w:sz w:val="24"/>
        </w:rPr>
        <w:t>2</w:t>
      </w:r>
      <w:r>
        <w:rPr>
          <w:rFonts w:hint="eastAsia" w:ascii="宋体" w:hAnsi="宋体"/>
          <w:sz w:val="24"/>
        </w:rPr>
        <w:t>）投标人应详细列出该施工组织机构中主要成员的名单、简历资料、职务职称和在本项目中拟担任的职务等资料，并附上有关证明材料扫描件；</w:t>
      </w:r>
    </w:p>
    <w:p w14:paraId="27B36839">
      <w:pPr>
        <w:spacing w:line="360" w:lineRule="auto"/>
        <w:ind w:firstLine="480" w:firstLineChars="200"/>
        <w:rPr>
          <w:rFonts w:ascii="宋体"/>
          <w:sz w:val="24"/>
        </w:rPr>
      </w:pPr>
      <w:r>
        <w:rPr>
          <w:rFonts w:hint="eastAsia" w:ascii="宋体" w:hAnsi="宋体"/>
          <w:sz w:val="24"/>
        </w:rPr>
        <w:t>（</w:t>
      </w:r>
      <w:r>
        <w:rPr>
          <w:rFonts w:ascii="宋体" w:hAnsi="宋体"/>
          <w:sz w:val="24"/>
        </w:rPr>
        <w:t>3</w:t>
      </w:r>
      <w:r>
        <w:rPr>
          <w:rFonts w:hint="eastAsia" w:ascii="宋体" w:hAnsi="宋体"/>
          <w:sz w:val="24"/>
        </w:rPr>
        <w:t>）其他辅助说明资料。</w:t>
      </w:r>
    </w:p>
    <w:p w14:paraId="6ADB2864">
      <w:pPr>
        <w:spacing w:line="360" w:lineRule="auto"/>
        <w:ind w:firstLine="480" w:firstLineChars="200"/>
        <w:rPr>
          <w:rFonts w:ascii="宋体"/>
          <w:sz w:val="24"/>
        </w:rPr>
      </w:pPr>
      <w:r>
        <w:rPr>
          <w:rFonts w:ascii="宋体" w:hAnsi="宋体"/>
          <w:sz w:val="24"/>
        </w:rPr>
        <w:t>11.2.4</w:t>
      </w:r>
      <w:r>
        <w:rPr>
          <w:rFonts w:hint="eastAsia" w:ascii="宋体" w:hAnsi="宋体"/>
          <w:sz w:val="24"/>
        </w:rPr>
        <w:t>投标人在广州市可使用适合本工程的机械设备（附：机械设备为自有或租赁的说明；及承诺机械设备如属于租赁的，其租赁是不属于重复租赁）。</w:t>
      </w:r>
    </w:p>
    <w:p w14:paraId="58FF4656">
      <w:pPr>
        <w:tabs>
          <w:tab w:val="left" w:pos="1125"/>
        </w:tabs>
        <w:spacing w:line="360" w:lineRule="auto"/>
        <w:ind w:firstLine="480" w:firstLineChars="200"/>
        <w:rPr>
          <w:rFonts w:ascii="宋体"/>
          <w:sz w:val="24"/>
        </w:rPr>
      </w:pPr>
      <w:r>
        <w:rPr>
          <w:rFonts w:ascii="宋体" w:hAnsi="宋体"/>
          <w:sz w:val="24"/>
        </w:rPr>
        <w:t>11.2.5</w:t>
      </w:r>
      <w:r>
        <w:rPr>
          <w:rFonts w:hint="eastAsia" w:ascii="宋体" w:hAnsi="宋体"/>
          <w:sz w:val="24"/>
        </w:rPr>
        <w:t>施工组织设计或施工方案。（投标人在编制施工组织设计或施工方案时应按照招标人提出的施工现场建筑垃圾源头减量的具体要求以及建筑垃圾综合利用产品的使用要求提供相应措施。）</w:t>
      </w:r>
    </w:p>
    <w:p w14:paraId="4F5B35FD">
      <w:pPr>
        <w:tabs>
          <w:tab w:val="left" w:pos="1125"/>
        </w:tabs>
        <w:spacing w:line="360" w:lineRule="auto"/>
        <w:ind w:firstLine="480" w:firstLineChars="200"/>
        <w:rPr>
          <w:rFonts w:ascii="宋体"/>
          <w:sz w:val="24"/>
        </w:rPr>
      </w:pPr>
      <w:r>
        <w:rPr>
          <w:rFonts w:ascii="宋体" w:hAnsi="宋体"/>
          <w:sz w:val="24"/>
        </w:rPr>
        <w:t>11.2.</w:t>
      </w:r>
      <w:r>
        <w:rPr>
          <w:rFonts w:hint="eastAsia" w:ascii="宋体" w:hAnsi="宋体"/>
          <w:sz w:val="24"/>
        </w:rPr>
        <w:t>6按照</w:t>
      </w:r>
      <w:r>
        <w:rPr>
          <w:rFonts w:hint="eastAsia" w:ascii="宋体" w:hAnsi="宋体"/>
          <w:bCs/>
          <w:sz w:val="24"/>
        </w:rPr>
        <w:t>招标文件要求</w:t>
      </w:r>
      <w:r>
        <w:rPr>
          <w:rFonts w:hint="eastAsia" w:ascii="宋体" w:hAnsi="宋体"/>
          <w:sz w:val="24"/>
        </w:rPr>
        <w:t>填写的《参与编制技术标投标文件人员名单》。</w:t>
      </w:r>
    </w:p>
    <w:p w14:paraId="5140D47A">
      <w:pPr>
        <w:spacing w:line="360" w:lineRule="auto"/>
        <w:ind w:firstLine="480" w:firstLineChars="200"/>
        <w:rPr>
          <w:rFonts w:ascii="宋体"/>
          <w:bCs/>
          <w:sz w:val="24"/>
        </w:rPr>
      </w:pPr>
      <w:r>
        <w:rPr>
          <w:rFonts w:ascii="宋体" w:hAnsi="宋体"/>
          <w:bCs/>
          <w:sz w:val="24"/>
        </w:rPr>
        <w:t xml:space="preserve">11.3 </w:t>
      </w:r>
      <w:r>
        <w:rPr>
          <w:rFonts w:hint="eastAsia" w:ascii="宋体" w:hAnsi="宋体"/>
          <w:bCs/>
          <w:sz w:val="24"/>
        </w:rPr>
        <w:t>经济部分投标文件主要包括下列内容：</w:t>
      </w:r>
    </w:p>
    <w:p w14:paraId="28742DE0">
      <w:pPr>
        <w:spacing w:line="360" w:lineRule="auto"/>
        <w:ind w:firstLine="480" w:firstLineChars="200"/>
        <w:rPr>
          <w:rFonts w:ascii="宋体"/>
          <w:sz w:val="24"/>
        </w:rPr>
      </w:pPr>
      <w:r>
        <w:rPr>
          <w:rFonts w:ascii="宋体" w:hAnsi="宋体"/>
          <w:sz w:val="24"/>
        </w:rPr>
        <w:t xml:space="preserve">11.3.1 </w:t>
      </w:r>
      <w:r>
        <w:rPr>
          <w:rFonts w:hint="eastAsia" w:ascii="宋体" w:hAnsi="宋体"/>
          <w:sz w:val="24"/>
        </w:rPr>
        <w:t>经济投标文件</w:t>
      </w:r>
      <w:r>
        <w:rPr>
          <w:rFonts w:ascii="宋体" w:hAnsi="宋体"/>
          <w:sz w:val="24"/>
        </w:rPr>
        <w:t>(</w:t>
      </w:r>
      <w:r>
        <w:rPr>
          <w:rFonts w:hint="eastAsia" w:ascii="宋体" w:hAnsi="宋体"/>
          <w:sz w:val="24"/>
        </w:rPr>
        <w:t>按招标文件的要求填写</w:t>
      </w:r>
      <w:r>
        <w:rPr>
          <w:rFonts w:ascii="宋体" w:hAnsi="宋体"/>
          <w:sz w:val="24"/>
        </w:rPr>
        <w:t>)</w:t>
      </w:r>
      <w:r>
        <w:rPr>
          <w:rFonts w:hint="eastAsia" w:ascii="宋体" w:hAnsi="宋体"/>
          <w:sz w:val="24"/>
        </w:rPr>
        <w:t>。</w:t>
      </w:r>
    </w:p>
    <w:p w14:paraId="7717B7EA">
      <w:pPr>
        <w:spacing w:line="360" w:lineRule="auto"/>
        <w:ind w:firstLine="480" w:firstLineChars="200"/>
        <w:rPr>
          <w:rFonts w:ascii="宋体"/>
          <w:sz w:val="24"/>
        </w:rPr>
      </w:pPr>
      <w:r>
        <w:rPr>
          <w:rFonts w:ascii="宋体" w:hAnsi="宋体"/>
          <w:sz w:val="24"/>
        </w:rPr>
        <w:t>11.3.2</w:t>
      </w:r>
      <w:r>
        <w:rPr>
          <w:rFonts w:hint="eastAsia" w:ascii="宋体" w:hAnsi="宋体"/>
          <w:sz w:val="24"/>
        </w:rPr>
        <w:t>投标总价。投标人必须按招标工程量清单填报价格，工程量清单的组成、格式、项目编码、项目名称、项目特征、计量单位、工程量和工程量计算规则必须与招标工程量清单一致。投标报价由投标人依据建设工程工程量清单计价规范、招标文件、招标工程量清单、设计文件、企业定额、施工现场情况和投标时拟定的施工组织设计或者施工方案，结合企业成本、市场价格以及招标文件中载明的风险内容和范围等编制。</w:t>
      </w:r>
      <w:r>
        <w:rPr>
          <w:rFonts w:hint="eastAsia" w:ascii="宋体" w:hAnsi="宋体"/>
          <w:sz w:val="24"/>
          <w:szCs w:val="24"/>
        </w:rPr>
        <w:t>其中包括如下：</w:t>
      </w:r>
      <w:r>
        <w:rPr>
          <w:rFonts w:ascii="宋体"/>
          <w:sz w:val="24"/>
        </w:rPr>
        <w:t xml:space="preserve"> </w:t>
      </w:r>
    </w:p>
    <w:p w14:paraId="433EA0A8">
      <w:pPr>
        <w:spacing w:line="360" w:lineRule="auto"/>
        <w:ind w:firstLine="566" w:firstLineChars="236"/>
        <w:rPr>
          <w:rFonts w:ascii="宋体"/>
          <w:sz w:val="24"/>
        </w:rPr>
      </w:pPr>
      <w:r>
        <w:rPr>
          <w:rFonts w:hint="eastAsia" w:ascii="宋体" w:hAnsi="宋体"/>
          <w:sz w:val="24"/>
        </w:rPr>
        <w:t>（</w:t>
      </w:r>
      <w:r>
        <w:rPr>
          <w:rFonts w:ascii="宋体" w:hAnsi="宋体"/>
          <w:sz w:val="24"/>
        </w:rPr>
        <w:t>1</w:t>
      </w:r>
      <w:r>
        <w:rPr>
          <w:rFonts w:hint="eastAsia" w:ascii="宋体" w:hAnsi="宋体"/>
          <w:sz w:val="24"/>
        </w:rPr>
        <w:t>）投标总价封面、扉页；</w:t>
      </w:r>
    </w:p>
    <w:p w14:paraId="4AC6A5F5">
      <w:pPr>
        <w:spacing w:line="360" w:lineRule="auto"/>
        <w:ind w:firstLine="566" w:firstLineChars="236"/>
        <w:rPr>
          <w:rFonts w:ascii="宋体" w:hAnsi="宋体"/>
          <w:sz w:val="24"/>
          <w:szCs w:val="24"/>
        </w:rPr>
      </w:pPr>
      <w:r>
        <w:rPr>
          <w:rFonts w:hint="eastAsia" w:ascii="宋体" w:hAnsi="宋体"/>
          <w:sz w:val="24"/>
          <w:szCs w:val="24"/>
        </w:rPr>
        <w:t>（</w:t>
      </w:r>
      <w:r>
        <w:rPr>
          <w:rFonts w:ascii="宋体" w:hAnsi="宋体"/>
          <w:sz w:val="24"/>
          <w:szCs w:val="24"/>
        </w:rPr>
        <w:t>2</w:t>
      </w:r>
      <w:r>
        <w:rPr>
          <w:rFonts w:hint="eastAsia" w:ascii="宋体" w:hAnsi="宋体"/>
          <w:sz w:val="24"/>
          <w:szCs w:val="24"/>
        </w:rPr>
        <w:t>）总说明</w:t>
      </w:r>
    </w:p>
    <w:p w14:paraId="4D4272EB">
      <w:pPr>
        <w:spacing w:line="360" w:lineRule="auto"/>
        <w:ind w:firstLine="566" w:firstLineChars="236"/>
        <w:rPr>
          <w:rFonts w:ascii="宋体"/>
          <w:sz w:val="24"/>
          <w:szCs w:val="24"/>
        </w:rPr>
      </w:pPr>
      <w:r>
        <w:rPr>
          <w:rFonts w:hint="eastAsia" w:ascii="宋体" w:hAnsi="宋体"/>
          <w:sz w:val="24"/>
          <w:szCs w:val="24"/>
        </w:rPr>
        <w:t>（3）工程项目投标报价汇总表；</w:t>
      </w:r>
    </w:p>
    <w:p w14:paraId="7A220467">
      <w:pPr>
        <w:spacing w:line="360" w:lineRule="auto"/>
        <w:ind w:firstLine="566" w:firstLineChars="236"/>
        <w:rPr>
          <w:rFonts w:ascii="宋体" w:hAnsi="宋体"/>
          <w:sz w:val="24"/>
          <w:szCs w:val="24"/>
        </w:rPr>
      </w:pPr>
      <w:r>
        <w:rPr>
          <w:rFonts w:hint="eastAsia" w:ascii="宋体" w:hAnsi="宋体"/>
          <w:sz w:val="24"/>
          <w:szCs w:val="24"/>
        </w:rPr>
        <w:t>（4）单项工程投标报价汇总表；</w:t>
      </w:r>
    </w:p>
    <w:p w14:paraId="27A83BDA">
      <w:pPr>
        <w:spacing w:line="360" w:lineRule="auto"/>
        <w:ind w:firstLine="566" w:firstLineChars="236"/>
        <w:rPr>
          <w:rFonts w:ascii="宋体"/>
          <w:sz w:val="24"/>
          <w:szCs w:val="24"/>
        </w:rPr>
      </w:pPr>
      <w:r>
        <w:rPr>
          <w:rFonts w:hint="eastAsia" w:ascii="宋体" w:hAnsi="宋体"/>
          <w:sz w:val="24"/>
          <w:szCs w:val="24"/>
        </w:rPr>
        <w:t>（5）单位工程投标报价汇总表；</w:t>
      </w:r>
    </w:p>
    <w:p w14:paraId="7DC071D9">
      <w:pPr>
        <w:spacing w:line="360" w:lineRule="auto"/>
        <w:ind w:firstLine="566" w:firstLineChars="236"/>
        <w:rPr>
          <w:rFonts w:ascii="宋体"/>
          <w:sz w:val="24"/>
          <w:szCs w:val="24"/>
        </w:rPr>
      </w:pPr>
      <w:r>
        <w:rPr>
          <w:rFonts w:hint="eastAsia" w:ascii="宋体" w:hAnsi="宋体"/>
          <w:sz w:val="24"/>
          <w:szCs w:val="24"/>
        </w:rPr>
        <w:t>（6）分部分项工程清单与计价表；</w:t>
      </w:r>
    </w:p>
    <w:p w14:paraId="65F91B2E">
      <w:pPr>
        <w:spacing w:line="360" w:lineRule="auto"/>
        <w:ind w:firstLine="566" w:firstLineChars="236"/>
        <w:rPr>
          <w:rFonts w:ascii="宋体"/>
          <w:sz w:val="24"/>
          <w:szCs w:val="24"/>
        </w:rPr>
      </w:pPr>
      <w:r>
        <w:rPr>
          <w:rFonts w:hint="eastAsia" w:ascii="宋体" w:hAnsi="宋体"/>
          <w:sz w:val="24"/>
          <w:szCs w:val="24"/>
        </w:rPr>
        <w:t>（7）单价措施项目清单与计价表；</w:t>
      </w:r>
    </w:p>
    <w:p w14:paraId="238A3865">
      <w:pPr>
        <w:spacing w:line="360" w:lineRule="auto"/>
        <w:ind w:firstLine="566" w:firstLineChars="236"/>
        <w:rPr>
          <w:rFonts w:ascii="宋体"/>
          <w:sz w:val="24"/>
          <w:szCs w:val="24"/>
        </w:rPr>
      </w:pPr>
      <w:r>
        <w:rPr>
          <w:rFonts w:hint="eastAsia" w:ascii="宋体" w:hAnsi="宋体"/>
          <w:sz w:val="24"/>
          <w:szCs w:val="24"/>
        </w:rPr>
        <w:t>（8）总价措施项目清单与计价表；</w:t>
      </w:r>
    </w:p>
    <w:p w14:paraId="377967DA">
      <w:pPr>
        <w:spacing w:line="360" w:lineRule="auto"/>
        <w:ind w:firstLine="566" w:firstLineChars="236"/>
        <w:rPr>
          <w:rFonts w:ascii="宋体"/>
          <w:sz w:val="24"/>
          <w:szCs w:val="24"/>
        </w:rPr>
      </w:pPr>
      <w:r>
        <w:rPr>
          <w:rFonts w:hint="eastAsia" w:ascii="宋体" w:hAnsi="宋体"/>
          <w:sz w:val="24"/>
          <w:szCs w:val="24"/>
        </w:rPr>
        <w:t>（9）综合单价分析表；</w:t>
      </w:r>
    </w:p>
    <w:p w14:paraId="26B3A168">
      <w:pPr>
        <w:spacing w:line="360" w:lineRule="auto"/>
        <w:ind w:firstLine="566" w:firstLineChars="236"/>
        <w:rPr>
          <w:rFonts w:ascii="宋体"/>
          <w:sz w:val="24"/>
          <w:szCs w:val="24"/>
        </w:rPr>
      </w:pPr>
      <w:r>
        <w:rPr>
          <w:rFonts w:hint="eastAsia" w:ascii="宋体" w:hAnsi="宋体"/>
          <w:sz w:val="24"/>
          <w:szCs w:val="24"/>
        </w:rPr>
        <w:t>（10）其他项目清单与计价汇总表；</w:t>
      </w:r>
    </w:p>
    <w:p w14:paraId="663716FF">
      <w:pPr>
        <w:spacing w:line="360" w:lineRule="auto"/>
        <w:ind w:firstLine="566" w:firstLineChars="236"/>
        <w:rPr>
          <w:rFonts w:ascii="宋体"/>
          <w:sz w:val="24"/>
          <w:szCs w:val="24"/>
        </w:rPr>
      </w:pPr>
      <w:r>
        <w:rPr>
          <w:rFonts w:hint="eastAsia" w:ascii="宋体" w:hAnsi="宋体"/>
          <w:sz w:val="24"/>
          <w:szCs w:val="24"/>
        </w:rPr>
        <w:t>（11）暂列金额明细表；</w:t>
      </w:r>
    </w:p>
    <w:p w14:paraId="51D72465">
      <w:pPr>
        <w:spacing w:line="360" w:lineRule="auto"/>
        <w:ind w:firstLine="566" w:firstLineChars="236"/>
        <w:rPr>
          <w:rFonts w:ascii="宋体"/>
          <w:sz w:val="24"/>
          <w:szCs w:val="24"/>
        </w:rPr>
      </w:pPr>
      <w:r>
        <w:rPr>
          <w:rFonts w:hint="eastAsia" w:ascii="宋体" w:hAnsi="宋体"/>
          <w:sz w:val="24"/>
          <w:szCs w:val="24"/>
        </w:rPr>
        <w:t>（12）材料（工程设备）暂估价明细表；</w:t>
      </w:r>
    </w:p>
    <w:p w14:paraId="57A19D41">
      <w:pPr>
        <w:spacing w:line="360" w:lineRule="auto"/>
        <w:ind w:firstLine="566" w:firstLineChars="236"/>
        <w:rPr>
          <w:rFonts w:ascii="宋体"/>
          <w:sz w:val="24"/>
          <w:szCs w:val="24"/>
        </w:rPr>
      </w:pPr>
      <w:r>
        <w:rPr>
          <w:rFonts w:hint="eastAsia" w:ascii="宋体" w:hAnsi="宋体"/>
          <w:sz w:val="24"/>
          <w:szCs w:val="24"/>
        </w:rPr>
        <w:t>（13）专业工程暂估价明细表；</w:t>
      </w:r>
    </w:p>
    <w:p w14:paraId="345342DB">
      <w:pPr>
        <w:spacing w:line="360" w:lineRule="auto"/>
        <w:ind w:firstLine="566" w:firstLineChars="236"/>
        <w:rPr>
          <w:rFonts w:ascii="宋体"/>
          <w:sz w:val="24"/>
          <w:szCs w:val="24"/>
        </w:rPr>
      </w:pPr>
      <w:r>
        <w:rPr>
          <w:rFonts w:hint="eastAsia" w:ascii="宋体" w:hAnsi="宋体"/>
          <w:sz w:val="24"/>
          <w:szCs w:val="24"/>
        </w:rPr>
        <w:t>（14）计日工表；</w:t>
      </w:r>
    </w:p>
    <w:p w14:paraId="0973309E">
      <w:pPr>
        <w:spacing w:line="360" w:lineRule="auto"/>
        <w:ind w:firstLine="566" w:firstLineChars="236"/>
        <w:rPr>
          <w:rFonts w:ascii="宋体"/>
          <w:sz w:val="24"/>
          <w:szCs w:val="24"/>
        </w:rPr>
      </w:pPr>
      <w:r>
        <w:rPr>
          <w:rFonts w:hint="eastAsia" w:ascii="宋体" w:hAnsi="宋体"/>
          <w:sz w:val="24"/>
          <w:szCs w:val="24"/>
        </w:rPr>
        <w:t>（15）总承包服务计价表；</w:t>
      </w:r>
    </w:p>
    <w:p w14:paraId="382EF233">
      <w:pPr>
        <w:spacing w:line="360" w:lineRule="auto"/>
        <w:ind w:firstLine="566" w:firstLineChars="236"/>
        <w:rPr>
          <w:rFonts w:ascii="宋体"/>
          <w:sz w:val="24"/>
          <w:szCs w:val="24"/>
        </w:rPr>
      </w:pPr>
      <w:r>
        <w:rPr>
          <w:rFonts w:hint="eastAsia" w:ascii="宋体" w:hAnsi="宋体"/>
          <w:sz w:val="24"/>
          <w:szCs w:val="24"/>
        </w:rPr>
        <w:t>（16）规费和税金项目计价表；</w:t>
      </w:r>
    </w:p>
    <w:p w14:paraId="75BEC113">
      <w:pPr>
        <w:spacing w:line="360" w:lineRule="auto"/>
        <w:ind w:firstLine="480" w:firstLineChars="200"/>
        <w:rPr>
          <w:rFonts w:ascii="宋体"/>
          <w:sz w:val="24"/>
        </w:rPr>
      </w:pPr>
      <w:r>
        <w:rPr>
          <w:rFonts w:hint="eastAsia" w:ascii="宋体" w:hAnsi="宋体"/>
          <w:sz w:val="24"/>
          <w:szCs w:val="24"/>
        </w:rPr>
        <w:t xml:space="preserve"> （17）人工、主要材料和设备一览表</w:t>
      </w:r>
    </w:p>
    <w:p w14:paraId="129A091A">
      <w:pPr>
        <w:tabs>
          <w:tab w:val="left" w:pos="1125"/>
        </w:tabs>
        <w:spacing w:line="360" w:lineRule="auto"/>
        <w:ind w:firstLine="480" w:firstLineChars="200"/>
        <w:rPr>
          <w:rFonts w:ascii="宋体" w:hAnsi="宋体"/>
          <w:sz w:val="24"/>
        </w:rPr>
      </w:pPr>
      <w:r>
        <w:rPr>
          <w:rFonts w:ascii="宋体" w:hAnsi="宋体"/>
          <w:sz w:val="24"/>
        </w:rPr>
        <w:t>11.3.</w:t>
      </w:r>
      <w:r>
        <w:rPr>
          <w:rFonts w:hint="eastAsia" w:ascii="宋体" w:hAnsi="宋体"/>
          <w:sz w:val="24"/>
        </w:rPr>
        <w:t>3按照</w:t>
      </w:r>
      <w:r>
        <w:rPr>
          <w:rFonts w:hint="eastAsia" w:ascii="宋体" w:hAnsi="宋体"/>
          <w:bCs/>
          <w:sz w:val="24"/>
        </w:rPr>
        <w:t>招标文件要求</w:t>
      </w:r>
      <w:r>
        <w:rPr>
          <w:rFonts w:hint="eastAsia" w:ascii="宋体" w:hAnsi="宋体"/>
          <w:sz w:val="24"/>
        </w:rPr>
        <w:t>填写的《参与编制经济标投标文件人员名单》。</w:t>
      </w:r>
    </w:p>
    <w:p w14:paraId="0D6166A2">
      <w:pPr>
        <w:tabs>
          <w:tab w:val="left" w:pos="1125"/>
        </w:tabs>
        <w:spacing w:line="360" w:lineRule="auto"/>
        <w:ind w:firstLine="480" w:firstLineChars="200"/>
        <w:rPr>
          <w:rFonts w:ascii="宋体" w:hAnsi="宋体"/>
          <w:sz w:val="24"/>
        </w:rPr>
      </w:pPr>
      <w:r>
        <w:rPr>
          <w:rFonts w:hint="eastAsia" w:ascii="宋体" w:hAnsi="宋体"/>
          <w:sz w:val="24"/>
        </w:rPr>
        <w:t>11.3.4若投标人的投标报价低于工程成本警戒价的，投标人还须提供详细的施工组织设计、单价、措施性费用、单价分析表、主要材料价格表、投标人成本分析供评标委员会评审。</w:t>
      </w:r>
    </w:p>
    <w:p w14:paraId="673BA5A6">
      <w:pPr>
        <w:pStyle w:val="5"/>
        <w:spacing w:after="0" w:line="360" w:lineRule="auto"/>
        <w:ind w:firstLine="480" w:firstLineChars="200"/>
        <w:rPr>
          <w:rFonts w:ascii="宋体" w:hAnsi="宋体" w:eastAsia="宋体"/>
          <w:b/>
          <w:bCs/>
          <w:sz w:val="24"/>
        </w:rPr>
      </w:pPr>
      <w:r>
        <w:rPr>
          <w:rFonts w:ascii="宋体" w:hAnsi="宋体" w:eastAsia="宋体"/>
          <w:b/>
          <w:bCs/>
          <w:sz w:val="24"/>
        </w:rPr>
        <w:t>12</w:t>
      </w:r>
      <w:r>
        <w:rPr>
          <w:rFonts w:hint="eastAsia" w:ascii="宋体" w:hAnsi="宋体" w:eastAsia="宋体"/>
          <w:b/>
          <w:bCs/>
          <w:sz w:val="24"/>
        </w:rPr>
        <w:t>．投标文件格式</w:t>
      </w:r>
    </w:p>
    <w:p w14:paraId="623F8779">
      <w:pPr>
        <w:pStyle w:val="5"/>
        <w:spacing w:after="0" w:line="360" w:lineRule="auto"/>
        <w:ind w:firstLine="480" w:firstLineChars="200"/>
        <w:rPr>
          <w:rFonts w:ascii="宋体" w:hAnsi="宋体" w:eastAsia="宋体" w:cs="Times New Roman"/>
          <w:bCs/>
          <w:sz w:val="24"/>
          <w:szCs w:val="24"/>
        </w:rPr>
      </w:pPr>
      <w:r>
        <w:rPr>
          <w:rFonts w:ascii="宋体" w:hAnsi="宋体" w:eastAsia="宋体" w:cs="Times New Roman"/>
          <w:bCs/>
          <w:sz w:val="24"/>
          <w:szCs w:val="24"/>
        </w:rPr>
        <w:t xml:space="preserve">12.1 </w:t>
      </w:r>
      <w:r>
        <w:rPr>
          <w:rFonts w:hint="eastAsia" w:ascii="宋体" w:hAnsi="宋体" w:eastAsia="宋体" w:cs="Times New Roman"/>
          <w:bCs/>
          <w:sz w:val="24"/>
          <w:szCs w:val="24"/>
        </w:rPr>
        <w:t>投标文件包括本须知第</w:t>
      </w:r>
      <w:r>
        <w:rPr>
          <w:rFonts w:ascii="宋体" w:hAnsi="宋体" w:eastAsia="宋体" w:cs="Times New Roman"/>
          <w:bCs/>
          <w:sz w:val="24"/>
          <w:szCs w:val="24"/>
        </w:rPr>
        <w:t>11</w:t>
      </w:r>
      <w:r>
        <w:rPr>
          <w:rFonts w:hint="eastAsia" w:ascii="宋体" w:hAnsi="宋体" w:eastAsia="宋体" w:cs="Times New Roman"/>
          <w:bCs/>
          <w:sz w:val="24"/>
          <w:szCs w:val="24"/>
        </w:rPr>
        <w:t>条中规定的内容，投标人提交的投标文件应当使用招标文件所提供的投标文件全部格式（表格可以按同样格式扩展）。</w:t>
      </w:r>
    </w:p>
    <w:p w14:paraId="5DC4D813">
      <w:pPr>
        <w:pStyle w:val="5"/>
        <w:spacing w:after="0" w:line="360" w:lineRule="auto"/>
        <w:ind w:firstLine="480" w:firstLineChars="200"/>
        <w:rPr>
          <w:rFonts w:ascii="宋体" w:hAnsi="宋体" w:eastAsia="宋体"/>
          <w:sz w:val="24"/>
        </w:rPr>
      </w:pPr>
      <w:r>
        <w:rPr>
          <w:rFonts w:hint="eastAsia" w:ascii="宋体" w:hAnsi="宋体" w:eastAsia="宋体" w:cs="Times New Roman"/>
          <w:bCs/>
          <w:sz w:val="24"/>
          <w:szCs w:val="24"/>
        </w:rPr>
        <w:t>12.2 投标文件全部采用电子文档，投标文件所附证书证件均为原件扫描件，并采用单位数字证书，按招标</w:t>
      </w:r>
      <w:r>
        <w:rPr>
          <w:rFonts w:hint="eastAsia" w:ascii="宋体" w:hAnsi="宋体" w:eastAsia="宋体"/>
          <w:sz w:val="24"/>
        </w:rPr>
        <w:t>文件要求在相应位置加盖电子印章。投标文件中需个人签字或盖章的，应加盖个人电子印章或在线下完成后扫描上传。按照交易平台关于</w:t>
      </w:r>
      <w:r>
        <w:rPr>
          <w:rFonts w:hint="eastAsia" w:ascii="宋体" w:hAnsi="宋体" w:eastAsia="宋体"/>
          <w:sz w:val="24"/>
          <w:szCs w:val="24"/>
        </w:rPr>
        <w:t>全流程电子化项目的相关指南进行操作。详见：</w:t>
      </w:r>
      <w:r>
        <w:rPr>
          <w:rFonts w:ascii="宋体" w:hAnsi="宋体" w:eastAsia="宋体"/>
          <w:sz w:val="24"/>
          <w:szCs w:val="24"/>
          <w:u w:val="single"/>
        </w:rPr>
        <w:t xml:space="preserve">      </w:t>
      </w:r>
      <w:r>
        <w:rPr>
          <w:rFonts w:hint="eastAsia" w:ascii="宋体" w:hAnsi="宋体" w:eastAsia="宋体"/>
          <w:sz w:val="24"/>
          <w:szCs w:val="24"/>
          <w:u w:val="single"/>
        </w:rPr>
        <w:t xml:space="preserve">    </w:t>
      </w:r>
      <w:r>
        <w:rPr>
          <w:rFonts w:ascii="宋体" w:hAnsi="宋体" w:eastAsia="宋体"/>
          <w:sz w:val="24"/>
          <w:szCs w:val="24"/>
          <w:u w:val="single"/>
        </w:rPr>
        <w:t xml:space="preserve">  </w:t>
      </w:r>
      <w:r>
        <w:rPr>
          <w:rFonts w:hint="eastAsia" w:ascii="宋体" w:hAnsi="宋体" w:eastAsia="宋体"/>
          <w:sz w:val="24"/>
          <w:szCs w:val="24"/>
        </w:rPr>
        <w:t xml:space="preserve"> 。</w:t>
      </w:r>
    </w:p>
    <w:p w14:paraId="1B72B514">
      <w:pPr>
        <w:pStyle w:val="5"/>
        <w:spacing w:after="0" w:line="360" w:lineRule="auto"/>
        <w:ind w:firstLine="480" w:firstLineChars="200"/>
        <w:rPr>
          <w:rFonts w:ascii="宋体" w:hAnsi="宋体" w:eastAsia="宋体"/>
          <w:sz w:val="24"/>
        </w:rPr>
      </w:pPr>
      <w:r>
        <w:rPr>
          <w:rFonts w:hint="eastAsia" w:ascii="宋体" w:hAnsi="宋体" w:eastAsia="宋体"/>
          <w:sz w:val="24"/>
        </w:rPr>
        <w:t xml:space="preserve">12.3 </w:t>
      </w:r>
      <w:r>
        <w:rPr>
          <w:rFonts w:hint="eastAsia" w:ascii="宋体" w:hAnsi="宋体" w:eastAsia="宋体"/>
          <w:bCs/>
          <w:sz w:val="24"/>
          <w:szCs w:val="24"/>
        </w:rPr>
        <w:t>投标文件应按</w:t>
      </w:r>
      <w:r>
        <w:rPr>
          <w:rFonts w:hint="eastAsia" w:ascii="宋体" w:hAnsi="宋体" w:eastAsia="宋体"/>
          <w:sz w:val="24"/>
        </w:rPr>
        <w:t>照交易平台关于全流程电子化项目的相关指南进行编制，详见：</w:t>
      </w:r>
      <w:r>
        <w:rPr>
          <w:rFonts w:ascii="宋体" w:hAnsi="宋体" w:eastAsia="宋体"/>
          <w:sz w:val="24"/>
          <w:szCs w:val="24"/>
          <w:u w:val="single"/>
        </w:rPr>
        <w:t xml:space="preserve">       </w:t>
      </w:r>
      <w:r>
        <w:rPr>
          <w:rFonts w:hint="eastAsia" w:ascii="宋体" w:hAnsi="宋体" w:eastAsia="宋体"/>
          <w:sz w:val="24"/>
          <w:szCs w:val="24"/>
          <w:u w:val="single"/>
        </w:rPr>
        <w:t xml:space="preserve">     </w:t>
      </w:r>
      <w:r>
        <w:rPr>
          <w:rFonts w:hint="eastAsia" w:ascii="宋体" w:hAnsi="宋体" w:eastAsia="宋体"/>
          <w:sz w:val="24"/>
        </w:rPr>
        <w:t xml:space="preserve">。               </w:t>
      </w:r>
    </w:p>
    <w:p w14:paraId="2D4668F0">
      <w:pPr>
        <w:pStyle w:val="5"/>
        <w:spacing w:after="0" w:line="360" w:lineRule="auto"/>
        <w:ind w:firstLine="0"/>
        <w:rPr>
          <w:rFonts w:ascii="宋体" w:hAnsi="宋体" w:eastAsia="宋体"/>
          <w:sz w:val="24"/>
        </w:rPr>
      </w:pPr>
      <w:r>
        <w:rPr>
          <w:rFonts w:hint="eastAsia" w:ascii="宋体" w:hAnsi="宋体" w:eastAsia="宋体"/>
          <w:bCs/>
          <w:sz w:val="24"/>
          <w:szCs w:val="24"/>
        </w:rPr>
        <w:t>如不按上述要求编制引起系统无法检索、读取相关信息的，其后果由投标人承担。</w:t>
      </w:r>
    </w:p>
    <w:p w14:paraId="6C4BA187">
      <w:pPr>
        <w:pStyle w:val="5"/>
        <w:spacing w:after="0" w:line="360" w:lineRule="auto"/>
        <w:ind w:firstLine="480" w:firstLineChars="200"/>
        <w:rPr>
          <w:rFonts w:ascii="宋体" w:hAnsi="宋体" w:eastAsia="宋体"/>
          <w:b/>
          <w:bCs/>
          <w:sz w:val="24"/>
        </w:rPr>
      </w:pPr>
      <w:r>
        <w:rPr>
          <w:rFonts w:ascii="宋体" w:hAnsi="宋体" w:eastAsia="宋体"/>
          <w:b/>
          <w:bCs/>
          <w:sz w:val="24"/>
        </w:rPr>
        <w:t>13</w:t>
      </w:r>
      <w:r>
        <w:rPr>
          <w:rFonts w:hint="eastAsia" w:ascii="宋体" w:hAnsi="宋体" w:eastAsia="宋体"/>
          <w:b/>
          <w:bCs/>
          <w:sz w:val="24"/>
        </w:rPr>
        <w:t>．投标报价及造价承包和变更结算方式</w:t>
      </w:r>
    </w:p>
    <w:p w14:paraId="0FF5DF89">
      <w:pPr>
        <w:pStyle w:val="5"/>
        <w:spacing w:after="0" w:line="360" w:lineRule="auto"/>
        <w:ind w:firstLine="480" w:firstLineChars="200"/>
        <w:rPr>
          <w:rFonts w:ascii="宋体" w:hAnsi="宋体" w:eastAsia="宋体"/>
          <w:sz w:val="24"/>
        </w:rPr>
      </w:pPr>
      <w:r>
        <w:rPr>
          <w:rFonts w:ascii="宋体" w:hAnsi="宋体" w:eastAsia="宋体"/>
          <w:sz w:val="24"/>
        </w:rPr>
        <w:t xml:space="preserve">13.1 </w:t>
      </w:r>
      <w:r>
        <w:rPr>
          <w:rFonts w:hint="eastAsia" w:ascii="宋体" w:hAnsi="宋体" w:eastAsia="宋体"/>
          <w:sz w:val="24"/>
        </w:rPr>
        <w:t>本工程的投标报价采用投标须知前附表第</w:t>
      </w:r>
      <w:r>
        <w:rPr>
          <w:rFonts w:ascii="宋体" w:hAnsi="宋体" w:eastAsia="宋体"/>
          <w:sz w:val="24"/>
        </w:rPr>
        <w:t>12</w:t>
      </w:r>
      <w:r>
        <w:rPr>
          <w:rFonts w:hint="eastAsia" w:ascii="宋体" w:hAnsi="宋体" w:eastAsia="宋体"/>
          <w:sz w:val="24"/>
        </w:rPr>
        <w:t>项所规定的方式。投标报价（含单价及总价）精确到“分”。</w:t>
      </w:r>
    </w:p>
    <w:p w14:paraId="136C6C81">
      <w:pPr>
        <w:pStyle w:val="5"/>
        <w:spacing w:after="0" w:line="360" w:lineRule="auto"/>
        <w:ind w:firstLine="480" w:firstLineChars="200"/>
        <w:rPr>
          <w:rFonts w:ascii="宋体" w:hAnsi="宋体" w:eastAsia="宋体"/>
          <w:sz w:val="24"/>
        </w:rPr>
      </w:pPr>
      <w:r>
        <w:rPr>
          <w:rFonts w:ascii="宋体" w:hAnsi="宋体" w:eastAsia="宋体"/>
          <w:sz w:val="24"/>
        </w:rPr>
        <w:t>13.2</w:t>
      </w:r>
      <w:r>
        <w:rPr>
          <w:rFonts w:hint="eastAsia" w:ascii="宋体" w:hAnsi="宋体" w:eastAsia="宋体"/>
          <w:sz w:val="24"/>
        </w:rPr>
        <w:t>招标人按照招标图纸制定招标工程量清单，该清单载于本招标文件第七章中，投标人按照招标人提供的招标工程量清单中列出的工程项目和工程量填报单价和合价，每一项目只允许有一个报价，任何有选择的报价将不予接受。投标人未填报单价或合价的工程项目，视为此项费用已包含在已标价工程量清单中其他项目的单价和合价之中，在实施后，此项目不得重新组价予以调整，招标人将不予支付。</w:t>
      </w:r>
    </w:p>
    <w:p w14:paraId="12A4C97F">
      <w:pPr>
        <w:pStyle w:val="5"/>
        <w:spacing w:after="0" w:line="360" w:lineRule="auto"/>
        <w:ind w:firstLine="480" w:firstLineChars="200"/>
        <w:rPr>
          <w:rFonts w:ascii="宋体" w:hAnsi="宋体" w:eastAsia="宋体"/>
          <w:sz w:val="24"/>
        </w:rPr>
      </w:pPr>
      <w:r>
        <w:rPr>
          <w:rFonts w:ascii="宋体" w:hAnsi="宋体" w:eastAsia="宋体"/>
          <w:sz w:val="24"/>
        </w:rPr>
        <w:t>13.3</w:t>
      </w:r>
      <w:r>
        <w:rPr>
          <w:rFonts w:hint="eastAsia" w:ascii="宋体" w:hAnsi="宋体" w:eastAsia="宋体"/>
          <w:sz w:val="24"/>
        </w:rPr>
        <w:t>投标人的投标报价，应是按照投标须知前附表第</w:t>
      </w:r>
      <w:r>
        <w:rPr>
          <w:rFonts w:ascii="宋体" w:hAnsi="宋体" w:eastAsia="宋体"/>
          <w:sz w:val="24"/>
        </w:rPr>
        <w:t>8</w:t>
      </w:r>
      <w:r>
        <w:rPr>
          <w:rFonts w:hint="eastAsia" w:ascii="宋体" w:hAnsi="宋体" w:eastAsia="宋体"/>
          <w:sz w:val="24"/>
        </w:rPr>
        <w:t>项的工期要求，在投标须知前附表第</w:t>
      </w:r>
      <w:r>
        <w:rPr>
          <w:rFonts w:ascii="宋体" w:hAnsi="宋体" w:eastAsia="宋体"/>
          <w:sz w:val="24"/>
        </w:rPr>
        <w:t>3</w:t>
      </w:r>
      <w:r>
        <w:rPr>
          <w:rFonts w:hint="eastAsia" w:ascii="宋体" w:hAnsi="宋体" w:eastAsia="宋体"/>
          <w:sz w:val="24"/>
        </w:rPr>
        <w:t>项的建设地点，完成投标须知前附表第</w:t>
      </w:r>
      <w:r>
        <w:rPr>
          <w:rFonts w:ascii="宋体" w:hAnsi="宋体" w:eastAsia="宋体"/>
          <w:sz w:val="24"/>
        </w:rPr>
        <w:t>7</w:t>
      </w:r>
      <w:r>
        <w:rPr>
          <w:rFonts w:hint="eastAsia" w:ascii="宋体" w:hAnsi="宋体" w:eastAsia="宋体"/>
          <w:sz w:val="24"/>
        </w:rPr>
        <w:t>项的招标范围内已由招标人制定的工程量清单列明工作的全部费用，包括但不限于完成工作的成本、利润、税金、技术措施费、大型机械进出场费、风险费以及政策性文件规定费用等，不得以任何理由予以重复计算。招标人提供的工程量清单或招标文件其他部分</w:t>
      </w:r>
      <w:r>
        <w:rPr>
          <w:rFonts w:hint="eastAsia" w:ascii="宋体" w:hAnsi="宋体" w:eastAsia="宋体"/>
          <w:sz w:val="24"/>
          <w:szCs w:val="24"/>
        </w:rPr>
        <w:t>中有关规费、暂列金额、暂估价、绿色施工安全防护措施费等非竞争性项目明列了单价或合价的金额的，投标人应按照明列的单价或合价的金额报价，未按照规定金额报价的，由评标委员会按照招标文件规定的金额进行修正。</w:t>
      </w:r>
    </w:p>
    <w:p w14:paraId="5739E5E5">
      <w:pPr>
        <w:pStyle w:val="5"/>
        <w:spacing w:after="0" w:line="360" w:lineRule="auto"/>
        <w:ind w:firstLine="480" w:firstLineChars="200"/>
        <w:rPr>
          <w:rFonts w:ascii="宋体" w:hAnsi="宋体" w:eastAsia="宋体"/>
          <w:sz w:val="24"/>
        </w:rPr>
      </w:pPr>
      <w:r>
        <w:rPr>
          <w:rFonts w:ascii="宋体" w:hAnsi="宋体" w:eastAsia="宋体"/>
          <w:sz w:val="24"/>
        </w:rPr>
        <w:t>13.4</w:t>
      </w:r>
      <w:r>
        <w:rPr>
          <w:rFonts w:hint="eastAsia" w:ascii="宋体" w:hAnsi="宋体" w:eastAsia="宋体"/>
          <w:sz w:val="24"/>
        </w:rPr>
        <w:t>投标人一旦中标，投标人对招标人提供的招标工程量清单中列出的工程项目所报出的综合单价，在工程结算时将不得变更，招标人应在招标文件及合同中明确在人工、材料、设备或机械台班市场价格发生异常变动情况时合同价款的调整办法。因应计算的实际工程量与招标工程量清单出现偏差或因工程变更等原因导致的工程量偏差，引起相关措施项目相应发生变化时，按系数或单一总价方式计价的措施项目费，工程量增加的措施项目费调增，工程量减少的措施项目费调减。</w:t>
      </w:r>
    </w:p>
    <w:p w14:paraId="5226F394">
      <w:pPr>
        <w:pStyle w:val="5"/>
        <w:spacing w:after="0" w:line="360" w:lineRule="auto"/>
        <w:ind w:firstLine="480" w:firstLineChars="200"/>
        <w:rPr>
          <w:rFonts w:ascii="宋体" w:hAnsi="宋体" w:eastAsia="宋体"/>
          <w:sz w:val="24"/>
        </w:rPr>
      </w:pPr>
      <w:r>
        <w:rPr>
          <w:rFonts w:ascii="宋体" w:hAnsi="宋体" w:eastAsia="宋体"/>
          <w:sz w:val="24"/>
        </w:rPr>
        <w:t>13.5</w:t>
      </w:r>
      <w:r>
        <w:rPr>
          <w:rFonts w:hint="eastAsia" w:ascii="宋体" w:hAnsi="宋体" w:eastAsia="宋体"/>
          <w:sz w:val="24"/>
        </w:rPr>
        <w:t>工程项目实施期间和结算时，招标文件工程量清单中漏列而由监理单位和招标人现场签证确认的工程项目、原设计没有而由招标人批准设计变更产生的工程项目，视为新增项目，按以下顺序确定价格：</w:t>
      </w:r>
    </w:p>
    <w:p w14:paraId="322B9AC3">
      <w:pPr>
        <w:pStyle w:val="5"/>
        <w:spacing w:after="0" w:line="360" w:lineRule="auto"/>
        <w:ind w:firstLine="480" w:firstLineChars="200"/>
        <w:rPr>
          <w:rFonts w:ascii="宋体" w:hAnsi="宋体" w:eastAsia="宋体"/>
          <w:sz w:val="24"/>
        </w:rPr>
      </w:pPr>
      <w:r>
        <w:rPr>
          <w:rFonts w:ascii="宋体" w:hAnsi="宋体" w:eastAsia="宋体"/>
          <w:sz w:val="24"/>
        </w:rPr>
        <w:t>13.5.1</w:t>
      </w:r>
      <w:r>
        <w:rPr>
          <w:rFonts w:hint="eastAsia" w:ascii="宋体" w:hAnsi="宋体" w:eastAsia="宋体"/>
          <w:sz w:val="24"/>
        </w:rPr>
        <w:t>中标的投标文件工程量清单中已有相同项目的适用综合单价，则沿用；</w:t>
      </w:r>
    </w:p>
    <w:p w14:paraId="6151CB09">
      <w:pPr>
        <w:pStyle w:val="5"/>
        <w:spacing w:after="0" w:line="360" w:lineRule="auto"/>
        <w:ind w:firstLine="480" w:firstLineChars="200"/>
        <w:rPr>
          <w:rFonts w:ascii="宋体" w:hAnsi="宋体" w:eastAsia="宋体"/>
          <w:sz w:val="24"/>
        </w:rPr>
      </w:pPr>
      <w:r>
        <w:rPr>
          <w:rFonts w:ascii="宋体" w:hAnsi="宋体" w:eastAsia="宋体"/>
          <w:sz w:val="24"/>
        </w:rPr>
        <w:t>13.5.2</w:t>
      </w:r>
      <w:r>
        <w:rPr>
          <w:rFonts w:hint="eastAsia" w:ascii="宋体" w:hAnsi="宋体" w:eastAsia="宋体"/>
          <w:sz w:val="24"/>
        </w:rPr>
        <w:t>中标的投标文件工程量清单中已有类似项目的综合单价，则按类似项目的综合单价对相应子目、消耗量、单价等进行调整换算，原管理费、利润水平不变。如中标的投标文件工程量清单中类似项目的综合单价有两个以上，则由招标人按消耗量最少、管理费和利润取费最低的优先顺序选择类似项目综合单价进行换算。如换算时出现类似项目中没有的材料单价，按广州市造价管理站同期《广州地区建设工程常用材料税前综合价格》计算，《广州地区建设工程常用材料税前综合价格》没有的材料单价，由招标人在招标文件中依法确定计价方式。</w:t>
      </w:r>
    </w:p>
    <w:p w14:paraId="66DDB0AA">
      <w:pPr>
        <w:pStyle w:val="5"/>
        <w:spacing w:after="0" w:line="360" w:lineRule="auto"/>
        <w:ind w:firstLine="480" w:firstLineChars="200"/>
        <w:rPr>
          <w:rFonts w:ascii="宋体" w:hAnsi="宋体" w:eastAsia="宋体"/>
          <w:sz w:val="24"/>
        </w:rPr>
      </w:pPr>
      <w:r>
        <w:rPr>
          <w:rFonts w:ascii="宋体" w:hAnsi="宋体" w:eastAsia="宋体"/>
          <w:sz w:val="24"/>
        </w:rPr>
        <w:t xml:space="preserve">13.5.3 </w:t>
      </w:r>
      <w:r>
        <w:rPr>
          <w:rFonts w:hint="eastAsia" w:ascii="宋体" w:hAnsi="宋体" w:eastAsia="宋体"/>
          <w:sz w:val="24"/>
        </w:rPr>
        <w:t>中标的投标文件工程量清单中没有相同项目或类似项目的，如可套取相关定额，则以相关定额为基数下浮计算单价</w:t>
      </w:r>
      <w:r>
        <w:rPr>
          <w:rFonts w:ascii="宋体" w:hAnsi="宋体" w:eastAsia="宋体"/>
          <w:sz w:val="24"/>
        </w:rPr>
        <w:t>,</w:t>
      </w:r>
      <w:r>
        <w:rPr>
          <w:rFonts w:hint="eastAsia" w:ascii="宋体" w:hAnsi="宋体" w:eastAsia="宋体"/>
          <w:sz w:val="24"/>
        </w:rPr>
        <w:t>下浮率为中标价</w:t>
      </w:r>
      <w:r>
        <w:rPr>
          <w:rFonts w:hint="eastAsia" w:ascii="宋体" w:hAnsi="宋体" w:eastAsia="宋体"/>
          <w:sz w:val="24"/>
          <w:szCs w:val="24"/>
        </w:rPr>
        <w:t>相对于最高投标限价的下</w:t>
      </w:r>
      <w:r>
        <w:rPr>
          <w:rFonts w:hint="eastAsia" w:ascii="宋体" w:hAnsi="宋体" w:eastAsia="宋体"/>
          <w:sz w:val="24"/>
        </w:rPr>
        <w:t>浮率（下浮率</w:t>
      </w:r>
      <w:r>
        <w:rPr>
          <w:rFonts w:ascii="宋体" w:hAnsi="宋体" w:eastAsia="宋体"/>
          <w:sz w:val="24"/>
        </w:rPr>
        <w:t>=(</w:t>
      </w:r>
      <w:r>
        <w:rPr>
          <w:rFonts w:hint="eastAsia" w:ascii="宋体" w:hAnsi="宋体" w:eastAsia="宋体"/>
          <w:sz w:val="24"/>
          <w:szCs w:val="24"/>
        </w:rPr>
        <w:t>最高投标限价</w:t>
      </w:r>
      <w:r>
        <w:rPr>
          <w:rFonts w:ascii="宋体" w:hAnsi="宋体" w:eastAsia="宋体"/>
          <w:sz w:val="24"/>
        </w:rPr>
        <w:t>-</w:t>
      </w:r>
      <w:r>
        <w:rPr>
          <w:rFonts w:hint="eastAsia" w:ascii="宋体" w:hAnsi="宋体" w:eastAsia="宋体"/>
          <w:sz w:val="24"/>
        </w:rPr>
        <w:t>中标价</w:t>
      </w:r>
      <w:r>
        <w:rPr>
          <w:rFonts w:ascii="宋体" w:hAnsi="宋体" w:eastAsia="宋体"/>
          <w:sz w:val="24"/>
        </w:rPr>
        <w:t>)/</w:t>
      </w:r>
      <w:r>
        <w:rPr>
          <w:rFonts w:ascii="宋体" w:hAnsi="宋体" w:eastAsia="宋体"/>
          <w:sz w:val="24"/>
          <w:szCs w:val="24"/>
        </w:rPr>
        <w:t xml:space="preserve"> </w:t>
      </w:r>
      <w:r>
        <w:rPr>
          <w:rFonts w:hint="eastAsia" w:ascii="宋体" w:hAnsi="宋体" w:eastAsia="宋体"/>
          <w:sz w:val="24"/>
          <w:szCs w:val="24"/>
        </w:rPr>
        <w:t>最高投标限价</w:t>
      </w:r>
      <w:r>
        <w:rPr>
          <w:rFonts w:hint="eastAsia" w:ascii="宋体" w:hAnsi="宋体" w:eastAsia="宋体"/>
          <w:sz w:val="24"/>
        </w:rPr>
        <w:t>）。</w:t>
      </w:r>
    </w:p>
    <w:p w14:paraId="18EBFD07">
      <w:pPr>
        <w:pStyle w:val="5"/>
        <w:spacing w:after="0" w:line="360" w:lineRule="auto"/>
        <w:ind w:firstLine="480" w:firstLineChars="200"/>
        <w:rPr>
          <w:rFonts w:ascii="宋体" w:hAnsi="宋体" w:eastAsia="宋体"/>
          <w:sz w:val="24"/>
        </w:rPr>
      </w:pPr>
      <w:r>
        <w:rPr>
          <w:rFonts w:ascii="宋体" w:hAnsi="宋体" w:eastAsia="宋体"/>
          <w:sz w:val="24"/>
        </w:rPr>
        <w:t xml:space="preserve">13.5.4 </w:t>
      </w:r>
      <w:r>
        <w:rPr>
          <w:rFonts w:hint="eastAsia" w:ascii="宋体" w:hAnsi="宋体" w:eastAsia="宋体"/>
          <w:sz w:val="24"/>
        </w:rPr>
        <w:t>如相关定额没有相应子目的，其计价方式由招标人在本招标文件第三章中另行规定。未规定的，中标后双方协商约定。</w:t>
      </w:r>
    </w:p>
    <w:p w14:paraId="72D2F515">
      <w:pPr>
        <w:pStyle w:val="5"/>
        <w:spacing w:after="0" w:line="360" w:lineRule="auto"/>
        <w:ind w:firstLine="480" w:firstLineChars="200"/>
        <w:rPr>
          <w:rFonts w:ascii="宋体" w:hAnsi="宋体" w:eastAsia="宋体"/>
          <w:sz w:val="24"/>
        </w:rPr>
      </w:pPr>
      <w:r>
        <w:rPr>
          <w:rFonts w:ascii="宋体" w:hAnsi="宋体" w:eastAsia="宋体"/>
          <w:sz w:val="24"/>
        </w:rPr>
        <w:t>13.6</w:t>
      </w:r>
      <w:r>
        <w:rPr>
          <w:rFonts w:hint="eastAsia" w:ascii="宋体" w:hAnsi="宋体" w:eastAsia="宋体"/>
          <w:sz w:val="24"/>
        </w:rPr>
        <w:t>暂列金额、暂估价</w:t>
      </w:r>
    </w:p>
    <w:p w14:paraId="25286C51">
      <w:pPr>
        <w:pStyle w:val="5"/>
        <w:spacing w:after="0" w:line="360" w:lineRule="auto"/>
        <w:ind w:firstLine="480" w:firstLineChars="200"/>
        <w:rPr>
          <w:rFonts w:ascii="宋体" w:hAnsi="宋体" w:eastAsia="宋体"/>
          <w:sz w:val="24"/>
        </w:rPr>
      </w:pPr>
      <w:r>
        <w:rPr>
          <w:rFonts w:ascii="宋体" w:hAnsi="宋体" w:eastAsia="宋体"/>
          <w:sz w:val="24"/>
        </w:rPr>
        <w:t>13.6.1</w:t>
      </w:r>
      <w:r>
        <w:rPr>
          <w:rFonts w:hint="eastAsia" w:ascii="宋体" w:hAnsi="宋体" w:eastAsia="宋体"/>
          <w:sz w:val="24"/>
        </w:rPr>
        <w:t>暂列金额指招标人在工程量清单中暂定并包括在合同价款中的一笔款项。用于施工合同签订时尚未确定或者不可预见的所需材料、设备、服务的采购，施工中可能发生的工程量变更、合同约定调整因素出现时的工程价款调整以及发生的索赔、现场签证等费用。</w:t>
      </w:r>
    </w:p>
    <w:p w14:paraId="1F6B87BD">
      <w:pPr>
        <w:pStyle w:val="5"/>
        <w:spacing w:after="0" w:line="360" w:lineRule="auto"/>
        <w:ind w:firstLine="480" w:firstLineChars="200"/>
        <w:rPr>
          <w:rFonts w:ascii="宋体" w:hAnsi="宋体" w:eastAsia="宋体"/>
          <w:sz w:val="24"/>
        </w:rPr>
      </w:pPr>
      <w:r>
        <w:rPr>
          <w:rFonts w:hint="eastAsia" w:ascii="宋体" w:hAnsi="宋体" w:eastAsia="宋体"/>
          <w:sz w:val="24"/>
        </w:rPr>
        <w:t>暂估价是指招标人在工程量清单中提供的用于支付必然发生但暂时不能确定价格的材料的单价以及专业工程的金额。</w:t>
      </w:r>
    </w:p>
    <w:p w14:paraId="5D4EAFE7">
      <w:pPr>
        <w:pStyle w:val="5"/>
        <w:spacing w:after="0" w:line="360" w:lineRule="auto"/>
        <w:ind w:firstLine="480" w:firstLineChars="200"/>
        <w:rPr>
          <w:rFonts w:ascii="宋体" w:hAnsi="宋体" w:eastAsia="宋体"/>
          <w:sz w:val="24"/>
        </w:rPr>
      </w:pPr>
      <w:r>
        <w:rPr>
          <w:rFonts w:ascii="宋体" w:hAnsi="宋体" w:eastAsia="宋体"/>
          <w:sz w:val="24"/>
        </w:rPr>
        <w:t>13.6.2</w:t>
      </w:r>
      <w:r>
        <w:rPr>
          <w:rFonts w:hint="eastAsia" w:ascii="宋体" w:hAnsi="宋体" w:eastAsia="宋体"/>
          <w:sz w:val="24"/>
        </w:rPr>
        <w:t>在工程实施中，暂列金额、暂估价所包含的工作范围和图纸、标准深化固定后，按照工程专业、设备、材料类别等分类汇总的金额，达到法定招标范围标准的，应由招标人同中标人联合招标，确定承包人和承包价格。</w:t>
      </w:r>
    </w:p>
    <w:p w14:paraId="40D7D5A7">
      <w:pPr>
        <w:pStyle w:val="5"/>
        <w:spacing w:after="0" w:line="360" w:lineRule="auto"/>
        <w:ind w:firstLine="480" w:firstLineChars="200"/>
        <w:rPr>
          <w:rFonts w:ascii="宋体" w:hAnsi="宋体" w:eastAsia="宋体"/>
          <w:sz w:val="24"/>
        </w:rPr>
      </w:pPr>
      <w:r>
        <w:rPr>
          <w:rFonts w:ascii="宋体" w:hAnsi="宋体" w:eastAsia="宋体"/>
          <w:sz w:val="24"/>
        </w:rPr>
        <w:t>13.6.3</w:t>
      </w:r>
      <w:r>
        <w:rPr>
          <w:rFonts w:hint="eastAsia" w:ascii="宋体" w:hAnsi="宋体" w:eastAsia="宋体"/>
          <w:sz w:val="24"/>
        </w:rPr>
        <w:t>在工程实施中，暂列金额、暂估价所包含的工作范围和图纸、标准深化固定后，按照工程专业、设备、材料类别等分类汇总的金额，未达到法定招标范围标准但适用政府采购规定的，应按照政府采购规定确定承包人和承包价格。</w:t>
      </w:r>
    </w:p>
    <w:p w14:paraId="30F0CE20">
      <w:pPr>
        <w:pStyle w:val="5"/>
        <w:spacing w:after="0" w:line="360" w:lineRule="auto"/>
        <w:ind w:firstLine="480" w:firstLineChars="200"/>
        <w:rPr>
          <w:rFonts w:ascii="宋体" w:hAnsi="宋体" w:eastAsia="宋体"/>
          <w:sz w:val="24"/>
        </w:rPr>
      </w:pPr>
      <w:r>
        <w:rPr>
          <w:rFonts w:ascii="宋体" w:hAnsi="宋体" w:eastAsia="宋体"/>
          <w:sz w:val="24"/>
        </w:rPr>
        <w:t>13.6.4</w:t>
      </w:r>
      <w:r>
        <w:rPr>
          <w:rFonts w:hint="eastAsia" w:ascii="宋体" w:hAnsi="宋体" w:eastAsia="宋体"/>
          <w:sz w:val="24"/>
        </w:rPr>
        <w:t>在工程实施中，暂列金额、暂估价所包含的工作范围和图纸、标准深化固定后，按照工程专业、设备、材料类别等分类汇总的金额，未达到法定招标范围标准也不适用政府采购规定，承包人有法定的承包资格的，由承包人承包，承包人无法定的承包资格但有法定的分包权的，由承包人分包，招标人同承包人结算的价格按本投标须知</w:t>
      </w:r>
      <w:r>
        <w:rPr>
          <w:rFonts w:ascii="宋体" w:hAnsi="宋体" w:eastAsia="宋体"/>
          <w:sz w:val="24"/>
        </w:rPr>
        <w:t>13.5</w:t>
      </w:r>
      <w:r>
        <w:rPr>
          <w:rFonts w:hint="eastAsia" w:ascii="宋体" w:hAnsi="宋体" w:eastAsia="宋体"/>
          <w:sz w:val="24"/>
        </w:rPr>
        <w:t>款规定确定。</w:t>
      </w:r>
    </w:p>
    <w:p w14:paraId="64903AEE">
      <w:pPr>
        <w:pStyle w:val="5"/>
        <w:spacing w:after="0" w:line="360" w:lineRule="auto"/>
        <w:ind w:firstLine="480" w:firstLineChars="200"/>
        <w:rPr>
          <w:rFonts w:ascii="宋体" w:hAnsi="宋体" w:eastAsia="宋体"/>
          <w:sz w:val="24"/>
        </w:rPr>
      </w:pPr>
      <w:r>
        <w:rPr>
          <w:rFonts w:ascii="宋体" w:hAnsi="宋体" w:eastAsia="宋体"/>
          <w:sz w:val="24"/>
        </w:rPr>
        <w:t>13.6.5</w:t>
      </w:r>
      <w:r>
        <w:rPr>
          <w:rFonts w:hint="eastAsia" w:ascii="宋体" w:hAnsi="宋体" w:eastAsia="宋体"/>
          <w:sz w:val="24"/>
        </w:rPr>
        <w:t>在工程实施中，暂列金额、暂估价所包含的工作范围和图纸、标准深化固定后，按照工程专业、设备、材料类别等分类汇总的金额，未达到法定招标范围标准也不适用政府采购规定，承包人既无法定的承包资格又无法定的分包权的，由招标人另行发包。</w:t>
      </w:r>
    </w:p>
    <w:p w14:paraId="2F1D3AAF">
      <w:pPr>
        <w:pStyle w:val="5"/>
        <w:spacing w:after="0" w:line="360" w:lineRule="auto"/>
        <w:ind w:firstLine="480" w:firstLineChars="200"/>
        <w:rPr>
          <w:rFonts w:ascii="宋体" w:hAnsi="宋体" w:eastAsia="宋体"/>
          <w:sz w:val="24"/>
        </w:rPr>
      </w:pPr>
      <w:r>
        <w:rPr>
          <w:rFonts w:ascii="宋体" w:hAnsi="宋体" w:eastAsia="宋体"/>
          <w:sz w:val="24"/>
        </w:rPr>
        <w:t xml:space="preserve">13.6.6 </w:t>
      </w:r>
      <w:r>
        <w:rPr>
          <w:rFonts w:hint="eastAsia" w:ascii="宋体" w:hAnsi="宋体" w:eastAsia="宋体"/>
          <w:sz w:val="24"/>
        </w:rPr>
        <w:t>在工程实施中，暂列金额、暂估价所包含的工作范围由其他承包人承包的，纳入本项目承包人的管理和协调范围，由其他承包人向本项目承包人承担质量、安全、文明施工、工期责任，本项目承包人向招标人承担责任。投标人应当充分考虑此项管理和协调所发生的费用，并将其纳入招标人提供的工程量清单中的适当项目报价中。招标人将视为此项管理和协调所发生的费用已包含在其它有价款的竞争性报价内，在实施后，招标人将不予支付。</w:t>
      </w:r>
    </w:p>
    <w:p w14:paraId="4E313ADF">
      <w:pPr>
        <w:pStyle w:val="5"/>
        <w:spacing w:after="0" w:line="360" w:lineRule="auto"/>
        <w:ind w:firstLine="480" w:firstLineChars="200"/>
        <w:rPr>
          <w:rFonts w:ascii="宋体" w:hAnsi="宋体" w:eastAsia="宋体"/>
          <w:sz w:val="24"/>
        </w:rPr>
      </w:pPr>
      <w:r>
        <w:rPr>
          <w:rFonts w:ascii="宋体" w:hAnsi="宋体" w:eastAsia="宋体"/>
          <w:sz w:val="24"/>
        </w:rPr>
        <w:t>13.7</w:t>
      </w:r>
      <w:r>
        <w:rPr>
          <w:rFonts w:hint="eastAsia" w:ascii="宋体" w:hAnsi="宋体" w:eastAsia="宋体"/>
          <w:sz w:val="24"/>
        </w:rPr>
        <w:t>投标人可先到工地踏勘以充分了解工地位置、情况、道路、储存空间、装卸限制及任何其他足以影响承包价的情况，任何因忽视或误解工地情况而导致的索赔或工期延长申请将不被批准。</w:t>
      </w:r>
    </w:p>
    <w:p w14:paraId="7A8839EF">
      <w:pPr>
        <w:pStyle w:val="5"/>
        <w:spacing w:after="0" w:line="360" w:lineRule="auto"/>
        <w:ind w:firstLine="480" w:firstLineChars="200"/>
        <w:rPr>
          <w:rFonts w:ascii="宋体" w:hAnsi="宋体" w:eastAsia="宋体"/>
          <w:sz w:val="24"/>
        </w:rPr>
      </w:pPr>
      <w:r>
        <w:rPr>
          <w:rFonts w:ascii="宋体" w:hAnsi="宋体" w:eastAsia="宋体"/>
          <w:sz w:val="24"/>
        </w:rPr>
        <w:t>13.8</w:t>
      </w:r>
      <w:r>
        <w:rPr>
          <w:rFonts w:hint="eastAsia" w:ascii="宋体" w:hAnsi="宋体" w:eastAsia="宋体"/>
          <w:sz w:val="24"/>
        </w:rPr>
        <w:t>属于承包人自行采购的主要材料、设备，招标人应当在招标文件中提出材料、设备的技术标准或者质量要求，或者提出不少于</w:t>
      </w:r>
      <w:r>
        <w:rPr>
          <w:rFonts w:ascii="宋体" w:hAnsi="宋体" w:eastAsia="宋体"/>
          <w:sz w:val="24"/>
        </w:rPr>
        <w:t>3</w:t>
      </w:r>
      <w:r>
        <w:rPr>
          <w:rFonts w:hint="eastAsia" w:ascii="宋体" w:hAnsi="宋体" w:eastAsia="宋体"/>
          <w:sz w:val="24"/>
        </w:rPr>
        <w:t>个同等档次品牌或分包商供投标人报价时选择</w:t>
      </w:r>
      <w:r>
        <w:rPr>
          <w:rFonts w:ascii="宋体" w:hAnsi="宋体" w:eastAsia="宋体"/>
          <w:sz w:val="24"/>
        </w:rPr>
        <w:t>,</w:t>
      </w:r>
      <w:r>
        <w:rPr>
          <w:rFonts w:hint="eastAsia" w:ascii="宋体" w:hAnsi="宋体" w:eastAsia="宋体"/>
          <w:sz w:val="24"/>
        </w:rPr>
        <w:t>凡招标人在招标文件中提出参考品牌的，必须在参考品牌后面加上“或相当于”字样。投标人在投标文件中应明确所选用主要材料、设备的品牌、厂家以及质量等级，并且应当符合招标文件的要求。</w:t>
      </w:r>
    </w:p>
    <w:p w14:paraId="6068B449">
      <w:pPr>
        <w:pStyle w:val="5"/>
        <w:spacing w:after="0" w:line="360" w:lineRule="auto"/>
        <w:ind w:firstLine="480" w:firstLineChars="200"/>
        <w:rPr>
          <w:rFonts w:ascii="宋体" w:hAnsi="宋体" w:eastAsia="宋体"/>
          <w:sz w:val="24"/>
          <w:szCs w:val="24"/>
        </w:rPr>
      </w:pPr>
      <w:r>
        <w:rPr>
          <w:rFonts w:ascii="宋体" w:hAnsi="宋体" w:eastAsia="宋体"/>
          <w:sz w:val="24"/>
        </w:rPr>
        <w:t>13.9</w:t>
      </w:r>
      <w:r>
        <w:rPr>
          <w:rFonts w:hint="eastAsia" w:ascii="宋体" w:hAnsi="宋体" w:eastAsia="宋体"/>
          <w:sz w:val="24"/>
          <w:szCs w:val="24"/>
        </w:rPr>
        <w:t>招标人与中标人应本着实事求是、风险共担的原则，充分考虑施工合同履行期间人工、建筑材料、机械设备价格因素的影响。对于各类钢筋、混凝土等主要材料以及人工、机械设备等，应结合合同工期、各价格因素对工程总造价的影响等，合理约定调价机制。调价机制应由招标人在招标文件及合同中明确，内容包括调价范围（含材料、机械的具体名称、工种等）、价格变动时限、幅度以及相应的合同价款调整方法。</w:t>
      </w:r>
    </w:p>
    <w:p w14:paraId="46C7F3AA">
      <w:pPr>
        <w:pStyle w:val="5"/>
        <w:spacing w:after="0" w:line="360" w:lineRule="auto"/>
        <w:ind w:firstLine="480" w:firstLineChars="200"/>
        <w:rPr>
          <w:rFonts w:ascii="宋体" w:hAnsi="宋体" w:eastAsia="宋体"/>
          <w:b/>
          <w:bCs/>
          <w:sz w:val="24"/>
        </w:rPr>
      </w:pPr>
      <w:r>
        <w:rPr>
          <w:rFonts w:ascii="宋体" w:hAnsi="宋体" w:eastAsia="宋体"/>
          <w:b/>
          <w:bCs/>
          <w:sz w:val="24"/>
        </w:rPr>
        <w:t>14</w:t>
      </w:r>
      <w:r>
        <w:rPr>
          <w:rFonts w:hint="eastAsia" w:ascii="宋体" w:hAnsi="宋体" w:eastAsia="宋体"/>
          <w:b/>
          <w:bCs/>
          <w:sz w:val="24"/>
        </w:rPr>
        <w:t>．投标货币</w:t>
      </w:r>
    </w:p>
    <w:p w14:paraId="1144DB9E">
      <w:pPr>
        <w:pStyle w:val="5"/>
        <w:spacing w:after="0" w:line="360" w:lineRule="auto"/>
        <w:ind w:firstLine="480" w:firstLineChars="200"/>
        <w:rPr>
          <w:rFonts w:ascii="宋体" w:hAnsi="宋体" w:eastAsia="宋体"/>
          <w:sz w:val="24"/>
        </w:rPr>
      </w:pPr>
      <w:r>
        <w:rPr>
          <w:rFonts w:ascii="宋体" w:hAnsi="宋体" w:eastAsia="宋体"/>
          <w:sz w:val="24"/>
        </w:rPr>
        <w:t xml:space="preserve">14.1 </w:t>
      </w:r>
      <w:r>
        <w:rPr>
          <w:rFonts w:hint="eastAsia" w:ascii="宋体" w:hAnsi="宋体" w:eastAsia="宋体"/>
          <w:sz w:val="24"/>
        </w:rPr>
        <w:t>本工程投标报价采用的币种为人民币。</w:t>
      </w:r>
    </w:p>
    <w:p w14:paraId="61C03137">
      <w:pPr>
        <w:pStyle w:val="5"/>
        <w:spacing w:after="0" w:line="360" w:lineRule="auto"/>
        <w:ind w:firstLine="480" w:firstLineChars="200"/>
        <w:rPr>
          <w:rFonts w:ascii="宋体" w:hAnsi="宋体" w:eastAsia="宋体"/>
          <w:sz w:val="24"/>
        </w:rPr>
      </w:pPr>
      <w:r>
        <w:rPr>
          <w:rFonts w:ascii="宋体" w:hAnsi="宋体" w:eastAsia="宋体"/>
          <w:b/>
          <w:bCs/>
          <w:sz w:val="24"/>
        </w:rPr>
        <w:t>15</w:t>
      </w:r>
      <w:r>
        <w:rPr>
          <w:rFonts w:hint="eastAsia" w:ascii="宋体" w:hAnsi="宋体" w:eastAsia="宋体"/>
          <w:b/>
          <w:bCs/>
          <w:sz w:val="24"/>
        </w:rPr>
        <w:t>．投标有效期</w:t>
      </w:r>
    </w:p>
    <w:p w14:paraId="4A2A8A95">
      <w:pPr>
        <w:pStyle w:val="5"/>
        <w:spacing w:after="0" w:line="360" w:lineRule="auto"/>
        <w:ind w:firstLine="480" w:firstLineChars="200"/>
        <w:rPr>
          <w:rFonts w:ascii="宋体" w:hAnsi="宋体" w:eastAsia="宋体"/>
          <w:sz w:val="24"/>
        </w:rPr>
      </w:pPr>
      <w:r>
        <w:rPr>
          <w:rFonts w:ascii="宋体" w:hAnsi="宋体" w:eastAsia="宋体"/>
          <w:sz w:val="24"/>
        </w:rPr>
        <w:t xml:space="preserve">15.1 </w:t>
      </w:r>
      <w:r>
        <w:rPr>
          <w:rFonts w:hint="eastAsia" w:ascii="宋体" w:hAnsi="宋体" w:eastAsia="宋体"/>
          <w:sz w:val="24"/>
        </w:rPr>
        <w:t>投标有效期见投标须知前附表第</w:t>
      </w:r>
      <w:r>
        <w:rPr>
          <w:rFonts w:ascii="宋体" w:hAnsi="宋体" w:eastAsia="宋体"/>
          <w:sz w:val="24"/>
        </w:rPr>
        <w:t>13</w:t>
      </w:r>
      <w:r>
        <w:rPr>
          <w:rFonts w:hint="eastAsia" w:ascii="宋体" w:hAnsi="宋体" w:eastAsia="宋体"/>
          <w:sz w:val="24"/>
        </w:rPr>
        <w:t>项所规定的期限，在此期限内，凡符合本招标文件要求的投标文件均保持有效。</w:t>
      </w:r>
    </w:p>
    <w:p w14:paraId="719E5866">
      <w:pPr>
        <w:pStyle w:val="5"/>
        <w:spacing w:after="0" w:line="360" w:lineRule="auto"/>
        <w:ind w:firstLine="480" w:firstLineChars="200"/>
        <w:rPr>
          <w:rFonts w:ascii="宋体" w:hAnsi="宋体" w:eastAsia="宋体"/>
          <w:sz w:val="24"/>
        </w:rPr>
      </w:pPr>
      <w:r>
        <w:rPr>
          <w:rFonts w:ascii="宋体" w:hAnsi="宋体" w:eastAsia="宋体"/>
          <w:sz w:val="24"/>
        </w:rPr>
        <w:t xml:space="preserve">15.2 </w:t>
      </w:r>
      <w:r>
        <w:rPr>
          <w:rFonts w:hint="eastAsia" w:ascii="宋体" w:hAnsi="宋体" w:eastAsia="宋体"/>
          <w:sz w:val="24"/>
        </w:rPr>
        <w:t>在特殊情况下，招标人在原定投标有效期内，可以根据需要以书面形式向投标人提出延长投标有效期的要求，对此要求投标人须以书面形式予以答复。投标人可以拒绝招标人这种要求，而不影响退还其投标保证金。同意延长投标有效期的投标人既不能要求也不允许修改其投标文件，但需要相应的延长投标保证金的有效期，在延长的投标有效期内，本须知第</w:t>
      </w:r>
      <w:r>
        <w:rPr>
          <w:rFonts w:ascii="宋体" w:hAnsi="宋体" w:eastAsia="宋体"/>
          <w:sz w:val="24"/>
        </w:rPr>
        <w:t>16</w:t>
      </w:r>
      <w:r>
        <w:rPr>
          <w:rFonts w:hint="eastAsia" w:ascii="宋体" w:hAnsi="宋体" w:eastAsia="宋体"/>
          <w:sz w:val="24"/>
        </w:rPr>
        <w:t>条关于投标保证金的退还与不予退还的规定仍然适用。</w:t>
      </w:r>
    </w:p>
    <w:p w14:paraId="4C1D7ADE">
      <w:pPr>
        <w:pStyle w:val="5"/>
        <w:spacing w:after="0" w:line="360" w:lineRule="auto"/>
        <w:ind w:firstLine="480" w:firstLineChars="200"/>
        <w:rPr>
          <w:rFonts w:ascii="宋体" w:hAnsi="宋体" w:eastAsia="宋体"/>
          <w:b/>
          <w:bCs/>
          <w:sz w:val="24"/>
        </w:rPr>
      </w:pPr>
      <w:r>
        <w:rPr>
          <w:rFonts w:ascii="宋体" w:hAnsi="宋体" w:eastAsia="宋体"/>
          <w:b/>
          <w:bCs/>
          <w:sz w:val="24"/>
        </w:rPr>
        <w:t>16</w:t>
      </w:r>
      <w:r>
        <w:rPr>
          <w:rFonts w:hint="eastAsia" w:ascii="宋体" w:hAnsi="宋体" w:eastAsia="宋体"/>
          <w:b/>
          <w:bCs/>
          <w:sz w:val="24"/>
        </w:rPr>
        <w:t>．投标保证金</w:t>
      </w:r>
    </w:p>
    <w:p w14:paraId="2F3FBAE3">
      <w:pPr>
        <w:spacing w:line="360" w:lineRule="auto"/>
        <w:ind w:firstLine="480" w:firstLineChars="200"/>
        <w:rPr>
          <w:rFonts w:ascii="宋体" w:hAnsi="宋体"/>
          <w:sz w:val="24"/>
        </w:rPr>
      </w:pPr>
      <w:r>
        <w:rPr>
          <w:rFonts w:ascii="宋体" w:hAnsi="宋体"/>
          <w:sz w:val="24"/>
        </w:rPr>
        <w:t>16.1</w:t>
      </w:r>
      <w:r>
        <w:rPr>
          <w:rFonts w:hint="eastAsia" w:ascii="宋体" w:hAnsi="宋体"/>
          <w:sz w:val="24"/>
        </w:rPr>
        <w:t>投标人应按投标须知前附表第14项所述金额和时间递交投标保证金。招标人应当允许投标人自主选择现金、银行保函、保证保险、专业工程担保公司担保等方式缴纳投标保证金。</w:t>
      </w:r>
    </w:p>
    <w:p w14:paraId="27F00041">
      <w:pPr>
        <w:spacing w:line="360" w:lineRule="auto"/>
        <w:ind w:firstLine="480" w:firstLineChars="200"/>
        <w:rPr>
          <w:rFonts w:ascii="宋体" w:hAnsi="宋体"/>
          <w:sz w:val="24"/>
        </w:rPr>
      </w:pPr>
      <w:r>
        <w:rPr>
          <w:rFonts w:hint="eastAsia" w:ascii="宋体" w:hAnsi="宋体"/>
          <w:sz w:val="24"/>
        </w:rPr>
        <w:t>16.1.1 采用现金或者支票形式提交的，投标保证金须从投标人的银行基本账户转出。</w:t>
      </w:r>
    </w:p>
    <w:p w14:paraId="79169D8A">
      <w:pPr>
        <w:spacing w:line="360" w:lineRule="auto"/>
        <w:ind w:firstLine="480" w:firstLineChars="200"/>
        <w:rPr>
          <w:rFonts w:ascii="宋体" w:hAnsi="宋体"/>
          <w:sz w:val="24"/>
        </w:rPr>
      </w:pPr>
      <w:r>
        <w:rPr>
          <w:rFonts w:hint="eastAsia" w:ascii="宋体" w:hAnsi="宋体"/>
          <w:sz w:val="24"/>
        </w:rPr>
        <w:t>16.1.2 依法必须招标的房屋建筑工程如采用非电子形式的银行保函、专业工程担保公司担保或保证保险提交投标保证金的，在开标前不强制要求投标人提交纸质原件，由中标候选人在中标候选人公示前提交并在网上公示，投标人应在投标文件中提交保函、担保或保证保险扫描件并加盖投标人电子印章。如投标人存在16.4条款所列情形的，应将纸质原件提交给招标人。</w:t>
      </w:r>
    </w:p>
    <w:p w14:paraId="46F6D217">
      <w:pPr>
        <w:spacing w:line="360" w:lineRule="auto"/>
        <w:ind w:firstLine="480" w:firstLineChars="200"/>
        <w:rPr>
          <w:rFonts w:ascii="宋体" w:hAnsi="宋体"/>
          <w:sz w:val="24"/>
        </w:rPr>
      </w:pPr>
      <w:r>
        <w:rPr>
          <w:rFonts w:hint="eastAsia" w:ascii="宋体" w:hAnsi="宋体"/>
          <w:sz w:val="24"/>
        </w:rPr>
        <w:t>16.1.3 采用电子形式的保函、担保或保证保险提交投标保证金的，应在招标文件中明确电子递交途径。</w:t>
      </w:r>
    </w:p>
    <w:p w14:paraId="59312DDC">
      <w:pPr>
        <w:spacing w:line="360" w:lineRule="auto"/>
        <w:ind w:firstLine="480" w:firstLineChars="200"/>
        <w:rPr>
          <w:rFonts w:ascii="宋体" w:hAnsi="宋体"/>
          <w:sz w:val="24"/>
        </w:rPr>
      </w:pPr>
      <w:r>
        <w:rPr>
          <w:rFonts w:ascii="宋体" w:hAnsi="宋体"/>
          <w:sz w:val="24"/>
        </w:rPr>
        <w:t>16.2</w:t>
      </w:r>
      <w:r>
        <w:rPr>
          <w:rFonts w:hint="eastAsia" w:ascii="宋体" w:hAnsi="宋体"/>
          <w:sz w:val="24"/>
        </w:rPr>
        <w:t>开标时投标人没有按要求提供投标保证金的，其投标文件将被否决；未按招标文件要求提交符合免予提供投标保证金相关证明材料，且未提交投标保证金的投标人，视为未按要求提供投标保证金。</w:t>
      </w:r>
      <w:r>
        <w:rPr>
          <w:rFonts w:ascii="宋体" w:hAnsi="宋体"/>
          <w:sz w:val="24"/>
        </w:rPr>
        <w:br w:type="textWrapping"/>
      </w:r>
      <w:r>
        <w:rPr>
          <w:rFonts w:hint="eastAsia" w:ascii="宋体" w:hAnsi="宋体"/>
          <w:sz w:val="24"/>
        </w:rPr>
        <w:t xml:space="preserve">    </w:t>
      </w:r>
      <w:r>
        <w:rPr>
          <w:rFonts w:ascii="宋体" w:hAnsi="宋体"/>
          <w:sz w:val="24"/>
        </w:rPr>
        <w:t>16.3</w:t>
      </w:r>
      <w:r>
        <w:rPr>
          <w:rFonts w:hint="eastAsia" w:ascii="宋体" w:hAnsi="宋体"/>
          <w:sz w:val="24"/>
          <w:szCs w:val="24"/>
        </w:rPr>
        <w:t>投标保证金应依据法律法规的相关规定退还。</w:t>
      </w:r>
    </w:p>
    <w:p w14:paraId="3201D837">
      <w:pPr>
        <w:spacing w:line="360" w:lineRule="auto"/>
        <w:ind w:firstLine="480" w:firstLineChars="200"/>
        <w:rPr>
          <w:rFonts w:ascii="宋体" w:hAnsi="宋体"/>
          <w:sz w:val="24"/>
          <w:szCs w:val="24"/>
        </w:rPr>
      </w:pPr>
      <w:r>
        <w:rPr>
          <w:rFonts w:ascii="宋体" w:hAnsi="宋体"/>
          <w:sz w:val="24"/>
        </w:rPr>
        <w:t>16.</w:t>
      </w:r>
      <w:r>
        <w:rPr>
          <w:rFonts w:hint="eastAsia" w:ascii="宋体" w:hAnsi="宋体"/>
          <w:sz w:val="24"/>
        </w:rPr>
        <w:t>4</w:t>
      </w:r>
      <w:r>
        <w:rPr>
          <w:rFonts w:hint="eastAsia" w:ascii="宋体" w:hAnsi="宋体"/>
          <w:sz w:val="24"/>
          <w:szCs w:val="24"/>
        </w:rPr>
        <w:t>如有下列情况之一的，招标人可以不予退还投标保证金（是否退还投标保证金由招标人在招标文件中规定）：</w:t>
      </w:r>
    </w:p>
    <w:p w14:paraId="78B80945">
      <w:pPr>
        <w:spacing w:line="360" w:lineRule="auto"/>
        <w:ind w:firstLine="480" w:firstLineChars="200"/>
        <w:rPr>
          <w:rFonts w:ascii="宋体" w:hAnsi="宋体"/>
          <w:sz w:val="24"/>
          <w:szCs w:val="24"/>
        </w:rPr>
      </w:pPr>
      <w:r>
        <w:rPr>
          <w:rFonts w:hint="eastAsia" w:ascii="宋体" w:hAnsi="宋体"/>
          <w:sz w:val="24"/>
          <w:szCs w:val="24"/>
        </w:rPr>
        <w:t>16.4.1因投标人原因造成投标文件未解密的；</w:t>
      </w:r>
    </w:p>
    <w:p w14:paraId="3EEA1249">
      <w:pPr>
        <w:spacing w:line="360" w:lineRule="auto"/>
        <w:ind w:firstLine="480" w:firstLineChars="200"/>
        <w:rPr>
          <w:rFonts w:ascii="宋体" w:hAnsi="宋体"/>
          <w:sz w:val="24"/>
          <w:szCs w:val="24"/>
        </w:rPr>
      </w:pPr>
      <w:r>
        <w:rPr>
          <w:rFonts w:hint="eastAsia" w:ascii="宋体" w:hAnsi="宋体"/>
          <w:sz w:val="24"/>
          <w:szCs w:val="24"/>
        </w:rPr>
        <w:t>16.4.2投标人在投标有效期内撤销投标文件；</w:t>
      </w:r>
    </w:p>
    <w:p w14:paraId="6744E56D">
      <w:pPr>
        <w:spacing w:line="360" w:lineRule="auto"/>
        <w:ind w:firstLine="480" w:firstLineChars="200"/>
        <w:rPr>
          <w:rFonts w:ascii="宋体" w:hAnsi="宋体"/>
          <w:sz w:val="24"/>
          <w:szCs w:val="24"/>
        </w:rPr>
      </w:pPr>
      <w:r>
        <w:rPr>
          <w:rFonts w:hint="eastAsia" w:ascii="宋体" w:hAnsi="宋体"/>
          <w:sz w:val="24"/>
          <w:szCs w:val="24"/>
        </w:rPr>
        <w:t>16.4.3中标人未能在规定期限内按要求提交履约担保；</w:t>
      </w:r>
    </w:p>
    <w:p w14:paraId="13BF992C">
      <w:pPr>
        <w:spacing w:line="360" w:lineRule="auto"/>
        <w:ind w:firstLine="480" w:firstLineChars="200"/>
        <w:rPr>
          <w:rFonts w:ascii="宋体" w:hAnsi="宋体"/>
          <w:sz w:val="24"/>
        </w:rPr>
      </w:pPr>
      <w:r>
        <w:rPr>
          <w:rFonts w:hint="eastAsia" w:ascii="宋体" w:hAnsi="宋体"/>
          <w:sz w:val="24"/>
          <w:szCs w:val="24"/>
        </w:rPr>
        <w:t>16.4.4中标人未能在规定期限内签署合同协议。</w:t>
      </w:r>
    </w:p>
    <w:p w14:paraId="6D4CF1B8">
      <w:pPr>
        <w:spacing w:line="360" w:lineRule="auto"/>
        <w:ind w:firstLine="480" w:firstLineChars="200"/>
        <w:rPr>
          <w:rFonts w:ascii="宋体" w:hAnsi="宋体"/>
          <w:sz w:val="24"/>
        </w:rPr>
      </w:pPr>
      <w:r>
        <w:rPr>
          <w:rFonts w:hint="eastAsia" w:ascii="宋体" w:hAnsi="宋体"/>
          <w:sz w:val="24"/>
        </w:rPr>
        <w:t>16.5投标人如存在下列情况之一的，将被拒绝在一定时期内参与招标人后续工程投标（拒绝时限需在招标文件中明确）：</w:t>
      </w:r>
    </w:p>
    <w:p w14:paraId="7C919641">
      <w:pPr>
        <w:spacing w:line="360" w:lineRule="auto"/>
        <w:ind w:firstLine="480" w:firstLineChars="200"/>
        <w:rPr>
          <w:rFonts w:ascii="宋体" w:hAnsi="宋体"/>
          <w:sz w:val="24"/>
        </w:rPr>
      </w:pPr>
      <w:r>
        <w:rPr>
          <w:rFonts w:hint="eastAsia" w:ascii="宋体" w:hAnsi="宋体"/>
          <w:sz w:val="24"/>
        </w:rPr>
        <w:t>16.5.1投标人存在16.4条款所列情形且投标人提交的保函、担保或保证保险无法兑付的；</w:t>
      </w:r>
    </w:p>
    <w:p w14:paraId="66EC0ADD">
      <w:pPr>
        <w:spacing w:line="360" w:lineRule="auto"/>
        <w:ind w:firstLine="480" w:firstLineChars="200"/>
        <w:rPr>
          <w:rFonts w:ascii="宋体" w:hAnsi="宋体"/>
          <w:sz w:val="24"/>
        </w:rPr>
      </w:pPr>
      <w:r>
        <w:rPr>
          <w:rFonts w:hint="eastAsia" w:ascii="宋体" w:hAnsi="宋体"/>
          <w:sz w:val="24"/>
        </w:rPr>
        <w:t>16.5.2采用非电子形式提交投标保证金的投标人存在16.4条款所列情形，且未按招标人要求补交银行保函、专业工程担保公司担保或保证保险原件的；</w:t>
      </w:r>
    </w:p>
    <w:p w14:paraId="222E2A09">
      <w:pPr>
        <w:spacing w:line="360" w:lineRule="auto"/>
        <w:ind w:firstLine="480" w:firstLineChars="200"/>
        <w:rPr>
          <w:rFonts w:ascii="宋体" w:hAnsi="宋体"/>
          <w:sz w:val="24"/>
        </w:rPr>
      </w:pPr>
      <w:r>
        <w:rPr>
          <w:rFonts w:hint="eastAsia" w:ascii="宋体" w:hAnsi="宋体"/>
          <w:sz w:val="24"/>
        </w:rPr>
        <w:t>16.5.3按招标文件要求免于提供投标保证金的投标人存在16.4条款所列情形，且未按招标人要求补交投标保证金的；</w:t>
      </w:r>
    </w:p>
    <w:p w14:paraId="21F9F658">
      <w:pPr>
        <w:spacing w:line="360" w:lineRule="auto"/>
        <w:ind w:firstLine="480" w:firstLineChars="200"/>
        <w:rPr>
          <w:rFonts w:ascii="宋体" w:hAnsi="宋体"/>
          <w:sz w:val="24"/>
        </w:rPr>
      </w:pPr>
      <w:r>
        <w:rPr>
          <w:rFonts w:hint="eastAsia" w:ascii="宋体" w:hAnsi="宋体"/>
          <w:sz w:val="24"/>
        </w:rPr>
        <w:t>16.5.3按招标文件要求免于提供投标保证金的投标人存在16.4条款所列情形的。</w:t>
      </w:r>
    </w:p>
    <w:p w14:paraId="7117650B">
      <w:pPr>
        <w:spacing w:line="360" w:lineRule="auto"/>
        <w:ind w:firstLine="480" w:firstLineChars="200"/>
        <w:rPr>
          <w:rFonts w:ascii="宋体" w:hAnsi="宋体"/>
          <w:sz w:val="24"/>
        </w:rPr>
      </w:pPr>
      <w:r>
        <w:rPr>
          <w:rFonts w:hint="eastAsia" w:ascii="宋体" w:hAnsi="宋体"/>
          <w:sz w:val="24"/>
        </w:rPr>
        <w:t>注：16.5.3款由招标人二选一，需在招标文件中明确。</w:t>
      </w:r>
    </w:p>
    <w:p w14:paraId="063C23B3">
      <w:pPr>
        <w:pStyle w:val="5"/>
        <w:spacing w:after="0" w:line="360" w:lineRule="auto"/>
        <w:ind w:firstLine="480" w:firstLineChars="200"/>
        <w:rPr>
          <w:rFonts w:ascii="宋体" w:hAnsi="宋体" w:eastAsia="宋体"/>
          <w:b/>
          <w:bCs/>
          <w:sz w:val="24"/>
        </w:rPr>
      </w:pPr>
      <w:r>
        <w:rPr>
          <w:rFonts w:ascii="宋体" w:hAnsi="宋体" w:eastAsia="宋体"/>
          <w:b/>
          <w:bCs/>
          <w:sz w:val="24"/>
        </w:rPr>
        <w:t>17</w:t>
      </w:r>
      <w:r>
        <w:rPr>
          <w:rFonts w:hint="eastAsia" w:ascii="宋体" w:hAnsi="宋体" w:eastAsia="宋体"/>
          <w:b/>
          <w:bCs/>
          <w:sz w:val="24"/>
        </w:rPr>
        <w:t>．投标文件的签署</w:t>
      </w:r>
    </w:p>
    <w:p w14:paraId="1706A6BD">
      <w:pPr>
        <w:spacing w:line="360" w:lineRule="auto"/>
        <w:ind w:firstLine="480" w:firstLineChars="200"/>
        <w:rPr>
          <w:rFonts w:ascii="宋体" w:hAnsi="宋体"/>
          <w:sz w:val="24"/>
        </w:rPr>
      </w:pPr>
      <w:r>
        <w:rPr>
          <w:rFonts w:ascii="宋体" w:hAnsi="宋体"/>
          <w:sz w:val="24"/>
        </w:rPr>
        <w:t>17.1</w:t>
      </w:r>
      <w:r>
        <w:rPr>
          <w:rFonts w:hint="eastAsia" w:ascii="宋体" w:hAnsi="宋体"/>
          <w:sz w:val="24"/>
        </w:rPr>
        <w:t>投标人应采用单位数字证书，按招标文件要求在相应位置加盖电子印章。投标文件中需个人签字或盖章的，</w:t>
      </w:r>
      <w:bookmarkStart w:id="13" w:name="_Hlk71276278"/>
      <w:r>
        <w:rPr>
          <w:rFonts w:hint="eastAsia" w:ascii="宋体" w:hAnsi="宋体"/>
          <w:sz w:val="24"/>
        </w:rPr>
        <w:t>应加盖个人电子印章或在线下完成后扫描上传。</w:t>
      </w:r>
      <w:bookmarkEnd w:id="13"/>
      <w:r>
        <w:rPr>
          <w:rFonts w:hint="eastAsia" w:ascii="宋体" w:hAnsi="宋体"/>
          <w:sz w:val="24"/>
        </w:rPr>
        <w:t>按照交易平台关于全流程电子化项目的相关指南进行操作。详见：</w:t>
      </w:r>
      <w:r>
        <w:rPr>
          <w:rFonts w:hint="eastAsia" w:ascii="宋体" w:hAnsi="宋体"/>
          <w:sz w:val="24"/>
          <w:u w:val="single"/>
        </w:rPr>
        <w:t xml:space="preserve">            </w:t>
      </w:r>
      <w:r>
        <w:rPr>
          <w:rFonts w:hint="eastAsia" w:ascii="宋体" w:hAnsi="宋体"/>
          <w:sz w:val="24"/>
        </w:rPr>
        <w:t xml:space="preserve"> 。</w:t>
      </w:r>
    </w:p>
    <w:p w14:paraId="24667089">
      <w:pPr>
        <w:pStyle w:val="8"/>
        <w:spacing w:before="156" w:after="156"/>
      </w:pPr>
      <w:bookmarkStart w:id="14" w:name="_Toc2272552"/>
      <w:r>
        <w:rPr>
          <w:rFonts w:hint="eastAsia"/>
        </w:rPr>
        <w:t>（四）投标文件的提交</w:t>
      </w:r>
      <w:bookmarkEnd w:id="14"/>
    </w:p>
    <w:p w14:paraId="223D7F2E">
      <w:pPr>
        <w:pStyle w:val="5"/>
        <w:spacing w:after="0" w:line="360" w:lineRule="auto"/>
        <w:ind w:firstLine="480" w:firstLineChars="200"/>
        <w:rPr>
          <w:rFonts w:ascii="宋体" w:hAnsi="宋体" w:eastAsia="宋体"/>
          <w:b/>
          <w:bCs/>
          <w:sz w:val="24"/>
        </w:rPr>
      </w:pPr>
      <w:r>
        <w:rPr>
          <w:rFonts w:ascii="宋体" w:hAnsi="宋体" w:eastAsia="宋体"/>
          <w:b/>
          <w:bCs/>
          <w:sz w:val="24"/>
        </w:rPr>
        <w:t>18</w:t>
      </w:r>
      <w:r>
        <w:rPr>
          <w:rFonts w:hint="eastAsia" w:ascii="宋体" w:hAnsi="宋体" w:eastAsia="宋体"/>
          <w:b/>
          <w:bCs/>
          <w:sz w:val="24"/>
        </w:rPr>
        <w:t>．</w:t>
      </w:r>
      <w:r>
        <w:rPr>
          <w:rFonts w:hint="eastAsia" w:ascii="宋体" w:hAnsi="宋体" w:eastAsia="宋体"/>
          <w:b/>
          <w:sz w:val="24"/>
          <w:szCs w:val="24"/>
        </w:rPr>
        <w:t>投标文件的密封和标记</w:t>
      </w:r>
    </w:p>
    <w:p w14:paraId="5F992467">
      <w:pPr>
        <w:spacing w:line="360" w:lineRule="auto"/>
        <w:ind w:firstLine="480" w:firstLineChars="200"/>
        <w:rPr>
          <w:rFonts w:ascii="宋体"/>
          <w:bCs/>
          <w:sz w:val="24"/>
        </w:rPr>
      </w:pPr>
      <w:r>
        <w:rPr>
          <w:rFonts w:ascii="宋体" w:hAnsi="宋体"/>
          <w:bCs/>
          <w:sz w:val="24"/>
        </w:rPr>
        <w:t>1</w:t>
      </w:r>
      <w:r>
        <w:rPr>
          <w:rFonts w:hint="eastAsia" w:ascii="宋体" w:hAnsi="宋体"/>
          <w:bCs/>
          <w:sz w:val="24"/>
        </w:rPr>
        <w:t>8</w:t>
      </w:r>
      <w:r>
        <w:rPr>
          <w:rFonts w:ascii="宋体" w:hAnsi="宋体"/>
          <w:bCs/>
          <w:sz w:val="24"/>
        </w:rPr>
        <w:t>.1</w:t>
      </w:r>
      <w:r>
        <w:rPr>
          <w:rFonts w:hint="eastAsia" w:ascii="宋体" w:hAnsi="宋体"/>
          <w:bCs/>
          <w:sz w:val="24"/>
        </w:rPr>
        <w:t>递交的电子投标文件（不含备用光盘）必须进行加密。按照交易平台关于</w:t>
      </w:r>
      <w:r>
        <w:rPr>
          <w:rFonts w:hint="eastAsia"/>
          <w:sz w:val="24"/>
          <w:szCs w:val="24"/>
        </w:rPr>
        <w:t>全流程电子化项目的相关指南进行操作。详见：</w:t>
      </w:r>
      <w:r>
        <w:rPr>
          <w:sz w:val="24"/>
          <w:szCs w:val="24"/>
          <w:u w:val="single"/>
        </w:rPr>
        <w:t xml:space="preserve">       </w:t>
      </w:r>
      <w:r>
        <w:rPr>
          <w:rFonts w:hint="eastAsia"/>
          <w:sz w:val="24"/>
          <w:szCs w:val="24"/>
          <w:u w:val="single"/>
        </w:rPr>
        <w:t xml:space="preserve">   </w:t>
      </w:r>
      <w:r>
        <w:rPr>
          <w:sz w:val="24"/>
          <w:szCs w:val="24"/>
          <w:u w:val="single"/>
        </w:rPr>
        <w:t xml:space="preserve"> </w:t>
      </w:r>
      <w:r>
        <w:rPr>
          <w:rFonts w:hint="eastAsia"/>
          <w:sz w:val="24"/>
          <w:szCs w:val="24"/>
        </w:rPr>
        <w:t xml:space="preserve"> 。</w:t>
      </w:r>
    </w:p>
    <w:p w14:paraId="4CF10E89">
      <w:pPr>
        <w:spacing w:line="360" w:lineRule="auto"/>
        <w:ind w:firstLine="480" w:firstLineChars="200"/>
        <w:rPr>
          <w:rFonts w:ascii="宋体"/>
          <w:bCs/>
          <w:sz w:val="24"/>
        </w:rPr>
      </w:pPr>
      <w:r>
        <w:rPr>
          <w:rFonts w:ascii="宋体" w:hAnsi="宋体"/>
          <w:bCs/>
          <w:sz w:val="24"/>
        </w:rPr>
        <w:t>1</w:t>
      </w:r>
      <w:r>
        <w:rPr>
          <w:rFonts w:hint="eastAsia" w:ascii="宋体" w:hAnsi="宋体"/>
          <w:bCs/>
          <w:sz w:val="24"/>
        </w:rPr>
        <w:t>8</w:t>
      </w:r>
      <w:r>
        <w:rPr>
          <w:rFonts w:ascii="宋体" w:hAnsi="宋体"/>
          <w:bCs/>
          <w:sz w:val="24"/>
        </w:rPr>
        <w:t>.2</w:t>
      </w:r>
      <w:r>
        <w:rPr>
          <w:rFonts w:ascii="宋体"/>
          <w:bCs/>
          <w:sz w:val="24"/>
        </w:rPr>
        <w:t xml:space="preserve"> </w:t>
      </w:r>
      <w:r>
        <w:rPr>
          <w:rFonts w:hint="eastAsia" w:ascii="宋体"/>
          <w:bCs/>
          <w:sz w:val="24"/>
        </w:rPr>
        <w:t>未按要求加密的投标文件，</w:t>
      </w:r>
      <w:r>
        <w:rPr>
          <w:sz w:val="24"/>
          <w:szCs w:val="24"/>
          <w:u w:val="single"/>
        </w:rPr>
        <w:t xml:space="preserve">        </w:t>
      </w:r>
      <w:r>
        <w:rPr>
          <w:rFonts w:hint="eastAsia" w:ascii="宋体" w:hAnsi="宋体"/>
          <w:sz w:val="24"/>
          <w:szCs w:val="24"/>
        </w:rPr>
        <w:t>交易平台</w:t>
      </w:r>
      <w:r>
        <w:rPr>
          <w:rFonts w:hint="eastAsia" w:ascii="宋体"/>
          <w:bCs/>
          <w:sz w:val="24"/>
        </w:rPr>
        <w:t>将予以拒收。</w:t>
      </w:r>
    </w:p>
    <w:p w14:paraId="6E11D200">
      <w:pPr>
        <w:spacing w:line="360" w:lineRule="auto"/>
        <w:ind w:firstLine="480" w:firstLineChars="200"/>
        <w:rPr>
          <w:rFonts w:ascii="宋体"/>
          <w:b/>
          <w:bCs/>
          <w:sz w:val="24"/>
        </w:rPr>
      </w:pPr>
      <w:r>
        <w:rPr>
          <w:rFonts w:ascii="宋体" w:hAnsi="宋体"/>
          <w:b/>
          <w:bCs/>
          <w:sz w:val="24"/>
        </w:rPr>
        <w:t>19</w:t>
      </w:r>
      <w:r>
        <w:rPr>
          <w:rFonts w:hint="eastAsia" w:ascii="宋体" w:hAnsi="宋体"/>
          <w:b/>
          <w:bCs/>
          <w:sz w:val="24"/>
        </w:rPr>
        <w:t>．投标文件的递交和接收</w:t>
      </w:r>
    </w:p>
    <w:p w14:paraId="28CE9747">
      <w:pPr>
        <w:spacing w:line="360" w:lineRule="auto"/>
        <w:ind w:firstLine="480" w:firstLineChars="200"/>
        <w:rPr>
          <w:rFonts w:ascii="宋体"/>
          <w:bCs/>
          <w:sz w:val="24"/>
        </w:rPr>
      </w:pPr>
      <w:r>
        <w:rPr>
          <w:rFonts w:ascii="宋体" w:hAnsi="宋体"/>
          <w:bCs/>
          <w:sz w:val="24"/>
        </w:rPr>
        <w:t>1</w:t>
      </w:r>
      <w:r>
        <w:rPr>
          <w:rFonts w:hint="eastAsia" w:ascii="宋体" w:hAnsi="宋体"/>
          <w:bCs/>
          <w:sz w:val="24"/>
        </w:rPr>
        <w:t>9</w:t>
      </w:r>
      <w:r>
        <w:rPr>
          <w:rFonts w:ascii="宋体" w:hAnsi="宋体"/>
          <w:bCs/>
          <w:sz w:val="24"/>
        </w:rPr>
        <w:t>.</w:t>
      </w:r>
      <w:r>
        <w:rPr>
          <w:rFonts w:hint="eastAsia" w:ascii="宋体" w:hAnsi="宋体"/>
          <w:bCs/>
          <w:sz w:val="24"/>
        </w:rPr>
        <w:t>1投标人通过</w:t>
      </w:r>
      <w:r>
        <w:rPr>
          <w:sz w:val="24"/>
          <w:szCs w:val="24"/>
          <w:u w:val="single"/>
        </w:rPr>
        <w:t xml:space="preserve">        </w:t>
      </w:r>
      <w:r>
        <w:rPr>
          <w:rFonts w:hint="eastAsia" w:ascii="宋体" w:hAnsi="宋体"/>
          <w:sz w:val="24"/>
          <w:szCs w:val="24"/>
        </w:rPr>
        <w:t>交易平台</w:t>
      </w:r>
      <w:r>
        <w:rPr>
          <w:rFonts w:hint="eastAsia" w:ascii="宋体" w:hAnsi="宋体"/>
          <w:sz w:val="24"/>
        </w:rPr>
        <w:t>递交电子投标文件。</w:t>
      </w:r>
    </w:p>
    <w:p w14:paraId="35B9FC5F">
      <w:pPr>
        <w:spacing w:line="360" w:lineRule="auto"/>
        <w:ind w:firstLine="480" w:firstLineChars="200"/>
        <w:rPr>
          <w:rFonts w:ascii="宋体"/>
          <w:bCs/>
          <w:sz w:val="24"/>
        </w:rPr>
      </w:pPr>
      <w:r>
        <w:rPr>
          <w:rFonts w:ascii="宋体" w:hAnsi="宋体"/>
          <w:bCs/>
          <w:sz w:val="24"/>
        </w:rPr>
        <w:t>1</w:t>
      </w:r>
      <w:r>
        <w:rPr>
          <w:rFonts w:hint="eastAsia" w:ascii="宋体" w:hAnsi="宋体"/>
          <w:bCs/>
          <w:sz w:val="24"/>
        </w:rPr>
        <w:t>9</w:t>
      </w:r>
      <w:r>
        <w:rPr>
          <w:rFonts w:ascii="宋体" w:hAnsi="宋体"/>
          <w:bCs/>
          <w:sz w:val="24"/>
        </w:rPr>
        <w:t>.</w:t>
      </w:r>
      <w:r>
        <w:rPr>
          <w:rFonts w:hint="eastAsia" w:ascii="宋体" w:hAnsi="宋体"/>
          <w:bCs/>
          <w:sz w:val="24"/>
        </w:rPr>
        <w:t>2投标人完成电子</w:t>
      </w:r>
      <w:r>
        <w:rPr>
          <w:rFonts w:hint="eastAsia" w:ascii="宋体" w:hAnsi="宋体"/>
          <w:sz w:val="24"/>
        </w:rPr>
        <w:t>投标文件</w:t>
      </w:r>
      <w:r>
        <w:rPr>
          <w:rFonts w:hint="eastAsia" w:ascii="宋体" w:hAnsi="宋体"/>
          <w:bCs/>
          <w:sz w:val="24"/>
        </w:rPr>
        <w:t>上传后，</w:t>
      </w:r>
      <w:r>
        <w:rPr>
          <w:sz w:val="24"/>
          <w:szCs w:val="24"/>
          <w:u w:val="single"/>
        </w:rPr>
        <w:t xml:space="preserve">        </w:t>
      </w:r>
      <w:r>
        <w:rPr>
          <w:rFonts w:hint="eastAsia" w:ascii="宋体" w:hAnsi="宋体"/>
          <w:sz w:val="24"/>
          <w:szCs w:val="24"/>
        </w:rPr>
        <w:t>交易平台</w:t>
      </w:r>
      <w:r>
        <w:rPr>
          <w:rFonts w:hint="eastAsia" w:ascii="宋体" w:hAnsi="宋体"/>
          <w:sz w:val="24"/>
        </w:rPr>
        <w:t>即时向投标人发出递交回执通知。递交时间以递交回执通知载明的传输完成时间为准。</w:t>
      </w:r>
    </w:p>
    <w:p w14:paraId="5E717EDC">
      <w:pPr>
        <w:spacing w:line="360" w:lineRule="auto"/>
        <w:ind w:firstLine="480" w:firstLineChars="200"/>
        <w:rPr>
          <w:rFonts w:ascii="宋体" w:hAnsi="宋体"/>
          <w:sz w:val="24"/>
        </w:rPr>
      </w:pPr>
      <w:r>
        <w:rPr>
          <w:rFonts w:ascii="宋体" w:hAnsi="宋体"/>
          <w:bCs/>
          <w:sz w:val="24"/>
        </w:rPr>
        <w:t>1</w:t>
      </w:r>
      <w:r>
        <w:rPr>
          <w:rFonts w:hint="eastAsia" w:ascii="宋体" w:hAnsi="宋体"/>
          <w:bCs/>
          <w:sz w:val="24"/>
        </w:rPr>
        <w:t>9</w:t>
      </w:r>
      <w:r>
        <w:rPr>
          <w:rFonts w:ascii="宋体" w:hAnsi="宋体"/>
          <w:bCs/>
          <w:sz w:val="24"/>
        </w:rPr>
        <w:t>.</w:t>
      </w:r>
      <w:r>
        <w:rPr>
          <w:rFonts w:hint="eastAsia" w:ascii="宋体" w:hAnsi="宋体"/>
          <w:bCs/>
          <w:sz w:val="24"/>
        </w:rPr>
        <w:t>3</w:t>
      </w:r>
      <w:r>
        <w:rPr>
          <w:rFonts w:hint="eastAsia"/>
          <w:bCs/>
          <w:sz w:val="24"/>
          <w:szCs w:val="24"/>
        </w:rPr>
        <w:t>逾期送达的</w:t>
      </w:r>
      <w:r>
        <w:rPr>
          <w:rFonts w:hint="eastAsia" w:ascii="宋体" w:hAnsi="宋体"/>
          <w:bCs/>
          <w:sz w:val="24"/>
        </w:rPr>
        <w:t>电子投标文件，</w:t>
      </w:r>
      <w:r>
        <w:rPr>
          <w:sz w:val="24"/>
          <w:szCs w:val="24"/>
          <w:u w:val="single"/>
        </w:rPr>
        <w:t xml:space="preserve">        </w:t>
      </w:r>
      <w:r>
        <w:rPr>
          <w:rFonts w:hint="eastAsia" w:ascii="宋体" w:hAnsi="宋体"/>
          <w:sz w:val="24"/>
          <w:szCs w:val="24"/>
        </w:rPr>
        <w:t>交易平台</w:t>
      </w:r>
      <w:r>
        <w:rPr>
          <w:rFonts w:hint="eastAsia" w:ascii="宋体" w:hAnsi="宋体"/>
          <w:sz w:val="24"/>
        </w:rPr>
        <w:t>将予以拒收。</w:t>
      </w:r>
    </w:p>
    <w:p w14:paraId="7AAB4A8B">
      <w:pPr>
        <w:spacing w:line="360" w:lineRule="auto"/>
        <w:ind w:firstLine="480" w:firstLineChars="200"/>
        <w:rPr>
          <w:rFonts w:ascii="宋体"/>
          <w:sz w:val="24"/>
        </w:rPr>
      </w:pPr>
      <w:r>
        <w:rPr>
          <w:rFonts w:ascii="宋体" w:hAnsi="宋体"/>
          <w:sz w:val="24"/>
        </w:rPr>
        <w:t>19.</w:t>
      </w:r>
      <w:r>
        <w:rPr>
          <w:rFonts w:hint="eastAsia" w:ascii="宋体" w:hAnsi="宋体"/>
          <w:sz w:val="24"/>
        </w:rPr>
        <w:t>4</w:t>
      </w:r>
      <w:r>
        <w:rPr>
          <w:rFonts w:ascii="宋体" w:hAnsi="宋体"/>
          <w:sz w:val="24"/>
        </w:rPr>
        <w:t xml:space="preserve"> </w:t>
      </w:r>
      <w:r>
        <w:rPr>
          <w:rFonts w:hint="eastAsia" w:ascii="宋体" w:hAnsi="宋体"/>
          <w:sz w:val="24"/>
          <w:szCs w:val="24"/>
        </w:rPr>
        <w:t>投标截止前，</w:t>
      </w:r>
      <w:r>
        <w:rPr>
          <w:rFonts w:hint="eastAsia"/>
          <w:sz w:val="24"/>
          <w:szCs w:val="24"/>
        </w:rPr>
        <w:t>招标人拒绝接收符合条件的投标文件，投标人可向招标投标监督机构投诉。</w:t>
      </w:r>
    </w:p>
    <w:p w14:paraId="7C9669EE">
      <w:pPr>
        <w:spacing w:line="360" w:lineRule="auto"/>
        <w:ind w:firstLine="480" w:firstLineChars="200"/>
        <w:rPr>
          <w:rFonts w:ascii="宋体" w:hAnsi="宋体"/>
          <w:sz w:val="24"/>
        </w:rPr>
      </w:pPr>
      <w:r>
        <w:rPr>
          <w:rFonts w:ascii="宋体" w:hAnsi="宋体"/>
          <w:sz w:val="24"/>
        </w:rPr>
        <w:t>19.</w:t>
      </w:r>
      <w:r>
        <w:rPr>
          <w:rFonts w:hint="eastAsia" w:ascii="宋体" w:hAnsi="宋体"/>
          <w:sz w:val="24"/>
        </w:rPr>
        <w:t>5如技术标和经济标先后分别开启，</w:t>
      </w:r>
      <w:r>
        <w:rPr>
          <w:sz w:val="24"/>
          <w:szCs w:val="24"/>
          <w:u w:val="single"/>
        </w:rPr>
        <w:t xml:space="preserve">        </w:t>
      </w:r>
      <w:r>
        <w:rPr>
          <w:rFonts w:hint="eastAsia" w:ascii="宋体" w:hAnsi="宋体"/>
          <w:sz w:val="24"/>
          <w:szCs w:val="24"/>
        </w:rPr>
        <w:t>交易平台</w:t>
      </w:r>
      <w:r>
        <w:rPr>
          <w:rFonts w:hint="eastAsia" w:ascii="宋体" w:hAnsi="宋体"/>
          <w:sz w:val="24"/>
        </w:rPr>
        <w:t>将按招标文件规定的时间分别开启技术标和经济标。</w:t>
      </w:r>
    </w:p>
    <w:p w14:paraId="6DD349BD">
      <w:pPr>
        <w:spacing w:line="360" w:lineRule="auto"/>
        <w:ind w:firstLine="480" w:firstLineChars="200"/>
        <w:rPr>
          <w:rFonts w:ascii="宋体"/>
          <w:b/>
          <w:bCs/>
          <w:sz w:val="24"/>
        </w:rPr>
      </w:pPr>
      <w:r>
        <w:rPr>
          <w:rFonts w:ascii="宋体" w:hAnsi="宋体"/>
          <w:b/>
          <w:bCs/>
          <w:sz w:val="24"/>
        </w:rPr>
        <w:t>20</w:t>
      </w:r>
      <w:r>
        <w:rPr>
          <w:rFonts w:hint="eastAsia" w:ascii="宋体" w:hAnsi="宋体"/>
          <w:b/>
          <w:bCs/>
          <w:sz w:val="24"/>
        </w:rPr>
        <w:t>．投标文件提交的截止时间</w:t>
      </w:r>
    </w:p>
    <w:p w14:paraId="569D0F23">
      <w:pPr>
        <w:spacing w:line="360" w:lineRule="auto"/>
        <w:ind w:firstLine="480" w:firstLineChars="200"/>
        <w:rPr>
          <w:rFonts w:ascii="宋体"/>
          <w:b/>
          <w:bCs/>
          <w:sz w:val="24"/>
        </w:rPr>
      </w:pPr>
      <w:r>
        <w:rPr>
          <w:rFonts w:ascii="宋体" w:hAnsi="宋体"/>
          <w:sz w:val="24"/>
        </w:rPr>
        <w:t>20.1</w:t>
      </w:r>
      <w:r>
        <w:rPr>
          <w:rFonts w:hint="eastAsia" w:ascii="宋体" w:hAnsi="宋体"/>
          <w:sz w:val="24"/>
        </w:rPr>
        <w:t>投标人应在投标须知前附表第17项所述的时间前提交投标文件。</w:t>
      </w:r>
    </w:p>
    <w:p w14:paraId="636BC722">
      <w:pPr>
        <w:spacing w:line="360" w:lineRule="auto"/>
        <w:ind w:firstLine="480" w:firstLineChars="200"/>
        <w:rPr>
          <w:rFonts w:ascii="宋体"/>
          <w:sz w:val="24"/>
        </w:rPr>
      </w:pPr>
      <w:r>
        <w:rPr>
          <w:rFonts w:ascii="宋体" w:hAnsi="宋体"/>
          <w:sz w:val="24"/>
        </w:rPr>
        <w:t>20.2</w:t>
      </w:r>
      <w:r>
        <w:rPr>
          <w:rFonts w:hint="eastAsia" w:ascii="宋体" w:hAnsi="宋体"/>
          <w:sz w:val="24"/>
        </w:rPr>
        <w:t>招标人可按本须知第</w:t>
      </w:r>
      <w:r>
        <w:rPr>
          <w:rFonts w:ascii="宋体" w:hAnsi="宋体"/>
          <w:sz w:val="24"/>
        </w:rPr>
        <w:t>9</w:t>
      </w:r>
      <w:r>
        <w:rPr>
          <w:rFonts w:hint="eastAsia" w:ascii="宋体" w:hAnsi="宋体"/>
          <w:sz w:val="24"/>
        </w:rPr>
        <w:t>条规定以招标文件修改的方式，酌情延长提交投标文件的截止时间。在此情况下，投标人的所有权利和义务以及投标人受制约的截止时间，均以延长后新的投标截止时间为准。</w:t>
      </w:r>
    </w:p>
    <w:p w14:paraId="4970B9E7">
      <w:pPr>
        <w:spacing w:line="360" w:lineRule="auto"/>
        <w:ind w:firstLine="480" w:firstLineChars="200"/>
        <w:rPr>
          <w:rFonts w:ascii="宋体"/>
          <w:sz w:val="24"/>
        </w:rPr>
      </w:pPr>
      <w:r>
        <w:rPr>
          <w:rFonts w:ascii="宋体" w:hAnsi="宋体"/>
          <w:sz w:val="24"/>
        </w:rPr>
        <w:t xml:space="preserve">20.3 </w:t>
      </w:r>
      <w:r>
        <w:rPr>
          <w:rFonts w:hint="eastAsia" w:ascii="宋体" w:hAnsi="宋体"/>
          <w:sz w:val="24"/>
        </w:rPr>
        <w:t>到投标截止时间止，招标人收到的投标文件少于3家的，招标人将重新组织招标</w:t>
      </w:r>
      <w:r>
        <w:rPr>
          <w:rFonts w:hint="eastAsia" w:ascii="宋体" w:hAnsi="宋体"/>
          <w:sz w:val="24"/>
          <w:szCs w:val="24"/>
        </w:rPr>
        <w:t>（当</w:t>
      </w:r>
      <w:r>
        <w:rPr>
          <w:rFonts w:ascii="宋体" w:hAnsi="宋体"/>
          <w:sz w:val="24"/>
          <w:szCs w:val="24"/>
        </w:rPr>
        <w:t>N</w:t>
      </w:r>
      <w:r>
        <w:rPr>
          <w:rFonts w:hint="eastAsia" w:ascii="宋体" w:hAnsi="宋体"/>
          <w:sz w:val="24"/>
          <w:szCs w:val="24"/>
        </w:rPr>
        <w:t>个标段同时招标且不允许兼中时，若有效投标人不足</w:t>
      </w:r>
      <w:r>
        <w:rPr>
          <w:rFonts w:ascii="宋体" w:hAnsi="宋体"/>
          <w:sz w:val="24"/>
          <w:szCs w:val="24"/>
        </w:rPr>
        <w:t>N+</w:t>
      </w:r>
      <w:r>
        <w:rPr>
          <w:rFonts w:hint="eastAsia" w:ascii="宋体" w:hAnsi="宋体"/>
          <w:sz w:val="24"/>
          <w:szCs w:val="24"/>
        </w:rPr>
        <w:t>2家，则重新组织招标）</w:t>
      </w:r>
      <w:r>
        <w:rPr>
          <w:rFonts w:hint="eastAsia" w:ascii="宋体" w:hAnsi="宋体"/>
          <w:sz w:val="24"/>
        </w:rPr>
        <w:t>。</w:t>
      </w:r>
    </w:p>
    <w:p w14:paraId="4CF5697B">
      <w:pPr>
        <w:spacing w:line="360" w:lineRule="auto"/>
        <w:ind w:firstLine="480" w:firstLineChars="200"/>
        <w:rPr>
          <w:rFonts w:ascii="宋体"/>
          <w:b/>
          <w:bCs/>
          <w:sz w:val="24"/>
        </w:rPr>
      </w:pPr>
      <w:r>
        <w:rPr>
          <w:rFonts w:ascii="宋体" w:hAnsi="宋体"/>
          <w:b/>
          <w:bCs/>
          <w:sz w:val="24"/>
        </w:rPr>
        <w:t>21</w:t>
      </w:r>
      <w:r>
        <w:rPr>
          <w:rFonts w:hint="eastAsia" w:ascii="宋体" w:hAnsi="宋体"/>
          <w:b/>
          <w:bCs/>
          <w:sz w:val="24"/>
        </w:rPr>
        <w:t>．迟交的投标文件</w:t>
      </w:r>
    </w:p>
    <w:p w14:paraId="68987416">
      <w:pPr>
        <w:spacing w:line="360" w:lineRule="auto"/>
        <w:ind w:firstLine="480" w:firstLineChars="200"/>
        <w:rPr>
          <w:rFonts w:ascii="宋体"/>
          <w:sz w:val="24"/>
        </w:rPr>
      </w:pPr>
      <w:r>
        <w:rPr>
          <w:rFonts w:ascii="宋体" w:hAnsi="宋体"/>
          <w:sz w:val="24"/>
        </w:rPr>
        <w:t xml:space="preserve">21.1 </w:t>
      </w:r>
      <w:r>
        <w:rPr>
          <w:rFonts w:hint="eastAsia" w:ascii="宋体" w:hAnsi="宋体"/>
          <w:sz w:val="24"/>
        </w:rPr>
        <w:t>本须知前附表第</w:t>
      </w:r>
      <w:r>
        <w:rPr>
          <w:rFonts w:ascii="宋体" w:hAnsi="宋体"/>
          <w:sz w:val="24"/>
        </w:rPr>
        <w:t>1</w:t>
      </w:r>
      <w:r>
        <w:rPr>
          <w:rFonts w:hint="eastAsia" w:ascii="宋体" w:hAnsi="宋体"/>
          <w:sz w:val="24"/>
        </w:rPr>
        <w:t>7项规定的投标截止时间</w:t>
      </w:r>
      <w:r>
        <w:rPr>
          <w:rFonts w:hint="eastAsia"/>
          <w:bCs/>
          <w:sz w:val="24"/>
          <w:szCs w:val="24"/>
        </w:rPr>
        <w:t>后送达的</w:t>
      </w:r>
      <w:r>
        <w:rPr>
          <w:rFonts w:hint="eastAsia" w:ascii="宋体" w:hAnsi="宋体"/>
          <w:bCs/>
          <w:sz w:val="24"/>
        </w:rPr>
        <w:t>电子投标文件，</w:t>
      </w:r>
      <w:r>
        <w:rPr>
          <w:sz w:val="24"/>
          <w:szCs w:val="24"/>
          <w:u w:val="single"/>
        </w:rPr>
        <w:t xml:space="preserve">       </w:t>
      </w:r>
      <w:r>
        <w:rPr>
          <w:rFonts w:hint="eastAsia" w:ascii="宋体" w:hAnsi="宋体"/>
          <w:sz w:val="24"/>
          <w:szCs w:val="24"/>
        </w:rPr>
        <w:t>交易平台</w:t>
      </w:r>
      <w:r>
        <w:rPr>
          <w:rFonts w:hint="eastAsia" w:ascii="宋体" w:hAnsi="宋体"/>
          <w:sz w:val="24"/>
        </w:rPr>
        <w:t>将予以拒收。</w:t>
      </w:r>
    </w:p>
    <w:p w14:paraId="61ADD964">
      <w:pPr>
        <w:spacing w:line="360" w:lineRule="auto"/>
        <w:ind w:firstLine="480" w:firstLineChars="200"/>
        <w:rPr>
          <w:rFonts w:ascii="宋体"/>
          <w:b/>
          <w:bCs/>
          <w:sz w:val="24"/>
        </w:rPr>
      </w:pPr>
      <w:r>
        <w:rPr>
          <w:rFonts w:ascii="宋体" w:hAnsi="宋体"/>
          <w:b/>
          <w:bCs/>
          <w:sz w:val="24"/>
        </w:rPr>
        <w:t>22</w:t>
      </w:r>
      <w:r>
        <w:rPr>
          <w:rFonts w:hint="eastAsia" w:ascii="宋体" w:hAnsi="宋体"/>
          <w:b/>
          <w:bCs/>
          <w:sz w:val="24"/>
        </w:rPr>
        <w:t>．投标文件的修改与撤回</w:t>
      </w:r>
    </w:p>
    <w:p w14:paraId="4AED49E1">
      <w:pPr>
        <w:spacing w:line="360" w:lineRule="auto"/>
        <w:ind w:firstLine="480" w:firstLineChars="200"/>
        <w:rPr>
          <w:rFonts w:ascii="宋体"/>
          <w:sz w:val="24"/>
        </w:rPr>
      </w:pPr>
      <w:r>
        <w:rPr>
          <w:rFonts w:ascii="宋体" w:hAnsi="宋体"/>
          <w:sz w:val="24"/>
        </w:rPr>
        <w:t>22.1</w:t>
      </w:r>
      <w:r>
        <w:rPr>
          <w:rFonts w:hint="eastAsia" w:ascii="宋体" w:hAnsi="宋体"/>
          <w:sz w:val="24"/>
        </w:rPr>
        <w:t>在规定的投标截止时间前，投标人可以修改或撤回已递交的投标文件，但应以书面形式通知招标人。</w:t>
      </w:r>
    </w:p>
    <w:p w14:paraId="6D938366">
      <w:pPr>
        <w:spacing w:line="360" w:lineRule="auto"/>
        <w:ind w:firstLine="480" w:firstLineChars="200"/>
        <w:rPr>
          <w:sz w:val="24"/>
          <w:szCs w:val="24"/>
        </w:rPr>
      </w:pPr>
      <w:r>
        <w:rPr>
          <w:rFonts w:ascii="宋体" w:hAnsi="宋体"/>
          <w:sz w:val="24"/>
          <w:szCs w:val="24"/>
        </w:rPr>
        <w:t>22.2</w:t>
      </w:r>
      <w:r>
        <w:rPr>
          <w:sz w:val="24"/>
          <w:szCs w:val="24"/>
        </w:rPr>
        <w:t>投标人修改或撤回已递交</w:t>
      </w:r>
      <w:r>
        <w:rPr>
          <w:rFonts w:hint="eastAsia"/>
          <w:sz w:val="24"/>
          <w:szCs w:val="24"/>
        </w:rPr>
        <w:t>的</w:t>
      </w:r>
      <w:r>
        <w:rPr>
          <w:sz w:val="24"/>
          <w:szCs w:val="24"/>
        </w:rPr>
        <w:t>投标文件</w:t>
      </w:r>
      <w:r>
        <w:rPr>
          <w:rFonts w:hint="eastAsia"/>
          <w:sz w:val="24"/>
          <w:szCs w:val="24"/>
        </w:rPr>
        <w:t>，需在</w:t>
      </w:r>
      <w:r>
        <w:rPr>
          <w:rFonts w:hint="eastAsia" w:ascii="宋体" w:hAnsi="宋体"/>
          <w:sz w:val="24"/>
        </w:rPr>
        <w:t>交易平台发出修改或撤回</w:t>
      </w:r>
      <w:r>
        <w:rPr>
          <w:sz w:val="24"/>
          <w:szCs w:val="24"/>
        </w:rPr>
        <w:t>通知，</w:t>
      </w:r>
      <w:r>
        <w:rPr>
          <w:rFonts w:hint="eastAsia"/>
          <w:sz w:val="24"/>
          <w:szCs w:val="24"/>
        </w:rPr>
        <w:t>并按</w:t>
      </w:r>
      <w:r>
        <w:rPr>
          <w:sz w:val="24"/>
          <w:szCs w:val="24"/>
        </w:rPr>
        <w:t>要求加盖电子印章。</w:t>
      </w:r>
      <w:r>
        <w:rPr>
          <w:bCs/>
          <w:iCs/>
          <w:sz w:val="24"/>
          <w:szCs w:val="24"/>
        </w:rPr>
        <w:t>电子招标投标交易平台收到通知后，</w:t>
      </w:r>
      <w:r>
        <w:rPr>
          <w:sz w:val="24"/>
          <w:szCs w:val="24"/>
        </w:rPr>
        <w:t>即时向投标人发出确认回执通知。</w:t>
      </w:r>
    </w:p>
    <w:p w14:paraId="3E9B5C9A">
      <w:pPr>
        <w:spacing w:line="360" w:lineRule="auto"/>
        <w:ind w:firstLine="480" w:firstLineChars="200"/>
        <w:rPr>
          <w:sz w:val="24"/>
          <w:szCs w:val="24"/>
        </w:rPr>
      </w:pPr>
      <w:r>
        <w:rPr>
          <w:rFonts w:hint="eastAsia" w:ascii="宋体" w:hAnsi="宋体"/>
          <w:sz w:val="24"/>
          <w:szCs w:val="24"/>
        </w:rPr>
        <w:t>22.3</w:t>
      </w:r>
      <w:r>
        <w:rPr>
          <w:rFonts w:hint="eastAsia"/>
          <w:sz w:val="24"/>
          <w:szCs w:val="24"/>
        </w:rPr>
        <w:t>修改后再次递交的，按19点的规定执行。</w:t>
      </w:r>
    </w:p>
    <w:p w14:paraId="466D2ABC">
      <w:pPr>
        <w:spacing w:line="360" w:lineRule="auto"/>
        <w:ind w:firstLine="480" w:firstLineChars="200"/>
        <w:rPr>
          <w:rFonts w:ascii="宋体" w:hAnsi="宋体"/>
          <w:sz w:val="24"/>
        </w:rPr>
      </w:pPr>
      <w:r>
        <w:rPr>
          <w:rFonts w:ascii="宋体" w:hAnsi="宋体"/>
          <w:sz w:val="24"/>
        </w:rPr>
        <w:t>22.</w:t>
      </w:r>
      <w:r>
        <w:rPr>
          <w:rFonts w:hint="eastAsia" w:ascii="宋体" w:hAnsi="宋体"/>
          <w:sz w:val="24"/>
        </w:rPr>
        <w:t>4</w:t>
      </w:r>
      <w:r>
        <w:rPr>
          <w:rFonts w:ascii="宋体" w:hAnsi="宋体"/>
          <w:sz w:val="24"/>
        </w:rPr>
        <w:t xml:space="preserve"> </w:t>
      </w:r>
      <w:r>
        <w:rPr>
          <w:rFonts w:hint="eastAsia" w:ascii="宋体" w:hAnsi="宋体"/>
          <w:sz w:val="24"/>
        </w:rPr>
        <w:t>在投标截止时间之后，投标人不得补充、修改和更换投标文件。</w:t>
      </w:r>
    </w:p>
    <w:p w14:paraId="595B6F70">
      <w:pPr>
        <w:pStyle w:val="8"/>
        <w:spacing w:before="156" w:after="156"/>
      </w:pPr>
      <w:bookmarkStart w:id="15" w:name="_Toc2272553"/>
      <w:r>
        <w:rPr>
          <w:rFonts w:hint="eastAsia"/>
        </w:rPr>
        <w:t>（五）开标、评标、定标及合同签定</w:t>
      </w:r>
      <w:bookmarkEnd w:id="15"/>
    </w:p>
    <w:p w14:paraId="4C69D6C7">
      <w:pPr>
        <w:spacing w:line="360" w:lineRule="auto"/>
        <w:ind w:firstLine="480" w:firstLineChars="200"/>
        <w:rPr>
          <w:rFonts w:ascii="宋体"/>
          <w:b/>
          <w:bCs/>
          <w:sz w:val="24"/>
        </w:rPr>
      </w:pPr>
      <w:r>
        <w:rPr>
          <w:rFonts w:ascii="宋体" w:hAnsi="宋体"/>
          <w:b/>
          <w:bCs/>
          <w:sz w:val="24"/>
        </w:rPr>
        <w:t>23</w:t>
      </w:r>
      <w:r>
        <w:rPr>
          <w:rFonts w:hint="eastAsia" w:ascii="宋体" w:hAnsi="宋体"/>
          <w:b/>
          <w:bCs/>
          <w:sz w:val="24"/>
        </w:rPr>
        <w:t>、开标。</w:t>
      </w:r>
    </w:p>
    <w:p w14:paraId="20A870C8">
      <w:pPr>
        <w:spacing w:line="360" w:lineRule="auto"/>
        <w:ind w:firstLine="480" w:firstLineChars="200"/>
        <w:rPr>
          <w:rFonts w:ascii="宋体"/>
          <w:sz w:val="24"/>
        </w:rPr>
      </w:pPr>
      <w:r>
        <w:rPr>
          <w:rFonts w:hint="eastAsia" w:ascii="宋体" w:hAnsi="宋体"/>
          <w:sz w:val="24"/>
        </w:rPr>
        <w:t>详见第二章开标、评标及定标办法</w:t>
      </w:r>
    </w:p>
    <w:p w14:paraId="6C99EEDD">
      <w:pPr>
        <w:spacing w:line="360" w:lineRule="auto"/>
        <w:ind w:firstLine="480" w:firstLineChars="200"/>
        <w:rPr>
          <w:rFonts w:ascii="宋体"/>
          <w:b/>
          <w:bCs/>
          <w:sz w:val="24"/>
        </w:rPr>
      </w:pPr>
      <w:r>
        <w:rPr>
          <w:rFonts w:ascii="宋体" w:hAnsi="宋体"/>
          <w:b/>
          <w:bCs/>
          <w:sz w:val="24"/>
        </w:rPr>
        <w:t>24</w:t>
      </w:r>
      <w:r>
        <w:rPr>
          <w:rFonts w:hint="eastAsia" w:ascii="宋体" w:hAnsi="宋体"/>
          <w:b/>
          <w:bCs/>
          <w:sz w:val="24"/>
        </w:rPr>
        <w:t>．评标过程的保密</w:t>
      </w:r>
    </w:p>
    <w:p w14:paraId="0D99618D">
      <w:pPr>
        <w:spacing w:line="360" w:lineRule="auto"/>
        <w:ind w:firstLine="480" w:firstLineChars="200"/>
        <w:rPr>
          <w:rFonts w:ascii="宋体"/>
          <w:sz w:val="24"/>
        </w:rPr>
      </w:pPr>
      <w:r>
        <w:rPr>
          <w:rFonts w:ascii="宋体" w:hAnsi="宋体"/>
          <w:sz w:val="24"/>
        </w:rPr>
        <w:t xml:space="preserve">24.1 </w:t>
      </w:r>
      <w:r>
        <w:rPr>
          <w:rFonts w:hint="eastAsia" w:ascii="宋体" w:hAnsi="宋体"/>
          <w:sz w:val="24"/>
        </w:rPr>
        <w:t>开标后，直至中标公示为止，凡属于对投标文件的审查、澄清、评价和比较有关的资料以及中标候选人的推荐情况，与评标有关的其他任何情况均严格保密。</w:t>
      </w:r>
    </w:p>
    <w:p w14:paraId="37FBC81A">
      <w:pPr>
        <w:spacing w:line="360" w:lineRule="auto"/>
        <w:ind w:firstLine="480" w:firstLineChars="200"/>
        <w:rPr>
          <w:rFonts w:ascii="宋体"/>
          <w:sz w:val="24"/>
        </w:rPr>
      </w:pPr>
      <w:r>
        <w:rPr>
          <w:rFonts w:ascii="宋体" w:hAnsi="宋体"/>
          <w:sz w:val="24"/>
        </w:rPr>
        <w:t xml:space="preserve">24.2 </w:t>
      </w:r>
      <w:r>
        <w:rPr>
          <w:rFonts w:hint="eastAsia" w:ascii="宋体" w:hAnsi="宋体"/>
          <w:sz w:val="24"/>
        </w:rPr>
        <w:t>在投标文件的评审和比较、中标候选人推荐以及授予合同的过程中，投标人向招标人和评标委员会施加不公正影响的任何行为，都将会导致其投标被拒绝。</w:t>
      </w:r>
    </w:p>
    <w:p w14:paraId="13957A13">
      <w:pPr>
        <w:spacing w:line="360" w:lineRule="auto"/>
        <w:ind w:firstLine="480" w:firstLineChars="200"/>
        <w:rPr>
          <w:rFonts w:ascii="宋体"/>
          <w:b/>
          <w:bCs/>
          <w:sz w:val="24"/>
        </w:rPr>
      </w:pPr>
      <w:r>
        <w:rPr>
          <w:rFonts w:ascii="宋体" w:hAnsi="宋体"/>
          <w:b/>
          <w:bCs/>
          <w:sz w:val="24"/>
        </w:rPr>
        <w:t>25</w:t>
      </w:r>
      <w:r>
        <w:rPr>
          <w:rFonts w:hint="eastAsia" w:ascii="宋体" w:hAnsi="宋体"/>
          <w:b/>
          <w:bCs/>
          <w:sz w:val="24"/>
        </w:rPr>
        <w:t>．投标文件的澄清，计算错误的修正</w:t>
      </w:r>
    </w:p>
    <w:p w14:paraId="64EE26B4">
      <w:pPr>
        <w:spacing w:line="360" w:lineRule="auto"/>
        <w:ind w:firstLine="480" w:firstLineChars="200"/>
        <w:rPr>
          <w:rFonts w:ascii="宋体"/>
          <w:sz w:val="24"/>
        </w:rPr>
      </w:pPr>
      <w:r>
        <w:rPr>
          <w:rFonts w:hint="eastAsia" w:ascii="宋体" w:hAnsi="宋体"/>
          <w:sz w:val="24"/>
        </w:rPr>
        <w:t>详见招标文件第二章开标、评标及定标办法</w:t>
      </w:r>
    </w:p>
    <w:p w14:paraId="41F5476A">
      <w:pPr>
        <w:spacing w:line="360" w:lineRule="auto"/>
        <w:ind w:firstLine="480" w:firstLineChars="200"/>
        <w:rPr>
          <w:rFonts w:ascii="宋体"/>
          <w:b/>
          <w:bCs/>
          <w:sz w:val="24"/>
        </w:rPr>
      </w:pPr>
      <w:r>
        <w:rPr>
          <w:rFonts w:ascii="宋体" w:hAnsi="宋体"/>
          <w:b/>
          <w:bCs/>
          <w:sz w:val="24"/>
        </w:rPr>
        <w:t>26</w:t>
      </w:r>
      <w:r>
        <w:rPr>
          <w:rFonts w:hint="eastAsia" w:ascii="宋体" w:hAnsi="宋体"/>
          <w:b/>
          <w:bCs/>
          <w:sz w:val="24"/>
        </w:rPr>
        <w:t>．投标文件的评审、比较和否决</w:t>
      </w:r>
    </w:p>
    <w:p w14:paraId="6FD3B2EB">
      <w:pPr>
        <w:spacing w:line="360" w:lineRule="auto"/>
        <w:ind w:firstLine="480" w:firstLineChars="200"/>
        <w:rPr>
          <w:rFonts w:ascii="宋体"/>
          <w:bCs/>
          <w:sz w:val="24"/>
          <w:szCs w:val="24"/>
        </w:rPr>
      </w:pPr>
      <w:r>
        <w:rPr>
          <w:rFonts w:hint="eastAsia" w:ascii="宋体" w:hAnsi="宋体"/>
          <w:sz w:val="24"/>
        </w:rPr>
        <w:t>详见招标文件第二章开标、评标及定标办法。</w:t>
      </w:r>
    </w:p>
    <w:p w14:paraId="02B449E3">
      <w:pPr>
        <w:spacing w:line="360" w:lineRule="auto"/>
        <w:ind w:firstLine="480" w:firstLineChars="200"/>
        <w:rPr>
          <w:rFonts w:ascii="宋体"/>
          <w:b/>
          <w:bCs/>
          <w:sz w:val="24"/>
        </w:rPr>
      </w:pPr>
      <w:r>
        <w:rPr>
          <w:rFonts w:ascii="宋体" w:hAnsi="宋体"/>
          <w:b/>
          <w:bCs/>
          <w:sz w:val="24"/>
        </w:rPr>
        <w:t>27</w:t>
      </w:r>
      <w:r>
        <w:rPr>
          <w:rFonts w:hint="eastAsia" w:ascii="宋体" w:hAnsi="宋体"/>
          <w:b/>
          <w:bCs/>
          <w:sz w:val="24"/>
        </w:rPr>
        <w:t>．中标通知书</w:t>
      </w:r>
    </w:p>
    <w:p w14:paraId="1F3201B1">
      <w:pPr>
        <w:spacing w:line="360" w:lineRule="auto"/>
        <w:ind w:firstLine="480" w:firstLineChars="200"/>
        <w:rPr>
          <w:rFonts w:ascii="宋体"/>
          <w:sz w:val="24"/>
        </w:rPr>
      </w:pPr>
      <w:r>
        <w:rPr>
          <w:rFonts w:ascii="宋体" w:hAnsi="宋体"/>
          <w:sz w:val="24"/>
        </w:rPr>
        <w:t>27.1</w:t>
      </w:r>
      <w:r>
        <w:rPr>
          <w:rFonts w:hint="eastAsia" w:ascii="宋体" w:hAnsi="宋体"/>
          <w:sz w:val="24"/>
        </w:rPr>
        <w:t>招标人将在</w:t>
      </w:r>
      <w:r>
        <w:rPr>
          <w:sz w:val="24"/>
          <w:szCs w:val="24"/>
          <w:u w:val="single"/>
        </w:rPr>
        <w:t xml:space="preserve">        </w:t>
      </w:r>
      <w:r>
        <w:rPr>
          <w:rFonts w:hint="eastAsia" w:ascii="宋体" w:hAnsi="宋体"/>
          <w:sz w:val="24"/>
          <w:szCs w:val="24"/>
        </w:rPr>
        <w:t>交易平台</w:t>
      </w:r>
      <w:r>
        <w:rPr>
          <w:rFonts w:hint="eastAsia" w:ascii="宋体" w:hAnsi="宋体"/>
          <w:sz w:val="24"/>
        </w:rPr>
        <w:t>、广东省招标投标监管网和中国招标投标公共服务平台公示中标候选人，公示期为三天。投标人或其他利害关系人对评标结果有异议的，应当在中标候选人公示期间提出，可以通过线下或线上的形式提出异议。线上提交的，应通过交易平台进行，招标人也应通过交易平台答复线上提交的异议。作出答复前，应当暂停招标投标活动。</w:t>
      </w:r>
    </w:p>
    <w:p w14:paraId="00583072">
      <w:pPr>
        <w:spacing w:line="360" w:lineRule="auto"/>
        <w:ind w:firstLine="480" w:firstLineChars="200"/>
        <w:rPr>
          <w:rFonts w:ascii="仿宋_GB2312" w:hAnsi="宋体" w:eastAsia="仿宋_GB2312"/>
          <w:sz w:val="24"/>
        </w:rPr>
      </w:pPr>
      <w:r>
        <w:rPr>
          <w:rFonts w:ascii="宋体" w:hAnsi="宋体"/>
          <w:sz w:val="24"/>
        </w:rPr>
        <w:t>27.2</w:t>
      </w:r>
      <w:r>
        <w:rPr>
          <w:rFonts w:hint="eastAsia" w:ascii="宋体" w:hAnsi="宋体"/>
          <w:sz w:val="24"/>
        </w:rPr>
        <w:t>招标人应当自确定中标人后，向招标投标监管机构提交招标投标情况的书面报告；经招投标监管机构备案后，方可发出中标通知书。</w:t>
      </w:r>
    </w:p>
    <w:p w14:paraId="2136CE6D">
      <w:pPr>
        <w:spacing w:line="360" w:lineRule="auto"/>
        <w:ind w:firstLine="480" w:firstLineChars="200"/>
        <w:rPr>
          <w:rFonts w:ascii="宋体" w:hAnsi="宋体"/>
          <w:sz w:val="24"/>
        </w:rPr>
      </w:pPr>
      <w:r>
        <w:rPr>
          <w:rFonts w:ascii="宋体" w:hAnsi="宋体"/>
          <w:sz w:val="24"/>
        </w:rPr>
        <w:t>27.3</w:t>
      </w:r>
      <w:r>
        <w:rPr>
          <w:rFonts w:hint="eastAsia" w:ascii="宋体" w:hAnsi="宋体"/>
          <w:sz w:val="24"/>
        </w:rPr>
        <w:t>中标人必须在收到中标通知书后</w:t>
      </w:r>
      <w:r>
        <w:rPr>
          <w:rFonts w:ascii="宋体" w:hAnsi="宋体"/>
          <w:sz w:val="24"/>
        </w:rPr>
        <w:t>24</w:t>
      </w:r>
      <w:r>
        <w:rPr>
          <w:rFonts w:hint="eastAsia" w:ascii="宋体" w:hAnsi="宋体"/>
          <w:sz w:val="24"/>
        </w:rPr>
        <w:t>小时之内以书面形式回复招标人，确认收到。</w:t>
      </w:r>
    </w:p>
    <w:p w14:paraId="40248589">
      <w:pPr>
        <w:spacing w:line="360" w:lineRule="auto"/>
        <w:ind w:firstLine="480" w:firstLineChars="200"/>
        <w:rPr>
          <w:rFonts w:ascii="宋体" w:hAnsi="宋体"/>
          <w:sz w:val="24"/>
        </w:rPr>
      </w:pPr>
      <w:r>
        <w:rPr>
          <w:rFonts w:hint="eastAsia" w:ascii="宋体" w:hAnsi="宋体"/>
          <w:sz w:val="24"/>
        </w:rPr>
        <w:t>27.4在产生中标候选人后，招标人将中标候选人的投标文件商务部分文件的所有内容（包括报价清单、人员、业绩、奖项等资料）在</w:t>
      </w:r>
      <w:r>
        <w:rPr>
          <w:sz w:val="24"/>
          <w:szCs w:val="24"/>
          <w:u w:val="single"/>
        </w:rPr>
        <w:t xml:space="preserve">        </w:t>
      </w:r>
      <w:r>
        <w:rPr>
          <w:rFonts w:hint="eastAsia" w:ascii="宋体" w:hAnsi="宋体"/>
          <w:sz w:val="24"/>
          <w:szCs w:val="24"/>
        </w:rPr>
        <w:t>交易平台和广东省招标投标监管网</w:t>
      </w:r>
      <w:r>
        <w:rPr>
          <w:rFonts w:hint="eastAsia" w:ascii="宋体" w:hAnsi="宋体"/>
          <w:sz w:val="24"/>
        </w:rPr>
        <w:t>公开。</w:t>
      </w:r>
    </w:p>
    <w:p w14:paraId="22E06CE2">
      <w:pPr>
        <w:spacing w:line="360" w:lineRule="auto"/>
        <w:ind w:firstLine="480" w:firstLineChars="200"/>
        <w:rPr>
          <w:rFonts w:ascii="宋体"/>
          <w:b/>
          <w:bCs/>
          <w:sz w:val="24"/>
        </w:rPr>
      </w:pPr>
      <w:r>
        <w:rPr>
          <w:rFonts w:ascii="宋体" w:hAnsi="宋体"/>
          <w:b/>
          <w:bCs/>
          <w:sz w:val="24"/>
        </w:rPr>
        <w:t>28</w:t>
      </w:r>
      <w:r>
        <w:rPr>
          <w:rFonts w:hint="eastAsia" w:ascii="宋体" w:hAnsi="宋体"/>
          <w:b/>
          <w:bCs/>
          <w:sz w:val="24"/>
        </w:rPr>
        <w:t>．合同协议书的签订</w:t>
      </w:r>
    </w:p>
    <w:p w14:paraId="23441508">
      <w:pPr>
        <w:spacing w:line="360" w:lineRule="auto"/>
        <w:ind w:firstLine="480" w:firstLineChars="200"/>
        <w:rPr>
          <w:rFonts w:ascii="宋体"/>
          <w:sz w:val="24"/>
        </w:rPr>
      </w:pPr>
      <w:r>
        <w:rPr>
          <w:rFonts w:ascii="宋体" w:hAnsi="宋体"/>
          <w:sz w:val="24"/>
        </w:rPr>
        <w:t xml:space="preserve">28.1 </w:t>
      </w:r>
      <w:r>
        <w:rPr>
          <w:rFonts w:hint="eastAsia" w:ascii="宋体" w:hAnsi="宋体"/>
          <w:sz w:val="24"/>
        </w:rPr>
        <w:t>招标人与中标人将于中标通知书发出之日起</w:t>
      </w:r>
      <w:r>
        <w:rPr>
          <w:rFonts w:ascii="宋体" w:hAnsi="宋体"/>
          <w:sz w:val="24"/>
        </w:rPr>
        <w:t>30</w:t>
      </w:r>
      <w:r>
        <w:rPr>
          <w:rFonts w:hint="eastAsia" w:ascii="宋体" w:hAnsi="宋体"/>
          <w:sz w:val="24"/>
        </w:rPr>
        <w:t>日内，按照招标文件和中标人的投标文件商定和签订合同，招标人和中标人不得再行订立背离合同实质性内容的其他协议。</w:t>
      </w:r>
    </w:p>
    <w:p w14:paraId="2137059E">
      <w:pPr>
        <w:spacing w:line="360" w:lineRule="auto"/>
        <w:ind w:firstLine="480" w:firstLineChars="200"/>
        <w:rPr>
          <w:rFonts w:ascii="宋体"/>
          <w:sz w:val="24"/>
        </w:rPr>
      </w:pPr>
      <w:r>
        <w:rPr>
          <w:rFonts w:ascii="宋体" w:hAnsi="宋体"/>
          <w:sz w:val="24"/>
        </w:rPr>
        <w:t>28.2</w:t>
      </w:r>
      <w:r>
        <w:rPr>
          <w:rFonts w:hint="eastAsia" w:ascii="宋体" w:hAnsi="宋体"/>
          <w:sz w:val="24"/>
        </w:rPr>
        <w:t>中标通知书发出之日起</w:t>
      </w:r>
      <w:r>
        <w:rPr>
          <w:rFonts w:ascii="宋体" w:hAnsi="宋体"/>
          <w:sz w:val="24"/>
        </w:rPr>
        <w:t>30</w:t>
      </w:r>
      <w:r>
        <w:rPr>
          <w:rFonts w:hint="eastAsia" w:ascii="宋体" w:hAnsi="宋体"/>
          <w:sz w:val="24"/>
        </w:rPr>
        <w:t>日后，中标人未按上款的规定与招标人订立合同，招标人将解除中标通知书，原中标人的投标保证金不予退还，且依法承担相应法律责任。原中标人给招标人造成的损失超过投标保证金数额的，还应当对超过部分予以赔偿。原中标人有异议的，可以向人民法院起诉。</w:t>
      </w:r>
    </w:p>
    <w:p w14:paraId="352FF68E">
      <w:pPr>
        <w:spacing w:line="360" w:lineRule="auto"/>
        <w:ind w:firstLine="480" w:firstLineChars="200"/>
        <w:rPr>
          <w:rFonts w:ascii="宋体"/>
          <w:sz w:val="24"/>
        </w:rPr>
      </w:pPr>
      <w:r>
        <w:rPr>
          <w:rFonts w:ascii="宋体" w:hAnsi="宋体"/>
          <w:sz w:val="24"/>
        </w:rPr>
        <w:t>28.3</w:t>
      </w:r>
      <w:r>
        <w:rPr>
          <w:rFonts w:hint="eastAsia" w:ascii="宋体" w:hAnsi="宋体"/>
          <w:sz w:val="24"/>
        </w:rPr>
        <w:t>非经招标人同意，中标人在投标过程中使用的银行名称及帐号至完成竣工结算不得变更，否则招标人有权停止工程款项的拔付及至解除合同，由此造成的一切责任由中标人承担。</w:t>
      </w:r>
    </w:p>
    <w:p w14:paraId="770936A7">
      <w:pPr>
        <w:spacing w:line="360" w:lineRule="auto"/>
        <w:ind w:firstLine="480" w:firstLineChars="200"/>
        <w:rPr>
          <w:rFonts w:ascii="宋体" w:hAnsi="宋体"/>
          <w:sz w:val="24"/>
        </w:rPr>
      </w:pPr>
      <w:r>
        <w:rPr>
          <w:rFonts w:ascii="宋体" w:hAnsi="宋体"/>
          <w:sz w:val="24"/>
        </w:rPr>
        <w:t>28.4</w:t>
      </w:r>
      <w:r>
        <w:rPr>
          <w:rFonts w:hint="eastAsia" w:ascii="宋体" w:hAnsi="宋体"/>
          <w:sz w:val="24"/>
        </w:rPr>
        <w:t>招标人支付工程款时，中标人应按规定开具发票。</w:t>
      </w:r>
    </w:p>
    <w:p w14:paraId="1660FE4F">
      <w:pPr>
        <w:spacing w:line="360" w:lineRule="auto"/>
        <w:ind w:firstLine="480" w:firstLineChars="200"/>
        <w:rPr>
          <w:rFonts w:ascii="宋体"/>
          <w:b/>
          <w:bCs/>
          <w:sz w:val="24"/>
        </w:rPr>
      </w:pPr>
      <w:r>
        <w:rPr>
          <w:rFonts w:ascii="宋体" w:hAnsi="宋体"/>
          <w:b/>
          <w:bCs/>
          <w:sz w:val="24"/>
        </w:rPr>
        <w:t>29</w:t>
      </w:r>
      <w:r>
        <w:rPr>
          <w:rFonts w:hint="eastAsia" w:ascii="宋体" w:hAnsi="宋体"/>
          <w:b/>
          <w:bCs/>
          <w:sz w:val="24"/>
        </w:rPr>
        <w:t>．履约担保</w:t>
      </w:r>
    </w:p>
    <w:p w14:paraId="4F0059CD">
      <w:pPr>
        <w:snapToGrid w:val="0"/>
        <w:spacing w:line="360" w:lineRule="auto"/>
        <w:ind w:firstLine="480" w:firstLineChars="200"/>
        <w:rPr>
          <w:rFonts w:ascii="宋体"/>
          <w:sz w:val="24"/>
        </w:rPr>
      </w:pPr>
      <w:r>
        <w:rPr>
          <w:rFonts w:ascii="宋体" w:hAnsi="宋体"/>
          <w:sz w:val="24"/>
        </w:rPr>
        <w:t xml:space="preserve">29.1 </w:t>
      </w:r>
      <w:r>
        <w:rPr>
          <w:rFonts w:hint="eastAsia" w:ascii="宋体" w:hAnsi="宋体"/>
          <w:sz w:val="24"/>
        </w:rPr>
        <w:t>在收到中标通知书后的15日内，中标人应按本须知前附表第20项的规定向招标人提交履约担保。</w:t>
      </w:r>
    </w:p>
    <w:p w14:paraId="4E757E39">
      <w:pPr>
        <w:snapToGrid w:val="0"/>
        <w:spacing w:line="360" w:lineRule="auto"/>
        <w:ind w:firstLine="480" w:firstLineChars="200"/>
        <w:rPr>
          <w:rFonts w:ascii="宋体"/>
          <w:sz w:val="24"/>
        </w:rPr>
      </w:pPr>
      <w:r>
        <w:rPr>
          <w:rFonts w:ascii="宋体" w:hAnsi="宋体"/>
          <w:sz w:val="24"/>
        </w:rPr>
        <w:t>29.2</w:t>
      </w:r>
      <w:r>
        <w:rPr>
          <w:rFonts w:hint="eastAsia" w:ascii="宋体" w:hAnsi="宋体"/>
          <w:sz w:val="24"/>
        </w:rPr>
        <w:t>中标通知书发出之日起</w:t>
      </w:r>
      <w:r>
        <w:rPr>
          <w:rFonts w:ascii="宋体" w:hAnsi="宋体"/>
          <w:sz w:val="24"/>
        </w:rPr>
        <w:t>15</w:t>
      </w:r>
      <w:r>
        <w:rPr>
          <w:rFonts w:hint="eastAsia" w:ascii="宋体" w:hAnsi="宋体"/>
          <w:sz w:val="24"/>
        </w:rPr>
        <w:t>日后，中标人未按上款的规定提交履约担保，招标人将解除中标通知书，原中标人的投标保证金不予退还，且依法承担相应法律责任。原中标人给招标人造成的损失超过投标保证金数额的，还应当对超过部分予以赔偿。原中标人有异议的，可以向人民法院起诉。</w:t>
      </w:r>
    </w:p>
    <w:p w14:paraId="3C9CF18F">
      <w:pPr>
        <w:spacing w:line="360" w:lineRule="auto"/>
        <w:ind w:firstLine="480" w:firstLineChars="200"/>
        <w:rPr>
          <w:rFonts w:ascii="宋体"/>
          <w:b/>
          <w:bCs/>
          <w:sz w:val="24"/>
        </w:rPr>
      </w:pPr>
      <w:r>
        <w:rPr>
          <w:rFonts w:ascii="宋体" w:hAnsi="宋体"/>
          <w:b/>
          <w:bCs/>
          <w:sz w:val="24"/>
        </w:rPr>
        <w:t>30</w:t>
      </w:r>
      <w:r>
        <w:rPr>
          <w:rFonts w:hint="eastAsia" w:ascii="宋体" w:hAnsi="宋体"/>
          <w:b/>
          <w:bCs/>
          <w:sz w:val="24"/>
        </w:rPr>
        <w:t>．合同生效</w:t>
      </w:r>
    </w:p>
    <w:p w14:paraId="5E58A66A">
      <w:pPr>
        <w:spacing w:line="360" w:lineRule="auto"/>
        <w:ind w:firstLine="480" w:firstLineChars="200"/>
        <w:rPr>
          <w:rFonts w:ascii="宋体"/>
          <w:sz w:val="24"/>
        </w:rPr>
      </w:pPr>
      <w:r>
        <w:rPr>
          <w:rFonts w:ascii="宋体" w:hAnsi="宋体"/>
          <w:sz w:val="24"/>
        </w:rPr>
        <w:t>30.1</w:t>
      </w:r>
      <w:r>
        <w:rPr>
          <w:rFonts w:hint="eastAsia" w:ascii="宋体" w:hAnsi="宋体"/>
          <w:sz w:val="24"/>
        </w:rPr>
        <w:t>在合同双方全权代表在合同协议书上签字，并分别加盖双方单位的公章后，合同正式生效。</w:t>
      </w:r>
    </w:p>
    <w:p w14:paraId="40748B85">
      <w:pPr>
        <w:spacing w:line="360" w:lineRule="auto"/>
        <w:ind w:firstLine="480" w:firstLineChars="200"/>
        <w:rPr>
          <w:rFonts w:ascii="宋体"/>
          <w:b/>
          <w:bCs/>
          <w:sz w:val="24"/>
        </w:rPr>
      </w:pPr>
      <w:r>
        <w:rPr>
          <w:rFonts w:ascii="宋体" w:hAnsi="宋体"/>
          <w:b/>
          <w:bCs/>
          <w:sz w:val="24"/>
        </w:rPr>
        <w:t>31</w:t>
      </w:r>
      <w:r>
        <w:rPr>
          <w:rFonts w:hint="eastAsia" w:ascii="宋体" w:hAnsi="宋体"/>
          <w:b/>
          <w:bCs/>
          <w:sz w:val="24"/>
        </w:rPr>
        <w:t>．其它费用</w:t>
      </w:r>
    </w:p>
    <w:p w14:paraId="3DB49407">
      <w:pPr>
        <w:pStyle w:val="5"/>
        <w:spacing w:after="0" w:line="360" w:lineRule="auto"/>
        <w:ind w:firstLine="480" w:firstLineChars="200"/>
        <w:rPr>
          <w:rFonts w:ascii="宋体" w:hAnsi="宋体" w:eastAsia="宋体"/>
          <w:b/>
          <w:bCs/>
          <w:sz w:val="24"/>
        </w:rPr>
      </w:pPr>
      <w:r>
        <w:rPr>
          <w:rFonts w:ascii="宋体" w:hAnsi="宋体" w:eastAsia="宋体"/>
          <w:b/>
          <w:bCs/>
          <w:sz w:val="24"/>
        </w:rPr>
        <w:t>32</w:t>
      </w:r>
      <w:r>
        <w:rPr>
          <w:rFonts w:hint="eastAsia" w:ascii="宋体" w:hAnsi="宋体" w:eastAsia="宋体"/>
          <w:b/>
          <w:bCs/>
          <w:sz w:val="24"/>
        </w:rPr>
        <w:t>．腐败与欺诈行为</w:t>
      </w:r>
    </w:p>
    <w:p w14:paraId="0D7D8CF7">
      <w:pPr>
        <w:pStyle w:val="5"/>
        <w:spacing w:after="0" w:line="360" w:lineRule="auto"/>
        <w:ind w:firstLine="480" w:firstLineChars="200"/>
        <w:rPr>
          <w:rFonts w:ascii="宋体" w:hAnsi="宋体" w:eastAsia="宋体"/>
          <w:sz w:val="24"/>
        </w:rPr>
      </w:pPr>
      <w:r>
        <w:rPr>
          <w:rFonts w:hint="eastAsia" w:ascii="宋体" w:hAnsi="宋体" w:eastAsia="宋体"/>
          <w:sz w:val="24"/>
        </w:rPr>
        <w:t>在招标和合同实施期间，招标人要求投标人和承包人遵守最高的道德标准。</w:t>
      </w:r>
    </w:p>
    <w:p w14:paraId="14DD8EE6">
      <w:pPr>
        <w:pStyle w:val="5"/>
        <w:spacing w:after="0" w:line="360" w:lineRule="auto"/>
        <w:ind w:firstLine="480" w:firstLineChars="200"/>
        <w:rPr>
          <w:rFonts w:ascii="宋体" w:hAnsi="宋体" w:eastAsia="宋体"/>
          <w:sz w:val="24"/>
        </w:rPr>
      </w:pPr>
      <w:r>
        <w:rPr>
          <w:rFonts w:ascii="宋体" w:hAnsi="宋体" w:eastAsia="宋体"/>
          <w:sz w:val="24"/>
        </w:rPr>
        <w:t>32</w:t>
      </w:r>
      <w:r>
        <w:rPr>
          <w:rFonts w:hint="eastAsia" w:ascii="宋体" w:hAnsi="宋体" w:eastAsia="宋体"/>
          <w:sz w:val="24"/>
        </w:rPr>
        <w:t>．</w:t>
      </w:r>
      <w:r>
        <w:rPr>
          <w:rFonts w:ascii="宋体" w:hAnsi="宋体" w:eastAsia="宋体"/>
          <w:sz w:val="24"/>
        </w:rPr>
        <w:t>1</w:t>
      </w:r>
      <w:r>
        <w:rPr>
          <w:rFonts w:hint="eastAsia" w:ascii="宋体" w:hAnsi="宋体" w:eastAsia="宋体"/>
          <w:sz w:val="24"/>
        </w:rPr>
        <w:t>对本条款的规定，特定义如下词汇：</w:t>
      </w:r>
    </w:p>
    <w:p w14:paraId="007D6B7C">
      <w:pPr>
        <w:pStyle w:val="5"/>
        <w:spacing w:after="0" w:line="360" w:lineRule="auto"/>
        <w:ind w:firstLine="480" w:firstLineChars="200"/>
        <w:rPr>
          <w:rFonts w:ascii="宋体" w:hAnsi="宋体" w:eastAsia="宋体"/>
          <w:sz w:val="24"/>
        </w:rPr>
      </w:pPr>
      <w:r>
        <w:rPr>
          <w:rFonts w:ascii="宋体" w:hAnsi="宋体" w:eastAsia="宋体"/>
          <w:sz w:val="24"/>
        </w:rPr>
        <w:t>1</w:t>
      </w:r>
      <w:r>
        <w:rPr>
          <w:rFonts w:hint="eastAsia" w:ascii="宋体" w:hAnsi="宋体" w:eastAsia="宋体"/>
          <w:sz w:val="24"/>
        </w:rPr>
        <w:t>）、“腐败行为”是指在招标或合同执行期间，通过提供、给予、接受或索要任何有价值的东西，从而影响招标人有关人员工作的行为；</w:t>
      </w:r>
    </w:p>
    <w:p w14:paraId="15D34FF2">
      <w:pPr>
        <w:pStyle w:val="5"/>
        <w:spacing w:after="0" w:line="360" w:lineRule="auto"/>
        <w:ind w:firstLine="480" w:firstLineChars="200"/>
        <w:rPr>
          <w:rFonts w:ascii="宋体" w:hAnsi="宋体" w:eastAsia="宋体"/>
          <w:sz w:val="24"/>
        </w:rPr>
      </w:pPr>
      <w:r>
        <w:rPr>
          <w:rFonts w:ascii="宋体" w:hAnsi="宋体" w:eastAsia="宋体"/>
          <w:sz w:val="24"/>
        </w:rPr>
        <w:t>2</w:t>
      </w:r>
      <w:r>
        <w:rPr>
          <w:rFonts w:hint="eastAsia" w:ascii="宋体" w:hAnsi="宋体" w:eastAsia="宋体"/>
          <w:sz w:val="24"/>
        </w:rPr>
        <w:t>）、“欺诈行为”是指通过提供伪证影响招标或合同执行，从而损害招标人利益的行为；也包括投标人之间串通（在提交投标文件之前或之后），人为地使招标过程失去竞争性，从而使招标人无法从公开的自由竞争中获得利益的行为。</w:t>
      </w:r>
    </w:p>
    <w:p w14:paraId="6B6B3B39">
      <w:pPr>
        <w:pStyle w:val="5"/>
        <w:spacing w:after="0" w:line="360" w:lineRule="auto"/>
        <w:ind w:firstLine="480" w:firstLineChars="200"/>
        <w:rPr>
          <w:rFonts w:ascii="宋体" w:hAnsi="宋体" w:eastAsia="宋体"/>
          <w:sz w:val="24"/>
        </w:rPr>
      </w:pPr>
      <w:r>
        <w:rPr>
          <w:rFonts w:ascii="宋体" w:hAnsi="宋体" w:eastAsia="宋体"/>
          <w:sz w:val="24"/>
        </w:rPr>
        <w:t>32</w:t>
      </w:r>
      <w:r>
        <w:rPr>
          <w:rFonts w:hint="eastAsia" w:ascii="宋体" w:hAnsi="宋体" w:eastAsia="宋体"/>
          <w:sz w:val="24"/>
        </w:rPr>
        <w:t>．</w:t>
      </w:r>
      <w:r>
        <w:rPr>
          <w:rFonts w:ascii="宋体" w:hAnsi="宋体" w:eastAsia="宋体"/>
          <w:sz w:val="24"/>
        </w:rPr>
        <w:t>2</w:t>
      </w:r>
      <w:r>
        <w:rPr>
          <w:rFonts w:hint="eastAsia" w:ascii="宋体" w:hAnsi="宋体" w:eastAsia="宋体"/>
          <w:sz w:val="24"/>
        </w:rPr>
        <w:t>如果投标人被认定在本招标的竞争中有腐败或欺诈行为，则会被取消投标资格。</w:t>
      </w:r>
    </w:p>
    <w:p w14:paraId="15808006">
      <w:pPr>
        <w:pStyle w:val="5"/>
        <w:spacing w:after="0" w:line="360" w:lineRule="auto"/>
        <w:ind w:firstLine="480" w:firstLineChars="200"/>
        <w:rPr>
          <w:rFonts w:ascii="宋体" w:hAnsi="宋体" w:eastAsia="宋体"/>
          <w:sz w:val="24"/>
        </w:rPr>
      </w:pPr>
      <w:r>
        <w:rPr>
          <w:rFonts w:hint="eastAsia" w:ascii="宋体" w:hAnsi="宋体" w:eastAsia="宋体"/>
          <w:sz w:val="24"/>
        </w:rPr>
        <w:t>32.3投标人如在本项目中存在串通投标、弄虚作假骗取中标、行贿情形的，中标无效，行政监督部门将对其违法行为进行政处罚。该投标人将被招标人列入黑名单并限制其参与招标人后续项目的投标。</w:t>
      </w:r>
    </w:p>
    <w:p w14:paraId="2AC0A90E">
      <w:pPr>
        <w:pStyle w:val="3"/>
      </w:pPr>
      <w:r>
        <w:rPr>
          <w:rFonts w:ascii="宋体" w:hAnsi="宋体"/>
          <w:sz w:val="24"/>
        </w:rPr>
        <w:br w:type="page"/>
      </w:r>
      <w:bookmarkStart w:id="16" w:name="_Toc2272554"/>
      <w:r>
        <w:rPr>
          <w:rFonts w:hint="eastAsia"/>
        </w:rPr>
        <w:t>第二章</w:t>
      </w:r>
      <w:r>
        <w:t xml:space="preserve">  </w:t>
      </w:r>
      <w:r>
        <w:rPr>
          <w:rFonts w:hint="eastAsia"/>
        </w:rPr>
        <w:t>开标、评标及定标办法</w:t>
      </w:r>
      <w:bookmarkEnd w:id="16"/>
    </w:p>
    <w:p w14:paraId="009FF817">
      <w:pPr>
        <w:pStyle w:val="7"/>
        <w:rPr>
          <w:color w:val="auto"/>
        </w:rPr>
      </w:pPr>
      <w:bookmarkStart w:id="17" w:name="_Toc2272555"/>
      <w:r>
        <w:rPr>
          <w:rFonts w:hint="eastAsia"/>
          <w:color w:val="auto"/>
          <w:sz w:val="28"/>
          <w:szCs w:val="28"/>
        </w:rPr>
        <w:t>一、</w:t>
      </w:r>
      <w:r>
        <w:rPr>
          <w:rFonts w:hint="eastAsia"/>
          <w:color w:val="auto"/>
        </w:rPr>
        <w:t>开标、评标及定标办法修改表</w:t>
      </w:r>
      <w:bookmarkEnd w:id="17"/>
    </w:p>
    <w:p w14:paraId="09278AED">
      <w:pPr>
        <w:pStyle w:val="5"/>
        <w:spacing w:after="0" w:line="360" w:lineRule="auto"/>
        <w:rPr>
          <w:rFonts w:ascii="宋体" w:hAnsi="宋体" w:eastAsia="宋体"/>
          <w:b/>
          <w:szCs w:val="21"/>
        </w:rPr>
      </w:pPr>
      <w:r>
        <w:rPr>
          <w:rFonts w:hint="eastAsia" w:ascii="宋体" w:hAnsi="宋体" w:eastAsia="宋体"/>
          <w:b/>
          <w:szCs w:val="21"/>
        </w:rPr>
        <w:t>声明：本</w:t>
      </w:r>
      <w:r>
        <w:rPr>
          <w:rFonts w:hint="eastAsia" w:ascii="宋体" w:hAnsi="宋体" w:eastAsia="宋体"/>
          <w:b/>
        </w:rPr>
        <w:t>开标、评标及定标办法使用GZZB2018-3招标文件范本的开标、评标及定标办法通用条款，与该通用条款不同之处，均在本表中列明，并以现文为准，原</w:t>
      </w:r>
      <w:r>
        <w:rPr>
          <w:rFonts w:hint="eastAsia" w:ascii="宋体" w:hAnsi="宋体" w:eastAsia="宋体"/>
          <w:b/>
          <w:szCs w:val="21"/>
        </w:rPr>
        <w:t>文不再有效。本招标文件中不再转录</w:t>
      </w:r>
      <w:r>
        <w:rPr>
          <w:rFonts w:hint="eastAsia" w:ascii="宋体" w:hAnsi="宋体" w:eastAsia="宋体"/>
          <w:b/>
        </w:rPr>
        <w:t>开标、评标及定标办法</w:t>
      </w:r>
      <w:r>
        <w:rPr>
          <w:rFonts w:hint="eastAsia" w:ascii="宋体" w:hAnsi="宋体" w:eastAsia="宋体"/>
          <w:b/>
          <w:szCs w:val="21"/>
        </w:rPr>
        <w:t>通用条款，请投标人自行到广州市住房和城乡建设局网站（网址：</w:t>
      </w:r>
      <w:r>
        <w:fldChar w:fldCharType="begin"/>
      </w:r>
      <w:r>
        <w:instrText xml:space="preserve"> HYPERLINK "http://www.gzcc.gov.cn/）下载GZZB2018-3" </w:instrText>
      </w:r>
      <w:r>
        <w:fldChar w:fldCharType="separate"/>
      </w:r>
      <w:r>
        <w:t xml:space="preserve"> </w:t>
      </w:r>
      <w:r>
        <w:rPr>
          <w:rStyle w:val="41"/>
          <w:rFonts w:ascii="宋体" w:hAnsi="宋体" w:eastAsia="宋体"/>
          <w:b/>
          <w:color w:val="auto"/>
          <w:szCs w:val="21"/>
        </w:rPr>
        <w:t>http://zfcj.gz.gov.cn/</w:t>
      </w:r>
      <w:r>
        <w:rPr>
          <w:rStyle w:val="41"/>
          <w:rFonts w:hint="eastAsia" w:ascii="宋体" w:hAnsi="宋体" w:eastAsia="宋体"/>
          <w:b/>
          <w:color w:val="auto"/>
          <w:szCs w:val="21"/>
        </w:rPr>
        <w:t>）下载GZZB2018-3</w:t>
      </w:r>
      <w:r>
        <w:rPr>
          <w:rStyle w:val="41"/>
          <w:rFonts w:hint="eastAsia" w:ascii="宋体" w:hAnsi="宋体" w:eastAsia="宋体"/>
          <w:b/>
          <w:color w:val="auto"/>
          <w:szCs w:val="21"/>
        </w:rPr>
        <w:fldChar w:fldCharType="end"/>
      </w:r>
      <w:r>
        <w:rPr>
          <w:rFonts w:hint="eastAsia" w:ascii="宋体" w:hAnsi="宋体" w:eastAsia="宋体"/>
          <w:b/>
          <w:szCs w:val="21"/>
        </w:rPr>
        <w:t>范本查阅。</w:t>
      </w:r>
    </w:p>
    <w:p w14:paraId="0CE14AD6">
      <w:pPr>
        <w:spacing w:line="360" w:lineRule="auto"/>
        <w:ind w:firstLine="470" w:firstLineChars="224"/>
        <w:rPr>
          <w:rFonts w:ascii="宋体" w:hAnsi="宋体" w:cs="楷体"/>
          <w:b/>
          <w:szCs w:val="21"/>
        </w:rPr>
      </w:pPr>
      <w:r>
        <w:rPr>
          <w:rFonts w:hint="eastAsia" w:ascii="宋体" w:hAnsi="宋体" w:cs="楷体"/>
          <w:b/>
          <w:szCs w:val="21"/>
        </w:rPr>
        <w:t>条款号：36.1             修改类型：修改</w:t>
      </w:r>
    </w:p>
    <w:p w14:paraId="04E54457">
      <w:pPr>
        <w:spacing w:line="360" w:lineRule="auto"/>
        <w:ind w:firstLine="420" w:firstLineChars="200"/>
        <w:rPr>
          <w:rFonts w:ascii="宋体" w:hAnsi="宋体" w:cs="楷体"/>
          <w:b/>
          <w:szCs w:val="21"/>
        </w:rPr>
      </w:pPr>
      <w:r>
        <w:rPr>
          <w:rFonts w:hint="eastAsia" w:ascii="宋体" w:hAnsi="宋体" w:cs="楷体"/>
          <w:b/>
          <w:szCs w:val="21"/>
        </w:rPr>
        <w:t>原文：</w:t>
      </w:r>
      <w:r>
        <w:rPr>
          <w:rFonts w:hint="eastAsia" w:ascii="宋体" w:hAnsi="宋体" w:cs="楷体"/>
          <w:szCs w:val="21"/>
        </w:rPr>
        <w:t>36.1 招标人按投标须知前附表第18项所规定的时间和地点公开开标，并邀请所有投标人参加。截标后，开标开始时间因故推迟的，相关评标信息仍以原定的开标开始时间的信息为准。</w:t>
      </w:r>
    </w:p>
    <w:p w14:paraId="60ECAA45">
      <w:pPr>
        <w:pBdr>
          <w:bottom w:val="single" w:color="auto" w:sz="6" w:space="1"/>
        </w:pBdr>
        <w:spacing w:line="360" w:lineRule="auto"/>
        <w:ind w:firstLine="525" w:firstLineChars="250"/>
        <w:rPr>
          <w:rFonts w:ascii="宋体" w:hAnsi="宋体" w:cs="楷体"/>
          <w:szCs w:val="21"/>
        </w:rPr>
      </w:pPr>
      <w:r>
        <w:rPr>
          <w:rFonts w:hint="eastAsia" w:ascii="宋体" w:hAnsi="宋体" w:cs="楷体"/>
          <w:b/>
          <w:szCs w:val="21"/>
        </w:rPr>
        <w:t>现文：</w:t>
      </w:r>
      <w:r>
        <w:rPr>
          <w:rFonts w:hint="eastAsia" w:ascii="宋体" w:hAnsi="宋体" w:cs="楷体"/>
          <w:bCs/>
          <w:szCs w:val="21"/>
        </w:rPr>
        <w:t>36.1 招标人按投标须知前附表第18项所规定的时间和地点公开开标，并邀请所有投标人参加。截标后，开标开始时间因故推迟的，相关评标信息仍以原定的开标开始时间的信息为准。</w:t>
      </w:r>
      <w:r>
        <w:rPr>
          <w:rFonts w:hint="eastAsia" w:ascii="宋体" w:hAnsi="宋体" w:cs="楷体"/>
          <w:b/>
          <w:szCs w:val="21"/>
          <w:u w:val="single"/>
        </w:rPr>
        <w:t>若投标人不参加开标会的，其投标文件在开标现场的投标人或招标人代表、招标代理机构代表及交易中心代表见证下公开开启、解密、公布，并视同该投标人认可开标结果。</w:t>
      </w:r>
    </w:p>
    <w:p w14:paraId="0BD3602D">
      <w:pPr>
        <w:spacing w:line="360" w:lineRule="auto"/>
        <w:ind w:firstLine="470" w:firstLineChars="224"/>
        <w:rPr>
          <w:rFonts w:ascii="宋体" w:hAnsi="宋体" w:cs="宋体"/>
          <w:b/>
          <w:szCs w:val="21"/>
        </w:rPr>
      </w:pPr>
      <w:r>
        <w:rPr>
          <w:rFonts w:hint="eastAsia" w:ascii="宋体" w:hAnsi="宋体" w:cs="宋体"/>
          <w:b/>
          <w:szCs w:val="21"/>
        </w:rPr>
        <w:t>条款号： 36.3            修改类型：删除</w:t>
      </w:r>
    </w:p>
    <w:p w14:paraId="7E74F4B4">
      <w:pPr>
        <w:pBdr>
          <w:bottom w:val="single" w:color="auto" w:sz="4" w:space="0"/>
        </w:pBdr>
        <w:spacing w:line="360" w:lineRule="auto"/>
        <w:ind w:firstLine="470" w:firstLineChars="224"/>
        <w:rPr>
          <w:rFonts w:ascii="宋体" w:hAnsi="宋体" w:cs="宋体"/>
          <w:bCs/>
          <w:szCs w:val="21"/>
        </w:rPr>
      </w:pPr>
      <w:r>
        <w:rPr>
          <w:rFonts w:hint="eastAsia" w:ascii="宋体" w:hAnsi="宋体" w:cs="宋体"/>
          <w:b/>
          <w:szCs w:val="21"/>
        </w:rPr>
        <w:t>原文：</w:t>
      </w:r>
      <w:r>
        <w:rPr>
          <w:rFonts w:hint="eastAsia" w:ascii="宋体" w:hAnsi="宋体" w:cs="宋体"/>
          <w:bCs/>
          <w:szCs w:val="21"/>
        </w:rPr>
        <w:t>36.3根据投标须知前附表第19项，如需抽取某一种评标办法供评标时使用的，应在开标前抽取。首先对招标文件中约定的若干种评标方法进行编号，再随机抽取某一编号，该编号所对应的评标办法供评标时使用。</w:t>
      </w:r>
    </w:p>
    <w:p w14:paraId="41FD1D74">
      <w:pPr>
        <w:spacing w:line="360" w:lineRule="auto"/>
        <w:ind w:firstLine="420" w:firstLineChars="200"/>
        <w:rPr>
          <w:b/>
          <w:szCs w:val="21"/>
        </w:rPr>
      </w:pPr>
      <w:r>
        <w:rPr>
          <w:rFonts w:hint="eastAsia"/>
          <w:b/>
          <w:szCs w:val="21"/>
        </w:rPr>
        <w:t xml:space="preserve">条款号：36.5.1          </w:t>
      </w:r>
      <w:r>
        <w:rPr>
          <w:b/>
          <w:szCs w:val="21"/>
        </w:rPr>
        <w:t xml:space="preserve">  </w:t>
      </w:r>
      <w:r>
        <w:rPr>
          <w:rFonts w:hint="eastAsia"/>
          <w:b/>
          <w:szCs w:val="21"/>
        </w:rPr>
        <w:t>修改类型：修改</w:t>
      </w:r>
    </w:p>
    <w:p w14:paraId="6CA8AEC9">
      <w:pPr>
        <w:spacing w:line="360" w:lineRule="auto"/>
        <w:ind w:firstLine="420" w:firstLineChars="200"/>
        <w:rPr>
          <w:szCs w:val="21"/>
        </w:rPr>
      </w:pPr>
      <w:r>
        <w:rPr>
          <w:rFonts w:hint="eastAsia"/>
          <w:b/>
          <w:szCs w:val="21"/>
        </w:rPr>
        <w:t>原文：</w:t>
      </w:r>
      <w:r>
        <w:rPr>
          <w:rFonts w:hint="eastAsia"/>
          <w:szCs w:val="21"/>
        </w:rPr>
        <w:t>36.5.1在投标截止时间后一个小时内，投标人通过交易平台对已递交的电子投标文件进行解密。投标人完成解密后，再由招标人进行解密。解密完成后，公布招标项目名称、投标人名称、投标保证金的递交情况、投标报价、工期及其他内容；</w:t>
      </w:r>
    </w:p>
    <w:p w14:paraId="5416E5BD">
      <w:pPr>
        <w:pBdr>
          <w:bottom w:val="single" w:color="auto" w:sz="6" w:space="1"/>
        </w:pBdr>
        <w:spacing w:line="360" w:lineRule="auto"/>
        <w:ind w:firstLine="470" w:firstLineChars="224"/>
        <w:rPr>
          <w:b/>
          <w:szCs w:val="21"/>
        </w:rPr>
      </w:pPr>
      <w:r>
        <w:rPr>
          <w:rFonts w:hint="eastAsia"/>
          <w:b/>
          <w:szCs w:val="21"/>
        </w:rPr>
        <w:t>现文：</w:t>
      </w:r>
      <w:r>
        <w:rPr>
          <w:rFonts w:hint="eastAsia"/>
          <w:szCs w:val="21"/>
        </w:rPr>
        <w:t>36.5.1在投标截止时间后一个小时内，投标人通过</w:t>
      </w:r>
      <w:r>
        <w:rPr>
          <w:rFonts w:hint="eastAsia"/>
          <w:szCs w:val="21"/>
          <w:u w:val="single"/>
        </w:rPr>
        <w:t>广州公共资源交易中心</w:t>
      </w:r>
      <w:r>
        <w:rPr>
          <w:rFonts w:hint="eastAsia"/>
          <w:szCs w:val="21"/>
        </w:rPr>
        <w:t>交易平台对已递交的电子投标文件进行解密。投标人完成解密后，再由</w:t>
      </w:r>
      <w:r>
        <w:rPr>
          <w:rFonts w:hint="eastAsia"/>
          <w:szCs w:val="21"/>
          <w:u w:val="single"/>
        </w:rPr>
        <w:t>招标人或招标代理机构</w:t>
      </w:r>
      <w:r>
        <w:rPr>
          <w:rFonts w:hint="eastAsia"/>
          <w:szCs w:val="21"/>
        </w:rPr>
        <w:t>进行解密。解密完成后，公布招标项目名称、投标人名称、投标保证金的递交情况、投标报价、工期及其他内容；</w:t>
      </w:r>
    </w:p>
    <w:p w14:paraId="0F481FEC">
      <w:pPr>
        <w:spacing w:line="360" w:lineRule="auto"/>
        <w:ind w:firstLine="420" w:firstLineChars="200"/>
        <w:rPr>
          <w:b/>
          <w:szCs w:val="21"/>
        </w:rPr>
      </w:pPr>
      <w:r>
        <w:rPr>
          <w:rFonts w:hint="eastAsia"/>
          <w:b/>
          <w:szCs w:val="21"/>
        </w:rPr>
        <w:t xml:space="preserve">条款号：36.5.3          </w:t>
      </w:r>
      <w:r>
        <w:rPr>
          <w:b/>
          <w:szCs w:val="21"/>
        </w:rPr>
        <w:t xml:space="preserve">  </w:t>
      </w:r>
      <w:r>
        <w:rPr>
          <w:rFonts w:hint="eastAsia"/>
          <w:b/>
          <w:szCs w:val="21"/>
        </w:rPr>
        <w:t>修改类型：修改</w:t>
      </w:r>
    </w:p>
    <w:p w14:paraId="0ED4DA38">
      <w:pPr>
        <w:spacing w:line="360" w:lineRule="auto"/>
        <w:ind w:firstLine="420" w:firstLineChars="200"/>
        <w:rPr>
          <w:rFonts w:ascii="宋体" w:hAnsi="宋体" w:cs="宋体"/>
          <w:szCs w:val="21"/>
        </w:rPr>
      </w:pPr>
      <w:r>
        <w:rPr>
          <w:rFonts w:hint="eastAsia" w:ascii="宋体" w:hAnsi="宋体" w:cs="宋体"/>
          <w:b/>
          <w:szCs w:val="21"/>
        </w:rPr>
        <w:t>原文：</w:t>
      </w:r>
      <w:r>
        <w:rPr>
          <w:rFonts w:hint="eastAsia" w:ascii="宋体" w:hAnsi="宋体" w:cs="宋体"/>
          <w:szCs w:val="21"/>
        </w:rPr>
        <w:t>投标人代表、招标人代表、监标人、记录人等有关人员在开标记录上签字确认；若有关人员不签字的，不影响开标程序；</w:t>
      </w:r>
    </w:p>
    <w:p w14:paraId="19370916">
      <w:pPr>
        <w:pBdr>
          <w:bottom w:val="single" w:color="auto" w:sz="6" w:space="1"/>
        </w:pBdr>
        <w:spacing w:line="360" w:lineRule="auto"/>
        <w:ind w:firstLine="420" w:firstLineChars="200"/>
        <w:rPr>
          <w:rFonts w:ascii="宋体" w:hAnsi="宋体" w:cs="宋体"/>
          <w:b/>
          <w:szCs w:val="21"/>
        </w:rPr>
      </w:pPr>
      <w:r>
        <w:rPr>
          <w:rFonts w:hint="eastAsia" w:ascii="宋体" w:hAnsi="宋体" w:cs="宋体"/>
          <w:b/>
          <w:szCs w:val="21"/>
        </w:rPr>
        <w:t>现文：</w:t>
      </w:r>
      <w:r>
        <w:rPr>
          <w:rFonts w:hint="eastAsia" w:ascii="宋体" w:hAnsi="宋体" w:cs="宋体"/>
          <w:szCs w:val="21"/>
        </w:rPr>
        <w:t>投标人代表、招标人代表、监标人、记录人等有关人员在开标记录上签字确认；若有关人员不签字的，不影响开标程序；</w:t>
      </w:r>
      <w:r>
        <w:rPr>
          <w:rFonts w:hint="eastAsia" w:ascii="宋体" w:hAnsi="宋体" w:cs="宋体"/>
          <w:szCs w:val="21"/>
          <w:u w:val="single"/>
        </w:rPr>
        <w:t>若投标人不参加开标会的，或不签字确认的，视同该投标人认可开标结果。</w:t>
      </w:r>
    </w:p>
    <w:p w14:paraId="0F820420">
      <w:pPr>
        <w:spacing w:line="360" w:lineRule="auto"/>
        <w:ind w:firstLine="420" w:firstLineChars="200"/>
        <w:rPr>
          <w:rFonts w:ascii="宋体" w:hAnsi="宋体" w:cs="宋体"/>
          <w:b/>
          <w:szCs w:val="21"/>
        </w:rPr>
      </w:pPr>
      <w:r>
        <w:rPr>
          <w:rFonts w:hint="eastAsia" w:ascii="宋体" w:hAnsi="宋体" w:cs="宋体"/>
          <w:b/>
          <w:szCs w:val="21"/>
        </w:rPr>
        <w:t xml:space="preserve">条款号：39.3             </w:t>
      </w:r>
      <w:r>
        <w:rPr>
          <w:rFonts w:ascii="宋体" w:hAnsi="宋体" w:cs="宋体"/>
          <w:b/>
          <w:szCs w:val="21"/>
        </w:rPr>
        <w:t xml:space="preserve"> </w:t>
      </w:r>
      <w:r>
        <w:rPr>
          <w:rFonts w:hint="eastAsia" w:ascii="宋体" w:hAnsi="宋体" w:cs="宋体"/>
          <w:b/>
          <w:szCs w:val="21"/>
        </w:rPr>
        <w:t>修改类型：修改</w:t>
      </w:r>
    </w:p>
    <w:p w14:paraId="2D07AEDB">
      <w:pPr>
        <w:pStyle w:val="5"/>
        <w:pBdr>
          <w:bottom w:val="single" w:color="auto" w:sz="4" w:space="1"/>
        </w:pBdr>
        <w:spacing w:after="0" w:line="360" w:lineRule="auto"/>
        <w:ind w:firstLine="420" w:firstLineChars="200"/>
        <w:rPr>
          <w:rFonts w:ascii="宋体" w:hAnsi="宋体" w:eastAsia="宋体" w:cs="宋体"/>
          <w:szCs w:val="21"/>
        </w:rPr>
      </w:pPr>
      <w:r>
        <w:rPr>
          <w:rFonts w:hint="eastAsia" w:ascii="宋体" w:hAnsi="宋体" w:eastAsia="宋体" w:cs="宋体"/>
          <w:b/>
          <w:szCs w:val="21"/>
        </w:rPr>
        <w:t>原文：</w:t>
      </w:r>
      <w:r>
        <w:rPr>
          <w:rFonts w:hint="eastAsia" w:ascii="宋体" w:hAnsi="宋体" w:eastAsia="宋体" w:cs="宋体"/>
          <w:szCs w:val="21"/>
        </w:rPr>
        <w:t>39.3排名第一的中标候选人放弃中标、或因不可抗力提出不能履行合同，或者招标文件规定应当提交履约担保而在规定的期限内未能提交的，招标人可以确定排名第二的中标候选人为中标人。</w:t>
      </w:r>
    </w:p>
    <w:p w14:paraId="171D6CC1">
      <w:pPr>
        <w:pStyle w:val="5"/>
        <w:pBdr>
          <w:bottom w:val="single" w:color="auto" w:sz="4" w:space="1"/>
        </w:pBdr>
        <w:spacing w:after="0" w:line="360" w:lineRule="auto"/>
        <w:ind w:firstLine="420" w:firstLineChars="200"/>
        <w:rPr>
          <w:rFonts w:ascii="宋体" w:hAnsi="宋体" w:eastAsia="宋体" w:cs="宋体"/>
          <w:kern w:val="0"/>
          <w:szCs w:val="21"/>
        </w:rPr>
      </w:pPr>
      <w:r>
        <w:rPr>
          <w:rFonts w:hint="eastAsia" w:ascii="宋体" w:hAnsi="宋体" w:eastAsia="宋体" w:cs="宋体"/>
          <w:b/>
          <w:szCs w:val="21"/>
        </w:rPr>
        <w:t>现文：</w:t>
      </w:r>
      <w:r>
        <w:rPr>
          <w:rFonts w:hint="eastAsia" w:ascii="宋体" w:hAnsi="宋体" w:eastAsia="宋体" w:cs="宋体"/>
          <w:szCs w:val="21"/>
        </w:rPr>
        <w:t>39.3排名第一的中标候选人放弃中标、或因不可抗力提出不能履行合同，或者招标文件规定应当提交履约担保而在规定的期限内未能提交的，招标人可以确定排名第二的中标候选人为中标人。</w:t>
      </w:r>
      <w:r>
        <w:rPr>
          <w:rFonts w:hint="eastAsia" w:ascii="宋体" w:hAnsi="宋体" w:eastAsia="宋体" w:cs="宋体"/>
          <w:szCs w:val="21"/>
          <w:u w:val="single"/>
        </w:rPr>
        <w:t>若发现第一中标候选人或中标人委派的项目负责人已在其他在建项目中任职、不符合任职数量规定时，将取消第一中标候选人资格或中标资格。</w:t>
      </w:r>
    </w:p>
    <w:p w14:paraId="1DECD8FB">
      <w:pPr>
        <w:spacing w:line="360" w:lineRule="auto"/>
        <w:ind w:firstLine="470" w:firstLineChars="224"/>
        <w:rPr>
          <w:rFonts w:ascii="宋体" w:hAnsi="宋体" w:cs="楷体"/>
          <w:b/>
          <w:szCs w:val="21"/>
        </w:rPr>
      </w:pPr>
      <w:r>
        <w:rPr>
          <w:rFonts w:hint="eastAsia" w:ascii="宋体" w:hAnsi="宋体" w:cs="楷体"/>
          <w:b/>
          <w:szCs w:val="21"/>
        </w:rPr>
        <w:t xml:space="preserve">条款号：（二）开标评标办法程序和细则 </w:t>
      </w:r>
      <w:r>
        <w:rPr>
          <w:rFonts w:hint="eastAsia" w:ascii="宋体" w:hAnsi="宋体" w:cs="楷体"/>
          <w:bCs/>
          <w:szCs w:val="21"/>
        </w:rPr>
        <w:t xml:space="preserve"> </w:t>
      </w:r>
      <w:r>
        <w:rPr>
          <w:rFonts w:hint="eastAsia" w:ascii="宋体" w:hAnsi="宋体" w:cs="楷体"/>
          <w:b/>
          <w:szCs w:val="21"/>
        </w:rPr>
        <w:t xml:space="preserve">            修改类型：删除</w:t>
      </w:r>
    </w:p>
    <w:p w14:paraId="5B3B8B94">
      <w:pPr>
        <w:pBdr>
          <w:bottom w:val="single" w:color="auto" w:sz="6" w:space="1"/>
        </w:pBdr>
        <w:spacing w:line="360" w:lineRule="auto"/>
        <w:ind w:firstLine="470" w:firstLineChars="224"/>
        <w:rPr>
          <w:rFonts w:ascii="宋体" w:hAnsi="宋体" w:cs="楷体"/>
          <w:bCs/>
          <w:szCs w:val="21"/>
        </w:rPr>
      </w:pPr>
      <w:r>
        <w:rPr>
          <w:rFonts w:hint="eastAsia" w:ascii="宋体" w:hAnsi="宋体" w:cs="楷体"/>
          <w:b/>
          <w:szCs w:val="21"/>
        </w:rPr>
        <w:t>原文：</w:t>
      </w:r>
      <w:r>
        <w:rPr>
          <w:rFonts w:hint="eastAsia" w:ascii="宋体" w:hAnsi="宋体" w:cs="楷体"/>
          <w:bCs/>
          <w:szCs w:val="21"/>
        </w:rPr>
        <w:t>注：以下七种评标办法所述企业综合诚信评价分数即投标截止当日广州市工程招标代理行业协会网站上公布的企业综合诚信评价60日诚信分。</w:t>
      </w:r>
    </w:p>
    <w:p w14:paraId="63B9023A">
      <w:pPr>
        <w:spacing w:line="360" w:lineRule="auto"/>
        <w:ind w:firstLine="420" w:firstLineChars="200"/>
        <w:rPr>
          <w:rFonts w:ascii="宋体" w:hAnsi="宋体" w:cs="宋体"/>
          <w:b/>
          <w:szCs w:val="21"/>
        </w:rPr>
      </w:pPr>
      <w:r>
        <w:rPr>
          <w:rFonts w:hint="eastAsia" w:ascii="宋体" w:hAnsi="宋体" w:cs="宋体"/>
          <w:b/>
          <w:szCs w:val="21"/>
        </w:rPr>
        <w:t>条款号： 41.1              修改类型：修改</w:t>
      </w:r>
    </w:p>
    <w:p w14:paraId="446F5D11">
      <w:pPr>
        <w:pBdr>
          <w:bottom w:val="single" w:color="auto" w:sz="6" w:space="1"/>
        </w:pBdr>
        <w:spacing w:line="360" w:lineRule="auto"/>
        <w:ind w:firstLine="525" w:firstLineChars="250"/>
        <w:rPr>
          <w:rFonts w:ascii="宋体" w:hAnsi="宋体" w:cs="宋体"/>
          <w:b/>
          <w:szCs w:val="21"/>
        </w:rPr>
      </w:pPr>
      <w:r>
        <w:rPr>
          <w:rFonts w:hint="eastAsia" w:ascii="宋体" w:hAnsi="宋体" w:cs="宋体"/>
          <w:b/>
          <w:szCs w:val="21"/>
        </w:rPr>
        <w:t>原文：</w:t>
      </w:r>
      <w:r>
        <w:rPr>
          <w:rFonts w:hint="eastAsia" w:ascii="宋体" w:hAnsi="宋体" w:cs="宋体"/>
          <w:szCs w:val="21"/>
        </w:rPr>
        <w:t>41.1 开标由招标人主持；</w:t>
      </w:r>
    </w:p>
    <w:p w14:paraId="7B7381A8">
      <w:pPr>
        <w:pBdr>
          <w:bottom w:val="single" w:color="auto" w:sz="6" w:space="1"/>
        </w:pBdr>
        <w:spacing w:line="360" w:lineRule="auto"/>
        <w:ind w:firstLine="525" w:firstLineChars="250"/>
        <w:rPr>
          <w:rFonts w:ascii="宋体" w:hAnsi="宋体" w:cs="宋体"/>
          <w:b/>
          <w:szCs w:val="21"/>
        </w:rPr>
      </w:pPr>
      <w:r>
        <w:rPr>
          <w:rFonts w:hint="eastAsia" w:ascii="宋体" w:hAnsi="宋体" w:cs="宋体"/>
          <w:b/>
          <w:szCs w:val="21"/>
        </w:rPr>
        <w:t>现文：</w:t>
      </w:r>
      <w:r>
        <w:rPr>
          <w:rFonts w:hint="eastAsia" w:ascii="宋体" w:hAnsi="宋体" w:cs="宋体"/>
          <w:szCs w:val="21"/>
        </w:rPr>
        <w:t>41.1 开标由招标人</w:t>
      </w:r>
      <w:r>
        <w:rPr>
          <w:rFonts w:hint="eastAsia" w:ascii="宋体" w:hAnsi="宋体" w:cs="宋体"/>
          <w:szCs w:val="21"/>
          <w:u w:val="single"/>
        </w:rPr>
        <w:t>或招标代理</w:t>
      </w:r>
      <w:r>
        <w:rPr>
          <w:rFonts w:hint="eastAsia" w:ascii="宋体" w:hAnsi="宋体" w:cs="宋体"/>
          <w:szCs w:val="21"/>
        </w:rPr>
        <w:t>主持；</w:t>
      </w:r>
    </w:p>
    <w:p w14:paraId="0460CB88">
      <w:pPr>
        <w:spacing w:line="360" w:lineRule="auto"/>
        <w:ind w:firstLine="420" w:firstLineChars="200"/>
        <w:rPr>
          <w:b/>
          <w:szCs w:val="21"/>
        </w:rPr>
      </w:pPr>
      <w:r>
        <w:rPr>
          <w:rFonts w:hint="eastAsia"/>
          <w:b/>
          <w:szCs w:val="21"/>
        </w:rPr>
        <w:t xml:space="preserve">条款号：41.2.1           </w:t>
      </w:r>
      <w:r>
        <w:rPr>
          <w:b/>
          <w:szCs w:val="21"/>
        </w:rPr>
        <w:t xml:space="preserve">  </w:t>
      </w:r>
      <w:r>
        <w:rPr>
          <w:rFonts w:hint="eastAsia"/>
          <w:b/>
          <w:szCs w:val="21"/>
        </w:rPr>
        <w:t>修改类型：修改</w:t>
      </w:r>
    </w:p>
    <w:p w14:paraId="4927AA65">
      <w:pPr>
        <w:spacing w:line="360" w:lineRule="auto"/>
        <w:ind w:firstLine="420" w:firstLineChars="200"/>
        <w:rPr>
          <w:szCs w:val="21"/>
        </w:rPr>
      </w:pPr>
      <w:r>
        <w:rPr>
          <w:rFonts w:hint="eastAsia"/>
          <w:b/>
          <w:szCs w:val="21"/>
        </w:rPr>
        <w:t>原文：</w:t>
      </w:r>
      <w:r>
        <w:rPr>
          <w:rFonts w:hint="eastAsia"/>
          <w:szCs w:val="21"/>
        </w:rPr>
        <w:t>41.2.1投标截止期前，各投标人递交投标文件（包括技术标投标文件、经济标投标文件）至交易平台。有关投标文件提交的事项详见第一章投标须知。</w:t>
      </w:r>
    </w:p>
    <w:p w14:paraId="21633A54">
      <w:pPr>
        <w:pBdr>
          <w:bottom w:val="single" w:color="auto" w:sz="6" w:space="1"/>
        </w:pBdr>
        <w:spacing w:line="360" w:lineRule="auto"/>
        <w:ind w:firstLine="470" w:firstLineChars="224"/>
        <w:rPr>
          <w:b/>
          <w:szCs w:val="21"/>
        </w:rPr>
      </w:pPr>
      <w:r>
        <w:rPr>
          <w:rFonts w:hint="eastAsia"/>
          <w:b/>
          <w:szCs w:val="21"/>
        </w:rPr>
        <w:t>现文：</w:t>
      </w:r>
      <w:r>
        <w:rPr>
          <w:rFonts w:hint="eastAsia"/>
          <w:szCs w:val="21"/>
        </w:rPr>
        <w:t>41.2.1投标截止期前，各投标人递交投标文件（包括技术标投标文件、经济标投标文件）至</w:t>
      </w:r>
      <w:r>
        <w:rPr>
          <w:rFonts w:hint="eastAsia"/>
          <w:szCs w:val="21"/>
          <w:u w:val="single"/>
        </w:rPr>
        <w:t>广州公共资源交易中心</w:t>
      </w:r>
      <w:r>
        <w:rPr>
          <w:rFonts w:hint="eastAsia"/>
          <w:szCs w:val="21"/>
        </w:rPr>
        <w:t>交易平台。有关投标文件提交的事项详见第一章投标须知。</w:t>
      </w:r>
    </w:p>
    <w:p w14:paraId="3C7AA6A4">
      <w:pPr>
        <w:spacing w:line="360" w:lineRule="auto"/>
        <w:ind w:firstLine="470" w:firstLineChars="224"/>
        <w:rPr>
          <w:rFonts w:ascii="宋体" w:hAnsi="宋体" w:cs="宋体"/>
          <w:b/>
          <w:szCs w:val="21"/>
        </w:rPr>
      </w:pPr>
      <w:r>
        <w:rPr>
          <w:rFonts w:hint="eastAsia" w:ascii="宋体" w:hAnsi="宋体" w:cs="宋体"/>
          <w:b/>
          <w:szCs w:val="21"/>
        </w:rPr>
        <w:t>条款号：</w:t>
      </w:r>
      <w:r>
        <w:rPr>
          <w:rFonts w:ascii="宋体" w:hAnsi="宋体" w:cs="宋体"/>
          <w:b/>
          <w:szCs w:val="21"/>
        </w:rPr>
        <w:t>41.2.4.1</w:t>
      </w:r>
      <w:r>
        <w:rPr>
          <w:rFonts w:hint="eastAsia" w:ascii="宋体" w:hAnsi="宋体" w:cs="宋体"/>
          <w:b/>
          <w:szCs w:val="21"/>
        </w:rPr>
        <w:t xml:space="preserve">            修改类型：修改</w:t>
      </w:r>
    </w:p>
    <w:p w14:paraId="6A2C803B">
      <w:pPr>
        <w:pBdr>
          <w:bottom w:val="single" w:color="auto" w:sz="6" w:space="1"/>
        </w:pBdr>
        <w:spacing w:line="360" w:lineRule="auto"/>
        <w:ind w:firstLine="470" w:firstLineChars="224"/>
        <w:rPr>
          <w:rFonts w:ascii="宋体" w:hAnsi="宋体" w:cs="宋体"/>
          <w:szCs w:val="21"/>
        </w:rPr>
      </w:pPr>
      <w:r>
        <w:rPr>
          <w:rFonts w:hint="eastAsia" w:ascii="宋体" w:hAnsi="宋体" w:cs="宋体"/>
          <w:b/>
          <w:bCs/>
          <w:szCs w:val="21"/>
        </w:rPr>
        <w:t>原文：</w:t>
      </w:r>
      <w:r>
        <w:rPr>
          <w:rFonts w:hint="eastAsia" w:ascii="宋体" w:hAnsi="宋体" w:cs="宋体"/>
          <w:b/>
          <w:szCs w:val="21"/>
        </w:rPr>
        <w:t>41.2.4.1</w:t>
      </w:r>
      <w:r>
        <w:rPr>
          <w:rFonts w:hint="eastAsia" w:ascii="宋体" w:hAnsi="宋体" w:cs="宋体"/>
          <w:szCs w:val="21"/>
        </w:rPr>
        <w:t>开标时，公布：a、投标人名称；b、投标文件密封情况；c、投标报价；d、投标保证金；e、项目经理（负责人）名称；f、法定代表人证明及授权委托等主要内容及开标记录表中的其他必要内容。投标报价以数字和文字两种方式表述的，应公布文字表述的投标报价。</w:t>
      </w:r>
    </w:p>
    <w:p w14:paraId="3003FD95">
      <w:pPr>
        <w:pBdr>
          <w:bottom w:val="single" w:color="auto" w:sz="6" w:space="1"/>
        </w:pBdr>
        <w:spacing w:line="360" w:lineRule="auto"/>
        <w:ind w:firstLine="470" w:firstLineChars="224"/>
        <w:rPr>
          <w:rFonts w:ascii="宋体" w:hAnsi="宋体" w:cs="宋体"/>
          <w:szCs w:val="21"/>
        </w:rPr>
      </w:pPr>
      <w:r>
        <w:rPr>
          <w:rFonts w:hint="eastAsia"/>
          <w:b/>
          <w:szCs w:val="21"/>
        </w:rPr>
        <w:t>现文：</w:t>
      </w:r>
      <w:r>
        <w:rPr>
          <w:rFonts w:hint="eastAsia" w:ascii="宋体" w:hAnsi="宋体" w:cs="宋体"/>
          <w:b/>
          <w:szCs w:val="21"/>
        </w:rPr>
        <w:t>41.2.4.1</w:t>
      </w:r>
      <w:r>
        <w:rPr>
          <w:rFonts w:hint="eastAsia" w:ascii="宋体" w:hAnsi="宋体" w:cs="宋体"/>
          <w:szCs w:val="21"/>
        </w:rPr>
        <w:t>开标时，公布：a、投标人名称；b、投标文件密封情况；c、投标报价；d、投标保证金；e、项目经理（负责人）名称；f、法定代表人证明及授权委托等主要内容及开标记录表中的其他必要内容。投标报价以数字和文字两种方式表述的，应公布文字表述的投标报价</w:t>
      </w:r>
      <w:r>
        <w:rPr>
          <w:rFonts w:hint="eastAsia"/>
          <w:szCs w:val="21"/>
        </w:rPr>
        <w:t>。</w:t>
      </w:r>
    </w:p>
    <w:p w14:paraId="7F6FEB99">
      <w:pPr>
        <w:spacing w:line="360" w:lineRule="auto"/>
        <w:ind w:firstLine="470" w:firstLineChars="224"/>
        <w:rPr>
          <w:rFonts w:ascii="宋体" w:hAnsi="宋体" w:cs="宋体"/>
          <w:b/>
          <w:szCs w:val="21"/>
        </w:rPr>
      </w:pPr>
      <w:r>
        <w:rPr>
          <w:rFonts w:hint="eastAsia" w:ascii="宋体" w:hAnsi="宋体" w:cs="宋体"/>
          <w:b/>
          <w:szCs w:val="21"/>
        </w:rPr>
        <w:t xml:space="preserve">条款号：42.2            </w:t>
      </w:r>
      <w:r>
        <w:rPr>
          <w:rFonts w:ascii="宋体" w:hAnsi="宋体" w:cs="宋体"/>
          <w:b/>
          <w:szCs w:val="21"/>
        </w:rPr>
        <w:t xml:space="preserve">  </w:t>
      </w:r>
      <w:r>
        <w:rPr>
          <w:rFonts w:hint="eastAsia" w:ascii="宋体" w:hAnsi="宋体" w:cs="宋体"/>
          <w:b/>
          <w:szCs w:val="21"/>
        </w:rPr>
        <w:t>修改类型：修改</w:t>
      </w:r>
    </w:p>
    <w:p w14:paraId="30E124E7">
      <w:pPr>
        <w:spacing w:line="360" w:lineRule="auto"/>
        <w:ind w:firstLine="470" w:firstLineChars="224"/>
        <w:rPr>
          <w:rFonts w:ascii="宋体" w:hAnsi="宋体" w:cs="宋体"/>
          <w:bCs/>
          <w:szCs w:val="21"/>
        </w:rPr>
      </w:pPr>
      <w:r>
        <w:rPr>
          <w:rFonts w:hint="eastAsia" w:ascii="宋体" w:hAnsi="宋体" w:cs="宋体"/>
          <w:b/>
          <w:szCs w:val="21"/>
        </w:rPr>
        <w:t>原文：42.2</w:t>
      </w:r>
      <w:r>
        <w:rPr>
          <w:rFonts w:hint="eastAsia" w:ascii="宋体" w:hAnsi="宋体" w:cs="宋体"/>
          <w:bCs/>
          <w:szCs w:val="21"/>
        </w:rPr>
        <w:t>评标委员会的组成：方式</w:t>
      </w:r>
      <w:r>
        <w:rPr>
          <w:rFonts w:hint="eastAsia" w:ascii="宋体" w:hAnsi="宋体" w:cs="宋体"/>
          <w:bCs/>
          <w:szCs w:val="21"/>
          <w:u w:val="single"/>
        </w:rPr>
        <w:t xml:space="preserve">      </w:t>
      </w:r>
      <w:r>
        <w:rPr>
          <w:rFonts w:hint="eastAsia" w:ascii="宋体" w:hAnsi="宋体" w:cs="宋体"/>
          <w:bCs/>
          <w:szCs w:val="21"/>
        </w:rPr>
        <w:t>。</w:t>
      </w:r>
    </w:p>
    <w:p w14:paraId="46943C57">
      <w:pPr>
        <w:spacing w:line="360" w:lineRule="auto"/>
        <w:ind w:firstLine="470" w:firstLineChars="224"/>
        <w:rPr>
          <w:rFonts w:ascii="宋体" w:hAnsi="宋体" w:cs="宋体"/>
          <w:bCs/>
          <w:szCs w:val="21"/>
        </w:rPr>
      </w:pPr>
      <w:r>
        <w:rPr>
          <w:rFonts w:hint="eastAsia" w:ascii="宋体" w:hAnsi="宋体" w:cs="宋体"/>
          <w:bCs/>
          <w:szCs w:val="21"/>
        </w:rPr>
        <w:t>方式一：评标委员会为综合评标委员会，负责评标工作。</w:t>
      </w:r>
    </w:p>
    <w:p w14:paraId="4AA7A4BE">
      <w:pPr>
        <w:spacing w:line="360" w:lineRule="auto"/>
        <w:ind w:firstLine="470" w:firstLineChars="224"/>
        <w:rPr>
          <w:rFonts w:ascii="宋体" w:hAnsi="宋体" w:cs="宋体"/>
          <w:b/>
          <w:szCs w:val="21"/>
        </w:rPr>
      </w:pPr>
      <w:r>
        <w:rPr>
          <w:rFonts w:hint="eastAsia" w:ascii="宋体" w:hAnsi="宋体" w:cs="宋体"/>
          <w:bCs/>
          <w:szCs w:val="21"/>
        </w:rPr>
        <w:t xml:space="preserve">方式二：评标委员会由技术评审组和经济评审组组成。其中：资格审查、技术评审由技术评标组负责，经济评审由经济评审组负责。 </w:t>
      </w:r>
    </w:p>
    <w:p w14:paraId="0A1B3CB4">
      <w:pPr>
        <w:spacing w:line="360" w:lineRule="auto"/>
        <w:ind w:firstLine="470" w:firstLineChars="224"/>
        <w:rPr>
          <w:rFonts w:ascii="宋体" w:hAnsi="宋体" w:cs="宋体"/>
          <w:bCs/>
          <w:szCs w:val="21"/>
        </w:rPr>
      </w:pPr>
      <w:r>
        <w:rPr>
          <w:rFonts w:hint="eastAsia" w:ascii="宋体" w:hAnsi="宋体" w:cs="宋体"/>
          <w:b/>
          <w:szCs w:val="21"/>
        </w:rPr>
        <w:t>现文：42.2</w:t>
      </w:r>
      <w:r>
        <w:rPr>
          <w:rFonts w:hint="eastAsia" w:ascii="宋体" w:hAnsi="宋体" w:cs="宋体"/>
          <w:bCs/>
          <w:szCs w:val="21"/>
        </w:rPr>
        <w:t>评标委员会的组成：方式</w:t>
      </w:r>
      <w:r>
        <w:rPr>
          <w:rFonts w:hint="eastAsia" w:ascii="宋体" w:hAnsi="宋体" w:cs="宋体"/>
          <w:bCs/>
          <w:szCs w:val="21"/>
          <w:u w:val="single"/>
        </w:rPr>
        <w:t xml:space="preserve"> 一 </w:t>
      </w:r>
      <w:r>
        <w:rPr>
          <w:rFonts w:hint="eastAsia" w:ascii="宋体" w:hAnsi="宋体" w:cs="宋体"/>
          <w:bCs/>
          <w:szCs w:val="21"/>
        </w:rPr>
        <w:t>。</w:t>
      </w:r>
    </w:p>
    <w:p w14:paraId="6AE8A833">
      <w:pPr>
        <w:pBdr>
          <w:bottom w:val="single" w:color="auto" w:sz="6" w:space="1"/>
        </w:pBdr>
        <w:spacing w:line="360" w:lineRule="auto"/>
        <w:ind w:firstLine="525" w:firstLineChars="250"/>
      </w:pPr>
      <w:r>
        <w:rPr>
          <w:rFonts w:hint="eastAsia" w:ascii="宋体" w:hAnsi="宋体" w:cs="宋体"/>
          <w:bCs/>
          <w:szCs w:val="21"/>
        </w:rPr>
        <w:t>方式一：评标委员会为综合评标委员会，负责评标工作。</w:t>
      </w:r>
    </w:p>
    <w:p w14:paraId="14BFFCC5">
      <w:pPr>
        <w:spacing w:line="360" w:lineRule="auto"/>
        <w:ind w:firstLine="420" w:firstLineChars="200"/>
        <w:rPr>
          <w:rFonts w:ascii="宋体" w:hAnsi="宋体" w:cs="宋体"/>
          <w:b/>
          <w:szCs w:val="21"/>
        </w:rPr>
      </w:pPr>
      <w:r>
        <w:rPr>
          <w:rFonts w:hint="eastAsia" w:ascii="宋体" w:hAnsi="宋体" w:cs="宋体"/>
          <w:b/>
          <w:szCs w:val="21"/>
        </w:rPr>
        <w:t>条款号：45</w:t>
      </w:r>
      <w:r>
        <w:rPr>
          <w:rFonts w:ascii="宋体" w:hAnsi="宋体" w:cs="宋体"/>
          <w:b/>
          <w:szCs w:val="21"/>
        </w:rPr>
        <w:t>.2</w:t>
      </w:r>
      <w:r>
        <w:rPr>
          <w:rFonts w:hint="eastAsia" w:ascii="宋体" w:hAnsi="宋体" w:cs="宋体"/>
          <w:b/>
          <w:szCs w:val="21"/>
        </w:rPr>
        <w:t xml:space="preserve">                 修改类型：修改</w:t>
      </w:r>
    </w:p>
    <w:p w14:paraId="4A411498">
      <w:pPr>
        <w:pStyle w:val="5"/>
        <w:tabs>
          <w:tab w:val="left" w:pos="7380"/>
        </w:tabs>
        <w:spacing w:after="0" w:line="360" w:lineRule="auto"/>
        <w:ind w:firstLine="420" w:firstLineChars="200"/>
        <w:rPr>
          <w:rFonts w:ascii="宋体" w:hAnsi="宋体" w:eastAsia="宋体" w:cs="宋体"/>
          <w:szCs w:val="21"/>
        </w:rPr>
      </w:pPr>
      <w:r>
        <w:rPr>
          <w:rFonts w:hint="eastAsia" w:ascii="宋体" w:hAnsi="宋体" w:eastAsia="宋体" w:cs="宋体"/>
          <w:b/>
          <w:szCs w:val="21"/>
        </w:rPr>
        <w:t>原文：</w:t>
      </w:r>
      <w:r>
        <w:rPr>
          <w:rFonts w:hint="eastAsia" w:ascii="宋体" w:hAnsi="宋体" w:eastAsia="宋体" w:cs="宋体"/>
          <w:szCs w:val="21"/>
        </w:rPr>
        <w:t xml:space="preserve"> </w:t>
      </w:r>
    </w:p>
    <w:p w14:paraId="3F7E9623">
      <w:pPr>
        <w:pStyle w:val="5"/>
        <w:tabs>
          <w:tab w:val="left" w:pos="7380"/>
        </w:tabs>
        <w:spacing w:after="0" w:line="360" w:lineRule="auto"/>
        <w:ind w:firstLine="420" w:firstLineChars="200"/>
        <w:rPr>
          <w:rFonts w:ascii="宋体" w:hAnsi="宋体" w:eastAsia="宋体" w:cs="宋体"/>
          <w:szCs w:val="21"/>
        </w:rPr>
      </w:pPr>
      <w:r>
        <w:rPr>
          <w:rFonts w:hint="eastAsia" w:ascii="宋体" w:hAnsi="宋体" w:eastAsia="宋体" w:cs="宋体"/>
          <w:szCs w:val="21"/>
        </w:rPr>
        <w:t>45.2按方法</w:t>
      </w:r>
      <w:r>
        <w:rPr>
          <w:rFonts w:hint="eastAsia" w:ascii="宋体" w:hAnsi="宋体" w:eastAsia="宋体" w:cs="宋体"/>
          <w:szCs w:val="21"/>
          <w:u w:val="single"/>
        </w:rPr>
        <w:t xml:space="preserve">   </w:t>
      </w:r>
      <w:r>
        <w:rPr>
          <w:rFonts w:hint="eastAsia" w:ascii="宋体" w:hAnsi="宋体" w:eastAsia="宋体" w:cs="宋体"/>
          <w:szCs w:val="21"/>
        </w:rPr>
        <w:t>计算评标参考价：</w:t>
      </w:r>
    </w:p>
    <w:p w14:paraId="05FB7861">
      <w:pPr>
        <w:widowControl/>
        <w:spacing w:line="360" w:lineRule="auto"/>
        <w:ind w:firstLine="420" w:firstLineChars="200"/>
        <w:rPr>
          <w:rFonts w:ascii="宋体" w:hAnsi="宋体" w:cs="宋体"/>
          <w:b/>
          <w:bCs/>
          <w:kern w:val="0"/>
          <w:szCs w:val="21"/>
        </w:rPr>
      </w:pPr>
      <w:r>
        <w:rPr>
          <w:rFonts w:hint="eastAsia" w:ascii="宋体" w:hAnsi="宋体" w:cs="宋体"/>
          <w:b/>
          <w:bCs/>
          <w:kern w:val="0"/>
          <w:szCs w:val="21"/>
        </w:rPr>
        <w:t>方法一：加权平均法</w:t>
      </w:r>
    </w:p>
    <w:p w14:paraId="051D3BEE">
      <w:pPr>
        <w:spacing w:line="360" w:lineRule="auto"/>
        <w:ind w:firstLine="420" w:firstLineChars="200"/>
        <w:rPr>
          <w:rFonts w:ascii="宋体" w:hAnsi="宋体" w:cs="宋体"/>
          <w:szCs w:val="21"/>
        </w:rPr>
      </w:pPr>
      <w:r>
        <w:rPr>
          <w:rFonts w:hint="eastAsia" w:ascii="宋体" w:hAnsi="宋体" w:cs="宋体"/>
          <w:szCs w:val="21"/>
        </w:rPr>
        <w:t>技术标或技术标加诚信得分（具体由招标人自定）前N名（N≥5，具体由招标人自定）的经济报价加权平均，计算评标参考价。公式如下：</w:t>
      </w:r>
    </w:p>
    <w:p w14:paraId="54E03792">
      <w:pPr>
        <w:spacing w:line="360" w:lineRule="auto"/>
        <w:ind w:firstLine="420" w:firstLineChars="200"/>
        <w:rPr>
          <w:rFonts w:ascii="宋体" w:hAnsi="宋体" w:cs="宋体"/>
          <w:szCs w:val="21"/>
        </w:rPr>
      </w:pPr>
      <w:r>
        <w:rPr>
          <w:rFonts w:hint="eastAsia" w:ascii="宋体" w:hAnsi="宋体" w:cs="宋体"/>
          <w:szCs w:val="21"/>
        </w:rPr>
        <w:t>评标参考价=Σ（投标人的投标报价*报价权重）。</w:t>
      </w:r>
    </w:p>
    <w:p w14:paraId="6ADC88E6">
      <w:pPr>
        <w:spacing w:line="360" w:lineRule="auto"/>
        <w:ind w:firstLine="420" w:firstLineChars="200"/>
        <w:rPr>
          <w:rFonts w:ascii="宋体" w:hAnsi="宋体" w:cs="宋体"/>
          <w:szCs w:val="21"/>
        </w:rPr>
      </w:pPr>
      <w:r>
        <w:rPr>
          <w:rFonts w:hint="eastAsia" w:ascii="宋体" w:hAnsi="宋体" w:cs="宋体"/>
          <w:szCs w:val="21"/>
        </w:rPr>
        <w:t>其中：报价权重的计算方法为：将N名投标人按技术分由高至低进行排序，第一名投标人的权重为（</w:t>
      </w:r>
      <w:r>
        <w:rPr>
          <w:rFonts w:hint="eastAsia" w:ascii="宋体" w:hAnsi="宋体" w:cs="宋体"/>
          <w:szCs w:val="21"/>
        </w:rPr>
        <w:fldChar w:fldCharType="begin"/>
      </w:r>
      <w:r>
        <w:rPr>
          <w:rFonts w:hint="eastAsia" w:ascii="宋体" w:hAnsi="宋体" w:cs="宋体"/>
          <w:szCs w:val="21"/>
        </w:rPr>
        <w:instrText xml:space="preserve"> QUOTE </w:instrText>
      </w:r>
      <w:r>
        <w:rPr>
          <w:rFonts w:ascii="宋体" w:hAnsi="宋体" w:cs="宋体"/>
          <w:szCs w:val="21"/>
        </w:rPr>
        <w:drawing>
          <wp:inline distT="0" distB="0" distL="0" distR="0">
            <wp:extent cx="381000" cy="447675"/>
            <wp:effectExtent l="0" t="0" r="0" b="9525"/>
            <wp:docPr id="42" name="图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42"/>
                    <pic:cNvPicPr>
                      <a:picLocks noChangeAspect="1" noChangeArrowheads="1"/>
                    </pic:cNvPicPr>
                  </pic:nvPicPr>
                  <pic:blipFill>
                    <a:blip r:embed="rId14">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381000" cy="447675"/>
                    </a:xfrm>
                    <a:prstGeom prst="rect">
                      <a:avLst/>
                    </a:prstGeom>
                    <a:noFill/>
                    <a:ln>
                      <a:noFill/>
                    </a:ln>
                  </pic:spPr>
                </pic:pic>
              </a:graphicData>
            </a:graphic>
          </wp:inline>
        </w:drawing>
      </w:r>
      <w:r>
        <w:rPr>
          <w:rFonts w:hint="eastAsia" w:ascii="宋体" w:hAnsi="宋体" w:cs="宋体"/>
          <w:szCs w:val="21"/>
        </w:rPr>
        <w:fldChar w:fldCharType="separate"/>
      </w:r>
      <w:r>
        <w:rPr>
          <w:rFonts w:ascii="宋体" w:hAnsi="宋体" w:cs="宋体"/>
          <w:szCs w:val="21"/>
        </w:rPr>
        <w:drawing>
          <wp:inline distT="0" distB="0" distL="0" distR="0">
            <wp:extent cx="381000" cy="447675"/>
            <wp:effectExtent l="0" t="0" r="0" b="9525"/>
            <wp:docPr id="41"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41"/>
                    <pic:cNvPicPr>
                      <a:picLocks noChangeAspect="1" noChangeArrowheads="1"/>
                    </pic:cNvPicPr>
                  </pic:nvPicPr>
                  <pic:blipFill>
                    <a:blip r:embed="rId14">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381000" cy="447675"/>
                    </a:xfrm>
                    <a:prstGeom prst="rect">
                      <a:avLst/>
                    </a:prstGeom>
                    <a:noFill/>
                    <a:ln>
                      <a:noFill/>
                    </a:ln>
                  </pic:spPr>
                </pic:pic>
              </a:graphicData>
            </a:graphic>
          </wp:inline>
        </w:drawing>
      </w:r>
      <w:r>
        <w:rPr>
          <w:rFonts w:hint="eastAsia" w:ascii="宋体" w:hAnsi="宋体" w:cs="宋体"/>
          <w:szCs w:val="21"/>
        </w:rPr>
        <w:fldChar w:fldCharType="end"/>
      </w:r>
      <w:r>
        <w:rPr>
          <w:rFonts w:hint="eastAsia" w:ascii="宋体" w:hAnsi="宋体" w:cs="宋体"/>
          <w:szCs w:val="21"/>
        </w:rPr>
        <w:t>），第二名投标人的权重为（</w:t>
      </w:r>
      <w:r>
        <w:rPr>
          <w:rFonts w:hint="eastAsia" w:ascii="宋体" w:hAnsi="宋体" w:cs="宋体"/>
          <w:szCs w:val="21"/>
        </w:rPr>
        <w:fldChar w:fldCharType="begin"/>
      </w:r>
      <w:r>
        <w:rPr>
          <w:rFonts w:hint="eastAsia" w:ascii="宋体" w:hAnsi="宋体" w:cs="宋体"/>
          <w:szCs w:val="21"/>
        </w:rPr>
        <w:instrText xml:space="preserve"> QUOTE </w:instrText>
      </w:r>
      <w:r>
        <w:rPr>
          <w:rFonts w:ascii="宋体" w:hAnsi="宋体" w:cs="宋体"/>
          <w:position w:val="-23"/>
          <w:szCs w:val="21"/>
        </w:rPr>
        <w:drawing>
          <wp:inline distT="0" distB="0" distL="0" distR="0">
            <wp:extent cx="314325" cy="400050"/>
            <wp:effectExtent l="0" t="0" r="9525" b="0"/>
            <wp:docPr id="40"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40"/>
                    <pic:cNvPicPr>
                      <a:picLocks noChangeAspect="1" noChangeArrowheads="1"/>
                    </pic:cNvPicPr>
                  </pic:nvPicPr>
                  <pic:blipFill>
                    <a:blip r:embed="rId15">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314325" cy="400050"/>
                    </a:xfrm>
                    <a:prstGeom prst="rect">
                      <a:avLst/>
                    </a:prstGeom>
                    <a:noFill/>
                    <a:ln>
                      <a:noFill/>
                    </a:ln>
                  </pic:spPr>
                </pic:pic>
              </a:graphicData>
            </a:graphic>
          </wp:inline>
        </w:drawing>
      </w:r>
      <w:r>
        <w:rPr>
          <w:rFonts w:hint="eastAsia" w:ascii="宋体" w:hAnsi="宋体" w:cs="宋体"/>
          <w:szCs w:val="21"/>
        </w:rPr>
        <w:fldChar w:fldCharType="separate"/>
      </w:r>
      <w:r>
        <w:rPr>
          <w:rFonts w:ascii="宋体" w:hAnsi="宋体" w:cs="宋体"/>
          <w:position w:val="-23"/>
          <w:szCs w:val="21"/>
        </w:rPr>
        <w:drawing>
          <wp:inline distT="0" distB="0" distL="0" distR="0">
            <wp:extent cx="314325" cy="400050"/>
            <wp:effectExtent l="0" t="0" r="9525" b="0"/>
            <wp:docPr id="39"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39"/>
                    <pic:cNvPicPr>
                      <a:picLocks noChangeAspect="1" noChangeArrowheads="1"/>
                    </pic:cNvPicPr>
                  </pic:nvPicPr>
                  <pic:blipFill>
                    <a:blip r:embed="rId15">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314325" cy="400050"/>
                    </a:xfrm>
                    <a:prstGeom prst="rect">
                      <a:avLst/>
                    </a:prstGeom>
                    <a:noFill/>
                    <a:ln>
                      <a:noFill/>
                    </a:ln>
                  </pic:spPr>
                </pic:pic>
              </a:graphicData>
            </a:graphic>
          </wp:inline>
        </w:drawing>
      </w:r>
      <w:r>
        <w:rPr>
          <w:rFonts w:hint="eastAsia" w:ascii="宋体" w:hAnsi="宋体" w:cs="宋体"/>
          <w:szCs w:val="21"/>
        </w:rPr>
        <w:fldChar w:fldCharType="end"/>
      </w:r>
      <w:r>
        <w:rPr>
          <w:rFonts w:hint="eastAsia" w:ascii="宋体" w:hAnsi="宋体" w:cs="宋体"/>
          <w:szCs w:val="21"/>
        </w:rPr>
        <w:t>），以此类推，最后一名投标人的权重为（</w:t>
      </w:r>
      <w:r>
        <w:rPr>
          <w:rFonts w:hint="eastAsia" w:ascii="宋体" w:hAnsi="宋体" w:cs="宋体"/>
          <w:szCs w:val="21"/>
        </w:rPr>
        <w:fldChar w:fldCharType="begin"/>
      </w:r>
      <w:r>
        <w:rPr>
          <w:rFonts w:hint="eastAsia" w:ascii="宋体" w:hAnsi="宋体" w:cs="宋体"/>
          <w:szCs w:val="21"/>
        </w:rPr>
        <w:instrText xml:space="preserve"> QUOTE </w:instrText>
      </w:r>
      <w:r>
        <w:rPr>
          <w:rFonts w:ascii="宋体" w:hAnsi="宋体" w:cs="宋体"/>
          <w:position w:val="-23"/>
          <w:szCs w:val="21"/>
        </w:rPr>
        <w:drawing>
          <wp:inline distT="0" distB="0" distL="0" distR="0">
            <wp:extent cx="314325" cy="400050"/>
            <wp:effectExtent l="0" t="0" r="9525" b="0"/>
            <wp:docPr id="38"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38"/>
                    <pic:cNvPicPr>
                      <a:picLocks noChangeAspect="1" noChangeArrowheads="1"/>
                    </pic:cNvPicPr>
                  </pic:nvPicPr>
                  <pic:blipFill>
                    <a:blip r:embed="rId16">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314325" cy="400050"/>
                    </a:xfrm>
                    <a:prstGeom prst="rect">
                      <a:avLst/>
                    </a:prstGeom>
                    <a:noFill/>
                    <a:ln>
                      <a:noFill/>
                    </a:ln>
                  </pic:spPr>
                </pic:pic>
              </a:graphicData>
            </a:graphic>
          </wp:inline>
        </w:drawing>
      </w:r>
      <w:r>
        <w:rPr>
          <w:rFonts w:hint="eastAsia" w:ascii="宋体" w:hAnsi="宋体" w:cs="宋体"/>
          <w:szCs w:val="21"/>
        </w:rPr>
        <w:fldChar w:fldCharType="separate"/>
      </w:r>
      <w:r>
        <w:rPr>
          <w:rFonts w:ascii="宋体" w:hAnsi="宋体" w:cs="宋体"/>
          <w:position w:val="-23"/>
          <w:szCs w:val="21"/>
        </w:rPr>
        <w:drawing>
          <wp:inline distT="0" distB="0" distL="0" distR="0">
            <wp:extent cx="314325" cy="400050"/>
            <wp:effectExtent l="0" t="0" r="9525" b="0"/>
            <wp:docPr id="37"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37"/>
                    <pic:cNvPicPr>
                      <a:picLocks noChangeAspect="1" noChangeArrowheads="1"/>
                    </pic:cNvPicPr>
                  </pic:nvPicPr>
                  <pic:blipFill>
                    <a:blip r:embed="rId16">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314325" cy="400050"/>
                    </a:xfrm>
                    <a:prstGeom prst="rect">
                      <a:avLst/>
                    </a:prstGeom>
                    <a:noFill/>
                    <a:ln>
                      <a:noFill/>
                    </a:ln>
                  </pic:spPr>
                </pic:pic>
              </a:graphicData>
            </a:graphic>
          </wp:inline>
        </w:drawing>
      </w:r>
      <w:r>
        <w:rPr>
          <w:rFonts w:hint="eastAsia" w:ascii="宋体" w:hAnsi="宋体" w:cs="宋体"/>
          <w:szCs w:val="21"/>
        </w:rPr>
        <w:fldChar w:fldCharType="end"/>
      </w:r>
      <w:r>
        <w:rPr>
          <w:rFonts w:hint="eastAsia" w:ascii="宋体" w:hAnsi="宋体" w:cs="宋体"/>
          <w:szCs w:val="21"/>
        </w:rPr>
        <w:t>）。</w:t>
      </w:r>
    </w:p>
    <w:p w14:paraId="56FFBCFA">
      <w:pPr>
        <w:widowControl/>
        <w:spacing w:line="360" w:lineRule="auto"/>
        <w:ind w:firstLine="420" w:firstLineChars="200"/>
        <w:rPr>
          <w:rFonts w:ascii="宋体" w:hAnsi="宋体" w:cs="宋体"/>
          <w:b/>
          <w:bCs/>
          <w:kern w:val="0"/>
          <w:szCs w:val="21"/>
        </w:rPr>
      </w:pPr>
      <w:r>
        <w:rPr>
          <w:rFonts w:hint="eastAsia" w:ascii="宋体" w:hAnsi="宋体" w:cs="宋体"/>
          <w:b/>
          <w:bCs/>
          <w:kern w:val="0"/>
          <w:szCs w:val="21"/>
        </w:rPr>
        <w:t>方法二：区间抽取法</w:t>
      </w:r>
    </w:p>
    <w:p w14:paraId="0494716D">
      <w:pPr>
        <w:widowControl/>
        <w:spacing w:line="360" w:lineRule="auto"/>
        <w:ind w:firstLine="420" w:firstLineChars="200"/>
        <w:rPr>
          <w:rFonts w:ascii="宋体" w:hAnsi="宋体" w:cs="宋体"/>
          <w:kern w:val="0"/>
          <w:szCs w:val="21"/>
        </w:rPr>
      </w:pPr>
      <w:r>
        <w:rPr>
          <w:rFonts w:hint="eastAsia" w:ascii="宋体" w:hAnsi="宋体" w:cs="宋体"/>
          <w:szCs w:val="21"/>
        </w:rPr>
        <w:t>设立入围合格分数线（技术标或技术标加诚信得分，具体数值由招标人在招标文件中确定），达到或超过及格线的投标人的报价方能参与评标参考价的计算。将达到或超过技术标及格分数线的投标报价由低至高进行排列，按以下公式计算评标参考价，计算公式如下：</w:t>
      </w:r>
    </w:p>
    <w:p w14:paraId="5EBF6C1D">
      <w:pPr>
        <w:widowControl/>
        <w:spacing w:line="360" w:lineRule="auto"/>
        <w:ind w:firstLine="420" w:firstLineChars="200"/>
        <w:rPr>
          <w:rFonts w:ascii="宋体" w:hAnsi="宋体" w:cs="宋体"/>
          <w:kern w:val="0"/>
          <w:szCs w:val="21"/>
          <w:vertAlign w:val="subscript"/>
        </w:rPr>
      </w:pPr>
      <w:r>
        <w:rPr>
          <w:rFonts w:hint="eastAsia" w:ascii="宋体" w:hAnsi="宋体" w:cs="宋体"/>
          <w:kern w:val="0"/>
          <w:szCs w:val="21"/>
        </w:rPr>
        <w:t>评标参考价=（Q</w:t>
      </w:r>
      <w:r>
        <w:rPr>
          <w:rFonts w:hint="eastAsia" w:ascii="宋体" w:hAnsi="宋体" w:cs="宋体"/>
          <w:kern w:val="0"/>
          <w:szCs w:val="21"/>
          <w:vertAlign w:val="subscript"/>
        </w:rPr>
        <w:t>高</w:t>
      </w:r>
      <w:r>
        <w:rPr>
          <w:rFonts w:hint="eastAsia" w:ascii="宋体" w:hAnsi="宋体" w:cs="宋体"/>
          <w:kern w:val="0"/>
          <w:szCs w:val="21"/>
        </w:rPr>
        <w:t>-Q</w:t>
      </w:r>
      <w:r>
        <w:rPr>
          <w:rFonts w:hint="eastAsia" w:ascii="宋体" w:hAnsi="宋体" w:cs="宋体"/>
          <w:kern w:val="0"/>
          <w:szCs w:val="21"/>
          <w:vertAlign w:val="subscript"/>
        </w:rPr>
        <w:t>低</w:t>
      </w:r>
      <w:r>
        <w:rPr>
          <w:rFonts w:hint="eastAsia" w:ascii="宋体" w:hAnsi="宋体" w:cs="宋体"/>
          <w:kern w:val="0"/>
          <w:szCs w:val="21"/>
        </w:rPr>
        <w:t>）/100*Ｘ+Q</w:t>
      </w:r>
      <w:r>
        <w:rPr>
          <w:rFonts w:hint="eastAsia" w:ascii="宋体" w:hAnsi="宋体" w:cs="宋体"/>
          <w:kern w:val="0"/>
          <w:szCs w:val="21"/>
          <w:vertAlign w:val="subscript"/>
        </w:rPr>
        <w:t>低</w:t>
      </w:r>
    </w:p>
    <w:p w14:paraId="29BF1684">
      <w:pPr>
        <w:widowControl/>
        <w:spacing w:line="360" w:lineRule="auto"/>
        <w:ind w:firstLine="420" w:firstLineChars="200"/>
        <w:rPr>
          <w:rFonts w:ascii="宋体" w:hAnsi="宋体" w:cs="宋体"/>
          <w:szCs w:val="21"/>
        </w:rPr>
      </w:pPr>
      <w:r>
        <w:rPr>
          <w:rFonts w:hint="eastAsia" w:ascii="宋体" w:hAnsi="宋体" w:cs="宋体"/>
          <w:szCs w:val="21"/>
        </w:rPr>
        <w:t>Q</w:t>
      </w:r>
      <w:r>
        <w:rPr>
          <w:rFonts w:hint="eastAsia" w:ascii="宋体" w:hAnsi="宋体" w:cs="宋体"/>
          <w:szCs w:val="21"/>
          <w:vertAlign w:val="subscript"/>
        </w:rPr>
        <w:t>低</w:t>
      </w:r>
      <w:r>
        <w:rPr>
          <w:rFonts w:hint="eastAsia" w:ascii="宋体" w:hAnsi="宋体" w:cs="宋体"/>
          <w:szCs w:val="21"/>
        </w:rPr>
        <w:t>：为达到或超过技术标及格分数线的投标人最低报价与工程成本警示价两者中的较高值；</w:t>
      </w:r>
    </w:p>
    <w:p w14:paraId="407A3083">
      <w:pPr>
        <w:spacing w:line="360" w:lineRule="auto"/>
        <w:ind w:firstLine="420" w:firstLineChars="200"/>
        <w:rPr>
          <w:rFonts w:ascii="宋体" w:hAnsi="宋体" w:cs="宋体"/>
          <w:szCs w:val="21"/>
        </w:rPr>
      </w:pPr>
      <w:r>
        <w:rPr>
          <w:rFonts w:hint="eastAsia" w:ascii="宋体" w:hAnsi="宋体" w:cs="宋体"/>
          <w:kern w:val="0"/>
          <w:szCs w:val="21"/>
        </w:rPr>
        <w:t>Q</w:t>
      </w:r>
      <w:r>
        <w:rPr>
          <w:rFonts w:hint="eastAsia" w:ascii="宋体" w:hAnsi="宋体" w:cs="宋体"/>
          <w:kern w:val="0"/>
          <w:szCs w:val="21"/>
          <w:vertAlign w:val="subscript"/>
        </w:rPr>
        <w:t>高</w:t>
      </w:r>
      <w:r>
        <w:rPr>
          <w:rFonts w:hint="eastAsia" w:ascii="宋体" w:hAnsi="宋体" w:cs="宋体"/>
          <w:szCs w:val="21"/>
        </w:rPr>
        <w:t>：为最高投标限价</w:t>
      </w:r>
    </w:p>
    <w:p w14:paraId="4932B7A7">
      <w:pPr>
        <w:spacing w:line="360" w:lineRule="auto"/>
        <w:ind w:firstLine="420" w:firstLineChars="200"/>
        <w:rPr>
          <w:rFonts w:ascii="宋体" w:hAnsi="宋体" w:cs="宋体"/>
          <w:szCs w:val="21"/>
        </w:rPr>
      </w:pPr>
      <w:r>
        <w:rPr>
          <w:rFonts w:hint="eastAsia" w:ascii="宋体" w:hAnsi="宋体" w:cs="宋体"/>
          <w:szCs w:val="21"/>
        </w:rPr>
        <w:t>X:为等分点值，在开标前从[0,100]整数中随机抽取</w:t>
      </w:r>
    </w:p>
    <w:p w14:paraId="62F2A866">
      <w:pPr>
        <w:spacing w:line="360" w:lineRule="auto"/>
        <w:ind w:firstLine="420" w:firstLineChars="200"/>
        <w:rPr>
          <w:rFonts w:ascii="宋体" w:hAnsi="宋体" w:cs="宋体"/>
          <w:szCs w:val="21"/>
        </w:rPr>
      </w:pPr>
      <w:r>
        <w:rPr>
          <w:rFonts w:hint="eastAsia" w:ascii="宋体" w:hAnsi="宋体" w:cs="宋体"/>
          <w:kern w:val="0"/>
          <w:szCs w:val="21"/>
        </w:rPr>
        <w:t>45.3</w:t>
      </w:r>
      <w:r>
        <w:rPr>
          <w:rFonts w:hint="eastAsia" w:ascii="宋体" w:hAnsi="宋体" w:cs="宋体"/>
          <w:szCs w:val="21"/>
        </w:rPr>
        <w:t>当标价等于评标参考价时得100分，标价每高于评标参考价1%，扣1.5分，每低于评标参考价1%，扣1分，扣至0分为止，得出经济分，精确到小数点后两位。</w:t>
      </w:r>
    </w:p>
    <w:p w14:paraId="7C828E0A">
      <w:pPr>
        <w:pStyle w:val="5"/>
        <w:tabs>
          <w:tab w:val="left" w:pos="7380"/>
        </w:tabs>
        <w:spacing w:after="0" w:line="360" w:lineRule="auto"/>
        <w:ind w:firstLine="420" w:firstLineChars="200"/>
        <w:rPr>
          <w:rFonts w:ascii="宋体" w:hAnsi="宋体" w:cs="宋体"/>
          <w:szCs w:val="21"/>
        </w:rPr>
      </w:pPr>
      <w:r>
        <w:rPr>
          <w:rFonts w:hint="eastAsia" w:ascii="宋体" w:hAnsi="宋体" w:cs="宋体"/>
          <w:szCs w:val="21"/>
        </w:rPr>
        <w:t>45.4</w:t>
      </w:r>
      <w:r>
        <w:rPr>
          <w:rFonts w:hint="eastAsia" w:ascii="宋体" w:hAnsi="宋体" w:eastAsia="宋体" w:cs="宋体"/>
          <w:szCs w:val="21"/>
        </w:rPr>
        <w:t>计算通过技术标有效性审查的投标人总得分。投标人总得分=（技术得分×技术得分权重＋经济得分×经济得分权重）×（1-综合诚信评价分数权重）＋综合诚信评价排名得分×综合诚信评价分数权重）。技术、经济得分权重按投标须知前附表的规定执行。总得分四舍五入保留两位小数。</w:t>
      </w:r>
    </w:p>
    <w:p w14:paraId="0805932A">
      <w:pPr>
        <w:pStyle w:val="5"/>
        <w:tabs>
          <w:tab w:val="left" w:pos="7380"/>
        </w:tabs>
        <w:spacing w:after="0" w:line="360" w:lineRule="auto"/>
        <w:ind w:firstLine="420" w:firstLineChars="200"/>
        <w:rPr>
          <w:rFonts w:ascii="宋体" w:hAnsi="宋体" w:eastAsia="宋体" w:cs="宋体"/>
          <w:szCs w:val="21"/>
        </w:rPr>
      </w:pPr>
      <w:r>
        <w:rPr>
          <w:rFonts w:hint="eastAsia" w:ascii="宋体" w:hAnsi="宋体" w:eastAsia="宋体" w:cs="宋体"/>
          <w:b/>
          <w:szCs w:val="21"/>
        </w:rPr>
        <w:t>现文：</w:t>
      </w:r>
      <w:r>
        <w:rPr>
          <w:rFonts w:hint="eastAsia" w:ascii="宋体" w:hAnsi="宋体" w:eastAsia="宋体" w:cs="宋体"/>
          <w:szCs w:val="21"/>
        </w:rPr>
        <w:t xml:space="preserve"> 45.2按方法</w:t>
      </w:r>
      <w:r>
        <w:rPr>
          <w:rFonts w:hint="eastAsia" w:ascii="宋体" w:hAnsi="宋体" w:eastAsia="宋体" w:cs="宋体"/>
          <w:szCs w:val="21"/>
          <w:u w:val="single"/>
        </w:rPr>
        <w:t>二</w:t>
      </w:r>
      <w:r>
        <w:rPr>
          <w:rFonts w:hint="eastAsia" w:ascii="宋体" w:hAnsi="宋体" w:eastAsia="宋体" w:cs="宋体"/>
          <w:szCs w:val="21"/>
        </w:rPr>
        <w:t>计算评标参考价：</w:t>
      </w:r>
    </w:p>
    <w:p w14:paraId="52B0F04C">
      <w:pPr>
        <w:widowControl/>
        <w:spacing w:line="360" w:lineRule="auto"/>
        <w:ind w:firstLine="420" w:firstLineChars="200"/>
        <w:rPr>
          <w:rFonts w:ascii="宋体" w:hAnsi="宋体" w:cs="宋体"/>
          <w:b/>
          <w:bCs/>
          <w:kern w:val="0"/>
          <w:szCs w:val="21"/>
        </w:rPr>
      </w:pPr>
      <w:r>
        <w:rPr>
          <w:rFonts w:hint="eastAsia" w:ascii="宋体" w:hAnsi="宋体" w:cs="宋体"/>
          <w:b/>
          <w:bCs/>
          <w:kern w:val="0"/>
          <w:szCs w:val="21"/>
        </w:rPr>
        <w:t>方法二：区间抽取法</w:t>
      </w:r>
    </w:p>
    <w:p w14:paraId="3BF9CDCB">
      <w:pPr>
        <w:widowControl/>
        <w:spacing w:line="360" w:lineRule="auto"/>
        <w:ind w:firstLine="420" w:firstLineChars="200"/>
        <w:rPr>
          <w:rFonts w:ascii="宋体" w:hAnsi="宋体" w:cs="宋体"/>
          <w:kern w:val="0"/>
          <w:szCs w:val="21"/>
        </w:rPr>
      </w:pPr>
      <w:r>
        <w:rPr>
          <w:rFonts w:hint="eastAsia" w:ascii="宋体" w:hAnsi="宋体" w:cs="宋体"/>
          <w:szCs w:val="21"/>
        </w:rPr>
        <w:t>设立入围合格分数线（技术标得分85分），达到或超过及格线的投标人的报价方能参与评标参考价的计算。将达到或超过技术标及格分数线的投标报价由低至高进行排列，按以下公式计算评标参考价，计算公式如下：</w:t>
      </w:r>
    </w:p>
    <w:p w14:paraId="7F0071B5">
      <w:pPr>
        <w:widowControl/>
        <w:spacing w:line="360" w:lineRule="auto"/>
        <w:ind w:firstLine="420" w:firstLineChars="200"/>
        <w:rPr>
          <w:rFonts w:ascii="宋体" w:hAnsi="宋体" w:cs="宋体"/>
          <w:kern w:val="0"/>
          <w:szCs w:val="21"/>
          <w:vertAlign w:val="subscript"/>
        </w:rPr>
      </w:pPr>
      <w:r>
        <w:rPr>
          <w:rFonts w:hint="eastAsia" w:ascii="宋体" w:hAnsi="宋体" w:cs="宋体"/>
          <w:kern w:val="0"/>
          <w:szCs w:val="21"/>
        </w:rPr>
        <w:t>评标参考价=（Q</w:t>
      </w:r>
      <w:r>
        <w:rPr>
          <w:rFonts w:hint="eastAsia" w:ascii="宋体" w:hAnsi="宋体" w:cs="宋体"/>
          <w:kern w:val="0"/>
          <w:szCs w:val="21"/>
          <w:vertAlign w:val="subscript"/>
        </w:rPr>
        <w:t>高</w:t>
      </w:r>
      <w:r>
        <w:rPr>
          <w:rFonts w:hint="eastAsia" w:ascii="宋体" w:hAnsi="宋体" w:cs="宋体"/>
          <w:kern w:val="0"/>
          <w:szCs w:val="21"/>
        </w:rPr>
        <w:t>-Q</w:t>
      </w:r>
      <w:r>
        <w:rPr>
          <w:rFonts w:hint="eastAsia" w:ascii="宋体" w:hAnsi="宋体" w:cs="宋体"/>
          <w:kern w:val="0"/>
          <w:szCs w:val="21"/>
          <w:vertAlign w:val="subscript"/>
        </w:rPr>
        <w:t>低</w:t>
      </w:r>
      <w:r>
        <w:rPr>
          <w:rFonts w:hint="eastAsia" w:ascii="宋体" w:hAnsi="宋体" w:cs="宋体"/>
          <w:kern w:val="0"/>
          <w:szCs w:val="21"/>
        </w:rPr>
        <w:t>）/100*Ｘ+Q</w:t>
      </w:r>
      <w:r>
        <w:rPr>
          <w:rFonts w:hint="eastAsia" w:ascii="宋体" w:hAnsi="宋体" w:cs="宋体"/>
          <w:kern w:val="0"/>
          <w:szCs w:val="21"/>
          <w:vertAlign w:val="subscript"/>
        </w:rPr>
        <w:t>低</w:t>
      </w:r>
    </w:p>
    <w:p w14:paraId="4550E955">
      <w:pPr>
        <w:widowControl/>
        <w:spacing w:line="360" w:lineRule="auto"/>
        <w:ind w:firstLine="420" w:firstLineChars="200"/>
        <w:rPr>
          <w:rFonts w:ascii="宋体" w:hAnsi="宋体" w:cs="宋体"/>
          <w:szCs w:val="21"/>
        </w:rPr>
      </w:pPr>
      <w:r>
        <w:rPr>
          <w:rFonts w:hint="eastAsia" w:ascii="宋体" w:hAnsi="宋体" w:cs="宋体"/>
          <w:szCs w:val="21"/>
        </w:rPr>
        <w:t>Q</w:t>
      </w:r>
      <w:r>
        <w:rPr>
          <w:rFonts w:hint="eastAsia" w:ascii="宋体" w:hAnsi="宋体" w:cs="宋体"/>
          <w:szCs w:val="21"/>
          <w:vertAlign w:val="subscript"/>
        </w:rPr>
        <w:t>低</w:t>
      </w:r>
      <w:r>
        <w:rPr>
          <w:rFonts w:hint="eastAsia" w:ascii="宋体" w:hAnsi="宋体" w:cs="宋体"/>
          <w:szCs w:val="21"/>
        </w:rPr>
        <w:t>：为达到或超过技术标及格分数线的投标人最低报价与工程成本警示价两者中的较高值；</w:t>
      </w:r>
    </w:p>
    <w:p w14:paraId="04D06373">
      <w:pPr>
        <w:spacing w:line="360" w:lineRule="auto"/>
        <w:ind w:firstLine="420" w:firstLineChars="200"/>
        <w:rPr>
          <w:rFonts w:ascii="宋体" w:hAnsi="宋体" w:cs="宋体"/>
          <w:szCs w:val="21"/>
        </w:rPr>
      </w:pPr>
      <w:r>
        <w:rPr>
          <w:rFonts w:hint="eastAsia" w:ascii="宋体" w:hAnsi="宋体" w:cs="宋体"/>
          <w:kern w:val="0"/>
          <w:szCs w:val="21"/>
        </w:rPr>
        <w:t>Q</w:t>
      </w:r>
      <w:r>
        <w:rPr>
          <w:rFonts w:hint="eastAsia" w:ascii="宋体" w:hAnsi="宋体" w:cs="宋体"/>
          <w:kern w:val="0"/>
          <w:szCs w:val="21"/>
          <w:vertAlign w:val="subscript"/>
        </w:rPr>
        <w:t>高</w:t>
      </w:r>
      <w:r>
        <w:rPr>
          <w:rFonts w:hint="eastAsia" w:ascii="宋体" w:hAnsi="宋体" w:cs="宋体"/>
          <w:szCs w:val="21"/>
        </w:rPr>
        <w:t>：为最高投标限价</w:t>
      </w:r>
    </w:p>
    <w:p w14:paraId="0AC9ABDB">
      <w:pPr>
        <w:spacing w:line="360" w:lineRule="auto"/>
        <w:ind w:firstLine="420" w:firstLineChars="200"/>
        <w:rPr>
          <w:rFonts w:ascii="宋体" w:hAnsi="宋体" w:cs="宋体"/>
          <w:szCs w:val="21"/>
        </w:rPr>
      </w:pPr>
      <w:r>
        <w:rPr>
          <w:rFonts w:hint="eastAsia" w:ascii="宋体" w:hAnsi="宋体" w:cs="宋体"/>
          <w:szCs w:val="21"/>
        </w:rPr>
        <w:t>X:为等分点值，在开标前从[0,100]整数中随机抽取</w:t>
      </w:r>
    </w:p>
    <w:p w14:paraId="04AF1E19">
      <w:pPr>
        <w:widowControl/>
        <w:spacing w:line="360" w:lineRule="auto"/>
        <w:ind w:firstLine="420" w:firstLineChars="200"/>
        <w:rPr>
          <w:rFonts w:ascii="宋体" w:hAnsi="宋体" w:cs="宋体"/>
          <w:szCs w:val="21"/>
        </w:rPr>
      </w:pPr>
      <w:r>
        <w:rPr>
          <w:rFonts w:hint="eastAsia" w:ascii="宋体" w:hAnsi="宋体" w:cs="宋体"/>
          <w:kern w:val="0"/>
          <w:szCs w:val="21"/>
        </w:rPr>
        <w:t>45.3</w:t>
      </w:r>
      <w:r>
        <w:rPr>
          <w:rFonts w:hint="eastAsia" w:ascii="宋体" w:hAnsi="宋体" w:cs="宋体"/>
          <w:szCs w:val="21"/>
        </w:rPr>
        <w:t>当标价等于评标参考价时得100分，标价每高于评标参考价1%，扣1.5分，每低于评标参考价1%，扣1分，扣至0分为止，得出经济分，精确到小数点后两位。</w:t>
      </w:r>
    </w:p>
    <w:p w14:paraId="460345EC">
      <w:pPr>
        <w:pBdr>
          <w:bottom w:val="single" w:color="auto" w:sz="6" w:space="1"/>
        </w:pBdr>
        <w:spacing w:line="360" w:lineRule="auto"/>
        <w:ind w:firstLine="525" w:firstLineChars="250"/>
        <w:rPr>
          <w:rFonts w:ascii="宋体" w:hAnsi="宋体" w:cs="宋体"/>
          <w:szCs w:val="21"/>
        </w:rPr>
      </w:pPr>
      <w:r>
        <w:rPr>
          <w:rFonts w:hint="eastAsia" w:ascii="宋体" w:hAnsi="宋体" w:cs="宋体"/>
          <w:szCs w:val="21"/>
        </w:rPr>
        <w:t>45.4计算通过技术标有效性审查的投标人总得分。</w:t>
      </w:r>
      <w:r>
        <w:rPr>
          <w:rFonts w:hint="eastAsia" w:ascii="宋体" w:hAnsi="宋体" w:cs="宋体"/>
          <w:szCs w:val="21"/>
          <w:u w:val="single"/>
        </w:rPr>
        <w:t>投标人总得分=技术得分（100分）×技术得分权重（</w:t>
      </w:r>
      <w:r>
        <w:rPr>
          <w:rFonts w:ascii="宋体" w:hAnsi="宋体" w:cs="宋体"/>
          <w:szCs w:val="21"/>
          <w:u w:val="single"/>
        </w:rPr>
        <w:t>2</w:t>
      </w:r>
      <w:r>
        <w:rPr>
          <w:rFonts w:hint="eastAsia" w:ascii="宋体" w:hAnsi="宋体" w:cs="宋体"/>
          <w:szCs w:val="21"/>
          <w:u w:val="single"/>
        </w:rPr>
        <w:t>0%）＋经济得分(100分)×经济得分权重（80%）。</w:t>
      </w:r>
      <w:r>
        <w:rPr>
          <w:rFonts w:hint="eastAsia" w:ascii="宋体" w:hAnsi="宋体" w:cs="宋体"/>
          <w:szCs w:val="21"/>
        </w:rPr>
        <w:t>技术、经济得分权重按投标须知前附表的规定执行。总得分四舍五入保留两位小数。</w:t>
      </w:r>
    </w:p>
    <w:p w14:paraId="31A769DE">
      <w:pPr>
        <w:pBdr>
          <w:bottom w:val="single" w:color="auto" w:sz="6" w:space="1"/>
        </w:pBdr>
        <w:spacing w:line="360" w:lineRule="auto"/>
        <w:ind w:firstLine="525" w:firstLineChars="250"/>
        <w:rPr>
          <w:rFonts w:ascii="宋体" w:hAnsi="宋体" w:cs="宋体"/>
          <w:szCs w:val="21"/>
          <w:u w:val="single"/>
        </w:rPr>
      </w:pPr>
      <w:r>
        <w:rPr>
          <w:rFonts w:hint="eastAsia" w:ascii="宋体" w:hAnsi="宋体" w:cs="宋体"/>
          <w:szCs w:val="21"/>
          <w:u w:val="single"/>
        </w:rPr>
        <w:t>45.5总得分相同情况下的排序方法：总得分相同的投标文件，以技术分较高的排前；技术分均相同的投标文件，以报价较低的排前；如仍存在相同情况，则对具有相同情况的投标人，由评标委员会采用投票方式，确定投标人的排序。</w:t>
      </w:r>
    </w:p>
    <w:p w14:paraId="1E694FD9">
      <w:pPr>
        <w:pBdr>
          <w:bottom w:val="single" w:color="auto" w:sz="6" w:space="1"/>
        </w:pBdr>
        <w:spacing w:line="360" w:lineRule="auto"/>
        <w:ind w:firstLine="525" w:firstLineChars="250"/>
        <w:rPr>
          <w:rFonts w:ascii="宋体" w:hAnsi="宋体" w:cs="宋体"/>
          <w:szCs w:val="21"/>
          <w:u w:val="single"/>
        </w:rPr>
      </w:pPr>
      <w:r>
        <w:rPr>
          <w:rFonts w:hint="eastAsia" w:ascii="宋体" w:hAnsi="宋体" w:cs="宋体"/>
          <w:szCs w:val="21"/>
          <w:u w:val="single"/>
        </w:rPr>
        <w:t>注：投票方式确定排序的具体操作步骤为：由评标会对出现该情况的投标人进行编号，然后通过投票方式依次确定投标人的排序。</w:t>
      </w:r>
    </w:p>
    <w:p w14:paraId="385DF098">
      <w:pPr>
        <w:spacing w:line="360" w:lineRule="auto"/>
        <w:ind w:firstLine="420" w:firstLineChars="200"/>
        <w:rPr>
          <w:rFonts w:ascii="宋体" w:hAnsi="宋体" w:cs="宋体"/>
          <w:b/>
          <w:szCs w:val="21"/>
        </w:rPr>
      </w:pPr>
      <w:r>
        <w:rPr>
          <w:rFonts w:hint="eastAsia" w:ascii="宋体" w:hAnsi="宋体" w:cs="宋体"/>
          <w:b/>
          <w:szCs w:val="21"/>
        </w:rPr>
        <w:t>条款号：48                      修改类型：修改</w:t>
      </w:r>
    </w:p>
    <w:p w14:paraId="480A49FB">
      <w:pPr>
        <w:spacing w:line="360" w:lineRule="auto"/>
        <w:ind w:firstLine="420" w:firstLineChars="200"/>
        <w:rPr>
          <w:rFonts w:ascii="宋体" w:hAnsi="宋体" w:cs="宋体"/>
          <w:szCs w:val="21"/>
        </w:rPr>
      </w:pPr>
      <w:r>
        <w:rPr>
          <w:rFonts w:hint="eastAsia" w:ascii="宋体" w:hAnsi="宋体" w:cs="宋体"/>
          <w:b/>
          <w:szCs w:val="21"/>
        </w:rPr>
        <w:t>原文：</w:t>
      </w:r>
      <w:r>
        <w:rPr>
          <w:rFonts w:hint="eastAsia" w:ascii="宋体" w:hAnsi="宋体" w:cs="宋体"/>
          <w:szCs w:val="21"/>
        </w:rPr>
        <w:t>48.评标委员会应在通过投标文件经济标有效性审查的投标人中，按步骤45.4确定的投标人第二阶段排序，推荐前3名依次为第一中标候选人至第三中标候选人,并编制评标报告。</w:t>
      </w:r>
    </w:p>
    <w:p w14:paraId="1F6D3FA2">
      <w:pPr>
        <w:pBdr>
          <w:bottom w:val="single" w:color="auto" w:sz="4" w:space="1"/>
        </w:pBdr>
        <w:spacing w:line="360" w:lineRule="auto"/>
        <w:ind w:firstLine="420" w:firstLineChars="200"/>
        <w:rPr>
          <w:rFonts w:ascii="宋体" w:hAnsi="宋体" w:cs="宋体"/>
          <w:szCs w:val="21"/>
        </w:rPr>
      </w:pPr>
      <w:r>
        <w:rPr>
          <w:rFonts w:hint="eastAsia" w:ascii="宋体" w:hAnsi="宋体" w:cs="宋体"/>
          <w:b/>
          <w:szCs w:val="21"/>
        </w:rPr>
        <w:t>现文：</w:t>
      </w:r>
      <w:r>
        <w:rPr>
          <w:rFonts w:hint="eastAsia" w:ascii="宋体" w:hAnsi="宋体" w:cs="宋体"/>
          <w:szCs w:val="21"/>
        </w:rPr>
        <w:t>48.评标委员会应在通过投标文件经济标有效性审查的投标人中，按步骤</w:t>
      </w:r>
      <w:r>
        <w:rPr>
          <w:rFonts w:hint="eastAsia" w:ascii="宋体" w:hAnsi="宋体" w:cs="宋体"/>
          <w:szCs w:val="21"/>
          <w:u w:val="single"/>
        </w:rPr>
        <w:t>45.4、45.5</w:t>
      </w:r>
      <w:r>
        <w:rPr>
          <w:rFonts w:hint="eastAsia" w:ascii="宋体" w:hAnsi="宋体" w:cs="宋体"/>
          <w:szCs w:val="21"/>
        </w:rPr>
        <w:t>确定的投标人第二阶段排序，推荐前3名依次为第一中标候选人至第三中标候选人,并编制评标报告。</w:t>
      </w:r>
    </w:p>
    <w:p w14:paraId="4963CBBC">
      <w:pPr>
        <w:spacing w:line="360" w:lineRule="auto"/>
        <w:ind w:firstLine="470" w:firstLineChars="224"/>
        <w:rPr>
          <w:rFonts w:ascii="宋体" w:hAnsi="宋体" w:cs="宋体"/>
          <w:b/>
          <w:szCs w:val="21"/>
        </w:rPr>
      </w:pPr>
      <w:r>
        <w:rPr>
          <w:rFonts w:hint="eastAsia" w:ascii="宋体" w:hAnsi="宋体" w:cs="宋体"/>
          <w:b/>
          <w:szCs w:val="21"/>
        </w:rPr>
        <w:t>条款号：附表一《资格审查表》                         修改类型：修改</w:t>
      </w:r>
    </w:p>
    <w:p w14:paraId="735D39BB">
      <w:pPr>
        <w:spacing w:line="360" w:lineRule="auto"/>
        <w:ind w:firstLine="470" w:firstLineChars="224"/>
        <w:rPr>
          <w:rFonts w:ascii="宋体" w:hAnsi="宋体" w:cs="宋体"/>
          <w:bCs/>
          <w:szCs w:val="21"/>
        </w:rPr>
      </w:pPr>
      <w:r>
        <w:rPr>
          <w:rFonts w:hint="eastAsia" w:ascii="宋体" w:hAnsi="宋体" w:cs="宋体"/>
          <w:b/>
          <w:szCs w:val="21"/>
        </w:rPr>
        <w:t>原文：</w:t>
      </w:r>
      <w:r>
        <w:rPr>
          <w:rFonts w:hint="eastAsia" w:ascii="宋体" w:hAnsi="宋体" w:cs="宋体"/>
          <w:bCs/>
          <w:szCs w:val="21"/>
        </w:rPr>
        <w:t>详见《广州市建设工程施工公开招标项目招标文件范本GZZB2018-3》</w:t>
      </w:r>
    </w:p>
    <w:p w14:paraId="3504E28A">
      <w:pPr>
        <w:pBdr>
          <w:bottom w:val="single" w:color="auto" w:sz="6" w:space="1"/>
        </w:pBdr>
        <w:spacing w:line="360" w:lineRule="auto"/>
        <w:ind w:firstLine="525" w:firstLineChars="250"/>
        <w:rPr>
          <w:rFonts w:ascii="宋体" w:hAnsi="宋体" w:cs="宋体"/>
          <w:szCs w:val="21"/>
        </w:rPr>
      </w:pPr>
      <w:r>
        <w:rPr>
          <w:rFonts w:hint="eastAsia" w:ascii="宋体" w:hAnsi="宋体" w:cs="宋体"/>
          <w:b/>
          <w:szCs w:val="21"/>
        </w:rPr>
        <w:t>现文：</w:t>
      </w:r>
      <w:r>
        <w:rPr>
          <w:rFonts w:hint="eastAsia" w:ascii="宋体" w:hAnsi="宋体" w:cs="宋体"/>
          <w:bCs/>
          <w:szCs w:val="21"/>
        </w:rPr>
        <w:t>详见附表一《资格审查表》</w:t>
      </w:r>
    </w:p>
    <w:p w14:paraId="5D2650DF">
      <w:pPr>
        <w:spacing w:line="360" w:lineRule="auto"/>
        <w:ind w:firstLine="470" w:firstLineChars="224"/>
        <w:rPr>
          <w:rFonts w:ascii="宋体" w:hAnsi="宋体" w:cs="宋体"/>
          <w:b/>
          <w:szCs w:val="21"/>
        </w:rPr>
      </w:pPr>
      <w:r>
        <w:rPr>
          <w:rFonts w:hint="eastAsia" w:ascii="宋体" w:hAnsi="宋体" w:cs="宋体"/>
          <w:b/>
          <w:szCs w:val="21"/>
        </w:rPr>
        <w:t>条款号：附表二《技术标有效性审查表》                 修改类型：修改</w:t>
      </w:r>
    </w:p>
    <w:p w14:paraId="29BA861B">
      <w:pPr>
        <w:spacing w:line="360" w:lineRule="auto"/>
        <w:ind w:firstLine="470" w:firstLineChars="224"/>
        <w:rPr>
          <w:rFonts w:ascii="宋体" w:hAnsi="宋体" w:cs="宋体"/>
          <w:bCs/>
          <w:szCs w:val="21"/>
        </w:rPr>
      </w:pPr>
      <w:r>
        <w:rPr>
          <w:rFonts w:hint="eastAsia" w:ascii="宋体" w:hAnsi="宋体" w:cs="宋体"/>
          <w:b/>
          <w:szCs w:val="21"/>
        </w:rPr>
        <w:t>原文：</w:t>
      </w:r>
      <w:r>
        <w:rPr>
          <w:rFonts w:hint="eastAsia" w:ascii="宋体" w:hAnsi="宋体" w:cs="宋体"/>
          <w:bCs/>
          <w:szCs w:val="21"/>
        </w:rPr>
        <w:t>详见《广州市建设工程施工公开招标项目招标文件范本GZZB2018-3》</w:t>
      </w:r>
    </w:p>
    <w:p w14:paraId="2C703629">
      <w:pPr>
        <w:pBdr>
          <w:bottom w:val="single" w:color="auto" w:sz="6" w:space="1"/>
        </w:pBdr>
        <w:spacing w:line="360" w:lineRule="auto"/>
        <w:ind w:firstLine="525" w:firstLineChars="250"/>
        <w:rPr>
          <w:rFonts w:ascii="宋体" w:hAnsi="宋体" w:cs="宋体"/>
          <w:szCs w:val="21"/>
        </w:rPr>
      </w:pPr>
      <w:r>
        <w:rPr>
          <w:rFonts w:hint="eastAsia" w:ascii="宋体" w:hAnsi="宋体" w:cs="宋体"/>
          <w:b/>
          <w:szCs w:val="21"/>
        </w:rPr>
        <w:t>现文：</w:t>
      </w:r>
      <w:r>
        <w:rPr>
          <w:rFonts w:hint="eastAsia" w:ascii="宋体" w:hAnsi="宋体" w:cs="宋体"/>
          <w:bCs/>
          <w:szCs w:val="21"/>
        </w:rPr>
        <w:t>详见附表二《技术标有效性审查表》</w:t>
      </w:r>
    </w:p>
    <w:p w14:paraId="060C2659">
      <w:pPr>
        <w:spacing w:line="360" w:lineRule="auto"/>
        <w:ind w:firstLine="470" w:firstLineChars="224"/>
        <w:rPr>
          <w:rFonts w:ascii="宋体" w:hAnsi="宋体" w:cs="宋体"/>
          <w:b/>
          <w:szCs w:val="21"/>
        </w:rPr>
      </w:pPr>
      <w:r>
        <w:rPr>
          <w:rFonts w:hint="eastAsia" w:ascii="宋体" w:hAnsi="宋体" w:cs="宋体"/>
          <w:b/>
          <w:szCs w:val="21"/>
        </w:rPr>
        <w:t>条款号：附表三《经济标有效性审查表》                 修改类型：修改</w:t>
      </w:r>
    </w:p>
    <w:p w14:paraId="532054E2">
      <w:pPr>
        <w:spacing w:line="360" w:lineRule="auto"/>
        <w:ind w:firstLine="470" w:firstLineChars="224"/>
        <w:rPr>
          <w:rFonts w:ascii="宋体" w:hAnsi="宋体" w:cs="宋体"/>
          <w:bCs/>
          <w:szCs w:val="21"/>
        </w:rPr>
      </w:pPr>
      <w:r>
        <w:rPr>
          <w:rFonts w:hint="eastAsia" w:ascii="宋体" w:hAnsi="宋体" w:cs="宋体"/>
          <w:b/>
          <w:szCs w:val="21"/>
        </w:rPr>
        <w:t>原文：</w:t>
      </w:r>
      <w:r>
        <w:rPr>
          <w:rFonts w:hint="eastAsia" w:ascii="宋体" w:hAnsi="宋体" w:cs="宋体"/>
          <w:bCs/>
          <w:szCs w:val="21"/>
        </w:rPr>
        <w:t>详见《广州市建设工程施工公开招标项目招标文件范本GZZB2018-3》</w:t>
      </w:r>
    </w:p>
    <w:p w14:paraId="0A302A85">
      <w:pPr>
        <w:pBdr>
          <w:bottom w:val="single" w:color="auto" w:sz="6" w:space="1"/>
        </w:pBdr>
        <w:spacing w:line="360" w:lineRule="auto"/>
        <w:ind w:firstLine="525" w:firstLineChars="250"/>
        <w:rPr>
          <w:rFonts w:ascii="宋体" w:hAnsi="宋体" w:cs="宋体"/>
          <w:szCs w:val="21"/>
        </w:rPr>
      </w:pPr>
      <w:r>
        <w:rPr>
          <w:rFonts w:hint="eastAsia" w:ascii="宋体" w:hAnsi="宋体" w:cs="宋体"/>
          <w:b/>
          <w:szCs w:val="21"/>
        </w:rPr>
        <w:t>现文：</w:t>
      </w:r>
      <w:r>
        <w:rPr>
          <w:rFonts w:hint="eastAsia" w:ascii="宋体" w:hAnsi="宋体" w:cs="宋体"/>
          <w:bCs/>
          <w:szCs w:val="21"/>
        </w:rPr>
        <w:t>详见附表三《经济标有效性审查表》</w:t>
      </w:r>
    </w:p>
    <w:p w14:paraId="7E787D1B">
      <w:pPr>
        <w:spacing w:line="360" w:lineRule="auto"/>
        <w:ind w:firstLine="470" w:firstLineChars="224"/>
        <w:rPr>
          <w:rFonts w:ascii="宋体" w:hAnsi="宋体" w:cs="宋体"/>
          <w:b/>
          <w:szCs w:val="21"/>
        </w:rPr>
      </w:pPr>
      <w:r>
        <w:rPr>
          <w:rFonts w:hint="eastAsia" w:ascii="宋体" w:hAnsi="宋体" w:cs="宋体"/>
          <w:b/>
          <w:szCs w:val="21"/>
        </w:rPr>
        <w:t>条款号：附表四《技术标详细审查评分表》               修改类型：修改</w:t>
      </w:r>
    </w:p>
    <w:p w14:paraId="673EF3B3">
      <w:pPr>
        <w:pBdr>
          <w:bottom w:val="single" w:color="auto" w:sz="6" w:space="1"/>
        </w:pBdr>
        <w:spacing w:line="360" w:lineRule="auto"/>
        <w:ind w:firstLine="525" w:firstLineChars="250"/>
        <w:rPr>
          <w:rFonts w:ascii="宋体" w:hAnsi="宋体" w:cs="宋体"/>
          <w:szCs w:val="21"/>
        </w:rPr>
      </w:pPr>
      <w:r>
        <w:rPr>
          <w:rFonts w:hint="eastAsia" w:ascii="宋体" w:hAnsi="宋体" w:cs="宋体"/>
          <w:b/>
          <w:szCs w:val="21"/>
        </w:rPr>
        <w:t>现文：</w:t>
      </w:r>
      <w:r>
        <w:rPr>
          <w:rFonts w:hint="eastAsia" w:ascii="宋体" w:hAnsi="宋体" w:cs="宋体"/>
          <w:bCs/>
          <w:szCs w:val="21"/>
        </w:rPr>
        <w:t>详见附表四《技术标详细审查评分表》</w:t>
      </w:r>
    </w:p>
    <w:p w14:paraId="2124512B">
      <w:pPr>
        <w:spacing w:line="360" w:lineRule="auto"/>
        <w:ind w:firstLine="470" w:firstLineChars="224"/>
        <w:rPr>
          <w:rFonts w:ascii="宋体" w:hAnsi="宋体" w:cs="宋体"/>
          <w:b/>
          <w:szCs w:val="21"/>
        </w:rPr>
      </w:pPr>
      <w:r>
        <w:rPr>
          <w:rFonts w:hint="eastAsia" w:ascii="宋体" w:hAnsi="宋体" w:cs="宋体"/>
          <w:b/>
          <w:szCs w:val="21"/>
        </w:rPr>
        <w:t xml:space="preserve">条款号：附表五（适用于区间抽取法）经济标评分表   </w:t>
      </w:r>
      <w:r>
        <w:rPr>
          <w:rFonts w:ascii="宋体" w:hAnsi="宋体" w:cs="宋体"/>
          <w:b/>
          <w:szCs w:val="21"/>
        </w:rPr>
        <w:t xml:space="preserve">    </w:t>
      </w:r>
      <w:r>
        <w:rPr>
          <w:rFonts w:hint="eastAsia" w:ascii="宋体" w:hAnsi="宋体" w:cs="宋体"/>
          <w:b/>
          <w:szCs w:val="21"/>
        </w:rPr>
        <w:t>修改类型：删除</w:t>
      </w:r>
    </w:p>
    <w:p w14:paraId="7C2A7748">
      <w:pPr>
        <w:pBdr>
          <w:bottom w:val="single" w:color="auto" w:sz="6" w:space="1"/>
        </w:pBdr>
        <w:spacing w:line="360" w:lineRule="auto"/>
        <w:ind w:firstLine="525" w:firstLineChars="250"/>
        <w:rPr>
          <w:rFonts w:ascii="宋体" w:hAnsi="宋体" w:cs="宋体"/>
          <w:szCs w:val="21"/>
        </w:rPr>
      </w:pPr>
      <w:r>
        <w:rPr>
          <w:rFonts w:hint="eastAsia" w:ascii="宋体" w:hAnsi="宋体" w:cs="宋体"/>
          <w:b/>
          <w:szCs w:val="21"/>
        </w:rPr>
        <w:t>原文：</w:t>
      </w:r>
      <w:r>
        <w:rPr>
          <w:rFonts w:hint="eastAsia" w:ascii="宋体" w:hAnsi="宋体" w:cs="宋体"/>
          <w:bCs/>
          <w:szCs w:val="21"/>
        </w:rPr>
        <w:t>详见《广州市建设工程施工公开招标项目招标文件范本GZZB2018-3》</w:t>
      </w:r>
    </w:p>
    <w:p w14:paraId="6D51478F">
      <w:pPr>
        <w:spacing w:line="360" w:lineRule="auto"/>
        <w:ind w:firstLine="210" w:firstLineChars="100"/>
        <w:rPr>
          <w:b/>
          <w:szCs w:val="21"/>
        </w:rPr>
      </w:pPr>
      <w:r>
        <w:rPr>
          <w:rFonts w:hint="eastAsia" w:ascii="宋体" w:hAnsi="宋体" w:cs="宋体"/>
          <w:b/>
          <w:szCs w:val="21"/>
        </w:rPr>
        <w:t>注：以上修改，仅限于本范本中有可供选择条款的情形。</w:t>
      </w:r>
    </w:p>
    <w:p w14:paraId="6A097B4C">
      <w:pPr>
        <w:spacing w:line="360" w:lineRule="auto"/>
      </w:pPr>
      <w:r>
        <w:rPr>
          <w:rFonts w:hint="eastAsia"/>
          <w:b/>
          <w:szCs w:val="21"/>
        </w:rPr>
        <w:t>（以下无正文）</w:t>
      </w:r>
    </w:p>
    <w:p w14:paraId="03C867DE">
      <w:pPr>
        <w:pStyle w:val="10"/>
        <w:spacing w:line="360" w:lineRule="auto"/>
      </w:pPr>
      <w:r>
        <w:br w:type="page"/>
      </w:r>
    </w:p>
    <w:p w14:paraId="2AD8642B">
      <w:pPr>
        <w:pStyle w:val="7"/>
        <w:ind w:firstLine="525"/>
        <w:rPr>
          <w:color w:val="auto"/>
        </w:rPr>
      </w:pPr>
      <w:bookmarkStart w:id="18" w:name="_Toc2272556"/>
      <w:r>
        <w:rPr>
          <w:rFonts w:hint="eastAsia"/>
          <w:color w:val="auto"/>
        </w:rPr>
        <w:t>二、开标、评标及定标办法</w:t>
      </w:r>
      <w:r>
        <w:rPr>
          <w:rFonts w:hint="eastAsia"/>
          <w:color w:val="auto"/>
          <w:szCs w:val="30"/>
        </w:rPr>
        <w:t>通用条款</w:t>
      </w:r>
      <w:bookmarkEnd w:id="18"/>
    </w:p>
    <w:p w14:paraId="798490C1">
      <w:pPr>
        <w:pStyle w:val="8"/>
        <w:spacing w:before="156" w:after="156"/>
        <w:ind w:firstLine="540" w:firstLineChars="200"/>
      </w:pPr>
      <w:bookmarkStart w:id="19" w:name="_Toc2272557"/>
      <w:r>
        <w:rPr>
          <w:rFonts w:hint="eastAsia"/>
        </w:rPr>
        <w:t>（一）总则</w:t>
      </w:r>
      <w:bookmarkEnd w:id="19"/>
    </w:p>
    <w:p w14:paraId="313C1853">
      <w:pPr>
        <w:spacing w:line="360" w:lineRule="auto"/>
        <w:ind w:firstLine="480" w:firstLineChars="200"/>
        <w:rPr>
          <w:rFonts w:ascii="宋体" w:hAnsi="宋体"/>
          <w:sz w:val="24"/>
          <w:szCs w:val="24"/>
        </w:rPr>
      </w:pPr>
      <w:r>
        <w:rPr>
          <w:rFonts w:hint="eastAsia" w:ascii="宋体" w:hAnsi="宋体"/>
          <w:sz w:val="24"/>
          <w:szCs w:val="24"/>
        </w:rPr>
        <w:t>35 开标、评标及定标所依据的规则</w:t>
      </w:r>
    </w:p>
    <w:p w14:paraId="7A50178F">
      <w:pPr>
        <w:spacing w:line="360" w:lineRule="auto"/>
        <w:ind w:firstLine="480" w:firstLineChars="200"/>
        <w:rPr>
          <w:rFonts w:ascii="宋体" w:hAnsi="宋体"/>
          <w:sz w:val="24"/>
          <w:szCs w:val="24"/>
        </w:rPr>
      </w:pPr>
      <w:r>
        <w:rPr>
          <w:rFonts w:hint="eastAsia" w:ascii="宋体" w:hAnsi="宋体"/>
          <w:sz w:val="24"/>
          <w:szCs w:val="24"/>
        </w:rPr>
        <w:t>35.1《中华人民共和国招标投标法》；</w:t>
      </w:r>
    </w:p>
    <w:p w14:paraId="5A32F583">
      <w:pPr>
        <w:spacing w:line="360" w:lineRule="auto"/>
        <w:ind w:firstLine="480" w:firstLineChars="200"/>
        <w:rPr>
          <w:rFonts w:ascii="宋体" w:hAnsi="宋体"/>
          <w:sz w:val="24"/>
          <w:szCs w:val="24"/>
        </w:rPr>
      </w:pPr>
      <w:r>
        <w:rPr>
          <w:rFonts w:hint="eastAsia" w:ascii="宋体" w:hAnsi="宋体"/>
          <w:sz w:val="24"/>
          <w:szCs w:val="24"/>
        </w:rPr>
        <w:t>35.2《中华人民共和国招标投标法实施条例》；</w:t>
      </w:r>
    </w:p>
    <w:p w14:paraId="5E7E1F0D">
      <w:pPr>
        <w:spacing w:line="360" w:lineRule="auto"/>
        <w:ind w:firstLine="480" w:firstLineChars="200"/>
        <w:rPr>
          <w:rFonts w:ascii="宋体" w:hAnsi="宋体"/>
          <w:sz w:val="24"/>
          <w:szCs w:val="24"/>
        </w:rPr>
      </w:pPr>
      <w:r>
        <w:rPr>
          <w:rFonts w:hint="eastAsia" w:ascii="宋体" w:hAnsi="宋体"/>
          <w:sz w:val="24"/>
          <w:szCs w:val="24"/>
        </w:rPr>
        <w:t>35.3《评标委员会和评标方法暂行规定》（七部委第12号令）</w:t>
      </w:r>
    </w:p>
    <w:p w14:paraId="4A0ED514">
      <w:pPr>
        <w:spacing w:line="360" w:lineRule="auto"/>
        <w:ind w:firstLine="480" w:firstLineChars="200"/>
        <w:rPr>
          <w:rFonts w:ascii="宋体" w:hAnsi="宋体"/>
          <w:sz w:val="24"/>
          <w:szCs w:val="24"/>
        </w:rPr>
      </w:pPr>
      <w:r>
        <w:rPr>
          <w:rFonts w:hint="eastAsia" w:ascii="宋体" w:hAnsi="宋体"/>
          <w:sz w:val="24"/>
          <w:szCs w:val="24"/>
        </w:rPr>
        <w:t>35.4《工程建设项目施工招标投标办法》（七部委2003年第30号令）</w:t>
      </w:r>
    </w:p>
    <w:p w14:paraId="510D32F9">
      <w:pPr>
        <w:spacing w:line="360" w:lineRule="auto"/>
        <w:ind w:firstLine="480" w:firstLineChars="200"/>
        <w:rPr>
          <w:rFonts w:ascii="宋体" w:hAnsi="宋体"/>
          <w:sz w:val="24"/>
          <w:szCs w:val="24"/>
        </w:rPr>
      </w:pPr>
      <w:r>
        <w:rPr>
          <w:rFonts w:hint="eastAsia" w:ascii="宋体" w:hAnsi="宋体"/>
          <w:sz w:val="24"/>
          <w:szCs w:val="24"/>
        </w:rPr>
        <w:t>35.5《广东省实施〈中华人民共和国招标投标法〉办法》；</w:t>
      </w:r>
    </w:p>
    <w:p w14:paraId="27268D3A">
      <w:pPr>
        <w:spacing w:line="360" w:lineRule="auto"/>
        <w:ind w:firstLine="480" w:firstLineChars="200"/>
        <w:rPr>
          <w:rFonts w:ascii="宋体" w:hAnsi="宋体"/>
          <w:sz w:val="24"/>
          <w:szCs w:val="24"/>
        </w:rPr>
      </w:pPr>
      <w:r>
        <w:rPr>
          <w:rFonts w:hint="eastAsia" w:ascii="宋体" w:hAnsi="宋体"/>
          <w:sz w:val="24"/>
          <w:szCs w:val="24"/>
        </w:rPr>
        <w:t>35.6《房屋建筑和市政基础设施工程施工招标投标管理办法》（建设部令第89号）</w:t>
      </w:r>
    </w:p>
    <w:p w14:paraId="10FC8D7C">
      <w:pPr>
        <w:spacing w:line="360" w:lineRule="auto"/>
        <w:ind w:firstLine="480" w:firstLineChars="200"/>
        <w:rPr>
          <w:rFonts w:ascii="宋体" w:hAnsi="宋体"/>
          <w:sz w:val="24"/>
          <w:szCs w:val="24"/>
        </w:rPr>
      </w:pPr>
      <w:r>
        <w:rPr>
          <w:rFonts w:hint="eastAsia" w:ascii="宋体" w:hAnsi="宋体"/>
          <w:sz w:val="24"/>
          <w:szCs w:val="24"/>
        </w:rPr>
        <w:t>35.7《财政部 工业和信息化部关于印发〈政府采购促进中小企业发展管理办法〉的通知》（财库〔2020〕46号）</w:t>
      </w:r>
    </w:p>
    <w:p w14:paraId="62D86DA5">
      <w:pPr>
        <w:spacing w:line="360" w:lineRule="auto"/>
        <w:ind w:firstLine="480" w:firstLineChars="200"/>
        <w:rPr>
          <w:rFonts w:ascii="宋体" w:hAnsi="宋体"/>
          <w:sz w:val="24"/>
          <w:szCs w:val="24"/>
        </w:rPr>
      </w:pPr>
      <w:r>
        <w:rPr>
          <w:rFonts w:hint="eastAsia" w:ascii="宋体" w:hAnsi="宋体"/>
          <w:sz w:val="24"/>
          <w:szCs w:val="24"/>
        </w:rPr>
        <w:t>35.8《广东省加强建设工程招标投标监督管理的若干规定》（粤发[2004]4号）；</w:t>
      </w:r>
    </w:p>
    <w:p w14:paraId="33FDA6F3">
      <w:pPr>
        <w:spacing w:line="360" w:lineRule="auto"/>
        <w:ind w:firstLine="480" w:firstLineChars="200"/>
        <w:rPr>
          <w:rFonts w:ascii="宋体" w:hAnsi="宋体"/>
          <w:sz w:val="24"/>
          <w:szCs w:val="24"/>
        </w:rPr>
      </w:pPr>
      <w:r>
        <w:rPr>
          <w:rFonts w:hint="eastAsia" w:ascii="宋体" w:hAnsi="宋体"/>
          <w:sz w:val="24"/>
          <w:szCs w:val="24"/>
        </w:rPr>
        <w:t>35.9《广东省政府采购促进中小企业发展实施细则（试行）》</w:t>
      </w:r>
    </w:p>
    <w:p w14:paraId="5BAA8427">
      <w:pPr>
        <w:spacing w:line="360" w:lineRule="auto"/>
        <w:ind w:firstLine="480" w:firstLineChars="200"/>
        <w:rPr>
          <w:rFonts w:ascii="宋体" w:hAnsi="宋体"/>
          <w:sz w:val="24"/>
          <w:szCs w:val="24"/>
        </w:rPr>
      </w:pPr>
      <w:r>
        <w:rPr>
          <w:rFonts w:hint="eastAsia" w:ascii="宋体" w:hAnsi="宋体"/>
          <w:sz w:val="24"/>
          <w:szCs w:val="24"/>
        </w:rPr>
        <w:t>35.10《广州市工程建设项目招标投标管理办法》（穗建规字〔2023〕12号）；</w:t>
      </w:r>
    </w:p>
    <w:p w14:paraId="51BA324D">
      <w:pPr>
        <w:spacing w:line="360" w:lineRule="auto"/>
        <w:ind w:firstLine="480" w:firstLineChars="200"/>
        <w:rPr>
          <w:rFonts w:ascii="宋体" w:hAnsi="宋体"/>
          <w:sz w:val="24"/>
          <w:szCs w:val="24"/>
        </w:rPr>
      </w:pPr>
      <w:r>
        <w:rPr>
          <w:rFonts w:hint="eastAsia" w:ascii="宋体" w:hAnsi="宋体"/>
          <w:sz w:val="24"/>
          <w:szCs w:val="24"/>
        </w:rPr>
        <w:t>35.11《广州市财政局 广州市工业和信息化局转发广东省财政厅 广东省发展和改革委员会 广东省工业和信息化厅 广东省地方金融监督管理局关于印发&lt;广东省政府采购促进中小企业发展实施细则（试行）&gt;的通知》（穗财采〔2023〕8号）；</w:t>
      </w:r>
    </w:p>
    <w:p w14:paraId="200DB86C">
      <w:pPr>
        <w:spacing w:line="360" w:lineRule="auto"/>
        <w:ind w:firstLine="480" w:firstLineChars="200"/>
        <w:rPr>
          <w:rFonts w:ascii="宋体" w:hAnsi="宋体"/>
          <w:sz w:val="24"/>
          <w:szCs w:val="24"/>
        </w:rPr>
      </w:pPr>
      <w:r>
        <w:rPr>
          <w:rFonts w:hint="eastAsia" w:ascii="宋体" w:hAnsi="宋体"/>
          <w:sz w:val="24"/>
          <w:szCs w:val="24"/>
        </w:rPr>
        <w:t>35.12本项目招标文件。</w:t>
      </w:r>
    </w:p>
    <w:p w14:paraId="2B83075E">
      <w:pPr>
        <w:spacing w:line="360" w:lineRule="auto"/>
        <w:ind w:firstLine="480" w:firstLineChars="200"/>
        <w:rPr>
          <w:rFonts w:ascii="宋体" w:hAnsi="宋体"/>
          <w:sz w:val="24"/>
          <w:szCs w:val="24"/>
        </w:rPr>
      </w:pPr>
      <w:r>
        <w:rPr>
          <w:rFonts w:ascii="宋体" w:hAnsi="宋体"/>
          <w:sz w:val="24"/>
          <w:szCs w:val="24"/>
        </w:rPr>
        <w:t>36</w:t>
      </w:r>
      <w:r>
        <w:rPr>
          <w:rFonts w:hint="eastAsia" w:ascii="宋体" w:hAnsi="宋体"/>
          <w:sz w:val="24"/>
          <w:szCs w:val="24"/>
        </w:rPr>
        <w:t>．开标</w:t>
      </w:r>
    </w:p>
    <w:p w14:paraId="1ECAD592">
      <w:pPr>
        <w:spacing w:line="360" w:lineRule="auto"/>
        <w:ind w:firstLine="480" w:firstLineChars="200"/>
        <w:rPr>
          <w:rFonts w:ascii="宋体" w:hAnsi="宋体"/>
          <w:sz w:val="24"/>
          <w:szCs w:val="24"/>
        </w:rPr>
      </w:pPr>
      <w:r>
        <w:rPr>
          <w:rFonts w:ascii="宋体" w:hAnsi="宋体"/>
          <w:sz w:val="24"/>
          <w:szCs w:val="24"/>
        </w:rPr>
        <w:t xml:space="preserve">36.1 </w:t>
      </w:r>
      <w:r>
        <w:rPr>
          <w:rFonts w:hint="eastAsia" w:ascii="宋体" w:hAnsi="宋体"/>
          <w:sz w:val="24"/>
          <w:szCs w:val="24"/>
        </w:rPr>
        <w:t>招标人按投标须知前附表第18项所规定的时间和地点公开开标，并邀请所有投标人参加。截标后，开标开始时间因故推迟的，相关评标信息仍以原定的开标开始时间的信息为准。</w:t>
      </w:r>
    </w:p>
    <w:p w14:paraId="084DF933">
      <w:pPr>
        <w:spacing w:line="360" w:lineRule="auto"/>
        <w:ind w:firstLine="480" w:firstLineChars="200"/>
        <w:rPr>
          <w:rFonts w:ascii="宋体" w:hAnsi="宋体"/>
          <w:sz w:val="24"/>
          <w:szCs w:val="24"/>
        </w:rPr>
      </w:pPr>
      <w:r>
        <w:rPr>
          <w:rFonts w:ascii="宋体" w:hAnsi="宋体"/>
          <w:sz w:val="24"/>
          <w:szCs w:val="24"/>
        </w:rPr>
        <w:t>36.2</w:t>
      </w:r>
      <w:r>
        <w:rPr>
          <w:rFonts w:hint="eastAsia" w:ascii="宋体" w:hAnsi="宋体"/>
          <w:sz w:val="24"/>
          <w:szCs w:val="24"/>
        </w:rPr>
        <w:t xml:space="preserve"> 招标人在招标文件要求提交投标文件的截止时间前收到的投标文件，开标时都当众予以解密、公布。</w:t>
      </w:r>
    </w:p>
    <w:p w14:paraId="697BF851">
      <w:pPr>
        <w:spacing w:line="360" w:lineRule="auto"/>
        <w:ind w:firstLine="480" w:firstLineChars="200"/>
        <w:rPr>
          <w:rFonts w:ascii="宋体" w:hAnsi="宋体"/>
          <w:sz w:val="24"/>
          <w:szCs w:val="24"/>
        </w:rPr>
      </w:pPr>
      <w:r>
        <w:rPr>
          <w:rFonts w:hint="eastAsia" w:ascii="宋体" w:hAnsi="宋体"/>
          <w:sz w:val="24"/>
          <w:szCs w:val="24"/>
        </w:rPr>
        <w:t>36.3根据投标须知前附表第19项，如需抽取某一种评标办法供评标时使用的，应在开标前抽取。首先对招标文件中约定的若干种评标方法进行编号，再随机抽取某一编号，该编号所对应的评标办法供评标时使用。</w:t>
      </w:r>
    </w:p>
    <w:p w14:paraId="7C36C31C">
      <w:pPr>
        <w:spacing w:line="360" w:lineRule="auto"/>
        <w:ind w:firstLine="480" w:firstLineChars="200"/>
        <w:rPr>
          <w:rFonts w:ascii="宋体" w:hAnsi="宋体"/>
          <w:sz w:val="24"/>
          <w:szCs w:val="24"/>
        </w:rPr>
      </w:pPr>
      <w:r>
        <w:rPr>
          <w:rFonts w:hint="eastAsia" w:ascii="宋体" w:hAnsi="宋体"/>
          <w:sz w:val="24"/>
          <w:szCs w:val="24"/>
        </w:rPr>
        <w:t>36.4若递交投标文件的投标人不足3家，则重新组织招标。（当</w:t>
      </w:r>
      <w:r>
        <w:rPr>
          <w:rFonts w:ascii="宋体" w:hAnsi="宋体"/>
          <w:sz w:val="24"/>
          <w:szCs w:val="24"/>
        </w:rPr>
        <w:t>N</w:t>
      </w:r>
      <w:r>
        <w:rPr>
          <w:rFonts w:hint="eastAsia" w:ascii="宋体" w:hAnsi="宋体"/>
          <w:sz w:val="24"/>
          <w:szCs w:val="24"/>
        </w:rPr>
        <w:t>个标段同时招标且不允许兼中时，若有效投标人不足</w:t>
      </w:r>
      <w:r>
        <w:rPr>
          <w:rFonts w:ascii="宋体" w:hAnsi="宋体"/>
          <w:sz w:val="24"/>
          <w:szCs w:val="24"/>
        </w:rPr>
        <w:t>N+</w:t>
      </w:r>
      <w:r>
        <w:rPr>
          <w:rFonts w:hint="eastAsia" w:ascii="宋体" w:hAnsi="宋体"/>
          <w:sz w:val="24"/>
          <w:szCs w:val="24"/>
        </w:rPr>
        <w:t>2家，则重新组织招标）</w:t>
      </w:r>
    </w:p>
    <w:p w14:paraId="1CBDD42B">
      <w:pPr>
        <w:spacing w:line="360" w:lineRule="auto"/>
        <w:ind w:firstLine="480" w:firstLineChars="200"/>
        <w:rPr>
          <w:rFonts w:ascii="宋体" w:hAnsi="宋体"/>
          <w:sz w:val="24"/>
        </w:rPr>
      </w:pPr>
      <w:r>
        <w:rPr>
          <w:rFonts w:hint="eastAsia" w:ascii="宋体" w:hAnsi="宋体"/>
          <w:sz w:val="24"/>
        </w:rPr>
        <w:t>36.5按下列程序进行开标：</w:t>
      </w:r>
    </w:p>
    <w:p w14:paraId="134FFFE7">
      <w:pPr>
        <w:spacing w:line="360" w:lineRule="auto"/>
        <w:ind w:firstLine="480" w:firstLineChars="200"/>
        <w:rPr>
          <w:rFonts w:ascii="宋体" w:hAnsi="宋体"/>
          <w:sz w:val="24"/>
        </w:rPr>
      </w:pPr>
      <w:r>
        <w:rPr>
          <w:rFonts w:hint="eastAsia" w:ascii="宋体" w:hAnsi="宋体"/>
          <w:sz w:val="24"/>
        </w:rPr>
        <w:t>36.5.1在投标截止时间后一个小时内，投标人通过交易平台对已递交的电子投标文件进行解密。投标人完成解密后，再由招标人进行解密。解密完成后，公布招标项目名称、投标人名称、投标保证金的递交情况、投标报价、工期及其他内容；</w:t>
      </w:r>
    </w:p>
    <w:p w14:paraId="678C430F">
      <w:pPr>
        <w:spacing w:line="360" w:lineRule="auto"/>
        <w:ind w:firstLine="480" w:firstLineChars="200"/>
        <w:rPr>
          <w:rFonts w:ascii="宋体" w:hAnsi="宋体"/>
          <w:sz w:val="24"/>
        </w:rPr>
      </w:pPr>
      <w:r>
        <w:rPr>
          <w:rFonts w:hint="eastAsia" w:ascii="宋体" w:hAnsi="宋体"/>
          <w:sz w:val="24"/>
        </w:rPr>
        <w:t>36.5.2备用光盘的读取按投标须知前附表第36项的规定执行；</w:t>
      </w:r>
    </w:p>
    <w:p w14:paraId="50157EC6">
      <w:pPr>
        <w:spacing w:line="360" w:lineRule="auto"/>
        <w:ind w:firstLine="480" w:firstLineChars="200"/>
        <w:rPr>
          <w:rFonts w:ascii="宋体" w:hAnsi="宋体"/>
          <w:sz w:val="24"/>
        </w:rPr>
      </w:pPr>
      <w:r>
        <w:rPr>
          <w:rFonts w:hint="eastAsia" w:ascii="宋体" w:hAnsi="宋体"/>
          <w:sz w:val="24"/>
        </w:rPr>
        <w:t>36.5.3投标人代表、招标人代表、监标人、记录人等有关人员在开标记录上签字确认；若有关人员不签字的，不影响开标程序；</w:t>
      </w:r>
    </w:p>
    <w:p w14:paraId="2242A76A">
      <w:pPr>
        <w:spacing w:line="360" w:lineRule="auto"/>
        <w:ind w:firstLine="480" w:firstLineChars="200"/>
        <w:rPr>
          <w:rFonts w:ascii="宋体" w:hAnsi="宋体"/>
          <w:sz w:val="24"/>
        </w:rPr>
      </w:pPr>
      <w:r>
        <w:rPr>
          <w:rFonts w:hint="eastAsia" w:ascii="宋体" w:hAnsi="宋体"/>
          <w:sz w:val="24"/>
        </w:rPr>
        <w:t>36.5.4开标结束。</w:t>
      </w:r>
    </w:p>
    <w:p w14:paraId="26AA08BD">
      <w:pPr>
        <w:spacing w:line="360" w:lineRule="auto"/>
        <w:ind w:firstLine="480" w:firstLineChars="200"/>
        <w:rPr>
          <w:rFonts w:ascii="宋体" w:hAnsi="宋体"/>
          <w:sz w:val="24"/>
        </w:rPr>
      </w:pPr>
      <w:r>
        <w:rPr>
          <w:rFonts w:hint="eastAsia" w:ascii="宋体" w:hAnsi="宋体"/>
          <w:sz w:val="24"/>
        </w:rPr>
        <w:t>36.6投标截止时间前未完成投标文件传输的或因投标人之外的原因造成投标文件未解密且未按要求递交备用光盘的，视为投标人撤回投标文件。因投标人原因造成投标文件未解密或未在规定的时间内解密的，视为撤销其投标文件。</w:t>
      </w:r>
    </w:p>
    <w:p w14:paraId="11E69B0C">
      <w:pPr>
        <w:spacing w:line="360" w:lineRule="auto"/>
        <w:ind w:firstLine="480" w:firstLineChars="200"/>
        <w:rPr>
          <w:rFonts w:ascii="宋体" w:hAnsi="宋体"/>
          <w:sz w:val="24"/>
        </w:rPr>
      </w:pPr>
      <w:r>
        <w:rPr>
          <w:rFonts w:hint="eastAsia" w:ascii="宋体" w:hAnsi="宋体"/>
          <w:sz w:val="24"/>
        </w:rPr>
        <w:t>36.7开标时，两个（含两个）以上的投标人加密打包投标文件电脑机器特征码一致的，不参与下一程序，并由评标委员会否决其投标。</w:t>
      </w:r>
    </w:p>
    <w:p w14:paraId="4AC1B1E5">
      <w:pPr>
        <w:spacing w:line="360" w:lineRule="auto"/>
        <w:ind w:firstLine="480" w:firstLineChars="200"/>
        <w:rPr>
          <w:rFonts w:ascii="宋体" w:hAnsi="宋体"/>
          <w:sz w:val="24"/>
          <w:szCs w:val="24"/>
        </w:rPr>
      </w:pPr>
      <w:r>
        <w:rPr>
          <w:rFonts w:ascii="宋体" w:hAnsi="宋体"/>
          <w:sz w:val="24"/>
          <w:szCs w:val="24"/>
        </w:rPr>
        <w:t>37</w:t>
      </w:r>
      <w:r>
        <w:rPr>
          <w:rFonts w:hint="eastAsia" w:ascii="宋体" w:hAnsi="宋体"/>
          <w:sz w:val="24"/>
          <w:szCs w:val="24"/>
        </w:rPr>
        <w:t>．评标</w:t>
      </w:r>
    </w:p>
    <w:p w14:paraId="0F0B1029">
      <w:pPr>
        <w:spacing w:line="360" w:lineRule="auto"/>
        <w:ind w:firstLine="480" w:firstLineChars="200"/>
        <w:rPr>
          <w:rFonts w:ascii="宋体" w:hAnsi="宋体"/>
          <w:sz w:val="24"/>
          <w:szCs w:val="24"/>
        </w:rPr>
      </w:pPr>
      <w:r>
        <w:rPr>
          <w:rFonts w:ascii="宋体" w:hAnsi="宋体"/>
          <w:sz w:val="24"/>
          <w:szCs w:val="24"/>
        </w:rPr>
        <w:t>37.1</w:t>
      </w:r>
      <w:r>
        <w:rPr>
          <w:rFonts w:hint="eastAsia" w:ascii="宋体" w:hAnsi="宋体"/>
          <w:sz w:val="24"/>
          <w:szCs w:val="24"/>
        </w:rPr>
        <w:t>评标委员会由招标人依法组建。</w:t>
      </w:r>
    </w:p>
    <w:p w14:paraId="1B689E3C">
      <w:pPr>
        <w:spacing w:line="360" w:lineRule="auto"/>
        <w:ind w:firstLine="480" w:firstLineChars="200"/>
        <w:rPr>
          <w:rFonts w:ascii="宋体" w:hAnsi="宋体"/>
          <w:sz w:val="24"/>
          <w:szCs w:val="24"/>
        </w:rPr>
      </w:pPr>
      <w:r>
        <w:rPr>
          <w:rFonts w:hint="eastAsia" w:ascii="宋体" w:hAnsi="宋体"/>
          <w:sz w:val="24"/>
          <w:szCs w:val="24"/>
        </w:rPr>
        <w:t>37.2评标委员会在开始评标前，应了解评标专家的职责及守则，认真阅读附件1《评标委员会成员声明》的内容并签名，签字后方可进行评标；</w:t>
      </w:r>
    </w:p>
    <w:p w14:paraId="6514E411">
      <w:pPr>
        <w:spacing w:line="360" w:lineRule="auto"/>
        <w:ind w:firstLine="480" w:firstLineChars="200"/>
        <w:rPr>
          <w:rFonts w:ascii="宋体" w:hAnsi="宋体"/>
          <w:sz w:val="24"/>
          <w:szCs w:val="24"/>
        </w:rPr>
      </w:pPr>
      <w:r>
        <w:rPr>
          <w:rFonts w:ascii="宋体" w:hAnsi="宋体"/>
          <w:sz w:val="24"/>
          <w:szCs w:val="24"/>
        </w:rPr>
        <w:t>37.2.1</w:t>
      </w:r>
      <w:r>
        <w:rPr>
          <w:rFonts w:hint="eastAsia" w:ascii="宋体" w:hAnsi="宋体"/>
          <w:sz w:val="24"/>
          <w:szCs w:val="24"/>
        </w:rPr>
        <w:t>根据评标细则，对</w:t>
      </w:r>
      <w:r>
        <w:rPr>
          <w:rFonts w:hint="eastAsia" w:ascii="宋体" w:hAnsi="宋体"/>
          <w:sz w:val="24"/>
        </w:rPr>
        <w:t>投标文件</w:t>
      </w:r>
      <w:r>
        <w:rPr>
          <w:rFonts w:hint="eastAsia" w:ascii="宋体" w:hAnsi="宋体"/>
          <w:sz w:val="24"/>
          <w:szCs w:val="24"/>
        </w:rPr>
        <w:t>进行认真评审，完成评审报告；</w:t>
      </w:r>
    </w:p>
    <w:p w14:paraId="4ED679F7">
      <w:pPr>
        <w:spacing w:line="360" w:lineRule="auto"/>
        <w:ind w:firstLine="480" w:firstLineChars="200"/>
        <w:rPr>
          <w:rFonts w:ascii="宋体" w:hAnsi="宋体"/>
          <w:sz w:val="24"/>
          <w:szCs w:val="24"/>
        </w:rPr>
      </w:pPr>
      <w:r>
        <w:rPr>
          <w:rFonts w:ascii="宋体" w:hAnsi="宋体"/>
          <w:sz w:val="24"/>
          <w:szCs w:val="24"/>
        </w:rPr>
        <w:t>37.2.2</w:t>
      </w:r>
      <w:r>
        <w:rPr>
          <w:rFonts w:hint="eastAsia" w:ascii="宋体" w:hAnsi="宋体"/>
          <w:sz w:val="24"/>
          <w:szCs w:val="24"/>
        </w:rPr>
        <w:t>向招标人报告评审意见，推荐合格的中标候选人。</w:t>
      </w:r>
    </w:p>
    <w:p w14:paraId="1D64D9D9">
      <w:pPr>
        <w:spacing w:line="360" w:lineRule="auto"/>
        <w:ind w:firstLine="480" w:firstLineChars="200"/>
        <w:rPr>
          <w:rFonts w:ascii="宋体" w:hAnsi="宋体"/>
          <w:sz w:val="24"/>
          <w:szCs w:val="24"/>
        </w:rPr>
      </w:pPr>
      <w:r>
        <w:rPr>
          <w:rFonts w:ascii="宋体" w:hAnsi="宋体"/>
          <w:bCs/>
          <w:sz w:val="24"/>
          <w:szCs w:val="24"/>
        </w:rPr>
        <w:t>37.2.3</w:t>
      </w:r>
      <w:r>
        <w:rPr>
          <w:rFonts w:ascii="宋体" w:hAnsi="宋体"/>
          <w:b/>
          <w:bCs/>
          <w:sz w:val="24"/>
          <w:szCs w:val="24"/>
        </w:rPr>
        <w:t xml:space="preserve"> </w:t>
      </w:r>
      <w:r>
        <w:rPr>
          <w:rFonts w:hint="eastAsia" w:ascii="宋体" w:hAnsi="宋体"/>
          <w:sz w:val="24"/>
          <w:szCs w:val="24"/>
        </w:rPr>
        <w:t>所有参加评标人员必须遵守国家、地方政府制定的有关工程招标投标的法则、规定，遵守有关工程招标投标的保密制度；如有违反者，给予行政处分；情节严重，构成犯罪的，由司法机关依法追究其刑事责任。</w:t>
      </w:r>
    </w:p>
    <w:p w14:paraId="14553045">
      <w:pPr>
        <w:spacing w:line="360" w:lineRule="auto"/>
        <w:ind w:firstLine="480" w:firstLineChars="200"/>
        <w:rPr>
          <w:rFonts w:ascii="宋体" w:hAnsi="宋体"/>
          <w:sz w:val="24"/>
          <w:szCs w:val="24"/>
        </w:rPr>
      </w:pPr>
      <w:r>
        <w:rPr>
          <w:rFonts w:ascii="宋体" w:hAnsi="宋体"/>
          <w:sz w:val="24"/>
          <w:szCs w:val="24"/>
        </w:rPr>
        <w:t>37.2.4</w:t>
      </w:r>
      <w:r>
        <w:rPr>
          <w:rFonts w:hint="eastAsia" w:ascii="宋体" w:hAnsi="宋体"/>
          <w:sz w:val="24"/>
          <w:szCs w:val="24"/>
        </w:rPr>
        <w:t>全体参与评标人员：</w:t>
      </w:r>
    </w:p>
    <w:p w14:paraId="2EF93D11">
      <w:pPr>
        <w:spacing w:line="360" w:lineRule="auto"/>
        <w:ind w:firstLine="480" w:firstLineChars="200"/>
        <w:rPr>
          <w:rFonts w:ascii="宋体" w:hAnsi="宋体"/>
          <w:sz w:val="24"/>
          <w:szCs w:val="24"/>
        </w:rPr>
      </w:pPr>
      <w:r>
        <w:rPr>
          <w:rFonts w:ascii="宋体" w:hAnsi="宋体"/>
          <w:sz w:val="24"/>
          <w:szCs w:val="24"/>
        </w:rPr>
        <w:t xml:space="preserve">37.2.4.1 </w:t>
      </w:r>
      <w:r>
        <w:rPr>
          <w:rFonts w:hint="eastAsia" w:ascii="宋体" w:hAnsi="宋体"/>
          <w:sz w:val="24"/>
          <w:szCs w:val="24"/>
        </w:rPr>
        <w:t>必须遵守评标纪律、不得泄密；</w:t>
      </w:r>
    </w:p>
    <w:p w14:paraId="6DF56167">
      <w:pPr>
        <w:spacing w:line="360" w:lineRule="auto"/>
        <w:ind w:firstLine="480" w:firstLineChars="200"/>
        <w:rPr>
          <w:rFonts w:ascii="宋体" w:hAnsi="宋体"/>
          <w:sz w:val="24"/>
          <w:szCs w:val="24"/>
        </w:rPr>
      </w:pPr>
      <w:r>
        <w:rPr>
          <w:rFonts w:ascii="宋体" w:hAnsi="宋体"/>
          <w:sz w:val="24"/>
          <w:szCs w:val="24"/>
        </w:rPr>
        <w:t xml:space="preserve">37.2.4.2 </w:t>
      </w:r>
      <w:r>
        <w:rPr>
          <w:rFonts w:hint="eastAsia" w:ascii="宋体" w:hAnsi="宋体"/>
          <w:sz w:val="24"/>
          <w:szCs w:val="24"/>
        </w:rPr>
        <w:t>必须公正、不得循私；</w:t>
      </w:r>
    </w:p>
    <w:p w14:paraId="1297AF11">
      <w:pPr>
        <w:spacing w:line="360" w:lineRule="auto"/>
        <w:ind w:firstLine="480" w:firstLineChars="200"/>
        <w:rPr>
          <w:rFonts w:ascii="宋体" w:hAnsi="宋体"/>
          <w:sz w:val="24"/>
          <w:szCs w:val="24"/>
        </w:rPr>
      </w:pPr>
      <w:r>
        <w:rPr>
          <w:rFonts w:ascii="宋体" w:hAnsi="宋体"/>
          <w:sz w:val="24"/>
          <w:szCs w:val="24"/>
        </w:rPr>
        <w:t xml:space="preserve">37.2.4.3 </w:t>
      </w:r>
      <w:r>
        <w:rPr>
          <w:rFonts w:hint="eastAsia" w:ascii="宋体" w:hAnsi="宋体"/>
          <w:sz w:val="24"/>
          <w:szCs w:val="24"/>
        </w:rPr>
        <w:t>必须科学、不得草率；</w:t>
      </w:r>
    </w:p>
    <w:p w14:paraId="75632353">
      <w:pPr>
        <w:spacing w:line="360" w:lineRule="auto"/>
        <w:ind w:firstLine="480" w:firstLineChars="200"/>
        <w:rPr>
          <w:rFonts w:ascii="宋体" w:hAnsi="宋体"/>
          <w:sz w:val="24"/>
          <w:szCs w:val="24"/>
        </w:rPr>
      </w:pPr>
      <w:r>
        <w:rPr>
          <w:rFonts w:ascii="宋体" w:hAnsi="宋体"/>
          <w:sz w:val="24"/>
          <w:szCs w:val="24"/>
        </w:rPr>
        <w:t xml:space="preserve">37.2.4.4 </w:t>
      </w:r>
      <w:r>
        <w:rPr>
          <w:rFonts w:hint="eastAsia" w:ascii="宋体" w:hAnsi="宋体"/>
          <w:sz w:val="24"/>
          <w:szCs w:val="24"/>
        </w:rPr>
        <w:t>必须客观、不得带有成见；</w:t>
      </w:r>
    </w:p>
    <w:p w14:paraId="100D2A61">
      <w:pPr>
        <w:spacing w:line="360" w:lineRule="auto"/>
        <w:ind w:firstLine="480" w:firstLineChars="200"/>
        <w:rPr>
          <w:rFonts w:ascii="宋体" w:hAnsi="宋体"/>
          <w:sz w:val="24"/>
          <w:szCs w:val="24"/>
        </w:rPr>
      </w:pPr>
      <w:r>
        <w:rPr>
          <w:rFonts w:ascii="宋体" w:hAnsi="宋体"/>
          <w:sz w:val="24"/>
          <w:szCs w:val="24"/>
        </w:rPr>
        <w:t xml:space="preserve">37.2.4.5 </w:t>
      </w:r>
      <w:r>
        <w:rPr>
          <w:rFonts w:hint="eastAsia" w:ascii="宋体" w:hAnsi="宋体"/>
          <w:sz w:val="24"/>
          <w:szCs w:val="24"/>
        </w:rPr>
        <w:t>必须平等、不得强加于人；</w:t>
      </w:r>
    </w:p>
    <w:p w14:paraId="4AE301A5">
      <w:pPr>
        <w:spacing w:line="360" w:lineRule="auto"/>
        <w:ind w:firstLine="480" w:firstLineChars="200"/>
        <w:rPr>
          <w:rFonts w:ascii="宋体" w:hAnsi="宋体"/>
          <w:sz w:val="24"/>
          <w:szCs w:val="24"/>
        </w:rPr>
      </w:pPr>
      <w:r>
        <w:rPr>
          <w:rFonts w:ascii="宋体" w:hAnsi="宋体"/>
          <w:sz w:val="24"/>
          <w:szCs w:val="24"/>
        </w:rPr>
        <w:t xml:space="preserve">37.2.4.6 </w:t>
      </w:r>
      <w:r>
        <w:rPr>
          <w:rFonts w:hint="eastAsia" w:ascii="宋体" w:hAnsi="宋体"/>
          <w:sz w:val="24"/>
          <w:szCs w:val="24"/>
        </w:rPr>
        <w:t>必须严谨、不得随意马虎。</w:t>
      </w:r>
    </w:p>
    <w:p w14:paraId="5E8F6C88">
      <w:pPr>
        <w:spacing w:line="360" w:lineRule="auto"/>
        <w:ind w:firstLine="480" w:firstLineChars="200"/>
        <w:rPr>
          <w:rFonts w:ascii="宋体" w:hAnsi="宋体"/>
          <w:sz w:val="24"/>
          <w:szCs w:val="24"/>
        </w:rPr>
      </w:pPr>
      <w:r>
        <w:rPr>
          <w:rFonts w:ascii="宋体" w:hAnsi="宋体"/>
          <w:sz w:val="24"/>
          <w:szCs w:val="24"/>
        </w:rPr>
        <w:t xml:space="preserve">37.3 </w:t>
      </w:r>
      <w:r>
        <w:rPr>
          <w:rFonts w:hint="eastAsia" w:ascii="宋体" w:hAnsi="宋体"/>
          <w:sz w:val="24"/>
          <w:szCs w:val="24"/>
        </w:rPr>
        <w:t>评标委员会的职责及守则：评标工作开始前，招标人应当向评标委员会提供评标所需的信息，包括招标项目的范围、性质、特殊性、需求目标和实施要点，以及招标文件规定的评标方法、评标因素及标准等，但不得明示或者暗示其倾向或者排斥特定投标人</w:t>
      </w:r>
    </w:p>
    <w:p w14:paraId="6C4906D4">
      <w:pPr>
        <w:spacing w:line="360" w:lineRule="auto"/>
        <w:ind w:firstLine="480" w:firstLineChars="200"/>
        <w:rPr>
          <w:rFonts w:ascii="宋体" w:hAnsi="宋体"/>
          <w:sz w:val="24"/>
          <w:szCs w:val="24"/>
        </w:rPr>
      </w:pPr>
      <w:r>
        <w:rPr>
          <w:rFonts w:hint="eastAsia" w:ascii="宋体" w:hAnsi="宋体"/>
          <w:sz w:val="24"/>
          <w:szCs w:val="24"/>
        </w:rPr>
        <w:t>37.4评标结束后，评标委员会递交评标报告并依法推荐中标候选人。</w:t>
      </w:r>
      <w:r>
        <w:rPr>
          <w:rFonts w:ascii="宋体" w:hAnsi="宋体"/>
          <w:sz w:val="24"/>
          <w:szCs w:val="24"/>
        </w:rPr>
        <w:t xml:space="preserve"> </w:t>
      </w:r>
    </w:p>
    <w:p w14:paraId="100C6AAC">
      <w:pPr>
        <w:spacing w:line="360" w:lineRule="auto"/>
        <w:ind w:firstLine="480" w:firstLineChars="200"/>
        <w:rPr>
          <w:rFonts w:ascii="宋体" w:hAnsi="宋体"/>
          <w:sz w:val="24"/>
          <w:szCs w:val="24"/>
        </w:rPr>
      </w:pPr>
      <w:r>
        <w:rPr>
          <w:rFonts w:ascii="宋体" w:hAnsi="宋体"/>
          <w:sz w:val="24"/>
          <w:szCs w:val="24"/>
        </w:rPr>
        <w:t>38</w:t>
      </w:r>
      <w:r>
        <w:rPr>
          <w:rFonts w:hint="eastAsia" w:ascii="宋体" w:hAnsi="宋体"/>
          <w:sz w:val="24"/>
          <w:szCs w:val="24"/>
        </w:rPr>
        <w:t>．投标文件的澄清</w:t>
      </w:r>
    </w:p>
    <w:p w14:paraId="05014BB2">
      <w:pPr>
        <w:spacing w:line="360" w:lineRule="auto"/>
        <w:ind w:firstLine="480" w:firstLineChars="200"/>
        <w:rPr>
          <w:rFonts w:ascii="宋体" w:hAnsi="宋体"/>
          <w:sz w:val="24"/>
          <w:szCs w:val="24"/>
        </w:rPr>
      </w:pPr>
      <w:r>
        <w:rPr>
          <w:rFonts w:ascii="宋体" w:hAnsi="宋体"/>
          <w:sz w:val="24"/>
          <w:szCs w:val="24"/>
        </w:rPr>
        <w:t>38.1</w:t>
      </w:r>
      <w:r>
        <w:rPr>
          <w:rFonts w:hint="eastAsia" w:ascii="宋体" w:hAnsi="宋体"/>
          <w:sz w:val="24"/>
          <w:szCs w:val="24"/>
        </w:rPr>
        <w:t>为有助于投标文件的审查、评价和比较，评标期间，经评标委员会或评标委员会专业评审组中两人以上（含两人）以书面形式提出动议，评标委员会或评标委员会专业评审组应当书面发出澄清通知，要求投标人对投标文件含义不明确的内容作出澄清。</w:t>
      </w:r>
    </w:p>
    <w:p w14:paraId="272B6159">
      <w:pPr>
        <w:spacing w:line="360" w:lineRule="auto"/>
        <w:ind w:firstLine="480" w:firstLineChars="200"/>
        <w:rPr>
          <w:rFonts w:ascii="宋体" w:hAnsi="宋体"/>
          <w:sz w:val="24"/>
          <w:szCs w:val="24"/>
        </w:rPr>
      </w:pPr>
      <w:r>
        <w:rPr>
          <w:rFonts w:ascii="宋体" w:hAnsi="宋体"/>
          <w:sz w:val="24"/>
          <w:szCs w:val="24"/>
        </w:rPr>
        <w:t xml:space="preserve">38.2 </w:t>
      </w:r>
      <w:r>
        <w:rPr>
          <w:rFonts w:hint="eastAsia" w:ascii="宋体" w:hAnsi="宋体"/>
          <w:sz w:val="24"/>
          <w:szCs w:val="24"/>
        </w:rPr>
        <w:t>投标人应以书面形式进行澄清，澄清中的承诺性意思表示在投标文件有效期内均对投标人有约束力。除评标委员会对评标中发现算术错误进行修正后要求投标人以澄清形式进行的核实和确认外，澄清不得超出投标文件的范围或改变投标文件的实质性内容，超出部分不作为评标委员会评审的依据。</w:t>
      </w:r>
    </w:p>
    <w:p w14:paraId="5CBE0221">
      <w:pPr>
        <w:spacing w:line="360" w:lineRule="auto"/>
        <w:ind w:firstLine="480" w:firstLineChars="200"/>
        <w:rPr>
          <w:rFonts w:ascii="宋体" w:hAnsi="宋体"/>
          <w:sz w:val="24"/>
          <w:szCs w:val="24"/>
        </w:rPr>
      </w:pPr>
      <w:r>
        <w:rPr>
          <w:rFonts w:ascii="宋体" w:hAnsi="宋体"/>
          <w:sz w:val="24"/>
          <w:szCs w:val="24"/>
        </w:rPr>
        <w:t xml:space="preserve">38.3 </w:t>
      </w:r>
      <w:r>
        <w:rPr>
          <w:rFonts w:hint="eastAsia" w:ascii="宋体" w:hAnsi="宋体"/>
          <w:sz w:val="24"/>
          <w:szCs w:val="24"/>
        </w:rPr>
        <w:t>评标委员会或评标委员会专业评审组成员均应当阅读投标人的澄清，但应独立参考澄清对投标文件进行评审。</w:t>
      </w:r>
    </w:p>
    <w:p w14:paraId="07A1D8B9">
      <w:pPr>
        <w:spacing w:line="360" w:lineRule="auto"/>
        <w:ind w:firstLine="480" w:firstLineChars="200"/>
        <w:rPr>
          <w:rFonts w:ascii="宋体" w:hAnsi="宋体"/>
          <w:sz w:val="24"/>
          <w:szCs w:val="24"/>
        </w:rPr>
      </w:pPr>
      <w:r>
        <w:rPr>
          <w:rFonts w:ascii="宋体" w:hAnsi="宋体"/>
          <w:sz w:val="24"/>
          <w:szCs w:val="24"/>
        </w:rPr>
        <w:t>38.4</w:t>
      </w:r>
      <w:r>
        <w:rPr>
          <w:rFonts w:hint="eastAsia" w:ascii="宋体" w:hAnsi="宋体"/>
          <w:sz w:val="24"/>
          <w:szCs w:val="24"/>
        </w:rPr>
        <w:t>如果投标文件实质上不响应招标文件的各项要求，评标委员会将按照符合性审查标准予以拒绝，不接受投标人通过修改或撤销其不符合要求的差异或保留，使之成为具有响应性的投标。</w:t>
      </w:r>
    </w:p>
    <w:p w14:paraId="019B68D9">
      <w:pPr>
        <w:spacing w:line="360" w:lineRule="auto"/>
        <w:ind w:firstLine="480" w:firstLineChars="200"/>
        <w:rPr>
          <w:rFonts w:ascii="宋体" w:hAnsi="宋体"/>
          <w:sz w:val="24"/>
          <w:szCs w:val="24"/>
        </w:rPr>
      </w:pPr>
      <w:r>
        <w:rPr>
          <w:rFonts w:hint="eastAsia" w:ascii="宋体" w:hAnsi="宋体"/>
          <w:sz w:val="24"/>
          <w:szCs w:val="24"/>
        </w:rPr>
        <w:t>38.5投标人如在本项目中存在串通投标、弄虚作假、行贿情形且在评标过程中未被发现的，该投标不改变本项目评标结果排序，其中标无效。招标人按照《中华人民共和国招标投标法实施条例》第五十五条的规定依次确定中标人或重新招标。</w:t>
      </w:r>
    </w:p>
    <w:p w14:paraId="5F8B2633">
      <w:pPr>
        <w:spacing w:line="360" w:lineRule="auto"/>
        <w:ind w:firstLine="480" w:firstLineChars="200"/>
        <w:rPr>
          <w:rFonts w:ascii="宋体" w:hAnsi="宋体"/>
          <w:sz w:val="24"/>
          <w:szCs w:val="24"/>
        </w:rPr>
      </w:pPr>
      <w:r>
        <w:rPr>
          <w:rFonts w:ascii="宋体" w:hAnsi="宋体"/>
          <w:sz w:val="24"/>
          <w:szCs w:val="24"/>
        </w:rPr>
        <w:t>39</w:t>
      </w:r>
      <w:r>
        <w:rPr>
          <w:rFonts w:hint="eastAsia" w:ascii="宋体" w:hAnsi="宋体"/>
          <w:sz w:val="24"/>
          <w:szCs w:val="24"/>
        </w:rPr>
        <w:t>．定标</w:t>
      </w:r>
    </w:p>
    <w:p w14:paraId="01F95284">
      <w:pPr>
        <w:spacing w:line="360" w:lineRule="auto"/>
        <w:ind w:firstLine="480" w:firstLineChars="200"/>
        <w:rPr>
          <w:rFonts w:ascii="宋体" w:hAnsi="宋体"/>
          <w:sz w:val="24"/>
          <w:szCs w:val="24"/>
        </w:rPr>
      </w:pPr>
      <w:r>
        <w:rPr>
          <w:rFonts w:ascii="宋体" w:hAnsi="宋体"/>
          <w:sz w:val="24"/>
          <w:szCs w:val="24"/>
        </w:rPr>
        <w:t xml:space="preserve">39.1 </w:t>
      </w:r>
      <w:r>
        <w:rPr>
          <w:rFonts w:hint="eastAsia" w:ascii="宋体" w:hAnsi="宋体"/>
          <w:sz w:val="24"/>
          <w:szCs w:val="24"/>
        </w:rPr>
        <w:t>招标人根据评标委员会递交的评标报告，最终审定中标人。</w:t>
      </w:r>
    </w:p>
    <w:p w14:paraId="37833E56">
      <w:pPr>
        <w:spacing w:line="360" w:lineRule="auto"/>
        <w:ind w:firstLine="480" w:firstLineChars="200"/>
        <w:rPr>
          <w:rFonts w:ascii="宋体" w:hAnsi="宋体"/>
          <w:sz w:val="24"/>
          <w:szCs w:val="24"/>
        </w:rPr>
      </w:pPr>
      <w:r>
        <w:rPr>
          <w:rFonts w:ascii="宋体" w:hAnsi="宋体"/>
          <w:sz w:val="24"/>
          <w:szCs w:val="24"/>
        </w:rPr>
        <w:t xml:space="preserve">39.2 </w:t>
      </w:r>
      <w:r>
        <w:rPr>
          <w:rFonts w:hint="eastAsia" w:ascii="宋体" w:hAnsi="宋体"/>
          <w:sz w:val="24"/>
          <w:szCs w:val="24"/>
        </w:rPr>
        <w:t>依法必须进行公开招标的项目，招标人应当确定排名第一的中标候选人为中标人。</w:t>
      </w:r>
    </w:p>
    <w:p w14:paraId="752D8D3F">
      <w:pPr>
        <w:spacing w:line="360" w:lineRule="auto"/>
        <w:ind w:firstLine="480" w:firstLineChars="200"/>
        <w:rPr>
          <w:rFonts w:ascii="宋体" w:hAnsi="宋体"/>
          <w:sz w:val="24"/>
          <w:szCs w:val="24"/>
        </w:rPr>
      </w:pPr>
      <w:r>
        <w:rPr>
          <w:rFonts w:ascii="宋体" w:hAnsi="宋体"/>
          <w:sz w:val="24"/>
          <w:szCs w:val="24"/>
        </w:rPr>
        <w:t>39.3</w:t>
      </w:r>
      <w:r>
        <w:rPr>
          <w:rFonts w:hint="eastAsia" w:ascii="宋体" w:hAnsi="宋体"/>
          <w:sz w:val="24"/>
          <w:szCs w:val="24"/>
        </w:rPr>
        <w:t>排名第一的中标候选人放弃中标、或因不可抗力提出不能履行合同，或者招标文件规定应当提交履约担保而在规定的期限内未能提交的，招标人可以确定排名第二的中标候选人为中标人。</w:t>
      </w:r>
    </w:p>
    <w:p w14:paraId="22FE6778">
      <w:pPr>
        <w:spacing w:line="360" w:lineRule="auto"/>
        <w:ind w:firstLine="480" w:firstLineChars="200"/>
        <w:rPr>
          <w:rFonts w:ascii="宋体" w:hAnsi="宋体"/>
          <w:sz w:val="24"/>
          <w:szCs w:val="24"/>
        </w:rPr>
      </w:pPr>
      <w:r>
        <w:rPr>
          <w:rFonts w:ascii="宋体" w:hAnsi="宋体"/>
          <w:sz w:val="24"/>
          <w:szCs w:val="24"/>
        </w:rPr>
        <w:t>39.4</w:t>
      </w:r>
      <w:r>
        <w:rPr>
          <w:rFonts w:hint="eastAsia" w:ascii="宋体" w:hAnsi="宋体"/>
          <w:sz w:val="24"/>
          <w:szCs w:val="24"/>
        </w:rPr>
        <w:t>排名第二的中标候选人出现前款所列的情形的，招标人可以确定排名第三的中标候选人为中标人。以此类推，如所有中标候选人均出现前款所列的情形，为招标失败，招标人依法重新招标。</w:t>
      </w:r>
    </w:p>
    <w:p w14:paraId="0FE3DCAA">
      <w:pPr>
        <w:spacing w:line="360" w:lineRule="auto"/>
        <w:ind w:firstLine="480" w:firstLineChars="200"/>
        <w:rPr>
          <w:rFonts w:ascii="宋体" w:hAnsi="宋体"/>
          <w:sz w:val="24"/>
          <w:szCs w:val="24"/>
        </w:rPr>
      </w:pPr>
      <w:r>
        <w:rPr>
          <w:rFonts w:hint="eastAsia" w:ascii="宋体" w:hAnsi="宋体"/>
          <w:sz w:val="24"/>
          <w:szCs w:val="24"/>
        </w:rPr>
        <w:t>39.5 重新评标的，评标信息（含业绩、奖项等）仍以投标截止时投标人的信息为准。因特殊原因需要延长投标有效期，投标人拒绝延长投标有效期的，仍参与评标，但不被推荐为中标候选人。</w:t>
      </w:r>
    </w:p>
    <w:p w14:paraId="0E9BF362">
      <w:pPr>
        <w:pStyle w:val="8"/>
        <w:spacing w:before="156" w:after="156"/>
        <w:ind w:firstLine="540" w:firstLineChars="200"/>
      </w:pPr>
      <w:bookmarkStart w:id="20" w:name="_Toc2272558"/>
      <w:r>
        <w:rPr>
          <w:rFonts w:hint="eastAsia"/>
        </w:rPr>
        <w:t>（二）开标评标办法程序和细则</w:t>
      </w:r>
      <w:bookmarkEnd w:id="20"/>
    </w:p>
    <w:p w14:paraId="337F319B">
      <w:pPr>
        <w:spacing w:line="360" w:lineRule="auto"/>
        <w:ind w:firstLine="480" w:firstLineChars="200"/>
        <w:rPr>
          <w:rFonts w:ascii="宋体" w:hAnsi="宋体"/>
          <w:sz w:val="24"/>
          <w:szCs w:val="24"/>
        </w:rPr>
      </w:pPr>
      <w:r>
        <w:rPr>
          <w:rFonts w:hint="eastAsia" w:ascii="宋体" w:hAnsi="宋体"/>
          <w:sz w:val="24"/>
          <w:szCs w:val="24"/>
        </w:rPr>
        <w:t>注：以下七种评标办法所述企业综合诚信评价分数即投标截止当日广州市工程招标代理行业协会网站上公布的企业综合诚信评价</w:t>
      </w:r>
      <w:r>
        <w:rPr>
          <w:rFonts w:ascii="宋体" w:hAnsi="宋体"/>
          <w:sz w:val="24"/>
          <w:szCs w:val="24"/>
        </w:rPr>
        <w:t>60</w:t>
      </w:r>
      <w:r>
        <w:rPr>
          <w:rFonts w:hint="eastAsia" w:ascii="宋体" w:hAnsi="宋体"/>
          <w:sz w:val="24"/>
          <w:szCs w:val="24"/>
        </w:rPr>
        <w:t>日诚信分。</w:t>
      </w:r>
    </w:p>
    <w:p w14:paraId="427C56B9">
      <w:pPr>
        <w:spacing w:line="360" w:lineRule="auto"/>
        <w:rPr>
          <w:rFonts w:ascii="宋体" w:hAnsi="宋体"/>
          <w:sz w:val="24"/>
          <w:szCs w:val="24"/>
        </w:rPr>
      </w:pPr>
    </w:p>
    <w:p w14:paraId="1DD0D32E">
      <w:pPr>
        <w:pStyle w:val="8"/>
        <w:spacing w:before="156" w:after="156"/>
        <w:ind w:firstLine="540" w:firstLineChars="200"/>
      </w:pPr>
      <w:bookmarkStart w:id="21" w:name="_Toc2272564"/>
      <w:r>
        <w:rPr>
          <w:rFonts w:hint="eastAsia"/>
        </w:rPr>
        <w:t>可选办法七（适合综合评分法四，技术标与经济标同时开启）</w:t>
      </w:r>
      <w:bookmarkEnd w:id="21"/>
    </w:p>
    <w:p w14:paraId="1E1E2EBC">
      <w:pPr>
        <w:snapToGrid w:val="0"/>
        <w:spacing w:line="360" w:lineRule="auto"/>
        <w:ind w:firstLine="480" w:firstLineChars="200"/>
        <w:rPr>
          <w:rFonts w:ascii="宋体"/>
          <w:sz w:val="24"/>
          <w:szCs w:val="24"/>
        </w:rPr>
      </w:pPr>
      <w:r>
        <w:rPr>
          <w:rFonts w:hint="eastAsia" w:ascii="宋体"/>
          <w:sz w:val="24"/>
          <w:szCs w:val="24"/>
        </w:rPr>
        <w:t>40．开标和评标程序</w:t>
      </w:r>
    </w:p>
    <w:p w14:paraId="2F244BD9">
      <w:pPr>
        <w:snapToGrid w:val="0"/>
        <w:spacing w:line="360" w:lineRule="auto"/>
        <w:ind w:firstLine="480" w:firstLineChars="200"/>
        <w:rPr>
          <w:rFonts w:ascii="宋体"/>
          <w:sz w:val="24"/>
          <w:szCs w:val="24"/>
        </w:rPr>
      </w:pPr>
      <w:r>
        <w:rPr>
          <w:rFonts w:hint="eastAsia" w:ascii="宋体"/>
          <w:sz w:val="24"/>
          <w:szCs w:val="24"/>
        </w:rPr>
        <w:t>40.1技术标（含资格审查文件）与经济标投标文件同时公开开标；</w:t>
      </w:r>
    </w:p>
    <w:p w14:paraId="5E8F06EC">
      <w:pPr>
        <w:snapToGrid w:val="0"/>
        <w:spacing w:line="360" w:lineRule="auto"/>
        <w:ind w:firstLine="480" w:firstLineChars="200"/>
        <w:rPr>
          <w:rFonts w:ascii="宋体"/>
          <w:sz w:val="24"/>
          <w:szCs w:val="24"/>
        </w:rPr>
      </w:pPr>
      <w:r>
        <w:rPr>
          <w:rFonts w:hint="eastAsia" w:ascii="宋体"/>
          <w:sz w:val="24"/>
          <w:szCs w:val="24"/>
        </w:rPr>
        <w:t>40.2由评标委员会对所有已公开开标的投标人进行资格审查；</w:t>
      </w:r>
    </w:p>
    <w:p w14:paraId="63D299D2">
      <w:pPr>
        <w:snapToGrid w:val="0"/>
        <w:spacing w:line="360" w:lineRule="auto"/>
        <w:ind w:firstLine="480" w:firstLineChars="200"/>
        <w:rPr>
          <w:rFonts w:ascii="宋体"/>
          <w:sz w:val="24"/>
          <w:szCs w:val="24"/>
        </w:rPr>
      </w:pPr>
      <w:r>
        <w:rPr>
          <w:rFonts w:hint="eastAsia" w:ascii="宋体"/>
          <w:sz w:val="24"/>
          <w:szCs w:val="24"/>
        </w:rPr>
        <w:t>40.3技术标投标文件有效性审查；</w:t>
      </w:r>
    </w:p>
    <w:p w14:paraId="6E1066AB">
      <w:pPr>
        <w:snapToGrid w:val="0"/>
        <w:spacing w:line="360" w:lineRule="auto"/>
        <w:ind w:firstLine="480" w:firstLineChars="200"/>
        <w:rPr>
          <w:rFonts w:ascii="宋体"/>
          <w:sz w:val="24"/>
          <w:szCs w:val="24"/>
        </w:rPr>
      </w:pPr>
      <w:r>
        <w:rPr>
          <w:rFonts w:hint="eastAsia" w:ascii="宋体"/>
          <w:sz w:val="24"/>
          <w:szCs w:val="24"/>
        </w:rPr>
        <w:t>40.4技术标详细审查评分；</w:t>
      </w:r>
    </w:p>
    <w:p w14:paraId="56E4CCF6">
      <w:pPr>
        <w:snapToGrid w:val="0"/>
        <w:spacing w:line="360" w:lineRule="auto"/>
        <w:ind w:firstLine="480" w:firstLineChars="200"/>
        <w:rPr>
          <w:rFonts w:ascii="宋体"/>
          <w:sz w:val="24"/>
          <w:szCs w:val="24"/>
        </w:rPr>
      </w:pPr>
      <w:r>
        <w:rPr>
          <w:rFonts w:hint="eastAsia" w:ascii="宋体"/>
          <w:sz w:val="24"/>
          <w:szCs w:val="24"/>
        </w:rPr>
        <w:t>40.5经济标详细审查评分；</w:t>
      </w:r>
      <w:r>
        <w:rPr>
          <w:rFonts w:ascii="宋体"/>
          <w:sz w:val="24"/>
          <w:szCs w:val="24"/>
        </w:rPr>
        <w:t xml:space="preserve"> </w:t>
      </w:r>
    </w:p>
    <w:p w14:paraId="5260CAA4">
      <w:pPr>
        <w:snapToGrid w:val="0"/>
        <w:spacing w:line="360" w:lineRule="auto"/>
        <w:ind w:firstLine="480" w:firstLineChars="200"/>
        <w:rPr>
          <w:rFonts w:ascii="宋体"/>
          <w:sz w:val="24"/>
          <w:szCs w:val="24"/>
        </w:rPr>
      </w:pPr>
      <w:r>
        <w:rPr>
          <w:rFonts w:hint="eastAsia" w:ascii="宋体"/>
          <w:sz w:val="24"/>
          <w:szCs w:val="24"/>
        </w:rPr>
        <w:t>40.6评标委员会按照投标人总得分由高至低排序；</w:t>
      </w:r>
    </w:p>
    <w:p w14:paraId="52F9CBD6">
      <w:pPr>
        <w:snapToGrid w:val="0"/>
        <w:spacing w:line="360" w:lineRule="auto"/>
        <w:ind w:firstLine="480" w:firstLineChars="200"/>
        <w:rPr>
          <w:rFonts w:ascii="宋体"/>
          <w:sz w:val="24"/>
          <w:szCs w:val="24"/>
        </w:rPr>
      </w:pPr>
      <w:r>
        <w:rPr>
          <w:rFonts w:hint="eastAsia" w:ascii="宋体"/>
          <w:sz w:val="24"/>
          <w:szCs w:val="24"/>
        </w:rPr>
        <w:t>40.7经济标投标文件有效性审查；</w:t>
      </w:r>
    </w:p>
    <w:p w14:paraId="46C6ADAC">
      <w:pPr>
        <w:snapToGrid w:val="0"/>
        <w:spacing w:line="360" w:lineRule="auto"/>
        <w:ind w:firstLine="480" w:firstLineChars="200"/>
        <w:rPr>
          <w:rFonts w:ascii="宋体"/>
          <w:szCs w:val="21"/>
        </w:rPr>
      </w:pPr>
      <w:r>
        <w:rPr>
          <w:rFonts w:hint="eastAsia" w:ascii="宋体"/>
          <w:sz w:val="24"/>
          <w:szCs w:val="24"/>
        </w:rPr>
        <w:t>40.8评标委员会按排序向招标人推荐中标候选人名单，并递交资格审查报告及评标报告。</w:t>
      </w:r>
    </w:p>
    <w:p w14:paraId="2BD6825F">
      <w:pPr>
        <w:snapToGrid w:val="0"/>
        <w:spacing w:line="360" w:lineRule="auto"/>
        <w:ind w:firstLine="480" w:firstLineChars="200"/>
        <w:rPr>
          <w:rFonts w:ascii="宋体"/>
          <w:sz w:val="24"/>
          <w:szCs w:val="24"/>
        </w:rPr>
      </w:pPr>
      <w:r>
        <w:rPr>
          <w:rFonts w:hint="eastAsia" w:ascii="宋体"/>
          <w:sz w:val="24"/>
          <w:szCs w:val="24"/>
        </w:rPr>
        <w:t>41．开标细则</w:t>
      </w:r>
    </w:p>
    <w:p w14:paraId="76FF7C6E">
      <w:pPr>
        <w:snapToGrid w:val="0"/>
        <w:spacing w:line="360" w:lineRule="auto"/>
        <w:ind w:firstLine="480" w:firstLineChars="200"/>
        <w:rPr>
          <w:rFonts w:ascii="宋体"/>
          <w:sz w:val="24"/>
          <w:szCs w:val="24"/>
        </w:rPr>
      </w:pPr>
      <w:r>
        <w:rPr>
          <w:rFonts w:hint="eastAsia" w:ascii="宋体"/>
          <w:sz w:val="24"/>
          <w:szCs w:val="24"/>
        </w:rPr>
        <w:t>41.1开标由招标人主持；</w:t>
      </w:r>
    </w:p>
    <w:p w14:paraId="37822473">
      <w:pPr>
        <w:snapToGrid w:val="0"/>
        <w:spacing w:line="360" w:lineRule="auto"/>
        <w:ind w:firstLine="480" w:firstLineChars="200"/>
        <w:rPr>
          <w:rFonts w:ascii="宋体"/>
          <w:sz w:val="24"/>
          <w:szCs w:val="24"/>
        </w:rPr>
      </w:pPr>
      <w:r>
        <w:rPr>
          <w:rFonts w:hint="eastAsia" w:ascii="宋体"/>
          <w:sz w:val="24"/>
          <w:szCs w:val="24"/>
        </w:rPr>
        <w:t>41.2 细则</w:t>
      </w:r>
    </w:p>
    <w:p w14:paraId="22B23380">
      <w:pPr>
        <w:snapToGrid w:val="0"/>
        <w:spacing w:line="360" w:lineRule="auto"/>
        <w:ind w:firstLine="480" w:firstLineChars="200"/>
        <w:rPr>
          <w:rFonts w:ascii="宋体"/>
          <w:sz w:val="24"/>
          <w:szCs w:val="24"/>
        </w:rPr>
      </w:pPr>
      <w:r>
        <w:rPr>
          <w:rFonts w:hint="eastAsia" w:ascii="宋体"/>
          <w:sz w:val="24"/>
          <w:szCs w:val="24"/>
        </w:rPr>
        <w:t>41.2.1投标截止期前，各投标人递交投标文件（包括技术标投标文件、经济标投标文件）至</w:t>
      </w:r>
      <w:r>
        <w:rPr>
          <w:rFonts w:hint="eastAsia" w:ascii="宋体"/>
          <w:sz w:val="24"/>
          <w:szCs w:val="24"/>
          <w:u w:val="single"/>
        </w:rPr>
        <w:t xml:space="preserve">        </w:t>
      </w:r>
      <w:r>
        <w:rPr>
          <w:rFonts w:hint="eastAsia" w:ascii="宋体"/>
          <w:sz w:val="24"/>
          <w:szCs w:val="24"/>
        </w:rPr>
        <w:t xml:space="preserve">交易平台。有关投标文件提交的事项详见第一章投标须知。 </w:t>
      </w:r>
    </w:p>
    <w:p w14:paraId="58AB69EE">
      <w:pPr>
        <w:snapToGrid w:val="0"/>
        <w:spacing w:line="360" w:lineRule="auto"/>
        <w:ind w:firstLine="480" w:firstLineChars="200"/>
        <w:rPr>
          <w:rFonts w:ascii="宋体"/>
          <w:sz w:val="24"/>
          <w:szCs w:val="24"/>
        </w:rPr>
      </w:pPr>
      <w:r>
        <w:rPr>
          <w:rFonts w:hint="eastAsia" w:ascii="宋体"/>
          <w:sz w:val="24"/>
          <w:szCs w:val="24"/>
        </w:rPr>
        <w:t>41.2.2开标前，首先由招标人随机抽取确定该工程计算评标参考价的等分点值X。</w:t>
      </w:r>
    </w:p>
    <w:p w14:paraId="05C68A30">
      <w:pPr>
        <w:snapToGrid w:val="0"/>
        <w:spacing w:line="360" w:lineRule="auto"/>
        <w:ind w:firstLine="480" w:firstLineChars="200"/>
        <w:rPr>
          <w:rFonts w:ascii="宋体"/>
          <w:sz w:val="24"/>
          <w:szCs w:val="24"/>
        </w:rPr>
      </w:pPr>
      <w:r>
        <w:rPr>
          <w:rFonts w:hint="eastAsia" w:ascii="宋体"/>
          <w:sz w:val="24"/>
          <w:szCs w:val="24"/>
        </w:rPr>
        <w:t xml:space="preserve">41.2.3开标时，投标人代表有权参加现场开标或在线开标，也可以自主决定不参加开标会，若投标人代表对开标过程提出异议，参加现场开标的应当在开标现场提出，同时出示本人身份证原件，招标人应当当场作出答复，并制作记录；参加在线开标的，投标人应通过交易平台在线提出，招标人应通过交易平台答复，答复后方可结束开标。41.2.4按36.5.1的规定完成解密后，公布下列内容，并予以记录，记录提交评标委员会评审： </w:t>
      </w:r>
    </w:p>
    <w:p w14:paraId="78E36DD0">
      <w:pPr>
        <w:snapToGrid w:val="0"/>
        <w:spacing w:line="360" w:lineRule="auto"/>
        <w:ind w:firstLine="480" w:firstLineChars="200"/>
        <w:rPr>
          <w:rFonts w:ascii="宋体"/>
          <w:sz w:val="24"/>
          <w:szCs w:val="24"/>
        </w:rPr>
      </w:pPr>
      <w:r>
        <w:rPr>
          <w:rFonts w:hint="eastAsia" w:ascii="宋体"/>
          <w:sz w:val="24"/>
          <w:szCs w:val="24"/>
        </w:rPr>
        <w:t>41.2.4.1开标时，公布：a、投标人名称；b、</w:t>
      </w:r>
      <w:r>
        <w:rPr>
          <w:rFonts w:hint="eastAsia" w:ascii="宋体" w:hAnsi="宋体"/>
          <w:sz w:val="24"/>
        </w:rPr>
        <w:t>投标文件</w:t>
      </w:r>
      <w:r>
        <w:rPr>
          <w:rFonts w:hint="eastAsia" w:ascii="宋体"/>
          <w:sz w:val="24"/>
          <w:szCs w:val="24"/>
        </w:rPr>
        <w:t>密封情况；c、投标报价；d、投标保证金；e、项目经理（负责人）名称；f、法定代表人证明及授权委托等主要内容及开标记录表中的其他必要内容。投标报价以数字和文字两种方式表述的，应公布文字表述的投标报价。</w:t>
      </w:r>
    </w:p>
    <w:p w14:paraId="4AD3E4AC">
      <w:pPr>
        <w:snapToGrid w:val="0"/>
        <w:spacing w:line="360" w:lineRule="auto"/>
        <w:ind w:firstLine="480" w:firstLineChars="200"/>
        <w:rPr>
          <w:rFonts w:ascii="宋体"/>
          <w:sz w:val="24"/>
          <w:szCs w:val="24"/>
        </w:rPr>
      </w:pPr>
      <w:r>
        <w:rPr>
          <w:rFonts w:hint="eastAsia" w:ascii="宋体"/>
          <w:sz w:val="24"/>
          <w:szCs w:val="24"/>
        </w:rPr>
        <w:t>41.3招标人对开标过程进行记录，并存档备查，投标人在技术标开标记录上签字。</w:t>
      </w:r>
    </w:p>
    <w:p w14:paraId="4BF88783">
      <w:pPr>
        <w:snapToGrid w:val="0"/>
        <w:spacing w:line="360" w:lineRule="auto"/>
        <w:ind w:firstLine="480" w:firstLineChars="200"/>
        <w:rPr>
          <w:rFonts w:ascii="宋体"/>
          <w:sz w:val="24"/>
          <w:szCs w:val="24"/>
        </w:rPr>
      </w:pPr>
      <w:r>
        <w:rPr>
          <w:rFonts w:hint="eastAsia" w:ascii="宋体"/>
          <w:sz w:val="24"/>
          <w:szCs w:val="24"/>
        </w:rPr>
        <w:t>41.4 招标人将上述符合要求的投标文件，送至评标委员会进行评审。</w:t>
      </w:r>
    </w:p>
    <w:p w14:paraId="03003708">
      <w:pPr>
        <w:pStyle w:val="5"/>
        <w:tabs>
          <w:tab w:val="left" w:pos="7380"/>
        </w:tabs>
        <w:snapToGrid w:val="0"/>
        <w:spacing w:after="0" w:line="360" w:lineRule="auto"/>
        <w:ind w:firstLine="480" w:firstLineChars="200"/>
        <w:rPr>
          <w:rFonts w:ascii="宋体" w:hAnsi="宋体" w:eastAsia="宋体"/>
          <w:sz w:val="24"/>
          <w:szCs w:val="24"/>
        </w:rPr>
      </w:pPr>
      <w:r>
        <w:rPr>
          <w:rFonts w:hint="eastAsia" w:ascii="宋体" w:hAnsi="宋体" w:eastAsia="宋体"/>
          <w:sz w:val="24"/>
          <w:szCs w:val="24"/>
        </w:rPr>
        <w:t>42. 资格审查及评标细则</w:t>
      </w:r>
    </w:p>
    <w:p w14:paraId="1E646352">
      <w:pPr>
        <w:pStyle w:val="5"/>
        <w:tabs>
          <w:tab w:val="left" w:pos="7380"/>
        </w:tabs>
        <w:snapToGrid w:val="0"/>
        <w:spacing w:after="0" w:line="360" w:lineRule="auto"/>
        <w:ind w:firstLine="480" w:firstLineChars="200"/>
        <w:rPr>
          <w:rFonts w:ascii="宋体" w:hAnsi="宋体" w:eastAsia="宋体"/>
          <w:sz w:val="24"/>
          <w:szCs w:val="24"/>
        </w:rPr>
      </w:pPr>
      <w:r>
        <w:rPr>
          <w:rFonts w:hint="eastAsia" w:ascii="宋体" w:hAnsi="宋体" w:eastAsia="宋体"/>
          <w:sz w:val="24"/>
          <w:szCs w:val="24"/>
        </w:rPr>
        <w:t>42.1资格审查及评标均由招标人依法组建的评标委员会负责。</w:t>
      </w:r>
    </w:p>
    <w:p w14:paraId="3C980967">
      <w:pPr>
        <w:pStyle w:val="5"/>
        <w:tabs>
          <w:tab w:val="left" w:pos="7380"/>
        </w:tabs>
        <w:snapToGrid w:val="0"/>
        <w:spacing w:after="0" w:line="360" w:lineRule="auto"/>
        <w:ind w:firstLine="480" w:firstLineChars="200"/>
        <w:rPr>
          <w:rFonts w:ascii="宋体" w:hAnsi="宋体" w:eastAsia="宋体"/>
          <w:sz w:val="24"/>
          <w:szCs w:val="24"/>
        </w:rPr>
      </w:pPr>
      <w:r>
        <w:rPr>
          <w:rFonts w:hint="eastAsia" w:ascii="宋体" w:hAnsi="宋体" w:eastAsia="宋体"/>
          <w:sz w:val="24"/>
          <w:szCs w:val="24"/>
        </w:rPr>
        <w:t>42.2评标委员会的组成：方式</w:t>
      </w:r>
      <w:r>
        <w:rPr>
          <w:rFonts w:hint="eastAsia" w:ascii="宋体" w:hAnsi="宋体" w:eastAsia="宋体"/>
          <w:sz w:val="24"/>
          <w:szCs w:val="24"/>
          <w:u w:val="single"/>
        </w:rPr>
        <w:t xml:space="preserve">   </w:t>
      </w:r>
      <w:r>
        <w:rPr>
          <w:rFonts w:hint="eastAsia" w:ascii="宋体" w:hAnsi="宋体" w:eastAsia="宋体"/>
          <w:sz w:val="24"/>
          <w:szCs w:val="24"/>
        </w:rPr>
        <w:t>。</w:t>
      </w:r>
    </w:p>
    <w:p w14:paraId="7E65CE7B">
      <w:pPr>
        <w:snapToGrid w:val="0"/>
        <w:spacing w:line="360" w:lineRule="auto"/>
        <w:ind w:firstLine="480" w:firstLineChars="200"/>
        <w:rPr>
          <w:rFonts w:ascii="宋体" w:hAnsi="宋体"/>
          <w:sz w:val="24"/>
          <w:szCs w:val="24"/>
        </w:rPr>
      </w:pPr>
      <w:r>
        <w:rPr>
          <w:rFonts w:hint="eastAsia" w:ascii="宋体" w:hAnsi="宋体"/>
          <w:sz w:val="24"/>
          <w:szCs w:val="24"/>
        </w:rPr>
        <w:t>方式一：评标委员会为综合评标委员会，负责资格审查及评标工作。</w:t>
      </w:r>
    </w:p>
    <w:p w14:paraId="48414605">
      <w:pPr>
        <w:pStyle w:val="5"/>
        <w:tabs>
          <w:tab w:val="left" w:pos="7380"/>
        </w:tabs>
        <w:snapToGrid w:val="0"/>
        <w:spacing w:after="0" w:line="360" w:lineRule="auto"/>
        <w:rPr>
          <w:rFonts w:ascii="宋体" w:hAnsi="宋体" w:eastAsia="宋体"/>
          <w:sz w:val="24"/>
          <w:szCs w:val="24"/>
        </w:rPr>
      </w:pPr>
      <w:r>
        <w:rPr>
          <w:rFonts w:hint="eastAsia" w:ascii="宋体" w:hAnsi="宋体" w:eastAsia="宋体"/>
          <w:sz w:val="24"/>
          <w:szCs w:val="24"/>
        </w:rPr>
        <w:t>方式二：评标委员会由技术评审组和经济评审组组成。其中：资格审查及技术评审由技术评标组负责，经济评审由经济评审组负责。</w:t>
      </w:r>
    </w:p>
    <w:p w14:paraId="23627456">
      <w:pPr>
        <w:pStyle w:val="5"/>
        <w:tabs>
          <w:tab w:val="left" w:pos="7380"/>
        </w:tabs>
        <w:snapToGrid w:val="0"/>
        <w:spacing w:after="0" w:line="360" w:lineRule="auto"/>
        <w:ind w:firstLine="480" w:firstLineChars="200"/>
        <w:rPr>
          <w:rFonts w:ascii="宋体" w:hAnsi="宋体" w:eastAsia="宋体"/>
          <w:sz w:val="24"/>
          <w:szCs w:val="24"/>
        </w:rPr>
      </w:pPr>
      <w:r>
        <w:rPr>
          <w:rFonts w:hint="eastAsia" w:ascii="宋体" w:hAnsi="宋体" w:eastAsia="宋体"/>
          <w:sz w:val="24"/>
          <w:szCs w:val="24"/>
        </w:rPr>
        <w:t>43．投标人资格审查</w:t>
      </w:r>
    </w:p>
    <w:p w14:paraId="0586478D">
      <w:pPr>
        <w:pStyle w:val="5"/>
        <w:tabs>
          <w:tab w:val="left" w:pos="7380"/>
        </w:tabs>
        <w:snapToGrid w:val="0"/>
        <w:spacing w:after="0" w:line="360" w:lineRule="auto"/>
        <w:ind w:firstLine="480" w:firstLineChars="200"/>
        <w:rPr>
          <w:rFonts w:ascii="宋体" w:hAnsi="宋体" w:eastAsia="宋体"/>
          <w:sz w:val="24"/>
          <w:szCs w:val="24"/>
        </w:rPr>
      </w:pPr>
      <w:r>
        <w:rPr>
          <w:rFonts w:hint="eastAsia" w:ascii="宋体" w:hAnsi="宋体" w:eastAsia="宋体"/>
          <w:sz w:val="24"/>
          <w:szCs w:val="24"/>
        </w:rPr>
        <w:t>43.1资格审查文件中全部符合附表一《资格审查表》中情形的，为资格审查合格；否则为资格审查不合格。如评标委员会成员的评审意见不一致时，以评标委员会过半数成员的意见作为评标委员会对该情形的认定结论。评委发现资格审查文件中含义不明确、对同类问题表述不一致、有明显文字和计算错误的，应当要求投标人作必要的澄清、说明后再判定投标人是否通过资格审查，不得直接认定其不通过资格审查。</w:t>
      </w:r>
    </w:p>
    <w:p w14:paraId="03C104D2">
      <w:pPr>
        <w:pStyle w:val="5"/>
        <w:tabs>
          <w:tab w:val="left" w:pos="7380"/>
        </w:tabs>
        <w:snapToGrid w:val="0"/>
        <w:spacing w:after="0" w:line="360" w:lineRule="auto"/>
        <w:ind w:firstLine="480" w:firstLineChars="200"/>
        <w:rPr>
          <w:rFonts w:ascii="宋体" w:hAnsi="宋体" w:eastAsia="宋体"/>
          <w:sz w:val="24"/>
          <w:szCs w:val="24"/>
        </w:rPr>
      </w:pPr>
      <w:r>
        <w:rPr>
          <w:rFonts w:hint="eastAsia" w:ascii="宋体" w:hAnsi="宋体" w:eastAsia="宋体"/>
          <w:sz w:val="24"/>
          <w:szCs w:val="24"/>
        </w:rPr>
        <w:t>43.2汇总资格审查情况，编写资格审查报告。</w:t>
      </w:r>
    </w:p>
    <w:p w14:paraId="69A57539">
      <w:pPr>
        <w:pStyle w:val="5"/>
        <w:tabs>
          <w:tab w:val="left" w:pos="7380"/>
        </w:tabs>
        <w:snapToGrid w:val="0"/>
        <w:spacing w:after="0" w:line="360" w:lineRule="auto"/>
        <w:ind w:firstLine="480" w:firstLineChars="200"/>
        <w:rPr>
          <w:rFonts w:ascii="宋体" w:hAnsi="宋体" w:eastAsia="宋体"/>
          <w:sz w:val="24"/>
          <w:szCs w:val="24"/>
        </w:rPr>
      </w:pPr>
      <w:r>
        <w:rPr>
          <w:rFonts w:hint="eastAsia" w:ascii="宋体" w:hAnsi="宋体" w:eastAsia="宋体"/>
          <w:sz w:val="24"/>
          <w:szCs w:val="24"/>
        </w:rPr>
        <w:t>43.3资格审查不合格的投标文件不参加下一阶段的评标，不参与评标参考价的计算。</w:t>
      </w:r>
    </w:p>
    <w:p w14:paraId="122CE8F3">
      <w:pPr>
        <w:pStyle w:val="5"/>
        <w:tabs>
          <w:tab w:val="left" w:pos="7380"/>
        </w:tabs>
        <w:snapToGrid w:val="0"/>
        <w:spacing w:after="0" w:line="360" w:lineRule="auto"/>
        <w:ind w:firstLine="480" w:firstLineChars="200"/>
        <w:rPr>
          <w:rFonts w:ascii="宋体" w:hAnsi="宋体" w:eastAsia="宋体"/>
          <w:sz w:val="24"/>
          <w:szCs w:val="24"/>
        </w:rPr>
      </w:pPr>
      <w:r>
        <w:rPr>
          <w:rFonts w:hint="eastAsia" w:ascii="宋体" w:hAnsi="宋体" w:eastAsia="宋体"/>
          <w:sz w:val="24"/>
          <w:szCs w:val="24"/>
        </w:rPr>
        <w:t>43.4资格审查时，投标企业名称已经工商变更的，但企业及个人的资质证书未完成企业名称变更，仍然承认其有效。资质证书、安全生产许可证之间登记的信息不一致，应当允许投标人澄清，不得直接否决其投标。</w:t>
      </w:r>
    </w:p>
    <w:p w14:paraId="4BF065BE">
      <w:pPr>
        <w:pStyle w:val="5"/>
        <w:tabs>
          <w:tab w:val="left" w:pos="7380"/>
        </w:tabs>
        <w:snapToGrid w:val="0"/>
        <w:spacing w:after="0" w:line="360" w:lineRule="auto"/>
        <w:ind w:firstLine="480" w:firstLineChars="200"/>
        <w:rPr>
          <w:rFonts w:ascii="宋体" w:hAnsi="宋体" w:eastAsia="宋体"/>
          <w:sz w:val="24"/>
          <w:szCs w:val="24"/>
        </w:rPr>
      </w:pPr>
      <w:r>
        <w:rPr>
          <w:rFonts w:hint="eastAsia" w:ascii="宋体" w:hAnsi="宋体" w:eastAsia="宋体"/>
          <w:sz w:val="24"/>
          <w:szCs w:val="24"/>
        </w:rPr>
        <w:t>43.5资审合格后，投标人的资格发生变化而不满足投标人合格条件，在发出中标通知书前，资格问题仍未解决的，招标人将取消其中标资格。</w:t>
      </w:r>
    </w:p>
    <w:p w14:paraId="7147922D">
      <w:pPr>
        <w:pStyle w:val="5"/>
        <w:tabs>
          <w:tab w:val="left" w:pos="7380"/>
        </w:tabs>
        <w:snapToGrid w:val="0"/>
        <w:spacing w:after="0" w:line="360" w:lineRule="auto"/>
        <w:ind w:firstLine="480" w:firstLineChars="200"/>
        <w:rPr>
          <w:rFonts w:ascii="宋体" w:hAnsi="宋体" w:eastAsia="宋体"/>
          <w:sz w:val="24"/>
          <w:szCs w:val="24"/>
        </w:rPr>
      </w:pPr>
      <w:r>
        <w:rPr>
          <w:rFonts w:hint="eastAsia" w:ascii="宋体" w:hAnsi="宋体" w:eastAsia="宋体"/>
          <w:sz w:val="24"/>
          <w:szCs w:val="24"/>
        </w:rPr>
        <w:t>43.6资格审查合格的投标人少于3名的（当N个标段同时招标且不允许兼中时，资格审查合格的投标人少于N+2名），则本项目招标失败。</w:t>
      </w:r>
    </w:p>
    <w:p w14:paraId="3B5CA90A">
      <w:pPr>
        <w:pStyle w:val="5"/>
        <w:tabs>
          <w:tab w:val="left" w:pos="7380"/>
        </w:tabs>
        <w:snapToGrid w:val="0"/>
        <w:spacing w:after="0" w:line="360" w:lineRule="auto"/>
        <w:ind w:firstLine="480" w:firstLineChars="200"/>
        <w:rPr>
          <w:rFonts w:ascii="宋体" w:hAnsi="宋体" w:eastAsia="宋体"/>
          <w:sz w:val="24"/>
          <w:szCs w:val="24"/>
        </w:rPr>
      </w:pPr>
      <w:r>
        <w:rPr>
          <w:rFonts w:hint="eastAsia" w:ascii="宋体" w:hAnsi="宋体" w:eastAsia="宋体"/>
          <w:sz w:val="24"/>
          <w:szCs w:val="24"/>
        </w:rPr>
        <w:t>44．技术标评审</w:t>
      </w:r>
    </w:p>
    <w:p w14:paraId="6FBA8A70">
      <w:pPr>
        <w:pStyle w:val="5"/>
        <w:tabs>
          <w:tab w:val="left" w:pos="7380"/>
        </w:tabs>
        <w:snapToGrid w:val="0"/>
        <w:spacing w:after="0" w:line="360" w:lineRule="auto"/>
        <w:ind w:firstLine="480" w:firstLineChars="200"/>
        <w:rPr>
          <w:rFonts w:ascii="宋体" w:hAnsi="宋体" w:eastAsia="宋体"/>
          <w:sz w:val="24"/>
          <w:szCs w:val="24"/>
        </w:rPr>
      </w:pPr>
      <w:r>
        <w:rPr>
          <w:rFonts w:hint="eastAsia" w:ascii="宋体" w:hAnsi="宋体" w:eastAsia="宋体"/>
          <w:sz w:val="24"/>
          <w:szCs w:val="24"/>
        </w:rPr>
        <w:t>44.1技术标的有效性审查：投标文件中没有任一种列于本办法附表二《技术标有效性审查表》中情形的，为有效投标文件。否则其投标文件将被否决。被否决的投标人不参与下一阶段评审，不参与评标参考价的计算。如评标委员会成员的评审意见不一致时，以评标委员会过半数成员的意见作为评标委员会对该情形的认定结论。若通过技术标有效性审查的投标人不足三家，则重新招标。（当N个标段同时招标且不允许兼中时，若通过技术标有效性审查投标人不足N+2家，则重新招标）。评委发现投标文件中含义不明确、对同类问题表述不一致、有明显文字和计算错误的，应当要求投标人作必要的澄清、说明后再判定投标人是否通过有效性审查，不得直接否决投标。</w:t>
      </w:r>
    </w:p>
    <w:p w14:paraId="0D204583">
      <w:pPr>
        <w:pStyle w:val="5"/>
        <w:tabs>
          <w:tab w:val="left" w:pos="7380"/>
        </w:tabs>
        <w:snapToGrid w:val="0"/>
        <w:spacing w:after="0" w:line="360" w:lineRule="auto"/>
        <w:ind w:firstLine="480" w:firstLineChars="200"/>
        <w:rPr>
          <w:rFonts w:ascii="宋体" w:hAnsi="宋体" w:eastAsia="宋体"/>
          <w:sz w:val="24"/>
          <w:szCs w:val="24"/>
        </w:rPr>
      </w:pPr>
      <w:r>
        <w:rPr>
          <w:rFonts w:hint="eastAsia" w:ascii="宋体" w:hAnsi="宋体" w:eastAsia="宋体"/>
          <w:sz w:val="24"/>
          <w:szCs w:val="24"/>
        </w:rPr>
        <w:t>44.2技术标详细审查评分：评标委员会按照附表四《技术标详细审查评分表》的标准，对通过技术标有效性审查的投标文件技术标进行详细审查，评出技术分，得分四舍五入精确到小数点后两位。</w:t>
      </w:r>
    </w:p>
    <w:p w14:paraId="595BEB83">
      <w:pPr>
        <w:pStyle w:val="5"/>
        <w:tabs>
          <w:tab w:val="left" w:pos="7380"/>
        </w:tabs>
        <w:snapToGrid w:val="0"/>
        <w:spacing w:after="0" w:line="360" w:lineRule="auto"/>
        <w:ind w:firstLine="480" w:firstLineChars="200"/>
        <w:rPr>
          <w:rFonts w:ascii="宋体" w:hAnsi="宋体" w:eastAsia="宋体"/>
          <w:sz w:val="24"/>
          <w:szCs w:val="24"/>
        </w:rPr>
      </w:pPr>
      <w:r>
        <w:rPr>
          <w:rFonts w:hint="eastAsia" w:ascii="宋体" w:hAnsi="宋体" w:eastAsia="宋体"/>
          <w:sz w:val="24"/>
          <w:szCs w:val="24"/>
        </w:rPr>
        <w:t>45．经济标评审和得分汇总</w:t>
      </w:r>
    </w:p>
    <w:p w14:paraId="616A8268">
      <w:pPr>
        <w:pStyle w:val="5"/>
        <w:tabs>
          <w:tab w:val="left" w:pos="7380"/>
        </w:tabs>
        <w:snapToGrid w:val="0"/>
        <w:spacing w:after="0" w:line="360" w:lineRule="auto"/>
        <w:ind w:firstLine="480" w:firstLineChars="200"/>
        <w:rPr>
          <w:rFonts w:ascii="宋体" w:hAnsi="宋体" w:eastAsia="宋体"/>
          <w:sz w:val="24"/>
          <w:szCs w:val="24"/>
        </w:rPr>
      </w:pPr>
      <w:r>
        <w:rPr>
          <w:rFonts w:hint="eastAsia" w:ascii="宋体" w:hAnsi="宋体" w:eastAsia="宋体"/>
          <w:sz w:val="24"/>
          <w:szCs w:val="24"/>
        </w:rPr>
        <w:t>45.1若通过技术标有效性审查的投标人中所有投标报价均大于等于最高投标限价，则本项目招标失败，由招标人依法重新招标。</w:t>
      </w:r>
    </w:p>
    <w:p w14:paraId="31B725C0">
      <w:pPr>
        <w:pStyle w:val="5"/>
        <w:tabs>
          <w:tab w:val="left" w:pos="7380"/>
        </w:tabs>
        <w:snapToGrid w:val="0"/>
        <w:spacing w:after="0" w:line="360" w:lineRule="auto"/>
        <w:ind w:firstLine="480" w:firstLineChars="200"/>
        <w:rPr>
          <w:rFonts w:ascii="宋体"/>
          <w:sz w:val="24"/>
          <w:szCs w:val="24"/>
        </w:rPr>
      </w:pPr>
      <w:r>
        <w:rPr>
          <w:rFonts w:hint="eastAsia" w:ascii="宋体" w:hAnsi="宋体" w:eastAsia="宋体"/>
          <w:sz w:val="24"/>
          <w:szCs w:val="24"/>
        </w:rPr>
        <w:t xml:space="preserve"> 45.2按方法</w:t>
      </w:r>
      <w:r>
        <w:rPr>
          <w:rFonts w:hint="eastAsia" w:ascii="宋体" w:hAnsi="宋体" w:eastAsia="宋体"/>
          <w:sz w:val="24"/>
          <w:szCs w:val="24"/>
          <w:u w:val="single"/>
        </w:rPr>
        <w:t xml:space="preserve">    </w:t>
      </w:r>
      <w:r>
        <w:rPr>
          <w:rFonts w:hint="eastAsia" w:ascii="宋体" w:hAnsi="宋体" w:eastAsia="宋体"/>
          <w:sz w:val="24"/>
          <w:szCs w:val="24"/>
        </w:rPr>
        <w:t>计算评标参考价：</w:t>
      </w:r>
    </w:p>
    <w:p w14:paraId="5999A2AE">
      <w:pPr>
        <w:widowControl/>
        <w:spacing w:line="360" w:lineRule="auto"/>
        <w:ind w:firstLine="480" w:firstLineChars="200"/>
        <w:rPr>
          <w:rFonts w:ascii="宋体" w:hAnsi="宋体"/>
          <w:b/>
          <w:bCs/>
          <w:kern w:val="0"/>
          <w:sz w:val="24"/>
          <w:szCs w:val="24"/>
        </w:rPr>
      </w:pPr>
      <w:r>
        <w:rPr>
          <w:rFonts w:hint="eastAsia" w:ascii="宋体" w:hAnsi="宋体" w:cs="仿宋"/>
          <w:b/>
          <w:bCs/>
          <w:kern w:val="0"/>
          <w:sz w:val="24"/>
          <w:szCs w:val="24"/>
        </w:rPr>
        <w:t>方法一：加权平均法</w:t>
      </w:r>
    </w:p>
    <w:p w14:paraId="0510C88F">
      <w:pPr>
        <w:spacing w:line="360" w:lineRule="auto"/>
        <w:ind w:firstLine="480" w:firstLineChars="200"/>
        <w:rPr>
          <w:rFonts w:ascii="宋体" w:hAnsi="宋体" w:cs="仿宋"/>
          <w:sz w:val="24"/>
          <w:szCs w:val="24"/>
        </w:rPr>
      </w:pPr>
      <w:r>
        <w:rPr>
          <w:rFonts w:hint="eastAsia" w:ascii="宋体" w:hAnsi="宋体" w:cs="仿宋"/>
          <w:sz w:val="24"/>
          <w:szCs w:val="24"/>
        </w:rPr>
        <w:t>技术标或技术标加诚信得分（具体由招标人自定）前</w:t>
      </w:r>
      <w:r>
        <w:rPr>
          <w:rFonts w:ascii="宋体" w:hAnsi="宋体" w:cs="仿宋"/>
          <w:sz w:val="24"/>
          <w:szCs w:val="24"/>
        </w:rPr>
        <w:t>N</w:t>
      </w:r>
      <w:r>
        <w:rPr>
          <w:rFonts w:hint="eastAsia" w:ascii="宋体" w:hAnsi="宋体" w:cs="仿宋"/>
          <w:sz w:val="24"/>
          <w:szCs w:val="24"/>
        </w:rPr>
        <w:t>名（N≥5，具体由招标人自定）的经济报价加权平均，计算评标参考价。公式如下：</w:t>
      </w:r>
    </w:p>
    <w:p w14:paraId="6D039848">
      <w:pPr>
        <w:spacing w:line="360" w:lineRule="auto"/>
        <w:ind w:firstLine="480" w:firstLineChars="200"/>
        <w:rPr>
          <w:rFonts w:ascii="宋体" w:hAnsi="宋体" w:cs="仿宋"/>
          <w:sz w:val="24"/>
          <w:szCs w:val="24"/>
        </w:rPr>
      </w:pPr>
      <w:r>
        <w:rPr>
          <w:rFonts w:hint="eastAsia" w:ascii="宋体" w:hAnsi="宋体" w:cs="仿宋"/>
          <w:sz w:val="24"/>
          <w:szCs w:val="24"/>
        </w:rPr>
        <w:t>评标参考价</w:t>
      </w:r>
      <w:r>
        <w:rPr>
          <w:rFonts w:ascii="宋体" w:hAnsi="宋体" w:cs="仿宋"/>
          <w:sz w:val="24"/>
          <w:szCs w:val="24"/>
        </w:rPr>
        <w:t>=</w:t>
      </w:r>
      <w:r>
        <w:rPr>
          <w:rFonts w:hint="eastAsia" w:ascii="宋体" w:hAnsi="宋体" w:cs="仿宋"/>
          <w:sz w:val="24"/>
          <w:szCs w:val="24"/>
        </w:rPr>
        <w:t>Σ（投标人的投标报价</w:t>
      </w:r>
      <w:r>
        <w:rPr>
          <w:rFonts w:ascii="宋体" w:hAnsi="宋体" w:cs="仿宋"/>
          <w:sz w:val="24"/>
          <w:szCs w:val="24"/>
        </w:rPr>
        <w:t>*</w:t>
      </w:r>
      <w:r>
        <w:rPr>
          <w:rFonts w:hint="eastAsia" w:ascii="宋体" w:hAnsi="宋体" w:cs="仿宋"/>
          <w:sz w:val="24"/>
          <w:szCs w:val="24"/>
        </w:rPr>
        <w:t>报价权重）。</w:t>
      </w:r>
    </w:p>
    <w:p w14:paraId="05A378A6">
      <w:pPr>
        <w:spacing w:line="360" w:lineRule="auto"/>
        <w:ind w:firstLine="480" w:firstLineChars="200"/>
        <w:rPr>
          <w:rFonts w:ascii="宋体" w:hAnsi="宋体" w:cs="仿宋"/>
          <w:sz w:val="24"/>
          <w:szCs w:val="24"/>
        </w:rPr>
      </w:pPr>
      <w:r>
        <w:rPr>
          <w:rFonts w:hint="eastAsia" w:ascii="宋体" w:hAnsi="宋体" w:cs="仿宋"/>
          <w:sz w:val="24"/>
          <w:szCs w:val="24"/>
        </w:rPr>
        <w:t>其中：报价权重的计算方法为：将</w:t>
      </w:r>
      <w:r>
        <w:rPr>
          <w:rFonts w:ascii="宋体" w:hAnsi="宋体" w:cs="仿宋"/>
          <w:sz w:val="24"/>
          <w:szCs w:val="24"/>
        </w:rPr>
        <w:t>N</w:t>
      </w:r>
      <w:r>
        <w:rPr>
          <w:rFonts w:hint="eastAsia" w:ascii="宋体" w:hAnsi="宋体" w:cs="仿宋"/>
          <w:sz w:val="24"/>
          <w:szCs w:val="24"/>
        </w:rPr>
        <w:t>名投标人按技术分由高至低进行排序，第一名投标人的权重为（</w:t>
      </w:r>
      <w:r>
        <w:rPr>
          <w:rFonts w:ascii="宋体" w:hAnsi="宋体" w:cs="仿宋"/>
          <w:sz w:val="24"/>
          <w:szCs w:val="24"/>
        </w:rPr>
        <w:fldChar w:fldCharType="begin"/>
      </w:r>
      <w:r>
        <w:rPr>
          <w:rFonts w:ascii="宋体" w:hAnsi="宋体" w:cs="仿宋"/>
          <w:sz w:val="24"/>
          <w:szCs w:val="24"/>
        </w:rPr>
        <w:instrText xml:space="preserve"> QUOTE </w:instrText>
      </w:r>
      <w:r>
        <w:rPr>
          <w:rFonts w:ascii="宋体" w:hAnsi="宋体"/>
          <w:sz w:val="24"/>
          <w:szCs w:val="24"/>
        </w:rPr>
        <w:drawing>
          <wp:inline distT="0" distB="0" distL="0" distR="0">
            <wp:extent cx="381000" cy="447675"/>
            <wp:effectExtent l="0" t="0" r="0" b="952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14">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381000" cy="447675"/>
                    </a:xfrm>
                    <a:prstGeom prst="rect">
                      <a:avLst/>
                    </a:prstGeom>
                    <a:noFill/>
                    <a:ln>
                      <a:noFill/>
                    </a:ln>
                  </pic:spPr>
                </pic:pic>
              </a:graphicData>
            </a:graphic>
          </wp:inline>
        </w:drawing>
      </w:r>
      <w:r>
        <w:rPr>
          <w:rFonts w:ascii="宋体" w:hAnsi="宋体" w:cs="仿宋"/>
          <w:sz w:val="24"/>
          <w:szCs w:val="24"/>
        </w:rPr>
        <w:fldChar w:fldCharType="separate"/>
      </w:r>
      <w:r>
        <w:rPr>
          <w:rFonts w:ascii="宋体" w:hAnsi="宋体"/>
          <w:sz w:val="24"/>
          <w:szCs w:val="24"/>
        </w:rPr>
        <w:drawing>
          <wp:inline distT="0" distB="0" distL="0" distR="0">
            <wp:extent cx="381000" cy="447675"/>
            <wp:effectExtent l="0" t="0" r="0" b="952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14">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381000" cy="447675"/>
                    </a:xfrm>
                    <a:prstGeom prst="rect">
                      <a:avLst/>
                    </a:prstGeom>
                    <a:noFill/>
                    <a:ln>
                      <a:noFill/>
                    </a:ln>
                  </pic:spPr>
                </pic:pic>
              </a:graphicData>
            </a:graphic>
          </wp:inline>
        </w:drawing>
      </w:r>
      <w:r>
        <w:rPr>
          <w:rFonts w:ascii="宋体" w:hAnsi="宋体" w:cs="仿宋"/>
          <w:sz w:val="24"/>
          <w:szCs w:val="24"/>
        </w:rPr>
        <w:fldChar w:fldCharType="end"/>
      </w:r>
      <w:r>
        <w:rPr>
          <w:rFonts w:hint="eastAsia" w:ascii="宋体" w:hAnsi="宋体" w:cs="仿宋"/>
          <w:sz w:val="24"/>
          <w:szCs w:val="24"/>
        </w:rPr>
        <w:t>），第二名投标人的权重为（</w:t>
      </w:r>
      <w:r>
        <w:rPr>
          <w:rFonts w:ascii="宋体" w:hAnsi="宋体" w:cs="仿宋"/>
          <w:sz w:val="24"/>
          <w:szCs w:val="24"/>
        </w:rPr>
        <w:fldChar w:fldCharType="begin"/>
      </w:r>
      <w:r>
        <w:rPr>
          <w:rFonts w:ascii="宋体" w:hAnsi="宋体" w:cs="仿宋"/>
          <w:sz w:val="24"/>
          <w:szCs w:val="24"/>
        </w:rPr>
        <w:instrText xml:space="preserve"> QUOTE </w:instrText>
      </w:r>
      <w:r>
        <w:rPr>
          <w:rFonts w:ascii="宋体" w:hAnsi="宋体"/>
          <w:position w:val="-23"/>
          <w:sz w:val="24"/>
          <w:szCs w:val="24"/>
        </w:rPr>
        <w:drawing>
          <wp:inline distT="0" distB="0" distL="0" distR="0">
            <wp:extent cx="323850" cy="40005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15">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323850" cy="400050"/>
                    </a:xfrm>
                    <a:prstGeom prst="rect">
                      <a:avLst/>
                    </a:prstGeom>
                    <a:noFill/>
                    <a:ln>
                      <a:noFill/>
                    </a:ln>
                  </pic:spPr>
                </pic:pic>
              </a:graphicData>
            </a:graphic>
          </wp:inline>
        </w:drawing>
      </w:r>
      <w:r>
        <w:rPr>
          <w:rFonts w:ascii="宋体" w:hAnsi="宋体" w:cs="仿宋"/>
          <w:sz w:val="24"/>
          <w:szCs w:val="24"/>
        </w:rPr>
        <w:fldChar w:fldCharType="separate"/>
      </w:r>
      <w:r>
        <w:rPr>
          <w:rFonts w:ascii="宋体" w:hAnsi="宋体"/>
          <w:position w:val="-23"/>
          <w:sz w:val="24"/>
          <w:szCs w:val="24"/>
        </w:rPr>
        <w:drawing>
          <wp:inline distT="0" distB="0" distL="0" distR="0">
            <wp:extent cx="323850" cy="40005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5">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323850" cy="400050"/>
                    </a:xfrm>
                    <a:prstGeom prst="rect">
                      <a:avLst/>
                    </a:prstGeom>
                    <a:noFill/>
                    <a:ln>
                      <a:noFill/>
                    </a:ln>
                  </pic:spPr>
                </pic:pic>
              </a:graphicData>
            </a:graphic>
          </wp:inline>
        </w:drawing>
      </w:r>
      <w:r>
        <w:rPr>
          <w:rFonts w:ascii="宋体" w:hAnsi="宋体" w:cs="仿宋"/>
          <w:sz w:val="24"/>
          <w:szCs w:val="24"/>
        </w:rPr>
        <w:fldChar w:fldCharType="end"/>
      </w:r>
      <w:r>
        <w:rPr>
          <w:rFonts w:hint="eastAsia" w:ascii="宋体" w:hAnsi="宋体" w:cs="仿宋"/>
          <w:sz w:val="24"/>
          <w:szCs w:val="24"/>
        </w:rPr>
        <w:t>），以此类推，最后一名投标人的权重为（</w:t>
      </w:r>
      <w:r>
        <w:rPr>
          <w:rFonts w:ascii="宋体" w:hAnsi="宋体" w:cs="仿宋"/>
          <w:sz w:val="24"/>
          <w:szCs w:val="24"/>
        </w:rPr>
        <w:fldChar w:fldCharType="begin"/>
      </w:r>
      <w:r>
        <w:rPr>
          <w:rFonts w:ascii="宋体" w:hAnsi="宋体" w:cs="仿宋"/>
          <w:sz w:val="24"/>
          <w:szCs w:val="24"/>
        </w:rPr>
        <w:instrText xml:space="preserve"> QUOTE </w:instrText>
      </w:r>
      <w:r>
        <w:rPr>
          <w:rFonts w:ascii="宋体" w:hAnsi="宋体"/>
          <w:position w:val="-23"/>
          <w:sz w:val="24"/>
          <w:szCs w:val="24"/>
        </w:rPr>
        <w:drawing>
          <wp:inline distT="0" distB="0" distL="0" distR="0">
            <wp:extent cx="323850" cy="40005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6">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323850" cy="400050"/>
                    </a:xfrm>
                    <a:prstGeom prst="rect">
                      <a:avLst/>
                    </a:prstGeom>
                    <a:noFill/>
                    <a:ln>
                      <a:noFill/>
                    </a:ln>
                  </pic:spPr>
                </pic:pic>
              </a:graphicData>
            </a:graphic>
          </wp:inline>
        </w:drawing>
      </w:r>
      <w:r>
        <w:rPr>
          <w:rFonts w:ascii="宋体" w:hAnsi="宋体" w:cs="仿宋"/>
          <w:sz w:val="24"/>
          <w:szCs w:val="24"/>
        </w:rPr>
        <w:fldChar w:fldCharType="separate"/>
      </w:r>
      <w:r>
        <w:rPr>
          <w:rFonts w:ascii="宋体" w:hAnsi="宋体"/>
          <w:position w:val="-23"/>
          <w:sz w:val="24"/>
          <w:szCs w:val="24"/>
        </w:rPr>
        <w:drawing>
          <wp:inline distT="0" distB="0" distL="0" distR="0">
            <wp:extent cx="323850" cy="40005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6">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323850" cy="400050"/>
                    </a:xfrm>
                    <a:prstGeom prst="rect">
                      <a:avLst/>
                    </a:prstGeom>
                    <a:noFill/>
                    <a:ln>
                      <a:noFill/>
                    </a:ln>
                  </pic:spPr>
                </pic:pic>
              </a:graphicData>
            </a:graphic>
          </wp:inline>
        </w:drawing>
      </w:r>
      <w:r>
        <w:rPr>
          <w:rFonts w:ascii="宋体" w:hAnsi="宋体" w:cs="仿宋"/>
          <w:sz w:val="24"/>
          <w:szCs w:val="24"/>
        </w:rPr>
        <w:fldChar w:fldCharType="end"/>
      </w:r>
      <w:r>
        <w:rPr>
          <w:rFonts w:hint="eastAsia" w:ascii="宋体" w:hAnsi="宋体" w:cs="仿宋"/>
          <w:sz w:val="24"/>
          <w:szCs w:val="24"/>
        </w:rPr>
        <w:t>）。</w:t>
      </w:r>
    </w:p>
    <w:p w14:paraId="3D1A6886">
      <w:pPr>
        <w:widowControl/>
        <w:spacing w:line="360" w:lineRule="auto"/>
        <w:ind w:firstLine="480" w:firstLineChars="200"/>
        <w:rPr>
          <w:rFonts w:ascii="宋体" w:hAnsi="宋体"/>
          <w:b/>
          <w:bCs/>
          <w:kern w:val="0"/>
          <w:sz w:val="24"/>
          <w:szCs w:val="24"/>
        </w:rPr>
      </w:pPr>
      <w:r>
        <w:rPr>
          <w:rFonts w:hint="eastAsia" w:ascii="宋体" w:hAnsi="宋体" w:cs="仿宋"/>
          <w:b/>
          <w:bCs/>
          <w:kern w:val="0"/>
          <w:sz w:val="24"/>
          <w:szCs w:val="24"/>
        </w:rPr>
        <w:t>方法二：区间抽取法</w:t>
      </w:r>
    </w:p>
    <w:p w14:paraId="753FE4B3">
      <w:pPr>
        <w:widowControl/>
        <w:snapToGrid w:val="0"/>
        <w:spacing w:line="360" w:lineRule="auto"/>
        <w:ind w:firstLine="480" w:firstLineChars="200"/>
        <w:rPr>
          <w:rFonts w:ascii="宋体" w:hAnsi="宋体"/>
          <w:kern w:val="0"/>
          <w:sz w:val="24"/>
          <w:szCs w:val="24"/>
        </w:rPr>
      </w:pPr>
      <w:r>
        <w:rPr>
          <w:rFonts w:hint="eastAsia" w:ascii="宋体" w:hAnsi="宋体" w:cs="仿宋"/>
          <w:sz w:val="24"/>
          <w:szCs w:val="24"/>
        </w:rPr>
        <w:t>设立入围合格分数线（技术标或技术标加诚信得分，具体数值由招标人在招标文件中确定），达到或超过及格线的投标人的报价方能参与评标参考价的计算。将达到或超过技术标及格分数线的投标报价由低至高进行排列，按以下公式计算评标参考价，计算公式如下：</w:t>
      </w:r>
    </w:p>
    <w:p w14:paraId="1A9E4B02">
      <w:pPr>
        <w:widowControl/>
        <w:snapToGrid w:val="0"/>
        <w:spacing w:line="360" w:lineRule="auto"/>
        <w:ind w:firstLine="480" w:firstLineChars="200"/>
        <w:rPr>
          <w:rFonts w:ascii="宋体" w:hAnsi="宋体"/>
          <w:kern w:val="0"/>
          <w:sz w:val="24"/>
          <w:szCs w:val="24"/>
          <w:vertAlign w:val="subscript"/>
        </w:rPr>
      </w:pPr>
      <w:r>
        <w:rPr>
          <w:rFonts w:hint="eastAsia" w:ascii="宋体" w:hAnsi="宋体" w:cs="仿宋"/>
          <w:kern w:val="0"/>
          <w:sz w:val="24"/>
          <w:szCs w:val="24"/>
        </w:rPr>
        <w:t>评标参考价</w:t>
      </w:r>
      <w:r>
        <w:rPr>
          <w:rFonts w:ascii="宋体" w:hAnsi="宋体" w:cs="仿宋"/>
          <w:kern w:val="0"/>
          <w:sz w:val="24"/>
          <w:szCs w:val="24"/>
        </w:rPr>
        <w:t>=</w:t>
      </w:r>
      <w:r>
        <w:rPr>
          <w:rFonts w:hint="eastAsia" w:ascii="宋体" w:hAnsi="宋体" w:cs="仿宋"/>
          <w:kern w:val="0"/>
          <w:sz w:val="24"/>
          <w:szCs w:val="24"/>
        </w:rPr>
        <w:t>（</w:t>
      </w:r>
      <w:r>
        <w:rPr>
          <w:rFonts w:ascii="宋体" w:hAnsi="宋体" w:cs="仿宋"/>
          <w:kern w:val="0"/>
          <w:sz w:val="24"/>
          <w:szCs w:val="24"/>
        </w:rPr>
        <w:t>Q</w:t>
      </w:r>
      <w:r>
        <w:rPr>
          <w:rFonts w:hint="eastAsia" w:ascii="宋体" w:hAnsi="宋体" w:cs="仿宋"/>
          <w:kern w:val="0"/>
          <w:sz w:val="24"/>
          <w:szCs w:val="24"/>
          <w:vertAlign w:val="subscript"/>
        </w:rPr>
        <w:t>高</w:t>
      </w:r>
      <w:r>
        <w:rPr>
          <w:rFonts w:ascii="宋体" w:hAnsi="宋体" w:cs="仿宋"/>
          <w:kern w:val="0"/>
          <w:sz w:val="24"/>
          <w:szCs w:val="24"/>
        </w:rPr>
        <w:t>-Q</w:t>
      </w:r>
      <w:r>
        <w:rPr>
          <w:rFonts w:hint="eastAsia" w:ascii="宋体" w:hAnsi="宋体" w:cs="仿宋"/>
          <w:kern w:val="0"/>
          <w:sz w:val="24"/>
          <w:szCs w:val="24"/>
          <w:vertAlign w:val="subscript"/>
        </w:rPr>
        <w:t>低</w:t>
      </w:r>
      <w:r>
        <w:rPr>
          <w:rFonts w:hint="eastAsia" w:ascii="宋体" w:hAnsi="宋体" w:cs="仿宋"/>
          <w:kern w:val="0"/>
          <w:sz w:val="24"/>
          <w:szCs w:val="24"/>
        </w:rPr>
        <w:t>）</w:t>
      </w:r>
      <w:r>
        <w:rPr>
          <w:rFonts w:ascii="宋体" w:hAnsi="宋体" w:cs="仿宋"/>
          <w:kern w:val="0"/>
          <w:sz w:val="24"/>
          <w:szCs w:val="24"/>
        </w:rPr>
        <w:t>/100*</w:t>
      </w:r>
      <w:r>
        <w:rPr>
          <w:rFonts w:hint="eastAsia" w:ascii="宋体" w:hAnsi="宋体" w:cs="仿宋"/>
          <w:kern w:val="0"/>
          <w:sz w:val="24"/>
          <w:szCs w:val="24"/>
        </w:rPr>
        <w:t>Ｘ</w:t>
      </w:r>
      <w:r>
        <w:rPr>
          <w:rFonts w:ascii="宋体" w:hAnsi="宋体" w:cs="仿宋"/>
          <w:kern w:val="0"/>
          <w:sz w:val="24"/>
          <w:szCs w:val="24"/>
        </w:rPr>
        <w:t>+Q</w:t>
      </w:r>
      <w:r>
        <w:rPr>
          <w:rFonts w:hint="eastAsia" w:ascii="宋体" w:hAnsi="宋体" w:cs="仿宋"/>
          <w:kern w:val="0"/>
          <w:sz w:val="24"/>
          <w:szCs w:val="24"/>
          <w:vertAlign w:val="subscript"/>
        </w:rPr>
        <w:t>低</w:t>
      </w:r>
    </w:p>
    <w:p w14:paraId="05318ECB">
      <w:pPr>
        <w:widowControl/>
        <w:snapToGrid w:val="0"/>
        <w:spacing w:line="360" w:lineRule="auto"/>
        <w:ind w:firstLine="480" w:firstLineChars="200"/>
        <w:rPr>
          <w:rFonts w:ascii="宋体" w:hAnsi="宋体"/>
          <w:sz w:val="24"/>
          <w:szCs w:val="24"/>
        </w:rPr>
      </w:pPr>
      <w:r>
        <w:rPr>
          <w:rFonts w:ascii="宋体" w:hAnsi="宋体" w:cs="仿宋"/>
          <w:sz w:val="24"/>
          <w:szCs w:val="24"/>
        </w:rPr>
        <w:t>Q</w:t>
      </w:r>
      <w:r>
        <w:rPr>
          <w:rFonts w:hint="eastAsia" w:ascii="宋体" w:hAnsi="宋体" w:cs="仿宋"/>
          <w:sz w:val="24"/>
          <w:szCs w:val="24"/>
          <w:vertAlign w:val="subscript"/>
        </w:rPr>
        <w:t>低</w:t>
      </w:r>
      <w:r>
        <w:rPr>
          <w:rFonts w:hint="eastAsia" w:ascii="宋体" w:hAnsi="宋体" w:cs="仿宋"/>
          <w:sz w:val="24"/>
          <w:szCs w:val="24"/>
        </w:rPr>
        <w:t>：为达到或超过技术标及格分数线的投标人最低报价与工程成本警示价两者中的较高值；</w:t>
      </w:r>
    </w:p>
    <w:p w14:paraId="26533111">
      <w:pPr>
        <w:spacing w:line="360" w:lineRule="auto"/>
        <w:ind w:firstLine="480" w:firstLineChars="200"/>
        <w:rPr>
          <w:rFonts w:ascii="宋体" w:hAnsi="宋体" w:cs="仿宋"/>
          <w:sz w:val="24"/>
          <w:szCs w:val="24"/>
        </w:rPr>
      </w:pPr>
      <w:r>
        <w:rPr>
          <w:rFonts w:ascii="宋体" w:hAnsi="宋体" w:cs="仿宋"/>
          <w:kern w:val="0"/>
          <w:sz w:val="24"/>
          <w:szCs w:val="24"/>
        </w:rPr>
        <w:t>Q</w:t>
      </w:r>
      <w:r>
        <w:rPr>
          <w:rFonts w:hint="eastAsia" w:ascii="宋体" w:hAnsi="宋体" w:cs="仿宋"/>
          <w:kern w:val="0"/>
          <w:sz w:val="24"/>
          <w:szCs w:val="24"/>
          <w:vertAlign w:val="subscript"/>
        </w:rPr>
        <w:t>高</w:t>
      </w:r>
      <w:r>
        <w:rPr>
          <w:rFonts w:hint="eastAsia" w:ascii="宋体" w:hAnsi="宋体" w:cs="仿宋"/>
          <w:sz w:val="24"/>
          <w:szCs w:val="24"/>
        </w:rPr>
        <w:t>：</w:t>
      </w:r>
      <w:bookmarkStart w:id="22" w:name="_Hlk172022906"/>
      <w:r>
        <w:rPr>
          <w:rFonts w:hint="eastAsia" w:ascii="宋体" w:hAnsi="宋体" w:cs="仿宋"/>
          <w:sz w:val="24"/>
          <w:szCs w:val="24"/>
        </w:rPr>
        <w:t>为最高投标限价</w:t>
      </w:r>
      <w:bookmarkEnd w:id="22"/>
    </w:p>
    <w:p w14:paraId="5811DA5D">
      <w:pPr>
        <w:spacing w:line="360" w:lineRule="auto"/>
        <w:ind w:firstLine="480" w:firstLineChars="200"/>
        <w:rPr>
          <w:rFonts w:ascii="宋体" w:hAnsi="宋体"/>
          <w:sz w:val="24"/>
          <w:szCs w:val="24"/>
        </w:rPr>
      </w:pPr>
      <w:r>
        <w:rPr>
          <w:rFonts w:ascii="宋体" w:hAnsi="宋体" w:cs="仿宋"/>
          <w:sz w:val="24"/>
          <w:szCs w:val="24"/>
        </w:rPr>
        <w:t>X:</w:t>
      </w:r>
      <w:r>
        <w:rPr>
          <w:rFonts w:hint="eastAsia" w:ascii="宋体" w:hAnsi="宋体" w:cs="仿宋"/>
          <w:sz w:val="24"/>
          <w:szCs w:val="24"/>
        </w:rPr>
        <w:t>为等分点值，在开标前从</w:t>
      </w:r>
      <w:r>
        <w:rPr>
          <w:rFonts w:ascii="宋体" w:hAnsi="宋体" w:cs="仿宋"/>
          <w:sz w:val="24"/>
          <w:szCs w:val="24"/>
        </w:rPr>
        <w:t>[0,100]</w:t>
      </w:r>
      <w:r>
        <w:rPr>
          <w:rFonts w:hint="eastAsia" w:ascii="宋体" w:hAnsi="宋体" w:cs="仿宋"/>
          <w:sz w:val="24"/>
          <w:szCs w:val="24"/>
        </w:rPr>
        <w:t>整数中随机抽取</w:t>
      </w:r>
    </w:p>
    <w:p w14:paraId="3FC4B530">
      <w:pPr>
        <w:spacing w:line="360" w:lineRule="auto"/>
        <w:ind w:firstLine="480" w:firstLineChars="200"/>
        <w:rPr>
          <w:rFonts w:ascii="宋体" w:hAnsi="宋体"/>
          <w:sz w:val="24"/>
          <w:szCs w:val="24"/>
        </w:rPr>
      </w:pPr>
      <w:r>
        <w:rPr>
          <w:rFonts w:hint="eastAsia" w:ascii="宋体" w:hAnsi="宋体" w:cs="宋体"/>
          <w:kern w:val="0"/>
          <w:sz w:val="24"/>
          <w:szCs w:val="24"/>
        </w:rPr>
        <w:t>45.3</w:t>
      </w:r>
      <w:r>
        <w:rPr>
          <w:rFonts w:hint="eastAsia" w:ascii="宋体" w:hAnsi="宋体"/>
          <w:sz w:val="24"/>
          <w:szCs w:val="24"/>
        </w:rPr>
        <w:t>当标价等于评标参考价时得</w:t>
      </w:r>
      <w:r>
        <w:rPr>
          <w:rFonts w:ascii="宋体" w:hAnsi="宋体"/>
          <w:sz w:val="24"/>
          <w:szCs w:val="24"/>
        </w:rPr>
        <w:t>100</w:t>
      </w:r>
      <w:r>
        <w:rPr>
          <w:rFonts w:hint="eastAsia" w:ascii="宋体" w:hAnsi="宋体"/>
          <w:sz w:val="24"/>
          <w:szCs w:val="24"/>
        </w:rPr>
        <w:t>分，标价每高于评标参考价</w:t>
      </w:r>
      <w:r>
        <w:rPr>
          <w:rFonts w:ascii="宋体" w:hAnsi="宋体"/>
          <w:sz w:val="24"/>
          <w:szCs w:val="24"/>
        </w:rPr>
        <w:t>1%</w:t>
      </w:r>
      <w:r>
        <w:rPr>
          <w:rFonts w:hint="eastAsia" w:ascii="宋体" w:hAnsi="宋体"/>
          <w:sz w:val="24"/>
          <w:szCs w:val="24"/>
        </w:rPr>
        <w:t>，扣</w:t>
      </w:r>
      <w:r>
        <w:rPr>
          <w:rFonts w:ascii="宋体" w:hAnsi="宋体"/>
          <w:sz w:val="24"/>
          <w:szCs w:val="24"/>
        </w:rPr>
        <w:t>1.5</w:t>
      </w:r>
      <w:r>
        <w:rPr>
          <w:rFonts w:hint="eastAsia" w:ascii="宋体" w:hAnsi="宋体"/>
          <w:sz w:val="24"/>
          <w:szCs w:val="24"/>
        </w:rPr>
        <w:t>分，每低于评标参考价</w:t>
      </w:r>
      <w:r>
        <w:rPr>
          <w:rFonts w:ascii="宋体" w:hAnsi="宋体"/>
          <w:sz w:val="24"/>
          <w:szCs w:val="24"/>
        </w:rPr>
        <w:t>1%</w:t>
      </w:r>
      <w:r>
        <w:rPr>
          <w:rFonts w:hint="eastAsia" w:ascii="宋体" w:hAnsi="宋体"/>
          <w:sz w:val="24"/>
          <w:szCs w:val="24"/>
        </w:rPr>
        <w:t>，扣</w:t>
      </w:r>
      <w:r>
        <w:rPr>
          <w:rFonts w:ascii="宋体" w:hAnsi="宋体"/>
          <w:sz w:val="24"/>
          <w:szCs w:val="24"/>
        </w:rPr>
        <w:t>1</w:t>
      </w:r>
      <w:r>
        <w:rPr>
          <w:rFonts w:hint="eastAsia" w:ascii="宋体" w:hAnsi="宋体"/>
          <w:sz w:val="24"/>
          <w:szCs w:val="24"/>
        </w:rPr>
        <w:t>分，扣至</w:t>
      </w:r>
      <w:r>
        <w:rPr>
          <w:rFonts w:ascii="宋体" w:hAnsi="宋体"/>
          <w:sz w:val="24"/>
          <w:szCs w:val="24"/>
        </w:rPr>
        <w:t>0</w:t>
      </w:r>
      <w:r>
        <w:rPr>
          <w:rFonts w:hint="eastAsia" w:ascii="宋体" w:hAnsi="宋体"/>
          <w:sz w:val="24"/>
          <w:szCs w:val="24"/>
        </w:rPr>
        <w:t>分为止，得出经济分，精确到小数点后两位。</w:t>
      </w:r>
    </w:p>
    <w:p w14:paraId="389ED5BB">
      <w:pPr>
        <w:pStyle w:val="5"/>
        <w:tabs>
          <w:tab w:val="left" w:pos="7380"/>
        </w:tabs>
        <w:snapToGrid w:val="0"/>
        <w:spacing w:after="0" w:line="360" w:lineRule="auto"/>
        <w:ind w:firstLine="480" w:firstLineChars="200"/>
        <w:rPr>
          <w:rFonts w:ascii="宋体" w:hAnsi="宋体" w:eastAsia="宋体"/>
          <w:sz w:val="24"/>
          <w:szCs w:val="24"/>
        </w:rPr>
      </w:pPr>
      <w:r>
        <w:rPr>
          <w:rFonts w:hint="eastAsia" w:ascii="宋体" w:hAnsi="宋体" w:eastAsia="宋体"/>
          <w:sz w:val="24"/>
          <w:szCs w:val="24"/>
        </w:rPr>
        <w:t>45.4计算通过技术标有效性审查的投标人总得分。投标人总得分=（技术得分×技术得分权重</w:t>
      </w:r>
      <w:r>
        <w:rPr>
          <w:rFonts w:hint="eastAsia" w:ascii="宋体" w:hAnsi="宋体" w:eastAsia="宋体" w:cs="宋体"/>
          <w:sz w:val="24"/>
          <w:szCs w:val="24"/>
        </w:rPr>
        <w:t>＋</w:t>
      </w:r>
      <w:r>
        <w:rPr>
          <w:rFonts w:hint="eastAsia" w:ascii="宋体" w:hAnsi="宋体" w:eastAsia="宋体"/>
          <w:sz w:val="24"/>
          <w:szCs w:val="24"/>
        </w:rPr>
        <w:t>经济得分×经济得分权重）×（1-综合诚信评价分数权重）</w:t>
      </w:r>
      <w:r>
        <w:rPr>
          <w:rFonts w:hint="eastAsia" w:ascii="宋体" w:hAnsi="宋体" w:eastAsia="宋体" w:cs="宋体"/>
          <w:sz w:val="24"/>
          <w:szCs w:val="24"/>
        </w:rPr>
        <w:t>＋</w:t>
      </w:r>
      <w:r>
        <w:rPr>
          <w:rFonts w:hint="eastAsia" w:ascii="宋体" w:hAnsi="宋体" w:eastAsia="宋体"/>
          <w:sz w:val="24"/>
          <w:szCs w:val="24"/>
        </w:rPr>
        <w:t>综合诚信评价排名得分×综合诚信评价分数权重）。技术、经济得分权重按投标须知前附表的规定执行。总得分四舍五入保留两位小数。</w:t>
      </w:r>
    </w:p>
    <w:p w14:paraId="7639BE87">
      <w:pPr>
        <w:pStyle w:val="5"/>
        <w:tabs>
          <w:tab w:val="left" w:pos="7380"/>
        </w:tabs>
        <w:snapToGrid w:val="0"/>
        <w:spacing w:after="0" w:line="360" w:lineRule="auto"/>
        <w:ind w:firstLine="480" w:firstLineChars="200"/>
        <w:rPr>
          <w:rFonts w:ascii="宋体" w:hAnsi="宋体" w:eastAsia="宋体"/>
          <w:sz w:val="24"/>
          <w:szCs w:val="24"/>
        </w:rPr>
      </w:pPr>
      <w:r>
        <w:rPr>
          <w:rFonts w:hint="eastAsia" w:ascii="宋体" w:hAnsi="宋体" w:eastAsia="宋体"/>
          <w:sz w:val="24"/>
          <w:szCs w:val="24"/>
        </w:rPr>
        <w:t>46.经济标的有效性审查</w:t>
      </w:r>
    </w:p>
    <w:p w14:paraId="5A6BE98E">
      <w:pPr>
        <w:spacing w:line="360" w:lineRule="auto"/>
        <w:ind w:firstLine="480" w:firstLineChars="200"/>
        <w:rPr>
          <w:rFonts w:ascii="宋体" w:hAnsi="宋体"/>
          <w:sz w:val="24"/>
          <w:szCs w:val="24"/>
        </w:rPr>
      </w:pPr>
      <w:r>
        <w:rPr>
          <w:rFonts w:hint="eastAsia" w:ascii="宋体" w:hAnsi="宋体"/>
          <w:sz w:val="24"/>
          <w:szCs w:val="24"/>
        </w:rPr>
        <w:t>46.1经济标的有效性审查：按照投标人总得分排序，依次对投标文件进行经济标有效性审查，投标文件中没有任一种列于本办法附表三《经济标有效性审查表》中情形的，为有效投标文件，否则其投标文件将被否决。如评标委员会成员的评审意见不一致时，以评标委员会过半数成员的意见作为评标委员会对该情形的认定结论。评委发现投标文件中含义不明确、对同类问题表述不一致、有明显文字和计算错误、投标报价可能低于成本影响履约的，应当要求投标人作必要的澄清、说明后再判定投标人是否通过有效性审查，不得直接否决投标。</w:t>
      </w:r>
    </w:p>
    <w:p w14:paraId="2D8BA09E">
      <w:pPr>
        <w:spacing w:line="360" w:lineRule="auto"/>
        <w:ind w:firstLine="480" w:firstLineChars="200"/>
        <w:rPr>
          <w:rFonts w:ascii="宋体" w:hAnsi="宋体"/>
          <w:sz w:val="24"/>
          <w:szCs w:val="24"/>
        </w:rPr>
      </w:pPr>
      <w:r>
        <w:rPr>
          <w:rFonts w:hint="eastAsia" w:ascii="宋体" w:hAnsi="宋体"/>
          <w:sz w:val="24"/>
          <w:szCs w:val="24"/>
        </w:rPr>
        <w:t xml:space="preserve"> </w:t>
      </w:r>
      <w:r>
        <w:rPr>
          <w:rFonts w:ascii="宋体" w:hAnsi="宋体"/>
          <w:sz w:val="24"/>
          <w:szCs w:val="24"/>
        </w:rPr>
        <w:t>4</w:t>
      </w:r>
      <w:r>
        <w:rPr>
          <w:rFonts w:hint="eastAsia" w:ascii="宋体" w:hAnsi="宋体"/>
          <w:sz w:val="24"/>
          <w:szCs w:val="24"/>
        </w:rPr>
        <w:t>6.2经济标的算术校核。评标委员会对进行经济标有效性审查的投标文件投标报价按照就低不就高的原则进行算术校核，具体标准如下：</w:t>
      </w:r>
    </w:p>
    <w:p w14:paraId="6C0BA7BC">
      <w:pPr>
        <w:spacing w:line="360" w:lineRule="auto"/>
        <w:ind w:firstLine="480" w:firstLineChars="200"/>
        <w:rPr>
          <w:rFonts w:ascii="宋体" w:hAnsi="宋体"/>
          <w:sz w:val="24"/>
          <w:szCs w:val="24"/>
        </w:rPr>
      </w:pPr>
      <w:r>
        <w:rPr>
          <w:rFonts w:ascii="宋体" w:hAnsi="宋体"/>
          <w:sz w:val="24"/>
          <w:szCs w:val="24"/>
        </w:rPr>
        <w:t>4</w:t>
      </w:r>
      <w:r>
        <w:rPr>
          <w:rFonts w:hint="eastAsia" w:ascii="宋体" w:hAnsi="宋体"/>
          <w:sz w:val="24"/>
          <w:szCs w:val="24"/>
        </w:rPr>
        <w:t>6.2.1如果数字表示的金额和用文字表示的金额不一致时，应以文字表示的金额为准；</w:t>
      </w:r>
    </w:p>
    <w:p w14:paraId="4C155B16">
      <w:pPr>
        <w:spacing w:line="360" w:lineRule="auto"/>
        <w:ind w:firstLine="480" w:firstLineChars="200"/>
        <w:rPr>
          <w:rFonts w:ascii="宋体" w:hAnsi="宋体"/>
          <w:sz w:val="24"/>
          <w:szCs w:val="24"/>
        </w:rPr>
      </w:pPr>
      <w:r>
        <w:rPr>
          <w:rFonts w:hint="eastAsia" w:ascii="宋体" w:hAnsi="宋体"/>
          <w:sz w:val="24"/>
          <w:szCs w:val="24"/>
        </w:rPr>
        <w:t xml:space="preserve"> </w:t>
      </w:r>
      <w:r>
        <w:rPr>
          <w:rFonts w:ascii="宋体" w:hAnsi="宋体"/>
          <w:sz w:val="24"/>
          <w:szCs w:val="24"/>
        </w:rPr>
        <w:t>4</w:t>
      </w:r>
      <w:r>
        <w:rPr>
          <w:rFonts w:hint="eastAsia" w:ascii="宋体" w:hAnsi="宋体"/>
          <w:sz w:val="24"/>
          <w:szCs w:val="24"/>
        </w:rPr>
        <w:t>6.2.2经算术复核的投标人报价与其投标报价不一致时，按就低不就高原则确定其最终报价；</w:t>
      </w:r>
    </w:p>
    <w:p w14:paraId="566488C8">
      <w:pPr>
        <w:spacing w:line="360" w:lineRule="auto"/>
        <w:ind w:firstLine="480" w:firstLineChars="200"/>
        <w:rPr>
          <w:rFonts w:ascii="宋体" w:hAnsi="宋体"/>
          <w:sz w:val="24"/>
          <w:szCs w:val="24"/>
        </w:rPr>
      </w:pPr>
      <w:r>
        <w:rPr>
          <w:rFonts w:hint="eastAsia" w:ascii="宋体" w:hAnsi="宋体"/>
          <w:sz w:val="24"/>
          <w:szCs w:val="24"/>
        </w:rPr>
        <w:t xml:space="preserve"> </w:t>
      </w:r>
      <w:r>
        <w:rPr>
          <w:rFonts w:ascii="宋体" w:hAnsi="宋体"/>
          <w:sz w:val="24"/>
          <w:szCs w:val="24"/>
        </w:rPr>
        <w:t>4</w:t>
      </w:r>
      <w:r>
        <w:rPr>
          <w:rFonts w:hint="eastAsia" w:ascii="宋体" w:hAnsi="宋体"/>
          <w:sz w:val="24"/>
          <w:szCs w:val="24"/>
        </w:rPr>
        <w:t>6.2.3当单价与数量均符合招标文件要求时，若单价与数量的乘积与合价不一致时，按就低不就高原则确定修改单价或是合价。当单价与数量的乘积小于合价，以单价为准，修改合价，除非评标委员会认为单价有明显的小数点错误，此时应以标出的合价为准，并修改单价；当单价与数量的乘积大于合价，以合价为准，修改单价；</w:t>
      </w:r>
    </w:p>
    <w:p w14:paraId="736EB5F2">
      <w:pPr>
        <w:spacing w:line="360" w:lineRule="auto"/>
        <w:ind w:firstLine="480" w:firstLineChars="200"/>
        <w:rPr>
          <w:rFonts w:ascii="宋体" w:hAnsi="宋体"/>
          <w:sz w:val="24"/>
          <w:szCs w:val="24"/>
        </w:rPr>
      </w:pPr>
      <w:r>
        <w:rPr>
          <w:rFonts w:hint="eastAsia" w:ascii="宋体" w:hAnsi="宋体"/>
          <w:sz w:val="24"/>
          <w:szCs w:val="24"/>
        </w:rPr>
        <w:t xml:space="preserve"> </w:t>
      </w:r>
      <w:r>
        <w:rPr>
          <w:rFonts w:ascii="宋体" w:hAnsi="宋体"/>
          <w:sz w:val="24"/>
          <w:szCs w:val="24"/>
        </w:rPr>
        <w:t>4</w:t>
      </w:r>
      <w:r>
        <w:rPr>
          <w:rFonts w:hint="eastAsia" w:ascii="宋体" w:hAnsi="宋体"/>
          <w:sz w:val="24"/>
          <w:szCs w:val="24"/>
        </w:rPr>
        <w:t>6.2.</w:t>
      </w:r>
      <w:r>
        <w:rPr>
          <w:rFonts w:ascii="宋体" w:hAnsi="宋体"/>
          <w:sz w:val="24"/>
          <w:szCs w:val="24"/>
        </w:rPr>
        <w:t>4</w:t>
      </w:r>
      <w:r>
        <w:rPr>
          <w:rFonts w:hint="eastAsia" w:ascii="宋体" w:hAnsi="宋体"/>
          <w:sz w:val="24"/>
          <w:szCs w:val="24"/>
        </w:rPr>
        <w:t>当合价、金额累加错误时，按就低不就高原则，如果累加修正值小于原累加值，则按累加修正值；如果累加修正值大于原累加值，则按原累加值；</w:t>
      </w:r>
    </w:p>
    <w:p w14:paraId="11E9EF3A">
      <w:pPr>
        <w:spacing w:line="360" w:lineRule="auto"/>
        <w:ind w:firstLine="480" w:firstLineChars="200"/>
        <w:rPr>
          <w:rFonts w:ascii="宋体" w:hAnsi="宋体"/>
          <w:sz w:val="24"/>
          <w:szCs w:val="24"/>
        </w:rPr>
      </w:pPr>
      <w:r>
        <w:rPr>
          <w:rFonts w:hint="eastAsia" w:ascii="宋体" w:hAnsi="宋体"/>
          <w:sz w:val="24"/>
          <w:szCs w:val="24"/>
        </w:rPr>
        <w:t xml:space="preserve"> </w:t>
      </w:r>
      <w:r>
        <w:rPr>
          <w:rFonts w:ascii="宋体" w:hAnsi="宋体"/>
          <w:sz w:val="24"/>
          <w:szCs w:val="24"/>
        </w:rPr>
        <w:t>4</w:t>
      </w:r>
      <w:r>
        <w:rPr>
          <w:rFonts w:hint="eastAsia" w:ascii="宋体" w:hAnsi="宋体"/>
          <w:sz w:val="24"/>
          <w:szCs w:val="24"/>
        </w:rPr>
        <w:t>6.2.</w:t>
      </w:r>
      <w:r>
        <w:rPr>
          <w:rFonts w:ascii="宋体" w:hAnsi="宋体"/>
          <w:sz w:val="24"/>
          <w:szCs w:val="24"/>
        </w:rPr>
        <w:t>5</w:t>
      </w:r>
      <w:r>
        <w:rPr>
          <w:rFonts w:hint="eastAsia" w:ascii="宋体" w:hAnsi="宋体"/>
          <w:sz w:val="24"/>
          <w:szCs w:val="24"/>
        </w:rPr>
        <w:t>如果投标人的有关规费、暂列金额、暂估价、绿色施工安全防护措施费等未按招标文件规定的金额填写的，由评标委员会按照招标文件规定的金额进行修正；</w:t>
      </w:r>
    </w:p>
    <w:p w14:paraId="62A88C0E">
      <w:pPr>
        <w:spacing w:line="360" w:lineRule="auto"/>
        <w:ind w:firstLine="480" w:firstLineChars="200"/>
        <w:rPr>
          <w:rFonts w:ascii="宋体" w:hAnsi="宋体"/>
          <w:sz w:val="24"/>
          <w:szCs w:val="24"/>
        </w:rPr>
      </w:pPr>
      <w:r>
        <w:rPr>
          <w:rFonts w:ascii="宋体" w:hAnsi="宋体"/>
          <w:sz w:val="24"/>
          <w:szCs w:val="24"/>
        </w:rPr>
        <w:t>4</w:t>
      </w:r>
      <w:r>
        <w:rPr>
          <w:rFonts w:hint="eastAsia" w:ascii="宋体" w:hAnsi="宋体"/>
          <w:sz w:val="24"/>
          <w:szCs w:val="24"/>
        </w:rPr>
        <w:t>6.2.</w:t>
      </w:r>
      <w:r>
        <w:rPr>
          <w:rFonts w:ascii="宋体" w:hAnsi="宋体"/>
          <w:sz w:val="24"/>
          <w:szCs w:val="24"/>
        </w:rPr>
        <w:t>6</w:t>
      </w:r>
      <w:r>
        <w:rPr>
          <w:rFonts w:hint="eastAsia" w:ascii="宋体" w:hAnsi="宋体"/>
          <w:sz w:val="24"/>
          <w:szCs w:val="24"/>
        </w:rPr>
        <w:t>①分部分项工程量比招标文件少、单位比招标文件小或错误时，以招标文件的工程量或单位为准，合价不变，修改综合单价。分部分项工程量比招标文件多或单位比招标文件大时，工程量、单位、综合单价及合价均不作修改；②分部分项项目对比招标文件（招标工程量清单）漏项的，则该漏项费用视为已分配在其他项目中，不再修改；③分部分项工程量清单中的综合单价与综合单价分析表中的综合单价不一致时，以价低者为准；④分部分项工程量计价表中的项目编码或项目名称或计量单位或工程数量缺省或不填时，由评委以招标文件中招标人工程量清单为准进行修正；若同时缺省或不填项目编码和项目名称，则该项按增项处理；⑤分部分项项目增项的，不予修改；⑥其它招标文件规定需要修改的，均以就低不就高原则进行修改；</w:t>
      </w:r>
    </w:p>
    <w:p w14:paraId="6B235C48">
      <w:pPr>
        <w:spacing w:line="360" w:lineRule="auto"/>
        <w:ind w:firstLine="480" w:firstLineChars="200"/>
        <w:rPr>
          <w:rFonts w:ascii="宋体" w:hAnsi="宋体"/>
          <w:sz w:val="24"/>
          <w:szCs w:val="24"/>
        </w:rPr>
      </w:pPr>
      <w:r>
        <w:rPr>
          <w:rFonts w:ascii="宋体" w:hAnsi="宋体"/>
          <w:sz w:val="24"/>
          <w:szCs w:val="24"/>
        </w:rPr>
        <w:t>4</w:t>
      </w:r>
      <w:r>
        <w:rPr>
          <w:rFonts w:hint="eastAsia" w:ascii="宋体" w:hAnsi="宋体"/>
          <w:sz w:val="24"/>
          <w:szCs w:val="24"/>
        </w:rPr>
        <w:t>6.2.</w:t>
      </w:r>
      <w:r>
        <w:rPr>
          <w:rFonts w:ascii="宋体" w:hAnsi="宋体"/>
          <w:sz w:val="24"/>
          <w:szCs w:val="24"/>
        </w:rPr>
        <w:t>7</w:t>
      </w:r>
      <w:r>
        <w:rPr>
          <w:rFonts w:hint="eastAsia" w:ascii="宋体" w:hAnsi="宋体"/>
          <w:sz w:val="24"/>
          <w:szCs w:val="24"/>
        </w:rPr>
        <w:t>按就低不就高原则，当修正后报价小于原报价，总价按修正后报价；当修正后报价大于原报价，总价按原报价，并在签订合同时载明在结算价中扣除修正报价与原报价的差额。</w:t>
      </w:r>
    </w:p>
    <w:p w14:paraId="66C1EEA9">
      <w:pPr>
        <w:spacing w:line="360" w:lineRule="auto"/>
        <w:ind w:firstLine="480" w:firstLineChars="200"/>
        <w:rPr>
          <w:rFonts w:ascii="宋体" w:hAnsi="宋体"/>
          <w:sz w:val="24"/>
          <w:szCs w:val="24"/>
        </w:rPr>
      </w:pPr>
      <w:r>
        <w:rPr>
          <w:rFonts w:ascii="宋体" w:hAnsi="宋体"/>
          <w:sz w:val="24"/>
          <w:szCs w:val="24"/>
        </w:rPr>
        <w:t>4</w:t>
      </w:r>
      <w:r>
        <w:rPr>
          <w:rFonts w:hint="eastAsia" w:ascii="宋体" w:hAnsi="宋体"/>
          <w:sz w:val="24"/>
          <w:szCs w:val="24"/>
        </w:rPr>
        <w:t>6.2.</w:t>
      </w:r>
      <w:r>
        <w:rPr>
          <w:rFonts w:ascii="宋体" w:hAnsi="宋体"/>
          <w:sz w:val="24"/>
          <w:szCs w:val="24"/>
        </w:rPr>
        <w:t>8</w:t>
      </w:r>
      <w:r>
        <w:rPr>
          <w:rFonts w:hint="eastAsia" w:ascii="宋体" w:hAnsi="宋体"/>
          <w:sz w:val="24"/>
          <w:szCs w:val="24"/>
        </w:rPr>
        <w:t>按上述修正错误的原则及方法调整或修正投标文件的投标报价，调整后的投标报价对投标人起约束作用。如果投标人不接受修正后的报价，则取消其投标资格，并且其投标保证金也将不予退还。</w:t>
      </w:r>
    </w:p>
    <w:p w14:paraId="759069D3">
      <w:pPr>
        <w:spacing w:line="360" w:lineRule="auto"/>
        <w:ind w:firstLine="480" w:firstLineChars="200"/>
        <w:rPr>
          <w:rFonts w:ascii="宋体" w:hAnsi="宋体"/>
          <w:sz w:val="24"/>
          <w:szCs w:val="24"/>
        </w:rPr>
      </w:pPr>
      <w:r>
        <w:rPr>
          <w:rFonts w:ascii="宋体" w:hAnsi="宋体"/>
          <w:sz w:val="24"/>
          <w:szCs w:val="24"/>
        </w:rPr>
        <w:t>4</w:t>
      </w:r>
      <w:r>
        <w:rPr>
          <w:rFonts w:hint="eastAsia" w:ascii="宋体" w:hAnsi="宋体"/>
          <w:sz w:val="24"/>
          <w:szCs w:val="24"/>
        </w:rPr>
        <w:t>7.评标委员会按只有通过有效性审查的投标人的投标文件方可进入下一阶段评审的评审原则，根据有效性审查结果，取消被否决投标的投标人的排序，其余通过有效性审查的投标人的排序依次上升替补确定，以此类推。直至评审出3名投标人通过经济标有效性审查，经济标有效性审查结束。</w:t>
      </w:r>
    </w:p>
    <w:p w14:paraId="4CCEE7B2">
      <w:pPr>
        <w:spacing w:line="360" w:lineRule="auto"/>
        <w:ind w:firstLine="480" w:firstLineChars="200"/>
        <w:rPr>
          <w:rFonts w:ascii="宋体" w:hAnsi="宋体"/>
          <w:sz w:val="24"/>
          <w:szCs w:val="24"/>
        </w:rPr>
      </w:pPr>
      <w:r>
        <w:rPr>
          <w:rFonts w:ascii="宋体" w:hAnsi="宋体"/>
          <w:sz w:val="24"/>
          <w:szCs w:val="24"/>
        </w:rPr>
        <w:t>4</w:t>
      </w:r>
      <w:r>
        <w:rPr>
          <w:rFonts w:hint="eastAsia" w:ascii="宋体" w:hAnsi="宋体"/>
          <w:sz w:val="24"/>
          <w:szCs w:val="24"/>
        </w:rPr>
        <w:t>8.评标委员会应在通过投标文件经济标有效性审查的投标人中，按步骤45.4确定的投标人第二阶段排序，推荐前</w:t>
      </w:r>
      <w:r>
        <w:rPr>
          <w:rFonts w:ascii="宋体" w:hAnsi="宋体"/>
          <w:sz w:val="24"/>
          <w:szCs w:val="24"/>
        </w:rPr>
        <w:t>3</w:t>
      </w:r>
      <w:r>
        <w:rPr>
          <w:rFonts w:hint="eastAsia" w:ascii="宋体" w:hAnsi="宋体"/>
          <w:sz w:val="24"/>
          <w:szCs w:val="24"/>
        </w:rPr>
        <w:t>名依次为第一中标候选人至第三中标候选人</w:t>
      </w:r>
      <w:r>
        <w:rPr>
          <w:rFonts w:ascii="宋体" w:hAnsi="宋体"/>
          <w:sz w:val="24"/>
          <w:szCs w:val="24"/>
        </w:rPr>
        <w:t>,</w:t>
      </w:r>
      <w:r>
        <w:rPr>
          <w:rFonts w:hint="eastAsia" w:ascii="宋体" w:hAnsi="宋体"/>
          <w:sz w:val="24"/>
          <w:szCs w:val="24"/>
        </w:rPr>
        <w:t>并编制评标报告。</w:t>
      </w:r>
    </w:p>
    <w:p w14:paraId="09008D6F">
      <w:pPr>
        <w:spacing w:line="360" w:lineRule="auto"/>
        <w:ind w:firstLine="480" w:firstLineChars="200"/>
        <w:rPr>
          <w:rFonts w:ascii="宋体" w:hAnsi="宋体"/>
          <w:sz w:val="24"/>
          <w:szCs w:val="24"/>
        </w:rPr>
      </w:pPr>
      <w:r>
        <w:rPr>
          <w:rFonts w:ascii="宋体" w:hAnsi="宋体"/>
          <w:sz w:val="24"/>
          <w:szCs w:val="24"/>
        </w:rPr>
        <w:t>4</w:t>
      </w:r>
      <w:r>
        <w:rPr>
          <w:rFonts w:hint="eastAsia" w:ascii="宋体" w:hAnsi="宋体"/>
          <w:sz w:val="24"/>
          <w:szCs w:val="24"/>
        </w:rPr>
        <w:t>9.若通过经济标有效性审查的投标人不足三家，应当依法重新招标。（当</w:t>
      </w:r>
      <w:r>
        <w:rPr>
          <w:rFonts w:ascii="宋体" w:hAnsi="宋体"/>
          <w:sz w:val="24"/>
          <w:szCs w:val="24"/>
        </w:rPr>
        <w:t>N</w:t>
      </w:r>
      <w:r>
        <w:rPr>
          <w:rFonts w:hint="eastAsia" w:ascii="宋体" w:hAnsi="宋体"/>
          <w:sz w:val="24"/>
          <w:szCs w:val="24"/>
        </w:rPr>
        <w:t>个标段同时招标且不允许兼中时，若有效投标人不足</w:t>
      </w:r>
      <w:r>
        <w:rPr>
          <w:rFonts w:ascii="宋体" w:hAnsi="宋体"/>
          <w:sz w:val="24"/>
          <w:szCs w:val="24"/>
        </w:rPr>
        <w:t>N+2</w:t>
      </w:r>
      <w:r>
        <w:rPr>
          <w:rFonts w:hint="eastAsia" w:ascii="宋体" w:hAnsi="宋体"/>
          <w:sz w:val="24"/>
          <w:szCs w:val="24"/>
        </w:rPr>
        <w:t>家，应当依法重新招标）</w:t>
      </w:r>
    </w:p>
    <w:p w14:paraId="67E29501">
      <w:pPr>
        <w:spacing w:line="360" w:lineRule="auto"/>
        <w:rPr>
          <w:rFonts w:ascii="宋体" w:hAnsi="宋体"/>
          <w:sz w:val="24"/>
          <w:szCs w:val="24"/>
        </w:rPr>
      </w:pPr>
    </w:p>
    <w:p w14:paraId="42C2D48F">
      <w:pPr>
        <w:widowControl/>
        <w:jc w:val="left"/>
        <w:rPr>
          <w:rFonts w:ascii="宋体" w:hAnsi="宋体"/>
          <w:sz w:val="24"/>
          <w:szCs w:val="24"/>
        </w:rPr>
      </w:pPr>
      <w:r>
        <w:rPr>
          <w:rFonts w:ascii="宋体" w:hAnsi="宋体"/>
          <w:sz w:val="24"/>
          <w:szCs w:val="24"/>
        </w:rPr>
        <w:br w:type="page"/>
      </w:r>
    </w:p>
    <w:p w14:paraId="0E4510F4">
      <w:pPr>
        <w:widowControl/>
        <w:snapToGrid w:val="0"/>
        <w:spacing w:line="360" w:lineRule="auto"/>
        <w:ind w:right="102"/>
        <w:jc w:val="left"/>
        <w:rPr>
          <w:rFonts w:ascii="宋体"/>
          <w:szCs w:val="21"/>
        </w:rPr>
      </w:pPr>
      <w:r>
        <w:rPr>
          <w:rFonts w:hint="eastAsia" w:ascii="宋体" w:hAnsi="宋体"/>
          <w:szCs w:val="21"/>
        </w:rPr>
        <w:t>附表一：</w:t>
      </w:r>
    </w:p>
    <w:p w14:paraId="654F9898">
      <w:pPr>
        <w:jc w:val="center"/>
        <w:rPr>
          <w:b/>
          <w:sz w:val="32"/>
          <w:szCs w:val="32"/>
        </w:rPr>
      </w:pPr>
      <w:r>
        <w:rPr>
          <w:rFonts w:hint="eastAsia"/>
          <w:b/>
          <w:sz w:val="32"/>
          <w:szCs w:val="32"/>
        </w:rPr>
        <w:t>资格审查表</w:t>
      </w:r>
    </w:p>
    <w:p w14:paraId="4749D517">
      <w:pPr>
        <w:spacing w:line="480" w:lineRule="auto"/>
        <w:rPr>
          <w:sz w:val="24"/>
          <w:szCs w:val="24"/>
        </w:rPr>
      </w:pPr>
      <w:r>
        <w:rPr>
          <w:rFonts w:hint="eastAsia"/>
          <w:sz w:val="24"/>
          <w:szCs w:val="24"/>
        </w:rPr>
        <w:t>工程名称：</w:t>
      </w:r>
    </w:p>
    <w:p w14:paraId="290C5295">
      <w:pPr>
        <w:spacing w:line="480" w:lineRule="auto"/>
        <w:rPr>
          <w:sz w:val="24"/>
          <w:szCs w:val="24"/>
        </w:rPr>
      </w:pPr>
      <w:r>
        <w:rPr>
          <w:rFonts w:hint="eastAsia"/>
          <w:sz w:val="24"/>
          <w:szCs w:val="24"/>
        </w:rPr>
        <w:t>投标人名称：</w:t>
      </w:r>
    </w:p>
    <w:tbl>
      <w:tblPr>
        <w:tblStyle w:val="34"/>
        <w:tblW w:w="8988"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
        <w:gridCol w:w="3922"/>
        <w:gridCol w:w="3278"/>
        <w:gridCol w:w="1320"/>
      </w:tblGrid>
      <w:tr w14:paraId="1B5C80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14:paraId="7BA2A369">
            <w:pPr>
              <w:spacing w:before="120" w:after="60"/>
              <w:jc w:val="center"/>
              <w:rPr>
                <w:rFonts w:ascii="宋体" w:hAnsi="宋体"/>
                <w:b/>
                <w:szCs w:val="21"/>
              </w:rPr>
            </w:pPr>
            <w:r>
              <w:rPr>
                <w:rFonts w:hint="eastAsia" w:ascii="宋体" w:hAnsi="宋体"/>
                <w:b/>
                <w:szCs w:val="21"/>
              </w:rPr>
              <w:t>序号</w:t>
            </w:r>
          </w:p>
        </w:tc>
        <w:tc>
          <w:tcPr>
            <w:tcW w:w="3922" w:type="dxa"/>
            <w:tcBorders>
              <w:top w:val="single" w:color="auto" w:sz="4" w:space="0"/>
              <w:left w:val="single" w:color="auto" w:sz="4" w:space="0"/>
              <w:bottom w:val="single" w:color="auto" w:sz="4" w:space="0"/>
              <w:right w:val="single" w:color="auto" w:sz="4" w:space="0"/>
            </w:tcBorders>
            <w:vAlign w:val="center"/>
          </w:tcPr>
          <w:p w14:paraId="24527F88">
            <w:pPr>
              <w:spacing w:before="120" w:after="60"/>
              <w:jc w:val="center"/>
              <w:rPr>
                <w:rFonts w:ascii="宋体" w:hAnsi="宋体"/>
                <w:b/>
                <w:szCs w:val="21"/>
              </w:rPr>
            </w:pPr>
            <w:r>
              <w:rPr>
                <w:rFonts w:hint="eastAsia" w:ascii="宋体" w:hAnsi="宋体"/>
                <w:b/>
                <w:szCs w:val="21"/>
              </w:rPr>
              <w:t>审查项目</w:t>
            </w:r>
          </w:p>
        </w:tc>
        <w:tc>
          <w:tcPr>
            <w:tcW w:w="3278" w:type="dxa"/>
            <w:tcBorders>
              <w:top w:val="single" w:color="auto" w:sz="4" w:space="0"/>
              <w:left w:val="single" w:color="auto" w:sz="4" w:space="0"/>
              <w:bottom w:val="single" w:color="auto" w:sz="4" w:space="0"/>
              <w:right w:val="single" w:color="auto" w:sz="4" w:space="0"/>
            </w:tcBorders>
            <w:vAlign w:val="center"/>
          </w:tcPr>
          <w:p w14:paraId="25BAB7A2">
            <w:pPr>
              <w:spacing w:before="120" w:after="60"/>
              <w:jc w:val="center"/>
              <w:rPr>
                <w:rFonts w:ascii="宋体" w:hAnsi="宋体"/>
                <w:b/>
                <w:szCs w:val="21"/>
              </w:rPr>
            </w:pPr>
            <w:r>
              <w:rPr>
                <w:rFonts w:hint="eastAsia" w:ascii="宋体" w:hAnsi="宋体"/>
                <w:b/>
                <w:szCs w:val="21"/>
              </w:rPr>
              <w:t>须审查的资料</w:t>
            </w:r>
          </w:p>
        </w:tc>
        <w:tc>
          <w:tcPr>
            <w:tcW w:w="1320" w:type="dxa"/>
            <w:tcBorders>
              <w:top w:val="single" w:color="auto" w:sz="4" w:space="0"/>
              <w:left w:val="single" w:color="auto" w:sz="4" w:space="0"/>
              <w:bottom w:val="single" w:color="auto" w:sz="4" w:space="0"/>
              <w:right w:val="single" w:color="auto" w:sz="4" w:space="0"/>
            </w:tcBorders>
            <w:vAlign w:val="center"/>
          </w:tcPr>
          <w:p w14:paraId="09A6071B">
            <w:pPr>
              <w:spacing w:before="120" w:after="60"/>
              <w:jc w:val="center"/>
              <w:rPr>
                <w:rFonts w:ascii="宋体" w:hAnsi="宋体"/>
                <w:b/>
                <w:szCs w:val="21"/>
              </w:rPr>
            </w:pPr>
            <w:r>
              <w:rPr>
                <w:rFonts w:hint="eastAsia" w:ascii="宋体" w:hAnsi="宋体"/>
                <w:b/>
                <w:szCs w:val="21"/>
              </w:rPr>
              <w:t>审查结果</w:t>
            </w:r>
          </w:p>
        </w:tc>
      </w:tr>
      <w:tr w14:paraId="126AE9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14:paraId="4F70BF06">
            <w:pPr>
              <w:spacing w:before="120" w:after="60"/>
              <w:jc w:val="center"/>
              <w:rPr>
                <w:rFonts w:ascii="宋体" w:hAnsi="宋体"/>
                <w:szCs w:val="21"/>
              </w:rPr>
            </w:pPr>
            <w:r>
              <w:rPr>
                <w:rFonts w:ascii="宋体" w:hAnsi="宋体"/>
                <w:szCs w:val="21"/>
              </w:rPr>
              <w:t>1</w:t>
            </w:r>
          </w:p>
        </w:tc>
        <w:tc>
          <w:tcPr>
            <w:tcW w:w="3922" w:type="dxa"/>
            <w:tcBorders>
              <w:top w:val="single" w:color="auto" w:sz="4" w:space="0"/>
              <w:left w:val="single" w:color="auto" w:sz="4" w:space="0"/>
              <w:bottom w:val="single" w:color="auto" w:sz="4" w:space="0"/>
              <w:right w:val="single" w:color="auto" w:sz="4" w:space="0"/>
            </w:tcBorders>
            <w:vAlign w:val="center"/>
          </w:tcPr>
          <w:p w14:paraId="74FBA42C">
            <w:pPr>
              <w:spacing w:before="120" w:after="60"/>
              <w:jc w:val="center"/>
              <w:rPr>
                <w:rFonts w:ascii="宋体" w:hAnsi="宋体"/>
                <w:szCs w:val="21"/>
              </w:rPr>
            </w:pPr>
            <w:r>
              <w:rPr>
                <w:rFonts w:hint="eastAsia" w:ascii="宋体" w:hAnsi="宋体"/>
                <w:szCs w:val="21"/>
              </w:rPr>
              <w:t>投标人参加投标的意思表达清楚，投标人代表被授权有效</w:t>
            </w:r>
          </w:p>
        </w:tc>
        <w:tc>
          <w:tcPr>
            <w:tcW w:w="3278" w:type="dxa"/>
            <w:tcBorders>
              <w:top w:val="single" w:color="auto" w:sz="4" w:space="0"/>
              <w:left w:val="single" w:color="auto" w:sz="4" w:space="0"/>
              <w:bottom w:val="single" w:color="auto" w:sz="4" w:space="0"/>
              <w:right w:val="single" w:color="auto" w:sz="4" w:space="0"/>
            </w:tcBorders>
            <w:vAlign w:val="center"/>
          </w:tcPr>
          <w:p w14:paraId="0999664B">
            <w:pPr>
              <w:spacing w:before="120" w:after="60"/>
              <w:jc w:val="center"/>
              <w:rPr>
                <w:rFonts w:ascii="宋体" w:hAnsi="宋体"/>
                <w:szCs w:val="21"/>
              </w:rPr>
            </w:pPr>
            <w:r>
              <w:rPr>
                <w:rFonts w:hint="eastAsia" w:ascii="宋体" w:hAnsi="宋体"/>
                <w:szCs w:val="21"/>
              </w:rPr>
              <w:t>投标人声明、法定代表人证明书；委托投标的还应提供法人授权委托证明书</w:t>
            </w:r>
          </w:p>
        </w:tc>
        <w:tc>
          <w:tcPr>
            <w:tcW w:w="1320" w:type="dxa"/>
            <w:tcBorders>
              <w:top w:val="single" w:color="auto" w:sz="4" w:space="0"/>
              <w:left w:val="single" w:color="auto" w:sz="4" w:space="0"/>
              <w:bottom w:val="single" w:color="auto" w:sz="4" w:space="0"/>
              <w:right w:val="single" w:color="auto" w:sz="4" w:space="0"/>
            </w:tcBorders>
            <w:vAlign w:val="center"/>
          </w:tcPr>
          <w:p w14:paraId="1CA7F0E1">
            <w:pPr>
              <w:spacing w:before="120" w:after="60"/>
              <w:jc w:val="center"/>
              <w:rPr>
                <w:rFonts w:ascii="宋体" w:hAnsi="宋体"/>
                <w:szCs w:val="21"/>
              </w:rPr>
            </w:pPr>
          </w:p>
        </w:tc>
      </w:tr>
      <w:tr w14:paraId="265F68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14:paraId="1F3651EC">
            <w:pPr>
              <w:spacing w:before="120" w:after="60"/>
              <w:jc w:val="center"/>
              <w:rPr>
                <w:rFonts w:ascii="宋体" w:hAnsi="宋体"/>
                <w:szCs w:val="21"/>
              </w:rPr>
            </w:pPr>
            <w:r>
              <w:rPr>
                <w:rFonts w:ascii="宋体" w:hAnsi="宋体"/>
                <w:szCs w:val="21"/>
              </w:rPr>
              <w:t>2</w:t>
            </w:r>
          </w:p>
        </w:tc>
        <w:tc>
          <w:tcPr>
            <w:tcW w:w="3922" w:type="dxa"/>
            <w:tcBorders>
              <w:top w:val="single" w:color="auto" w:sz="4" w:space="0"/>
              <w:left w:val="single" w:color="auto" w:sz="4" w:space="0"/>
              <w:bottom w:val="single" w:color="auto" w:sz="4" w:space="0"/>
              <w:right w:val="single" w:color="auto" w:sz="4" w:space="0"/>
            </w:tcBorders>
            <w:vAlign w:val="center"/>
          </w:tcPr>
          <w:p w14:paraId="4A47F1EE">
            <w:pPr>
              <w:spacing w:before="120" w:after="60"/>
              <w:jc w:val="center"/>
              <w:rPr>
                <w:rFonts w:ascii="宋体" w:hAnsi="宋体"/>
                <w:szCs w:val="21"/>
              </w:rPr>
            </w:pPr>
            <w:r>
              <w:rPr>
                <w:rFonts w:hint="eastAsia" w:ascii="宋体" w:hAnsi="宋体"/>
                <w:szCs w:val="21"/>
              </w:rPr>
              <w:t>投标人具有独立法人资格，按国家法律经营</w:t>
            </w:r>
          </w:p>
        </w:tc>
        <w:tc>
          <w:tcPr>
            <w:tcW w:w="3278" w:type="dxa"/>
            <w:tcBorders>
              <w:top w:val="single" w:color="auto" w:sz="4" w:space="0"/>
              <w:left w:val="single" w:color="auto" w:sz="4" w:space="0"/>
              <w:bottom w:val="single" w:color="auto" w:sz="4" w:space="0"/>
              <w:right w:val="single" w:color="auto" w:sz="4" w:space="0"/>
            </w:tcBorders>
            <w:vAlign w:val="center"/>
          </w:tcPr>
          <w:p w14:paraId="6DF2EC3E">
            <w:pPr>
              <w:spacing w:before="120" w:after="60"/>
              <w:jc w:val="center"/>
              <w:rPr>
                <w:rFonts w:ascii="宋体" w:hAnsi="宋体"/>
                <w:szCs w:val="21"/>
              </w:rPr>
            </w:pPr>
            <w:r>
              <w:rPr>
                <w:rFonts w:hint="eastAsia" w:ascii="宋体" w:hAnsi="宋体"/>
                <w:szCs w:val="21"/>
              </w:rPr>
              <w:t>营业执照在广州市住建行业信用管理平台内上传件</w:t>
            </w:r>
          </w:p>
        </w:tc>
        <w:tc>
          <w:tcPr>
            <w:tcW w:w="1320" w:type="dxa"/>
            <w:tcBorders>
              <w:top w:val="single" w:color="auto" w:sz="4" w:space="0"/>
              <w:left w:val="single" w:color="auto" w:sz="4" w:space="0"/>
              <w:bottom w:val="single" w:color="auto" w:sz="4" w:space="0"/>
              <w:right w:val="single" w:color="auto" w:sz="4" w:space="0"/>
            </w:tcBorders>
            <w:vAlign w:val="center"/>
          </w:tcPr>
          <w:p w14:paraId="33E8BFEE">
            <w:pPr>
              <w:spacing w:before="120" w:after="60"/>
              <w:jc w:val="center"/>
              <w:rPr>
                <w:rFonts w:ascii="宋体" w:hAnsi="宋体"/>
                <w:szCs w:val="21"/>
              </w:rPr>
            </w:pPr>
          </w:p>
        </w:tc>
      </w:tr>
      <w:tr w14:paraId="0EFC36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14:paraId="7E18B46F">
            <w:pPr>
              <w:spacing w:before="120" w:after="60"/>
              <w:jc w:val="center"/>
              <w:rPr>
                <w:rFonts w:ascii="宋体" w:hAnsi="宋体"/>
                <w:szCs w:val="21"/>
              </w:rPr>
            </w:pPr>
            <w:r>
              <w:rPr>
                <w:rFonts w:ascii="宋体" w:hAnsi="宋体"/>
                <w:szCs w:val="21"/>
              </w:rPr>
              <w:t>3</w:t>
            </w:r>
          </w:p>
        </w:tc>
        <w:tc>
          <w:tcPr>
            <w:tcW w:w="3922" w:type="dxa"/>
            <w:tcBorders>
              <w:top w:val="single" w:color="auto" w:sz="4" w:space="0"/>
              <w:left w:val="single" w:color="auto" w:sz="4" w:space="0"/>
              <w:bottom w:val="single" w:color="auto" w:sz="4" w:space="0"/>
              <w:right w:val="single" w:color="auto" w:sz="4" w:space="0"/>
            </w:tcBorders>
            <w:vAlign w:val="center"/>
          </w:tcPr>
          <w:p w14:paraId="76730E12">
            <w:pPr>
              <w:spacing w:before="120" w:after="60"/>
              <w:jc w:val="center"/>
              <w:rPr>
                <w:rFonts w:ascii="宋体" w:hAnsi="宋体"/>
                <w:szCs w:val="21"/>
              </w:rPr>
            </w:pPr>
            <w:r>
              <w:rPr>
                <w:rFonts w:hint="eastAsia" w:ascii="宋体" w:hAnsi="宋体"/>
                <w:szCs w:val="21"/>
              </w:rPr>
              <w:t>投标人持有建设行政主管部门颁发的有效期内的企业资质证书及安全生产许可证；投标人资质符合公告要求</w:t>
            </w:r>
          </w:p>
        </w:tc>
        <w:tc>
          <w:tcPr>
            <w:tcW w:w="3278" w:type="dxa"/>
            <w:tcBorders>
              <w:top w:val="single" w:color="auto" w:sz="4" w:space="0"/>
              <w:left w:val="single" w:color="auto" w:sz="4" w:space="0"/>
              <w:bottom w:val="single" w:color="auto" w:sz="4" w:space="0"/>
              <w:right w:val="single" w:color="auto" w:sz="4" w:space="0"/>
            </w:tcBorders>
            <w:vAlign w:val="center"/>
          </w:tcPr>
          <w:p w14:paraId="57032158">
            <w:pPr>
              <w:spacing w:before="120" w:after="60"/>
              <w:jc w:val="center"/>
              <w:rPr>
                <w:rFonts w:ascii="宋体" w:hAnsi="宋体"/>
                <w:szCs w:val="21"/>
              </w:rPr>
            </w:pPr>
            <w:r>
              <w:rPr>
                <w:rFonts w:hint="eastAsia" w:ascii="宋体" w:hAnsi="宋体"/>
                <w:szCs w:val="21"/>
              </w:rPr>
              <w:t>资质证书及安全生产许可证在广州市住建行业信用管理平台内上传件；</w:t>
            </w:r>
          </w:p>
        </w:tc>
        <w:tc>
          <w:tcPr>
            <w:tcW w:w="1320" w:type="dxa"/>
            <w:tcBorders>
              <w:top w:val="single" w:color="auto" w:sz="4" w:space="0"/>
              <w:left w:val="single" w:color="auto" w:sz="4" w:space="0"/>
              <w:bottom w:val="single" w:color="auto" w:sz="4" w:space="0"/>
              <w:right w:val="single" w:color="auto" w:sz="4" w:space="0"/>
            </w:tcBorders>
            <w:vAlign w:val="center"/>
          </w:tcPr>
          <w:p w14:paraId="2A968CAE">
            <w:pPr>
              <w:spacing w:before="120" w:after="60"/>
              <w:jc w:val="center"/>
              <w:rPr>
                <w:rFonts w:ascii="宋体" w:hAnsi="宋体"/>
                <w:szCs w:val="21"/>
              </w:rPr>
            </w:pPr>
          </w:p>
        </w:tc>
      </w:tr>
      <w:tr w14:paraId="045C44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14:paraId="7DD9B435">
            <w:pPr>
              <w:spacing w:before="120" w:after="60"/>
              <w:jc w:val="center"/>
              <w:rPr>
                <w:rFonts w:ascii="宋体" w:hAnsi="宋体"/>
                <w:szCs w:val="21"/>
              </w:rPr>
            </w:pPr>
            <w:r>
              <w:rPr>
                <w:rFonts w:ascii="宋体" w:hAnsi="宋体"/>
                <w:szCs w:val="21"/>
              </w:rPr>
              <w:t>4</w:t>
            </w:r>
          </w:p>
        </w:tc>
        <w:tc>
          <w:tcPr>
            <w:tcW w:w="3922" w:type="dxa"/>
            <w:tcBorders>
              <w:top w:val="single" w:color="auto" w:sz="4" w:space="0"/>
              <w:left w:val="single" w:color="auto" w:sz="4" w:space="0"/>
              <w:bottom w:val="single" w:color="auto" w:sz="4" w:space="0"/>
              <w:right w:val="single" w:color="auto" w:sz="4" w:space="0"/>
            </w:tcBorders>
            <w:vAlign w:val="center"/>
          </w:tcPr>
          <w:p w14:paraId="322448DA">
            <w:pPr>
              <w:spacing w:before="120" w:after="60"/>
              <w:jc w:val="center"/>
              <w:rPr>
                <w:rFonts w:ascii="宋体" w:hAnsi="宋体"/>
                <w:szCs w:val="21"/>
              </w:rPr>
            </w:pPr>
            <w:r>
              <w:rPr>
                <w:rFonts w:hint="eastAsia" w:ascii="宋体" w:hAnsi="宋体"/>
                <w:szCs w:val="21"/>
              </w:rPr>
              <w:t>投标人拟担任本工程项目负责人符合公告要求</w:t>
            </w:r>
          </w:p>
        </w:tc>
        <w:tc>
          <w:tcPr>
            <w:tcW w:w="3278" w:type="dxa"/>
            <w:tcBorders>
              <w:top w:val="single" w:color="auto" w:sz="4" w:space="0"/>
              <w:left w:val="single" w:color="auto" w:sz="4" w:space="0"/>
              <w:bottom w:val="single" w:color="auto" w:sz="4" w:space="0"/>
              <w:right w:val="single" w:color="auto" w:sz="4" w:space="0"/>
            </w:tcBorders>
            <w:vAlign w:val="center"/>
          </w:tcPr>
          <w:p w14:paraId="7BD8FDBC">
            <w:pPr>
              <w:spacing w:before="120" w:after="60"/>
              <w:jc w:val="center"/>
              <w:rPr>
                <w:rFonts w:ascii="宋体" w:hAnsi="宋体"/>
                <w:szCs w:val="21"/>
              </w:rPr>
            </w:pPr>
            <w:r>
              <w:rPr>
                <w:rFonts w:hint="eastAsia" w:ascii="宋体" w:hAnsi="宋体"/>
                <w:szCs w:val="21"/>
              </w:rPr>
              <w:t>使用有效期内的注册建造师注册证书在广州市住建行业信用平台内上传件。</w:t>
            </w:r>
          </w:p>
          <w:p w14:paraId="782BE7CF">
            <w:pPr>
              <w:spacing w:before="120" w:after="60"/>
              <w:jc w:val="center"/>
              <w:rPr>
                <w:rFonts w:ascii="宋体" w:hAnsi="宋体"/>
                <w:szCs w:val="21"/>
              </w:rPr>
            </w:pPr>
            <w:r>
              <w:rPr>
                <w:rFonts w:hint="eastAsia" w:ascii="宋体" w:hAnsi="宋体"/>
                <w:szCs w:val="21"/>
              </w:rPr>
              <w:t>（注：打印建造师电子证书后，应在个人签名处手写本人签名再上传广州市住建行业信用平台）</w:t>
            </w:r>
          </w:p>
        </w:tc>
        <w:tc>
          <w:tcPr>
            <w:tcW w:w="1320" w:type="dxa"/>
            <w:tcBorders>
              <w:top w:val="single" w:color="auto" w:sz="4" w:space="0"/>
              <w:left w:val="single" w:color="auto" w:sz="4" w:space="0"/>
              <w:bottom w:val="single" w:color="auto" w:sz="4" w:space="0"/>
              <w:right w:val="single" w:color="auto" w:sz="4" w:space="0"/>
            </w:tcBorders>
            <w:vAlign w:val="center"/>
          </w:tcPr>
          <w:p w14:paraId="7BDE094E">
            <w:pPr>
              <w:spacing w:before="120" w:after="60"/>
              <w:jc w:val="center"/>
              <w:rPr>
                <w:rFonts w:ascii="宋体" w:hAnsi="宋体"/>
                <w:szCs w:val="21"/>
              </w:rPr>
            </w:pPr>
          </w:p>
        </w:tc>
      </w:tr>
      <w:tr w14:paraId="4B3528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14:paraId="0FA67D1C">
            <w:pPr>
              <w:spacing w:before="120" w:after="60"/>
              <w:jc w:val="center"/>
              <w:rPr>
                <w:rFonts w:ascii="宋体" w:hAnsi="宋体"/>
                <w:szCs w:val="21"/>
              </w:rPr>
            </w:pPr>
            <w:r>
              <w:rPr>
                <w:rFonts w:ascii="宋体" w:hAnsi="宋体"/>
                <w:szCs w:val="21"/>
              </w:rPr>
              <w:t>5</w:t>
            </w:r>
          </w:p>
        </w:tc>
        <w:tc>
          <w:tcPr>
            <w:tcW w:w="3922" w:type="dxa"/>
            <w:tcBorders>
              <w:top w:val="single" w:color="auto" w:sz="4" w:space="0"/>
              <w:left w:val="single" w:color="auto" w:sz="4" w:space="0"/>
              <w:bottom w:val="single" w:color="auto" w:sz="4" w:space="0"/>
              <w:right w:val="single" w:color="auto" w:sz="4" w:space="0"/>
            </w:tcBorders>
            <w:vAlign w:val="center"/>
          </w:tcPr>
          <w:p w14:paraId="28507237">
            <w:pPr>
              <w:spacing w:before="120" w:after="60"/>
              <w:jc w:val="center"/>
              <w:rPr>
                <w:rFonts w:ascii="宋体" w:hAnsi="宋体"/>
                <w:szCs w:val="21"/>
              </w:rPr>
            </w:pPr>
            <w:r>
              <w:rPr>
                <w:rFonts w:hint="eastAsia" w:ascii="宋体" w:hAnsi="宋体"/>
                <w:szCs w:val="21"/>
              </w:rPr>
              <w:t>持有项目负责人安全生产考核合格证（B类）或建筑施工企业项目负责人安全生产考核合格证</w:t>
            </w:r>
          </w:p>
        </w:tc>
        <w:tc>
          <w:tcPr>
            <w:tcW w:w="3278" w:type="dxa"/>
            <w:tcBorders>
              <w:top w:val="single" w:color="auto" w:sz="4" w:space="0"/>
              <w:left w:val="single" w:color="auto" w:sz="4" w:space="0"/>
              <w:bottom w:val="single" w:color="auto" w:sz="4" w:space="0"/>
              <w:right w:val="single" w:color="auto" w:sz="4" w:space="0"/>
            </w:tcBorders>
            <w:vAlign w:val="center"/>
          </w:tcPr>
          <w:p w14:paraId="4601C364">
            <w:pPr>
              <w:spacing w:before="120" w:after="60"/>
              <w:jc w:val="center"/>
              <w:rPr>
                <w:rFonts w:ascii="宋体" w:hAnsi="宋体"/>
                <w:szCs w:val="21"/>
              </w:rPr>
            </w:pPr>
            <w:r>
              <w:rPr>
                <w:rFonts w:hint="eastAsia" w:ascii="宋体" w:hAnsi="宋体"/>
                <w:szCs w:val="21"/>
              </w:rPr>
              <w:t>项目负责人安全生产考核合格证（B类）或建筑施工企业项目负责人安全生产考核合格证在广州市住建行业信用管理平台内上传件</w:t>
            </w:r>
          </w:p>
        </w:tc>
        <w:tc>
          <w:tcPr>
            <w:tcW w:w="1320" w:type="dxa"/>
            <w:tcBorders>
              <w:top w:val="single" w:color="auto" w:sz="4" w:space="0"/>
              <w:left w:val="single" w:color="auto" w:sz="4" w:space="0"/>
              <w:bottom w:val="single" w:color="auto" w:sz="4" w:space="0"/>
              <w:right w:val="single" w:color="auto" w:sz="4" w:space="0"/>
            </w:tcBorders>
            <w:vAlign w:val="center"/>
          </w:tcPr>
          <w:p w14:paraId="60240C36">
            <w:pPr>
              <w:spacing w:before="120" w:after="60"/>
              <w:jc w:val="center"/>
              <w:rPr>
                <w:rFonts w:ascii="宋体" w:hAnsi="宋体"/>
                <w:szCs w:val="21"/>
              </w:rPr>
            </w:pPr>
          </w:p>
        </w:tc>
      </w:tr>
      <w:tr w14:paraId="20E94D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14:paraId="725EB709">
            <w:pPr>
              <w:spacing w:before="120" w:after="60"/>
              <w:jc w:val="center"/>
              <w:rPr>
                <w:rFonts w:ascii="宋体" w:hAnsi="宋体"/>
                <w:szCs w:val="21"/>
              </w:rPr>
            </w:pPr>
            <w:r>
              <w:rPr>
                <w:rFonts w:hint="eastAsia" w:ascii="宋体" w:hAnsi="宋体"/>
                <w:szCs w:val="21"/>
              </w:rPr>
              <w:t>6</w:t>
            </w:r>
          </w:p>
        </w:tc>
        <w:tc>
          <w:tcPr>
            <w:tcW w:w="3922" w:type="dxa"/>
            <w:tcBorders>
              <w:top w:val="single" w:color="auto" w:sz="4" w:space="0"/>
              <w:left w:val="single" w:color="auto" w:sz="4" w:space="0"/>
              <w:bottom w:val="single" w:color="auto" w:sz="4" w:space="0"/>
              <w:right w:val="single" w:color="auto" w:sz="4" w:space="0"/>
            </w:tcBorders>
            <w:vAlign w:val="center"/>
          </w:tcPr>
          <w:p w14:paraId="703430F2">
            <w:pPr>
              <w:spacing w:before="120" w:after="60"/>
              <w:jc w:val="center"/>
              <w:rPr>
                <w:rFonts w:ascii="宋体" w:hAnsi="宋体"/>
                <w:szCs w:val="21"/>
              </w:rPr>
            </w:pPr>
            <w:r>
              <w:rPr>
                <w:rFonts w:hint="eastAsia" w:ascii="宋体" w:hAnsi="宋体"/>
                <w:szCs w:val="21"/>
              </w:rPr>
              <w:t>投标人拟担任本工程技术负责人符合公告要求</w:t>
            </w:r>
          </w:p>
        </w:tc>
        <w:tc>
          <w:tcPr>
            <w:tcW w:w="3278" w:type="dxa"/>
            <w:tcBorders>
              <w:top w:val="single" w:color="auto" w:sz="4" w:space="0"/>
              <w:left w:val="single" w:color="auto" w:sz="4" w:space="0"/>
              <w:bottom w:val="single" w:color="auto" w:sz="4" w:space="0"/>
              <w:right w:val="single" w:color="auto" w:sz="4" w:space="0"/>
            </w:tcBorders>
            <w:vAlign w:val="center"/>
          </w:tcPr>
          <w:p w14:paraId="7C4BF1F2">
            <w:pPr>
              <w:spacing w:before="120" w:after="60"/>
              <w:jc w:val="center"/>
              <w:rPr>
                <w:rFonts w:ascii="宋体" w:hAnsi="宋体"/>
                <w:szCs w:val="21"/>
              </w:rPr>
            </w:pPr>
            <w:r>
              <w:rPr>
                <w:rFonts w:hint="eastAsia" w:ascii="宋体" w:hAnsi="宋体"/>
                <w:szCs w:val="21"/>
              </w:rPr>
              <w:t>拟委托技术负责人的相关证书、资料（具体要求</w:t>
            </w:r>
            <w:r>
              <w:rPr>
                <w:rFonts w:hint="eastAsia" w:ascii="宋体" w:hAnsi="宋体"/>
                <w:szCs w:val="21"/>
                <w:u w:val="single"/>
              </w:rPr>
              <w:t>详见招标公告</w:t>
            </w:r>
            <w:r>
              <w:rPr>
                <w:rFonts w:hint="eastAsia" w:ascii="宋体" w:hAnsi="宋体"/>
                <w:szCs w:val="21"/>
              </w:rPr>
              <w:t>）</w:t>
            </w:r>
          </w:p>
        </w:tc>
        <w:tc>
          <w:tcPr>
            <w:tcW w:w="1320" w:type="dxa"/>
            <w:tcBorders>
              <w:top w:val="single" w:color="auto" w:sz="4" w:space="0"/>
              <w:left w:val="single" w:color="auto" w:sz="4" w:space="0"/>
              <w:bottom w:val="single" w:color="auto" w:sz="4" w:space="0"/>
              <w:right w:val="single" w:color="auto" w:sz="4" w:space="0"/>
            </w:tcBorders>
            <w:vAlign w:val="center"/>
          </w:tcPr>
          <w:p w14:paraId="668613DC">
            <w:pPr>
              <w:spacing w:before="120" w:after="60"/>
              <w:jc w:val="center"/>
              <w:rPr>
                <w:rFonts w:ascii="宋体" w:hAnsi="宋体"/>
                <w:szCs w:val="21"/>
              </w:rPr>
            </w:pPr>
          </w:p>
        </w:tc>
      </w:tr>
      <w:tr w14:paraId="5B947C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468" w:type="dxa"/>
            <w:tcBorders>
              <w:top w:val="single" w:color="auto" w:sz="4" w:space="0"/>
              <w:left w:val="single" w:color="auto" w:sz="4" w:space="0"/>
              <w:bottom w:val="single" w:color="auto" w:sz="4" w:space="0"/>
              <w:right w:val="single" w:color="auto" w:sz="4" w:space="0"/>
            </w:tcBorders>
            <w:vAlign w:val="center"/>
          </w:tcPr>
          <w:p w14:paraId="55401818">
            <w:pPr>
              <w:spacing w:before="120" w:after="60"/>
              <w:jc w:val="center"/>
              <w:rPr>
                <w:rFonts w:ascii="宋体" w:hAnsi="宋体"/>
                <w:szCs w:val="21"/>
              </w:rPr>
            </w:pPr>
            <w:r>
              <w:rPr>
                <w:rFonts w:hint="eastAsia" w:ascii="宋体" w:hAnsi="宋体"/>
                <w:szCs w:val="21"/>
              </w:rPr>
              <w:t>7</w:t>
            </w:r>
          </w:p>
        </w:tc>
        <w:tc>
          <w:tcPr>
            <w:tcW w:w="3922" w:type="dxa"/>
            <w:tcBorders>
              <w:top w:val="single" w:color="auto" w:sz="4" w:space="0"/>
              <w:left w:val="single" w:color="auto" w:sz="4" w:space="0"/>
              <w:bottom w:val="single" w:color="auto" w:sz="4" w:space="0"/>
              <w:right w:val="single" w:color="auto" w:sz="4" w:space="0"/>
            </w:tcBorders>
            <w:vAlign w:val="center"/>
          </w:tcPr>
          <w:p w14:paraId="589AAB00">
            <w:pPr>
              <w:spacing w:before="120" w:after="60"/>
              <w:jc w:val="center"/>
              <w:rPr>
                <w:rFonts w:ascii="宋体" w:hAnsi="宋体"/>
                <w:szCs w:val="21"/>
              </w:rPr>
            </w:pPr>
            <w:r>
              <w:rPr>
                <w:rFonts w:hint="eastAsia" w:ascii="宋体" w:hAnsi="宋体"/>
                <w:szCs w:val="21"/>
              </w:rPr>
              <w:t>专职安全员须具有安全生产考核合格证（C类）或建筑施工企业专职安全生产管理人员安全生产考核合格证（C3）</w:t>
            </w:r>
          </w:p>
        </w:tc>
        <w:tc>
          <w:tcPr>
            <w:tcW w:w="3278" w:type="dxa"/>
            <w:tcBorders>
              <w:top w:val="single" w:color="auto" w:sz="4" w:space="0"/>
              <w:left w:val="single" w:color="auto" w:sz="4" w:space="0"/>
              <w:bottom w:val="single" w:color="auto" w:sz="4" w:space="0"/>
              <w:right w:val="single" w:color="auto" w:sz="4" w:space="0"/>
            </w:tcBorders>
            <w:vAlign w:val="center"/>
          </w:tcPr>
          <w:p w14:paraId="0AD3F858">
            <w:pPr>
              <w:spacing w:before="120" w:after="60"/>
              <w:jc w:val="center"/>
              <w:rPr>
                <w:rFonts w:ascii="宋体" w:hAnsi="宋体"/>
                <w:szCs w:val="21"/>
              </w:rPr>
            </w:pPr>
            <w:r>
              <w:rPr>
                <w:rFonts w:hint="eastAsia" w:ascii="宋体" w:hAnsi="宋体"/>
                <w:szCs w:val="21"/>
              </w:rPr>
              <w:t>专职安全员的安全生产考核合格证（C类</w:t>
            </w:r>
            <w:r>
              <w:rPr>
                <w:rFonts w:ascii="宋体" w:hAnsi="宋体"/>
                <w:szCs w:val="21"/>
              </w:rPr>
              <w:t>）</w:t>
            </w:r>
            <w:r>
              <w:rPr>
                <w:rFonts w:hint="eastAsia" w:ascii="宋体" w:hAnsi="宋体"/>
                <w:szCs w:val="21"/>
              </w:rPr>
              <w:t>或建筑施工企业专职安全生产管理人员安全生产考核合格证（C3）在广州市住建行业信用管理平台内上传件</w:t>
            </w:r>
          </w:p>
        </w:tc>
        <w:tc>
          <w:tcPr>
            <w:tcW w:w="1320" w:type="dxa"/>
            <w:tcBorders>
              <w:top w:val="single" w:color="auto" w:sz="4" w:space="0"/>
              <w:left w:val="single" w:color="auto" w:sz="4" w:space="0"/>
              <w:bottom w:val="single" w:color="auto" w:sz="4" w:space="0"/>
              <w:right w:val="single" w:color="auto" w:sz="4" w:space="0"/>
            </w:tcBorders>
            <w:vAlign w:val="center"/>
          </w:tcPr>
          <w:p w14:paraId="7C6EAFA5">
            <w:pPr>
              <w:spacing w:before="120" w:after="60"/>
              <w:jc w:val="center"/>
              <w:rPr>
                <w:rFonts w:ascii="宋体" w:hAnsi="宋体"/>
                <w:szCs w:val="21"/>
              </w:rPr>
            </w:pPr>
          </w:p>
        </w:tc>
      </w:tr>
      <w:tr w14:paraId="7A31C6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14:paraId="611266D6">
            <w:pPr>
              <w:spacing w:before="120" w:after="60"/>
              <w:jc w:val="center"/>
              <w:rPr>
                <w:rFonts w:ascii="宋体" w:hAnsi="宋体"/>
                <w:szCs w:val="21"/>
              </w:rPr>
            </w:pPr>
            <w:r>
              <w:rPr>
                <w:rFonts w:hint="eastAsia" w:ascii="宋体" w:hAnsi="宋体"/>
                <w:szCs w:val="21"/>
              </w:rPr>
              <w:t>8</w:t>
            </w:r>
          </w:p>
        </w:tc>
        <w:tc>
          <w:tcPr>
            <w:tcW w:w="3922" w:type="dxa"/>
            <w:tcBorders>
              <w:top w:val="single" w:color="auto" w:sz="4" w:space="0"/>
              <w:left w:val="single" w:color="auto" w:sz="4" w:space="0"/>
              <w:bottom w:val="single" w:color="auto" w:sz="4" w:space="0"/>
              <w:right w:val="single" w:color="auto" w:sz="4" w:space="0"/>
            </w:tcBorders>
            <w:vAlign w:val="center"/>
          </w:tcPr>
          <w:p w14:paraId="0A053AC4">
            <w:pPr>
              <w:spacing w:before="120" w:after="60"/>
              <w:jc w:val="center"/>
              <w:rPr>
                <w:rFonts w:ascii="宋体" w:hAnsi="宋体"/>
                <w:strike/>
                <w:szCs w:val="21"/>
              </w:rPr>
            </w:pPr>
            <w:r>
              <w:rPr>
                <w:rFonts w:hint="eastAsia" w:ascii="宋体" w:hAnsi="宋体"/>
                <w:szCs w:val="21"/>
              </w:rPr>
              <w:t>投标人提供的投标人声明符合公告要求</w:t>
            </w:r>
          </w:p>
        </w:tc>
        <w:tc>
          <w:tcPr>
            <w:tcW w:w="3278" w:type="dxa"/>
            <w:tcBorders>
              <w:top w:val="single" w:color="auto" w:sz="4" w:space="0"/>
              <w:left w:val="single" w:color="auto" w:sz="4" w:space="0"/>
              <w:bottom w:val="single" w:color="auto" w:sz="4" w:space="0"/>
              <w:right w:val="single" w:color="auto" w:sz="4" w:space="0"/>
            </w:tcBorders>
            <w:vAlign w:val="center"/>
          </w:tcPr>
          <w:p w14:paraId="5DD4D2ED">
            <w:pPr>
              <w:spacing w:before="120" w:after="60"/>
              <w:jc w:val="center"/>
              <w:rPr>
                <w:rFonts w:ascii="宋体" w:hAnsi="宋体"/>
                <w:strike/>
                <w:szCs w:val="21"/>
              </w:rPr>
            </w:pPr>
            <w:r>
              <w:rPr>
                <w:rFonts w:hint="eastAsia" w:ascii="宋体" w:hAnsi="宋体"/>
                <w:szCs w:val="21"/>
              </w:rPr>
              <w:t>投标人声明</w:t>
            </w:r>
          </w:p>
        </w:tc>
        <w:tc>
          <w:tcPr>
            <w:tcW w:w="1320" w:type="dxa"/>
            <w:tcBorders>
              <w:top w:val="single" w:color="auto" w:sz="4" w:space="0"/>
              <w:left w:val="single" w:color="auto" w:sz="4" w:space="0"/>
              <w:bottom w:val="single" w:color="auto" w:sz="4" w:space="0"/>
              <w:right w:val="single" w:color="auto" w:sz="4" w:space="0"/>
            </w:tcBorders>
            <w:vAlign w:val="center"/>
          </w:tcPr>
          <w:p w14:paraId="58C6192A">
            <w:pPr>
              <w:spacing w:before="120" w:after="60"/>
              <w:jc w:val="center"/>
              <w:rPr>
                <w:rFonts w:ascii="宋体" w:hAnsi="宋体"/>
                <w:szCs w:val="21"/>
              </w:rPr>
            </w:pPr>
          </w:p>
        </w:tc>
      </w:tr>
      <w:tr w14:paraId="3F3C42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14:paraId="63A24BE4">
            <w:pPr>
              <w:spacing w:before="120" w:after="60"/>
              <w:jc w:val="center"/>
              <w:rPr>
                <w:rFonts w:ascii="宋体" w:hAnsi="宋体"/>
                <w:szCs w:val="21"/>
              </w:rPr>
            </w:pPr>
            <w:r>
              <w:rPr>
                <w:rFonts w:hint="eastAsia" w:ascii="宋体" w:hAnsi="宋体"/>
                <w:szCs w:val="21"/>
              </w:rPr>
              <w:t>9</w:t>
            </w:r>
          </w:p>
        </w:tc>
        <w:tc>
          <w:tcPr>
            <w:tcW w:w="3922" w:type="dxa"/>
            <w:tcBorders>
              <w:top w:val="single" w:color="auto" w:sz="4" w:space="0"/>
              <w:left w:val="single" w:color="auto" w:sz="4" w:space="0"/>
              <w:bottom w:val="single" w:color="auto" w:sz="4" w:space="0"/>
              <w:right w:val="single" w:color="auto" w:sz="4" w:space="0"/>
            </w:tcBorders>
            <w:vAlign w:val="center"/>
          </w:tcPr>
          <w:p w14:paraId="7AF5D4C0">
            <w:pPr>
              <w:spacing w:before="120" w:after="60"/>
              <w:jc w:val="center"/>
              <w:rPr>
                <w:rFonts w:ascii="宋体" w:hAnsi="宋体"/>
                <w:szCs w:val="21"/>
              </w:rPr>
            </w:pPr>
            <w:r>
              <w:rPr>
                <w:rFonts w:hint="eastAsia" w:ascii="宋体" w:hAnsi="宋体"/>
                <w:szCs w:val="21"/>
              </w:rPr>
              <w:t>投标人声明中签字或盖章的项目负责人和技术负责人与本项目拟派的项目负责人和技术负责人一致</w:t>
            </w:r>
          </w:p>
        </w:tc>
        <w:tc>
          <w:tcPr>
            <w:tcW w:w="3278" w:type="dxa"/>
            <w:tcBorders>
              <w:top w:val="single" w:color="auto" w:sz="4" w:space="0"/>
              <w:left w:val="single" w:color="auto" w:sz="4" w:space="0"/>
              <w:bottom w:val="single" w:color="auto" w:sz="4" w:space="0"/>
              <w:right w:val="single" w:color="auto" w:sz="4" w:space="0"/>
            </w:tcBorders>
            <w:vAlign w:val="center"/>
          </w:tcPr>
          <w:p w14:paraId="68F9B0D7">
            <w:pPr>
              <w:spacing w:before="120" w:after="60"/>
              <w:jc w:val="center"/>
              <w:rPr>
                <w:rFonts w:ascii="宋体" w:hAnsi="宋体"/>
                <w:szCs w:val="21"/>
              </w:rPr>
            </w:pPr>
            <w:r>
              <w:rPr>
                <w:rFonts w:hint="eastAsia" w:ascii="宋体" w:hAnsi="宋体"/>
                <w:szCs w:val="21"/>
              </w:rPr>
              <w:t>网上投标时选择拟投标的项目负责人、资格审查文件中拟委派的技术负责人及投标人声明</w:t>
            </w:r>
          </w:p>
        </w:tc>
        <w:tc>
          <w:tcPr>
            <w:tcW w:w="1320" w:type="dxa"/>
            <w:tcBorders>
              <w:top w:val="single" w:color="auto" w:sz="4" w:space="0"/>
              <w:left w:val="single" w:color="auto" w:sz="4" w:space="0"/>
              <w:bottom w:val="single" w:color="auto" w:sz="4" w:space="0"/>
              <w:right w:val="single" w:color="auto" w:sz="4" w:space="0"/>
            </w:tcBorders>
            <w:vAlign w:val="center"/>
          </w:tcPr>
          <w:p w14:paraId="13DC0DE1">
            <w:pPr>
              <w:spacing w:before="120" w:after="60"/>
              <w:jc w:val="center"/>
              <w:rPr>
                <w:rFonts w:ascii="宋体" w:hAnsi="宋体"/>
                <w:szCs w:val="21"/>
              </w:rPr>
            </w:pPr>
          </w:p>
        </w:tc>
      </w:tr>
      <w:tr w14:paraId="47FF11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14:paraId="646C08AC">
            <w:pPr>
              <w:spacing w:before="120" w:after="60"/>
              <w:jc w:val="center"/>
              <w:rPr>
                <w:rFonts w:ascii="宋体" w:hAnsi="宋体"/>
                <w:szCs w:val="21"/>
              </w:rPr>
            </w:pPr>
            <w:r>
              <w:rPr>
                <w:rFonts w:hint="eastAsia" w:ascii="宋体" w:hAnsi="宋体"/>
                <w:szCs w:val="21"/>
              </w:rPr>
              <w:t>10</w:t>
            </w:r>
          </w:p>
        </w:tc>
        <w:tc>
          <w:tcPr>
            <w:tcW w:w="3922" w:type="dxa"/>
            <w:tcBorders>
              <w:top w:val="single" w:color="auto" w:sz="4" w:space="0"/>
              <w:left w:val="single" w:color="auto" w:sz="4" w:space="0"/>
              <w:bottom w:val="single" w:color="auto" w:sz="4" w:space="0"/>
              <w:right w:val="single" w:color="auto" w:sz="4" w:space="0"/>
            </w:tcBorders>
            <w:vAlign w:val="center"/>
          </w:tcPr>
          <w:p w14:paraId="31280E5D">
            <w:pPr>
              <w:spacing w:before="120" w:after="60"/>
              <w:jc w:val="center"/>
              <w:rPr>
                <w:rFonts w:ascii="宋体" w:hAnsi="宋体"/>
                <w:szCs w:val="21"/>
              </w:rPr>
            </w:pPr>
            <w:r>
              <w:rPr>
                <w:rFonts w:hint="eastAsia"/>
              </w:rPr>
              <w:t>关于联合体投标：本项目不接受联合体投标</w:t>
            </w:r>
          </w:p>
        </w:tc>
        <w:tc>
          <w:tcPr>
            <w:tcW w:w="3278" w:type="dxa"/>
            <w:tcBorders>
              <w:top w:val="single" w:color="auto" w:sz="4" w:space="0"/>
              <w:left w:val="single" w:color="auto" w:sz="4" w:space="0"/>
              <w:bottom w:val="single" w:color="auto" w:sz="4" w:space="0"/>
              <w:right w:val="single" w:color="auto" w:sz="4" w:space="0"/>
            </w:tcBorders>
            <w:vAlign w:val="center"/>
          </w:tcPr>
          <w:p w14:paraId="3D83DF2E">
            <w:pPr>
              <w:spacing w:before="120" w:after="60"/>
              <w:jc w:val="center"/>
              <w:rPr>
                <w:rFonts w:ascii="宋体" w:hAnsi="宋体"/>
                <w:szCs w:val="21"/>
              </w:rPr>
            </w:pPr>
            <w:r>
              <w:rPr>
                <w:rFonts w:hint="eastAsia"/>
              </w:rPr>
              <w:t>/</w:t>
            </w:r>
          </w:p>
        </w:tc>
        <w:tc>
          <w:tcPr>
            <w:tcW w:w="1320" w:type="dxa"/>
            <w:tcBorders>
              <w:top w:val="single" w:color="auto" w:sz="4" w:space="0"/>
              <w:left w:val="single" w:color="auto" w:sz="4" w:space="0"/>
              <w:bottom w:val="single" w:color="auto" w:sz="4" w:space="0"/>
              <w:right w:val="single" w:color="auto" w:sz="4" w:space="0"/>
            </w:tcBorders>
            <w:vAlign w:val="center"/>
          </w:tcPr>
          <w:p w14:paraId="15B6671A">
            <w:pPr>
              <w:spacing w:before="120" w:after="60"/>
              <w:jc w:val="center"/>
              <w:rPr>
                <w:rFonts w:ascii="宋体" w:hAnsi="宋体"/>
                <w:szCs w:val="21"/>
              </w:rPr>
            </w:pPr>
          </w:p>
        </w:tc>
      </w:tr>
      <w:tr w14:paraId="2BC8E6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14:paraId="3CA422C0">
            <w:pPr>
              <w:spacing w:before="120" w:after="60"/>
              <w:jc w:val="center"/>
              <w:rPr>
                <w:rFonts w:ascii="宋体" w:hAnsi="宋体"/>
                <w:szCs w:val="21"/>
              </w:rPr>
            </w:pPr>
            <w:r>
              <w:rPr>
                <w:rFonts w:hint="eastAsia" w:ascii="宋体" w:hAnsi="宋体"/>
                <w:szCs w:val="21"/>
              </w:rPr>
              <w:t>11</w:t>
            </w:r>
          </w:p>
        </w:tc>
        <w:tc>
          <w:tcPr>
            <w:tcW w:w="3922" w:type="dxa"/>
            <w:tcBorders>
              <w:top w:val="single" w:color="auto" w:sz="4" w:space="0"/>
              <w:left w:val="single" w:color="auto" w:sz="4" w:space="0"/>
              <w:bottom w:val="single" w:color="auto" w:sz="4" w:space="0"/>
              <w:right w:val="single" w:color="auto" w:sz="4" w:space="0"/>
            </w:tcBorders>
            <w:vAlign w:val="center"/>
          </w:tcPr>
          <w:p w14:paraId="37644550">
            <w:pPr>
              <w:spacing w:before="120" w:after="60"/>
              <w:jc w:val="center"/>
              <w:rPr>
                <w:u w:val="single"/>
              </w:rPr>
            </w:pPr>
            <w:r>
              <w:rPr>
                <w:rFonts w:hint="eastAsia" w:ascii="宋体" w:hAnsi="宋体"/>
                <w:szCs w:val="21"/>
              </w:rPr>
              <w:t>资格审查前，投标人须在广州市住房和城乡建设局建立企业信用档案及拟担任本工程项目负责人、专职安全员须是本企业中的在册人员</w:t>
            </w:r>
          </w:p>
        </w:tc>
        <w:tc>
          <w:tcPr>
            <w:tcW w:w="3278" w:type="dxa"/>
            <w:tcBorders>
              <w:top w:val="single" w:color="auto" w:sz="4" w:space="0"/>
              <w:left w:val="single" w:color="auto" w:sz="4" w:space="0"/>
              <w:bottom w:val="single" w:color="auto" w:sz="4" w:space="0"/>
              <w:right w:val="single" w:color="auto" w:sz="4" w:space="0"/>
            </w:tcBorders>
            <w:vAlign w:val="center"/>
          </w:tcPr>
          <w:p w14:paraId="1DE54D68">
            <w:pPr>
              <w:spacing w:before="120" w:after="60"/>
              <w:jc w:val="center"/>
              <w:rPr>
                <w:u w:val="single"/>
              </w:rPr>
            </w:pPr>
            <w:r>
              <w:rPr>
                <w:rFonts w:hint="eastAsia" w:ascii="宋体" w:hAnsi="宋体"/>
                <w:szCs w:val="21"/>
              </w:rPr>
              <w:t>投标人在广州市住建行业信用管理平台内企业信用档案的企业和人员信息</w:t>
            </w:r>
          </w:p>
        </w:tc>
        <w:tc>
          <w:tcPr>
            <w:tcW w:w="1320" w:type="dxa"/>
            <w:tcBorders>
              <w:top w:val="single" w:color="auto" w:sz="4" w:space="0"/>
              <w:left w:val="single" w:color="auto" w:sz="4" w:space="0"/>
              <w:bottom w:val="single" w:color="auto" w:sz="4" w:space="0"/>
              <w:right w:val="single" w:color="auto" w:sz="4" w:space="0"/>
            </w:tcBorders>
            <w:vAlign w:val="center"/>
          </w:tcPr>
          <w:p w14:paraId="1AF0FCE5">
            <w:pPr>
              <w:spacing w:before="120" w:after="60"/>
              <w:jc w:val="center"/>
              <w:rPr>
                <w:rFonts w:ascii="宋体" w:hAnsi="宋体"/>
                <w:szCs w:val="21"/>
              </w:rPr>
            </w:pPr>
          </w:p>
        </w:tc>
      </w:tr>
      <w:tr w14:paraId="380308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14:paraId="67508EF2">
            <w:pPr>
              <w:spacing w:before="120" w:after="60"/>
              <w:jc w:val="center"/>
              <w:rPr>
                <w:rFonts w:ascii="宋体" w:hAnsi="宋体"/>
                <w:szCs w:val="21"/>
              </w:rPr>
            </w:pPr>
            <w:r>
              <w:rPr>
                <w:rFonts w:ascii="宋体" w:hAnsi="宋体"/>
                <w:szCs w:val="21"/>
              </w:rPr>
              <w:t>1</w:t>
            </w:r>
            <w:r>
              <w:rPr>
                <w:rFonts w:hint="eastAsia" w:ascii="宋体" w:hAnsi="宋体"/>
                <w:szCs w:val="21"/>
              </w:rPr>
              <w:t>2</w:t>
            </w:r>
          </w:p>
        </w:tc>
        <w:tc>
          <w:tcPr>
            <w:tcW w:w="3922" w:type="dxa"/>
            <w:tcBorders>
              <w:top w:val="single" w:color="auto" w:sz="4" w:space="0"/>
              <w:left w:val="single" w:color="auto" w:sz="4" w:space="0"/>
              <w:bottom w:val="single" w:color="auto" w:sz="4" w:space="0"/>
              <w:right w:val="single" w:color="auto" w:sz="4" w:space="0"/>
            </w:tcBorders>
            <w:vAlign w:val="center"/>
          </w:tcPr>
          <w:p w14:paraId="42BDB927">
            <w:pPr>
              <w:spacing w:before="120" w:after="60"/>
              <w:jc w:val="center"/>
              <w:rPr>
                <w:rFonts w:ascii="宋体" w:hAnsi="宋体"/>
                <w:szCs w:val="21"/>
              </w:rPr>
            </w:pPr>
            <w:r>
              <w:rPr>
                <w:rFonts w:hint="eastAsia" w:ascii="宋体" w:hAnsi="宋体"/>
                <w:szCs w:val="21"/>
              </w:rPr>
              <w:t>投标人未出现以下情形：与其它投标人的单位负责人为同一人或者存在控股、管理关系的（按投标人提供的《投标人声明》第八条内容进行评审）。</w:t>
            </w:r>
          </w:p>
        </w:tc>
        <w:tc>
          <w:tcPr>
            <w:tcW w:w="3278" w:type="dxa"/>
            <w:tcBorders>
              <w:top w:val="single" w:color="auto" w:sz="4" w:space="0"/>
              <w:left w:val="single" w:color="auto" w:sz="4" w:space="0"/>
              <w:bottom w:val="single" w:color="auto" w:sz="4" w:space="0"/>
              <w:right w:val="single" w:color="auto" w:sz="4" w:space="0"/>
            </w:tcBorders>
            <w:vAlign w:val="center"/>
          </w:tcPr>
          <w:p w14:paraId="044849B8">
            <w:pPr>
              <w:spacing w:before="120" w:after="60"/>
              <w:jc w:val="center"/>
              <w:rPr>
                <w:rFonts w:ascii="宋体" w:hAnsi="宋体"/>
                <w:szCs w:val="21"/>
              </w:rPr>
            </w:pPr>
            <w:r>
              <w:rPr>
                <w:rFonts w:hint="eastAsia" w:ascii="宋体" w:hAnsi="宋体"/>
                <w:szCs w:val="21"/>
              </w:rPr>
              <w:t>投标人声明</w:t>
            </w:r>
          </w:p>
        </w:tc>
        <w:tc>
          <w:tcPr>
            <w:tcW w:w="1320" w:type="dxa"/>
            <w:tcBorders>
              <w:top w:val="single" w:color="auto" w:sz="4" w:space="0"/>
              <w:left w:val="single" w:color="auto" w:sz="4" w:space="0"/>
              <w:bottom w:val="single" w:color="auto" w:sz="4" w:space="0"/>
              <w:right w:val="single" w:color="auto" w:sz="4" w:space="0"/>
            </w:tcBorders>
            <w:vAlign w:val="center"/>
          </w:tcPr>
          <w:p w14:paraId="3B79DCD7">
            <w:pPr>
              <w:spacing w:before="120" w:after="60"/>
              <w:jc w:val="center"/>
              <w:rPr>
                <w:rFonts w:ascii="宋体" w:hAnsi="宋体"/>
                <w:szCs w:val="21"/>
              </w:rPr>
            </w:pPr>
          </w:p>
        </w:tc>
      </w:tr>
      <w:tr w14:paraId="141D88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14:paraId="52812E60">
            <w:pPr>
              <w:spacing w:before="120" w:after="60"/>
              <w:jc w:val="center"/>
              <w:rPr>
                <w:rFonts w:ascii="宋体" w:hAnsi="宋体"/>
                <w:szCs w:val="21"/>
              </w:rPr>
            </w:pPr>
            <w:r>
              <w:rPr>
                <w:rFonts w:ascii="宋体" w:hAnsi="宋体"/>
                <w:szCs w:val="21"/>
              </w:rPr>
              <w:t>1</w:t>
            </w:r>
            <w:r>
              <w:rPr>
                <w:rFonts w:hint="eastAsia" w:ascii="宋体" w:hAnsi="宋体"/>
                <w:szCs w:val="21"/>
              </w:rPr>
              <w:t>3</w:t>
            </w:r>
          </w:p>
        </w:tc>
        <w:tc>
          <w:tcPr>
            <w:tcW w:w="3922" w:type="dxa"/>
            <w:tcBorders>
              <w:top w:val="single" w:color="auto" w:sz="4" w:space="0"/>
              <w:left w:val="single" w:color="auto" w:sz="4" w:space="0"/>
              <w:bottom w:val="single" w:color="auto" w:sz="4" w:space="0"/>
              <w:right w:val="single" w:color="auto" w:sz="4" w:space="0"/>
            </w:tcBorders>
            <w:vAlign w:val="center"/>
          </w:tcPr>
          <w:p w14:paraId="337A8E43">
            <w:pPr>
              <w:spacing w:before="120" w:after="60"/>
              <w:jc w:val="center"/>
              <w:rPr>
                <w:rFonts w:ascii="宋体" w:hAnsi="宋体"/>
                <w:strike/>
                <w:szCs w:val="21"/>
              </w:rPr>
            </w:pPr>
            <w:r>
              <w:rPr>
                <w:rFonts w:hint="eastAsia" w:ascii="宋体" w:hAnsi="宋体" w:cs="宋体"/>
                <w:szCs w:val="21"/>
              </w:rPr>
              <w:t>未被列入拖欠农民工工资失信联合惩戒对象名单</w:t>
            </w:r>
          </w:p>
        </w:tc>
        <w:tc>
          <w:tcPr>
            <w:tcW w:w="3278" w:type="dxa"/>
            <w:tcBorders>
              <w:top w:val="single" w:color="auto" w:sz="4" w:space="0"/>
              <w:left w:val="single" w:color="auto" w:sz="4" w:space="0"/>
              <w:bottom w:val="single" w:color="auto" w:sz="4" w:space="0"/>
              <w:right w:val="single" w:color="auto" w:sz="4" w:space="0"/>
            </w:tcBorders>
            <w:vAlign w:val="center"/>
          </w:tcPr>
          <w:p w14:paraId="159AE580">
            <w:pPr>
              <w:spacing w:before="120" w:after="60"/>
              <w:jc w:val="center"/>
              <w:rPr>
                <w:rFonts w:ascii="宋体" w:hAnsi="宋体"/>
                <w:strike/>
                <w:szCs w:val="21"/>
              </w:rPr>
            </w:pPr>
            <w:r>
              <w:rPr>
                <w:rFonts w:hint="eastAsia" w:ascii="宋体" w:hAnsi="宋体"/>
                <w:szCs w:val="21"/>
              </w:rPr>
              <w:t>投标人无需提供资料，按交易系统比对的结果进行评审</w:t>
            </w:r>
          </w:p>
        </w:tc>
        <w:tc>
          <w:tcPr>
            <w:tcW w:w="1320" w:type="dxa"/>
            <w:tcBorders>
              <w:top w:val="single" w:color="auto" w:sz="4" w:space="0"/>
              <w:left w:val="single" w:color="auto" w:sz="4" w:space="0"/>
              <w:bottom w:val="single" w:color="auto" w:sz="4" w:space="0"/>
              <w:right w:val="single" w:color="auto" w:sz="4" w:space="0"/>
            </w:tcBorders>
            <w:vAlign w:val="center"/>
          </w:tcPr>
          <w:p w14:paraId="4ECB8D0F">
            <w:pPr>
              <w:spacing w:before="120" w:after="60"/>
              <w:jc w:val="center"/>
              <w:rPr>
                <w:rFonts w:ascii="宋体" w:hAnsi="宋体"/>
                <w:szCs w:val="21"/>
              </w:rPr>
            </w:pPr>
          </w:p>
        </w:tc>
      </w:tr>
      <w:tr w14:paraId="3F76AA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14:paraId="4DBCDD53">
            <w:pPr>
              <w:spacing w:before="120" w:after="60"/>
              <w:jc w:val="center"/>
              <w:rPr>
                <w:rFonts w:hint="default" w:ascii="宋体" w:hAnsi="宋体" w:eastAsia="宋体"/>
                <w:szCs w:val="21"/>
                <w:lang w:val="en-US" w:eastAsia="zh-CN"/>
              </w:rPr>
            </w:pPr>
            <w:r>
              <w:rPr>
                <w:rFonts w:hint="eastAsia" w:ascii="宋体" w:hAnsi="宋体"/>
                <w:szCs w:val="21"/>
                <w:lang w:val="en-US" w:eastAsia="zh-CN"/>
              </w:rPr>
              <w:t>14</w:t>
            </w:r>
          </w:p>
        </w:tc>
        <w:tc>
          <w:tcPr>
            <w:tcW w:w="3922" w:type="dxa"/>
            <w:tcBorders>
              <w:top w:val="single" w:color="auto" w:sz="4" w:space="0"/>
              <w:left w:val="single" w:color="auto" w:sz="4" w:space="0"/>
              <w:bottom w:val="single" w:color="auto" w:sz="4" w:space="0"/>
              <w:right w:val="single" w:color="auto" w:sz="4" w:space="0"/>
            </w:tcBorders>
            <w:vAlign w:val="center"/>
          </w:tcPr>
          <w:p w14:paraId="0700A7D9">
            <w:pPr>
              <w:spacing w:before="120" w:after="60"/>
              <w:jc w:val="center"/>
              <w:rPr>
                <w:rFonts w:hint="eastAsia" w:ascii="宋体" w:hAnsi="宋体" w:cs="宋体"/>
                <w:szCs w:val="21"/>
              </w:rPr>
            </w:pPr>
            <w:r>
              <w:rPr>
                <w:rFonts w:hint="eastAsia" w:ascii="宋体" w:hAnsi="宋体" w:cs="宋体"/>
                <w:szCs w:val="21"/>
              </w:rPr>
              <w:t>投标人应具备的信誉条件</w:t>
            </w:r>
          </w:p>
        </w:tc>
        <w:tc>
          <w:tcPr>
            <w:tcW w:w="3278" w:type="dxa"/>
            <w:tcBorders>
              <w:top w:val="single" w:color="auto" w:sz="4" w:space="0"/>
              <w:left w:val="single" w:color="auto" w:sz="4" w:space="0"/>
              <w:bottom w:val="single" w:color="auto" w:sz="4" w:space="0"/>
              <w:right w:val="single" w:color="auto" w:sz="4" w:space="0"/>
            </w:tcBorders>
            <w:vAlign w:val="center"/>
          </w:tcPr>
          <w:p w14:paraId="7A1DF249">
            <w:pPr>
              <w:spacing w:before="120" w:after="60"/>
              <w:jc w:val="center"/>
              <w:rPr>
                <w:rFonts w:hint="eastAsia" w:ascii="宋体" w:hAnsi="宋体"/>
                <w:szCs w:val="21"/>
              </w:rPr>
            </w:pPr>
            <w:r>
              <w:rPr>
                <w:rFonts w:hint="eastAsia" w:ascii="宋体" w:hAnsi="宋体" w:cs="宋体"/>
                <w:szCs w:val="21"/>
              </w:rPr>
              <w:t>投标人出具承诺函</w:t>
            </w:r>
          </w:p>
        </w:tc>
        <w:tc>
          <w:tcPr>
            <w:tcW w:w="1320" w:type="dxa"/>
            <w:tcBorders>
              <w:top w:val="single" w:color="auto" w:sz="4" w:space="0"/>
              <w:left w:val="single" w:color="auto" w:sz="4" w:space="0"/>
              <w:bottom w:val="single" w:color="auto" w:sz="4" w:space="0"/>
              <w:right w:val="single" w:color="auto" w:sz="4" w:space="0"/>
            </w:tcBorders>
            <w:vAlign w:val="center"/>
          </w:tcPr>
          <w:p w14:paraId="77683788">
            <w:pPr>
              <w:spacing w:before="120" w:after="60"/>
              <w:jc w:val="center"/>
              <w:rPr>
                <w:rFonts w:ascii="宋体" w:hAnsi="宋体"/>
                <w:szCs w:val="21"/>
              </w:rPr>
            </w:pPr>
          </w:p>
        </w:tc>
      </w:tr>
    </w:tbl>
    <w:p w14:paraId="3D5A9255">
      <w:pPr>
        <w:spacing w:line="360" w:lineRule="auto"/>
        <w:ind w:firstLine="470" w:firstLineChars="224"/>
        <w:rPr>
          <w:rFonts w:ascii="宋体"/>
          <w:szCs w:val="21"/>
        </w:rPr>
      </w:pPr>
      <w:r>
        <w:rPr>
          <w:rFonts w:hint="eastAsia" w:ascii="宋体" w:hAnsi="宋体"/>
          <w:szCs w:val="21"/>
        </w:rPr>
        <w:t>备注：</w:t>
      </w:r>
    </w:p>
    <w:p w14:paraId="5732F0BE">
      <w:pPr>
        <w:spacing w:line="360" w:lineRule="auto"/>
        <w:ind w:firstLine="470" w:firstLineChars="224"/>
        <w:rPr>
          <w:rFonts w:ascii="宋体"/>
          <w:szCs w:val="21"/>
        </w:rPr>
      </w:pPr>
      <w:r>
        <w:rPr>
          <w:rFonts w:ascii="宋体" w:hAnsi="宋体"/>
          <w:szCs w:val="21"/>
        </w:rPr>
        <w:t>1</w:t>
      </w:r>
      <w:r>
        <w:rPr>
          <w:rFonts w:hint="eastAsia" w:ascii="宋体" w:hAnsi="宋体"/>
          <w:szCs w:val="21"/>
        </w:rPr>
        <w:t>、每一项目符合的计“通过”，不符合的计“不通过”；</w:t>
      </w:r>
      <w:r>
        <w:rPr>
          <w:rFonts w:ascii="宋体" w:hAnsi="宋体"/>
          <w:szCs w:val="21"/>
        </w:rPr>
        <w:t xml:space="preserve"> </w:t>
      </w:r>
    </w:p>
    <w:p w14:paraId="16919478">
      <w:pPr>
        <w:spacing w:line="360" w:lineRule="auto"/>
        <w:ind w:firstLine="470" w:firstLineChars="224"/>
        <w:rPr>
          <w:rFonts w:ascii="宋体" w:hAnsi="宋体"/>
          <w:szCs w:val="21"/>
        </w:rPr>
      </w:pPr>
      <w:r>
        <w:rPr>
          <w:rFonts w:ascii="宋体" w:hAnsi="宋体"/>
          <w:szCs w:val="21"/>
        </w:rPr>
        <w:t>2</w:t>
      </w:r>
      <w:r>
        <w:rPr>
          <w:rFonts w:hint="eastAsia" w:ascii="宋体" w:hAnsi="宋体"/>
          <w:szCs w:val="21"/>
        </w:rPr>
        <w:t>、若评委意见不一致时，则按少数服从多数的原则，作出评审结论。汇总后，全部审查项目均为有效的，结论为“通过”，否则为“不通过”。</w:t>
      </w:r>
    </w:p>
    <w:p w14:paraId="708AFDAA">
      <w:pPr>
        <w:spacing w:line="360" w:lineRule="auto"/>
        <w:ind w:firstLine="470" w:firstLineChars="224"/>
        <w:rPr>
          <w:rFonts w:ascii="宋体" w:hAnsi="宋体"/>
          <w:szCs w:val="21"/>
        </w:rPr>
        <w:sectPr>
          <w:footerReference r:id="rId5" w:type="default"/>
          <w:footerReference r:id="rId6" w:type="even"/>
          <w:endnotePr>
            <w:numFmt w:val="decimal"/>
          </w:endnotePr>
          <w:pgSz w:w="11906" w:h="16838"/>
          <w:pgMar w:top="1560" w:right="1418" w:bottom="1247" w:left="1418" w:header="851" w:footer="907" w:gutter="0"/>
          <w:pgNumType w:start="0"/>
          <w:cols w:space="720" w:num="1"/>
          <w:titlePg/>
          <w:docGrid w:type="linesAndChars" w:linePitch="312" w:charSpace="0"/>
        </w:sectPr>
      </w:pPr>
      <w:r>
        <w:rPr>
          <w:rFonts w:ascii="宋体" w:hAnsi="宋体"/>
          <w:szCs w:val="21"/>
        </w:rPr>
        <w:t>3.</w:t>
      </w:r>
      <w:r>
        <w:rPr>
          <w:rFonts w:hint="eastAsia" w:ascii="宋体" w:hAnsi="宋体"/>
          <w:szCs w:val="21"/>
        </w:rPr>
        <w:t>不得将文件顺序、明显的文字错误等列为否决投标的情形。评委发现资格审查文件中含义不明确、对同类问题表述不一致、有明显文字和计算错误的，应当要求投标人作必要的澄清、说明后再判定投标人是否通过资格审查，不得直接认定其不通过资格审查。</w:t>
      </w:r>
    </w:p>
    <w:p w14:paraId="2BBB6FF9">
      <w:pPr>
        <w:rPr>
          <w:szCs w:val="21"/>
        </w:rPr>
      </w:pPr>
      <w:r>
        <w:rPr>
          <w:rFonts w:hint="eastAsia"/>
          <w:szCs w:val="21"/>
        </w:rPr>
        <w:t>附表二</w:t>
      </w:r>
    </w:p>
    <w:p w14:paraId="601DEFDC">
      <w:pPr>
        <w:jc w:val="center"/>
        <w:rPr>
          <w:b/>
          <w:sz w:val="36"/>
          <w:szCs w:val="36"/>
        </w:rPr>
      </w:pPr>
      <w:r>
        <w:rPr>
          <w:rFonts w:hint="eastAsia"/>
          <w:b/>
          <w:sz w:val="36"/>
          <w:szCs w:val="36"/>
        </w:rPr>
        <w:t>技术标有效性审查表</w:t>
      </w:r>
    </w:p>
    <w:p w14:paraId="68D5D49A">
      <w:pPr>
        <w:rPr>
          <w:szCs w:val="21"/>
        </w:rPr>
      </w:pPr>
      <w:r>
        <w:rPr>
          <w:rFonts w:hint="eastAsia"/>
          <w:szCs w:val="21"/>
        </w:rPr>
        <w:t>工程名称：</w:t>
      </w:r>
    </w:p>
    <w:tbl>
      <w:tblPr>
        <w:tblStyle w:val="34"/>
        <w:tblW w:w="14447"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0"/>
        <w:gridCol w:w="5599"/>
        <w:gridCol w:w="1418"/>
        <w:gridCol w:w="1559"/>
        <w:gridCol w:w="1418"/>
        <w:gridCol w:w="1275"/>
        <w:gridCol w:w="1276"/>
        <w:gridCol w:w="1382"/>
      </w:tblGrid>
      <w:tr w14:paraId="3267D9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20" w:type="dxa"/>
            <w:tcBorders>
              <w:top w:val="single" w:color="auto" w:sz="4" w:space="0"/>
              <w:left w:val="single" w:color="auto" w:sz="4" w:space="0"/>
              <w:bottom w:val="single" w:color="auto" w:sz="4" w:space="0"/>
              <w:right w:val="single" w:color="auto" w:sz="4" w:space="0"/>
            </w:tcBorders>
            <w:vAlign w:val="center"/>
          </w:tcPr>
          <w:p w14:paraId="427DF8ED">
            <w:pPr>
              <w:adjustRightInd w:val="0"/>
              <w:rPr>
                <w:rFonts w:ascii="宋体" w:hAnsi="宋体"/>
                <w:szCs w:val="21"/>
              </w:rPr>
            </w:pPr>
            <w:r>
              <w:rPr>
                <w:rFonts w:hint="eastAsia" w:ascii="宋体" w:hAnsi="宋体"/>
                <w:szCs w:val="21"/>
              </w:rPr>
              <w:t>序号</w:t>
            </w:r>
          </w:p>
        </w:tc>
        <w:tc>
          <w:tcPr>
            <w:tcW w:w="5599" w:type="dxa"/>
            <w:tcBorders>
              <w:top w:val="single" w:color="auto" w:sz="4" w:space="0"/>
              <w:left w:val="single" w:color="auto" w:sz="4" w:space="0"/>
              <w:bottom w:val="single" w:color="auto" w:sz="4" w:space="0"/>
              <w:right w:val="single" w:color="auto" w:sz="4" w:space="0"/>
              <w:tl2br w:val="single" w:color="auto" w:sz="4" w:space="0"/>
            </w:tcBorders>
          </w:tcPr>
          <w:p w14:paraId="6B96B7EE">
            <w:pPr>
              <w:adjustRightInd w:val="0"/>
              <w:rPr>
                <w:rFonts w:ascii="宋体" w:hAnsi="宋体"/>
                <w:szCs w:val="21"/>
              </w:rPr>
            </w:pPr>
            <w:r>
              <w:rPr>
                <w:rFonts w:ascii="宋体" w:hAnsi="宋体"/>
                <w:szCs w:val="21"/>
              </w:rPr>
              <w:t xml:space="preserve">               </w:t>
            </w:r>
            <w:r>
              <w:rPr>
                <w:rFonts w:hint="eastAsia" w:ascii="宋体" w:hAnsi="宋体"/>
                <w:szCs w:val="21"/>
              </w:rPr>
              <w:t>投标人</w:t>
            </w:r>
          </w:p>
          <w:p w14:paraId="683C5537">
            <w:pPr>
              <w:adjustRightInd w:val="0"/>
              <w:rPr>
                <w:rFonts w:ascii="宋体" w:hAnsi="宋体"/>
                <w:szCs w:val="21"/>
              </w:rPr>
            </w:pPr>
          </w:p>
          <w:p w14:paraId="3F149E38">
            <w:pPr>
              <w:adjustRightInd w:val="0"/>
              <w:rPr>
                <w:rFonts w:ascii="宋体" w:hAnsi="宋体"/>
                <w:szCs w:val="21"/>
              </w:rPr>
            </w:pPr>
            <w:r>
              <w:rPr>
                <w:rFonts w:hint="eastAsia" w:ascii="宋体" w:hAnsi="宋体"/>
                <w:szCs w:val="21"/>
              </w:rPr>
              <w:t>评审内容</w:t>
            </w:r>
          </w:p>
        </w:tc>
        <w:tc>
          <w:tcPr>
            <w:tcW w:w="1418" w:type="dxa"/>
            <w:tcBorders>
              <w:top w:val="single" w:color="auto" w:sz="4" w:space="0"/>
              <w:left w:val="single" w:color="auto" w:sz="4" w:space="0"/>
              <w:bottom w:val="single" w:color="auto" w:sz="4" w:space="0"/>
              <w:right w:val="single" w:color="auto" w:sz="4" w:space="0"/>
            </w:tcBorders>
          </w:tcPr>
          <w:p w14:paraId="5CFCD6E5">
            <w:pPr>
              <w:adjustRightInd w:val="0"/>
              <w:rPr>
                <w:rFonts w:ascii="宋体" w:hAnsi="宋体"/>
                <w:szCs w:val="21"/>
              </w:rPr>
            </w:pPr>
          </w:p>
        </w:tc>
        <w:tc>
          <w:tcPr>
            <w:tcW w:w="1559" w:type="dxa"/>
            <w:tcBorders>
              <w:top w:val="single" w:color="auto" w:sz="4" w:space="0"/>
              <w:left w:val="single" w:color="auto" w:sz="4" w:space="0"/>
              <w:bottom w:val="single" w:color="auto" w:sz="4" w:space="0"/>
              <w:right w:val="single" w:color="auto" w:sz="4" w:space="0"/>
            </w:tcBorders>
          </w:tcPr>
          <w:p w14:paraId="181C30CF">
            <w:pPr>
              <w:adjustRightInd w:val="0"/>
              <w:rPr>
                <w:rFonts w:ascii="宋体" w:hAnsi="宋体"/>
                <w:szCs w:val="21"/>
              </w:rPr>
            </w:pPr>
          </w:p>
        </w:tc>
        <w:tc>
          <w:tcPr>
            <w:tcW w:w="1418" w:type="dxa"/>
            <w:tcBorders>
              <w:top w:val="single" w:color="auto" w:sz="4" w:space="0"/>
              <w:left w:val="single" w:color="auto" w:sz="4" w:space="0"/>
              <w:bottom w:val="single" w:color="auto" w:sz="4" w:space="0"/>
              <w:right w:val="single" w:color="auto" w:sz="4" w:space="0"/>
            </w:tcBorders>
          </w:tcPr>
          <w:p w14:paraId="1C743473">
            <w:pPr>
              <w:adjustRightInd w:val="0"/>
              <w:rPr>
                <w:rFonts w:ascii="宋体" w:hAnsi="宋体"/>
                <w:szCs w:val="21"/>
              </w:rPr>
            </w:pPr>
          </w:p>
        </w:tc>
        <w:tc>
          <w:tcPr>
            <w:tcW w:w="1275" w:type="dxa"/>
            <w:tcBorders>
              <w:top w:val="single" w:color="auto" w:sz="4" w:space="0"/>
              <w:left w:val="single" w:color="auto" w:sz="4" w:space="0"/>
              <w:bottom w:val="single" w:color="auto" w:sz="4" w:space="0"/>
              <w:right w:val="single" w:color="auto" w:sz="4" w:space="0"/>
            </w:tcBorders>
          </w:tcPr>
          <w:p w14:paraId="639E91E7">
            <w:pPr>
              <w:adjustRightInd w:val="0"/>
              <w:rPr>
                <w:rFonts w:ascii="宋体" w:hAnsi="宋体"/>
                <w:szCs w:val="21"/>
              </w:rPr>
            </w:pPr>
          </w:p>
        </w:tc>
        <w:tc>
          <w:tcPr>
            <w:tcW w:w="1276" w:type="dxa"/>
            <w:tcBorders>
              <w:top w:val="single" w:color="auto" w:sz="4" w:space="0"/>
              <w:left w:val="single" w:color="auto" w:sz="4" w:space="0"/>
              <w:bottom w:val="single" w:color="auto" w:sz="4" w:space="0"/>
              <w:right w:val="single" w:color="auto" w:sz="4" w:space="0"/>
            </w:tcBorders>
          </w:tcPr>
          <w:p w14:paraId="75C4ACA1">
            <w:pPr>
              <w:adjustRightInd w:val="0"/>
              <w:rPr>
                <w:rFonts w:ascii="宋体" w:hAnsi="宋体"/>
                <w:szCs w:val="21"/>
              </w:rPr>
            </w:pPr>
          </w:p>
        </w:tc>
        <w:tc>
          <w:tcPr>
            <w:tcW w:w="1382" w:type="dxa"/>
            <w:tcBorders>
              <w:top w:val="single" w:color="auto" w:sz="4" w:space="0"/>
              <w:left w:val="single" w:color="auto" w:sz="4" w:space="0"/>
              <w:bottom w:val="single" w:color="auto" w:sz="4" w:space="0"/>
              <w:right w:val="single" w:color="auto" w:sz="4" w:space="0"/>
            </w:tcBorders>
          </w:tcPr>
          <w:p w14:paraId="7082126A">
            <w:pPr>
              <w:adjustRightInd w:val="0"/>
              <w:rPr>
                <w:rFonts w:ascii="宋体" w:hAnsi="宋体"/>
                <w:szCs w:val="21"/>
              </w:rPr>
            </w:pPr>
          </w:p>
        </w:tc>
      </w:tr>
      <w:tr w14:paraId="5B53BA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20" w:type="dxa"/>
            <w:tcBorders>
              <w:top w:val="single" w:color="auto" w:sz="4" w:space="0"/>
              <w:left w:val="single" w:color="auto" w:sz="4" w:space="0"/>
              <w:bottom w:val="single" w:color="auto" w:sz="4" w:space="0"/>
              <w:right w:val="single" w:color="auto" w:sz="4" w:space="0"/>
            </w:tcBorders>
            <w:vAlign w:val="center"/>
          </w:tcPr>
          <w:p w14:paraId="4B91A4C4">
            <w:pPr>
              <w:adjustRightInd w:val="0"/>
              <w:rPr>
                <w:rFonts w:ascii="宋体" w:hAnsi="宋体"/>
                <w:szCs w:val="21"/>
              </w:rPr>
            </w:pPr>
            <w:r>
              <w:rPr>
                <w:rFonts w:hint="eastAsia" w:ascii="宋体" w:hAnsi="宋体"/>
                <w:szCs w:val="21"/>
              </w:rPr>
              <w:t>1</w:t>
            </w:r>
          </w:p>
        </w:tc>
        <w:tc>
          <w:tcPr>
            <w:tcW w:w="5599" w:type="dxa"/>
            <w:tcBorders>
              <w:top w:val="single" w:color="auto" w:sz="4" w:space="0"/>
              <w:left w:val="single" w:color="auto" w:sz="4" w:space="0"/>
              <w:bottom w:val="single" w:color="auto" w:sz="4" w:space="0"/>
              <w:right w:val="single" w:color="auto" w:sz="4" w:space="0"/>
            </w:tcBorders>
            <w:vAlign w:val="center"/>
          </w:tcPr>
          <w:p w14:paraId="37B878D1">
            <w:pPr>
              <w:adjustRightInd w:val="0"/>
              <w:rPr>
                <w:rFonts w:ascii="宋体" w:hAnsi="宋体"/>
                <w:szCs w:val="21"/>
              </w:rPr>
            </w:pPr>
            <w:r>
              <w:rPr>
                <w:rFonts w:hint="eastAsia" w:ascii="宋体" w:hAnsi="宋体"/>
                <w:szCs w:val="21"/>
              </w:rPr>
              <w:t>不能满足完成投标项目工期的；</w:t>
            </w:r>
          </w:p>
        </w:tc>
        <w:tc>
          <w:tcPr>
            <w:tcW w:w="1418" w:type="dxa"/>
            <w:tcBorders>
              <w:top w:val="single" w:color="auto" w:sz="4" w:space="0"/>
              <w:left w:val="single" w:color="auto" w:sz="4" w:space="0"/>
              <w:bottom w:val="single" w:color="auto" w:sz="4" w:space="0"/>
              <w:right w:val="single" w:color="auto" w:sz="4" w:space="0"/>
            </w:tcBorders>
          </w:tcPr>
          <w:p w14:paraId="3C786696">
            <w:pPr>
              <w:adjustRightInd w:val="0"/>
              <w:rPr>
                <w:rFonts w:ascii="宋体" w:hAnsi="宋体"/>
                <w:szCs w:val="21"/>
              </w:rPr>
            </w:pPr>
          </w:p>
        </w:tc>
        <w:tc>
          <w:tcPr>
            <w:tcW w:w="1559" w:type="dxa"/>
            <w:tcBorders>
              <w:top w:val="single" w:color="auto" w:sz="4" w:space="0"/>
              <w:left w:val="single" w:color="auto" w:sz="4" w:space="0"/>
              <w:bottom w:val="single" w:color="auto" w:sz="4" w:space="0"/>
              <w:right w:val="single" w:color="auto" w:sz="4" w:space="0"/>
            </w:tcBorders>
          </w:tcPr>
          <w:p w14:paraId="258A41DC">
            <w:pPr>
              <w:adjustRightInd w:val="0"/>
              <w:rPr>
                <w:rFonts w:ascii="宋体" w:hAnsi="宋体"/>
                <w:szCs w:val="21"/>
              </w:rPr>
            </w:pPr>
          </w:p>
        </w:tc>
        <w:tc>
          <w:tcPr>
            <w:tcW w:w="1418" w:type="dxa"/>
            <w:tcBorders>
              <w:top w:val="single" w:color="auto" w:sz="4" w:space="0"/>
              <w:left w:val="single" w:color="auto" w:sz="4" w:space="0"/>
              <w:bottom w:val="single" w:color="auto" w:sz="4" w:space="0"/>
              <w:right w:val="single" w:color="auto" w:sz="4" w:space="0"/>
            </w:tcBorders>
          </w:tcPr>
          <w:p w14:paraId="706913A0">
            <w:pPr>
              <w:adjustRightInd w:val="0"/>
              <w:rPr>
                <w:rFonts w:ascii="宋体" w:hAnsi="宋体"/>
                <w:szCs w:val="21"/>
              </w:rPr>
            </w:pPr>
          </w:p>
        </w:tc>
        <w:tc>
          <w:tcPr>
            <w:tcW w:w="1275" w:type="dxa"/>
            <w:tcBorders>
              <w:top w:val="single" w:color="auto" w:sz="4" w:space="0"/>
              <w:left w:val="single" w:color="auto" w:sz="4" w:space="0"/>
              <w:bottom w:val="single" w:color="auto" w:sz="4" w:space="0"/>
              <w:right w:val="single" w:color="auto" w:sz="4" w:space="0"/>
            </w:tcBorders>
          </w:tcPr>
          <w:p w14:paraId="1DE44777">
            <w:pPr>
              <w:adjustRightInd w:val="0"/>
              <w:rPr>
                <w:rFonts w:ascii="宋体" w:hAnsi="宋体"/>
                <w:szCs w:val="21"/>
              </w:rPr>
            </w:pPr>
          </w:p>
        </w:tc>
        <w:tc>
          <w:tcPr>
            <w:tcW w:w="1276" w:type="dxa"/>
            <w:tcBorders>
              <w:top w:val="single" w:color="auto" w:sz="4" w:space="0"/>
              <w:left w:val="single" w:color="auto" w:sz="4" w:space="0"/>
              <w:bottom w:val="single" w:color="auto" w:sz="4" w:space="0"/>
              <w:right w:val="single" w:color="auto" w:sz="4" w:space="0"/>
            </w:tcBorders>
          </w:tcPr>
          <w:p w14:paraId="6FC30B65">
            <w:pPr>
              <w:adjustRightInd w:val="0"/>
              <w:rPr>
                <w:rFonts w:ascii="宋体" w:hAnsi="宋体"/>
                <w:szCs w:val="21"/>
              </w:rPr>
            </w:pPr>
          </w:p>
        </w:tc>
        <w:tc>
          <w:tcPr>
            <w:tcW w:w="1382" w:type="dxa"/>
            <w:tcBorders>
              <w:top w:val="single" w:color="auto" w:sz="4" w:space="0"/>
              <w:left w:val="single" w:color="auto" w:sz="4" w:space="0"/>
              <w:bottom w:val="single" w:color="auto" w:sz="4" w:space="0"/>
              <w:right w:val="single" w:color="auto" w:sz="4" w:space="0"/>
            </w:tcBorders>
          </w:tcPr>
          <w:p w14:paraId="71A80F41">
            <w:pPr>
              <w:adjustRightInd w:val="0"/>
              <w:rPr>
                <w:rFonts w:ascii="宋体" w:hAnsi="宋体"/>
                <w:szCs w:val="21"/>
              </w:rPr>
            </w:pPr>
          </w:p>
        </w:tc>
      </w:tr>
      <w:tr w14:paraId="693A5B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20" w:type="dxa"/>
            <w:tcBorders>
              <w:top w:val="single" w:color="auto" w:sz="4" w:space="0"/>
              <w:left w:val="single" w:color="auto" w:sz="4" w:space="0"/>
              <w:bottom w:val="single" w:color="auto" w:sz="4" w:space="0"/>
              <w:right w:val="single" w:color="auto" w:sz="4" w:space="0"/>
            </w:tcBorders>
            <w:vAlign w:val="center"/>
          </w:tcPr>
          <w:p w14:paraId="45E718B1">
            <w:pPr>
              <w:adjustRightInd w:val="0"/>
              <w:rPr>
                <w:rFonts w:ascii="宋体" w:hAnsi="宋体"/>
                <w:szCs w:val="21"/>
              </w:rPr>
            </w:pPr>
            <w:r>
              <w:rPr>
                <w:rFonts w:hint="eastAsia" w:ascii="宋体" w:hAnsi="宋体"/>
                <w:szCs w:val="21"/>
              </w:rPr>
              <w:t>2</w:t>
            </w:r>
          </w:p>
        </w:tc>
        <w:tc>
          <w:tcPr>
            <w:tcW w:w="5599" w:type="dxa"/>
            <w:tcBorders>
              <w:top w:val="single" w:color="auto" w:sz="4" w:space="0"/>
              <w:left w:val="single" w:color="auto" w:sz="4" w:space="0"/>
              <w:bottom w:val="single" w:color="auto" w:sz="4" w:space="0"/>
              <w:right w:val="single" w:color="auto" w:sz="4" w:space="0"/>
            </w:tcBorders>
            <w:vAlign w:val="center"/>
          </w:tcPr>
          <w:p w14:paraId="611494DD">
            <w:pPr>
              <w:adjustRightInd w:val="0"/>
              <w:rPr>
                <w:rFonts w:ascii="宋体" w:hAnsi="宋体"/>
                <w:szCs w:val="21"/>
              </w:rPr>
            </w:pPr>
            <w:r>
              <w:rPr>
                <w:rFonts w:hint="eastAsia" w:ascii="宋体" w:hAnsi="宋体" w:cs="宋体"/>
                <w:szCs w:val="21"/>
                <w:u w:val="single"/>
              </w:rPr>
              <w:t>不符合招标文件要求的质量标准；</w:t>
            </w:r>
          </w:p>
        </w:tc>
        <w:tc>
          <w:tcPr>
            <w:tcW w:w="1418" w:type="dxa"/>
            <w:tcBorders>
              <w:top w:val="single" w:color="auto" w:sz="4" w:space="0"/>
              <w:left w:val="single" w:color="auto" w:sz="4" w:space="0"/>
              <w:bottom w:val="single" w:color="auto" w:sz="4" w:space="0"/>
              <w:right w:val="single" w:color="auto" w:sz="4" w:space="0"/>
            </w:tcBorders>
          </w:tcPr>
          <w:p w14:paraId="519C5E75">
            <w:pPr>
              <w:adjustRightInd w:val="0"/>
              <w:rPr>
                <w:rFonts w:ascii="宋体" w:hAnsi="宋体"/>
                <w:szCs w:val="21"/>
              </w:rPr>
            </w:pPr>
          </w:p>
        </w:tc>
        <w:tc>
          <w:tcPr>
            <w:tcW w:w="1559" w:type="dxa"/>
            <w:tcBorders>
              <w:top w:val="single" w:color="auto" w:sz="4" w:space="0"/>
              <w:left w:val="single" w:color="auto" w:sz="4" w:space="0"/>
              <w:bottom w:val="single" w:color="auto" w:sz="4" w:space="0"/>
              <w:right w:val="single" w:color="auto" w:sz="4" w:space="0"/>
            </w:tcBorders>
          </w:tcPr>
          <w:p w14:paraId="0511E50F">
            <w:pPr>
              <w:adjustRightInd w:val="0"/>
              <w:rPr>
                <w:rFonts w:ascii="宋体" w:hAnsi="宋体"/>
                <w:szCs w:val="21"/>
              </w:rPr>
            </w:pPr>
          </w:p>
        </w:tc>
        <w:tc>
          <w:tcPr>
            <w:tcW w:w="1418" w:type="dxa"/>
            <w:tcBorders>
              <w:top w:val="single" w:color="auto" w:sz="4" w:space="0"/>
              <w:left w:val="single" w:color="auto" w:sz="4" w:space="0"/>
              <w:bottom w:val="single" w:color="auto" w:sz="4" w:space="0"/>
              <w:right w:val="single" w:color="auto" w:sz="4" w:space="0"/>
            </w:tcBorders>
          </w:tcPr>
          <w:p w14:paraId="4A7E07D8">
            <w:pPr>
              <w:adjustRightInd w:val="0"/>
              <w:rPr>
                <w:rFonts w:ascii="宋体" w:hAnsi="宋体"/>
                <w:szCs w:val="21"/>
              </w:rPr>
            </w:pPr>
          </w:p>
        </w:tc>
        <w:tc>
          <w:tcPr>
            <w:tcW w:w="1275" w:type="dxa"/>
            <w:tcBorders>
              <w:top w:val="single" w:color="auto" w:sz="4" w:space="0"/>
              <w:left w:val="single" w:color="auto" w:sz="4" w:space="0"/>
              <w:bottom w:val="single" w:color="auto" w:sz="4" w:space="0"/>
              <w:right w:val="single" w:color="auto" w:sz="4" w:space="0"/>
            </w:tcBorders>
          </w:tcPr>
          <w:p w14:paraId="0446FD51">
            <w:pPr>
              <w:adjustRightInd w:val="0"/>
              <w:rPr>
                <w:rFonts w:ascii="宋体" w:hAnsi="宋体"/>
                <w:szCs w:val="21"/>
              </w:rPr>
            </w:pPr>
          </w:p>
        </w:tc>
        <w:tc>
          <w:tcPr>
            <w:tcW w:w="1276" w:type="dxa"/>
            <w:tcBorders>
              <w:top w:val="single" w:color="auto" w:sz="4" w:space="0"/>
              <w:left w:val="single" w:color="auto" w:sz="4" w:space="0"/>
              <w:bottom w:val="single" w:color="auto" w:sz="4" w:space="0"/>
              <w:right w:val="single" w:color="auto" w:sz="4" w:space="0"/>
            </w:tcBorders>
          </w:tcPr>
          <w:p w14:paraId="4DC0E545">
            <w:pPr>
              <w:adjustRightInd w:val="0"/>
              <w:rPr>
                <w:rFonts w:ascii="宋体" w:hAnsi="宋体"/>
                <w:szCs w:val="21"/>
              </w:rPr>
            </w:pPr>
          </w:p>
        </w:tc>
        <w:tc>
          <w:tcPr>
            <w:tcW w:w="1382" w:type="dxa"/>
            <w:tcBorders>
              <w:top w:val="single" w:color="auto" w:sz="4" w:space="0"/>
              <w:left w:val="single" w:color="auto" w:sz="4" w:space="0"/>
              <w:bottom w:val="single" w:color="auto" w:sz="4" w:space="0"/>
              <w:right w:val="single" w:color="auto" w:sz="4" w:space="0"/>
            </w:tcBorders>
          </w:tcPr>
          <w:p w14:paraId="1DC3D9EB">
            <w:pPr>
              <w:adjustRightInd w:val="0"/>
              <w:rPr>
                <w:rFonts w:ascii="宋体" w:hAnsi="宋体"/>
                <w:szCs w:val="21"/>
              </w:rPr>
            </w:pPr>
          </w:p>
        </w:tc>
      </w:tr>
      <w:tr w14:paraId="461389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trPr>
        <w:tc>
          <w:tcPr>
            <w:tcW w:w="520" w:type="dxa"/>
            <w:tcBorders>
              <w:top w:val="single" w:color="auto" w:sz="4" w:space="0"/>
              <w:left w:val="single" w:color="auto" w:sz="4" w:space="0"/>
              <w:bottom w:val="single" w:color="auto" w:sz="4" w:space="0"/>
              <w:right w:val="single" w:color="auto" w:sz="4" w:space="0"/>
            </w:tcBorders>
            <w:vAlign w:val="center"/>
          </w:tcPr>
          <w:p w14:paraId="155D5CBF">
            <w:pPr>
              <w:adjustRightInd w:val="0"/>
              <w:rPr>
                <w:rFonts w:ascii="宋体" w:hAnsi="宋体"/>
                <w:strike/>
                <w:szCs w:val="21"/>
              </w:rPr>
            </w:pPr>
            <w:r>
              <w:rPr>
                <w:rFonts w:hint="eastAsia" w:ascii="宋体" w:hAnsi="宋体"/>
                <w:strike/>
                <w:szCs w:val="21"/>
              </w:rPr>
              <w:t>3</w:t>
            </w:r>
          </w:p>
        </w:tc>
        <w:tc>
          <w:tcPr>
            <w:tcW w:w="5599" w:type="dxa"/>
            <w:tcBorders>
              <w:top w:val="single" w:color="auto" w:sz="4" w:space="0"/>
              <w:left w:val="single" w:color="auto" w:sz="4" w:space="0"/>
              <w:bottom w:val="single" w:color="auto" w:sz="4" w:space="0"/>
              <w:right w:val="single" w:color="auto" w:sz="4" w:space="0"/>
            </w:tcBorders>
            <w:vAlign w:val="center"/>
          </w:tcPr>
          <w:p w14:paraId="6AA2AB55">
            <w:pPr>
              <w:adjustRightInd w:val="0"/>
              <w:rPr>
                <w:rFonts w:ascii="宋体" w:hAnsi="宋体"/>
                <w:strike/>
                <w:szCs w:val="21"/>
              </w:rPr>
            </w:pPr>
            <w:r>
              <w:rPr>
                <w:rFonts w:hint="eastAsia" w:ascii="宋体" w:hAnsi="宋体"/>
                <w:strike/>
                <w:szCs w:val="21"/>
              </w:rPr>
              <w:t>在技术投标文件中涉及本工程项目投标报价的；（本条适用于技术标和经济标分别开启的招标项目）</w:t>
            </w:r>
          </w:p>
        </w:tc>
        <w:tc>
          <w:tcPr>
            <w:tcW w:w="1418" w:type="dxa"/>
            <w:tcBorders>
              <w:top w:val="single" w:color="auto" w:sz="4" w:space="0"/>
              <w:left w:val="single" w:color="auto" w:sz="4" w:space="0"/>
              <w:bottom w:val="single" w:color="auto" w:sz="4" w:space="0"/>
              <w:right w:val="single" w:color="auto" w:sz="4" w:space="0"/>
            </w:tcBorders>
          </w:tcPr>
          <w:p w14:paraId="16387176">
            <w:pPr>
              <w:adjustRightInd w:val="0"/>
              <w:rPr>
                <w:rFonts w:ascii="宋体" w:hAnsi="宋体"/>
                <w:strike/>
                <w:szCs w:val="21"/>
              </w:rPr>
            </w:pPr>
          </w:p>
        </w:tc>
        <w:tc>
          <w:tcPr>
            <w:tcW w:w="1559" w:type="dxa"/>
            <w:tcBorders>
              <w:top w:val="single" w:color="auto" w:sz="4" w:space="0"/>
              <w:left w:val="single" w:color="auto" w:sz="4" w:space="0"/>
              <w:bottom w:val="single" w:color="auto" w:sz="4" w:space="0"/>
              <w:right w:val="single" w:color="auto" w:sz="4" w:space="0"/>
            </w:tcBorders>
          </w:tcPr>
          <w:p w14:paraId="48EC1E57">
            <w:pPr>
              <w:adjustRightInd w:val="0"/>
              <w:rPr>
                <w:rFonts w:ascii="宋体" w:hAnsi="宋体"/>
                <w:strike/>
                <w:szCs w:val="21"/>
              </w:rPr>
            </w:pPr>
          </w:p>
        </w:tc>
        <w:tc>
          <w:tcPr>
            <w:tcW w:w="1418" w:type="dxa"/>
            <w:tcBorders>
              <w:top w:val="single" w:color="auto" w:sz="4" w:space="0"/>
              <w:left w:val="single" w:color="auto" w:sz="4" w:space="0"/>
              <w:bottom w:val="single" w:color="auto" w:sz="4" w:space="0"/>
              <w:right w:val="single" w:color="auto" w:sz="4" w:space="0"/>
            </w:tcBorders>
          </w:tcPr>
          <w:p w14:paraId="07FC356C">
            <w:pPr>
              <w:adjustRightInd w:val="0"/>
              <w:rPr>
                <w:rFonts w:ascii="宋体" w:hAnsi="宋体"/>
                <w:strike/>
                <w:szCs w:val="21"/>
              </w:rPr>
            </w:pPr>
          </w:p>
        </w:tc>
        <w:tc>
          <w:tcPr>
            <w:tcW w:w="1275" w:type="dxa"/>
            <w:tcBorders>
              <w:top w:val="single" w:color="auto" w:sz="4" w:space="0"/>
              <w:left w:val="single" w:color="auto" w:sz="4" w:space="0"/>
              <w:bottom w:val="single" w:color="auto" w:sz="4" w:space="0"/>
              <w:right w:val="single" w:color="auto" w:sz="4" w:space="0"/>
            </w:tcBorders>
          </w:tcPr>
          <w:p w14:paraId="119FA5CF">
            <w:pPr>
              <w:adjustRightInd w:val="0"/>
              <w:rPr>
                <w:rFonts w:ascii="宋体" w:hAnsi="宋体"/>
                <w:strike/>
                <w:szCs w:val="21"/>
              </w:rPr>
            </w:pPr>
          </w:p>
        </w:tc>
        <w:tc>
          <w:tcPr>
            <w:tcW w:w="1276" w:type="dxa"/>
            <w:tcBorders>
              <w:top w:val="single" w:color="auto" w:sz="4" w:space="0"/>
              <w:left w:val="single" w:color="auto" w:sz="4" w:space="0"/>
              <w:bottom w:val="single" w:color="auto" w:sz="4" w:space="0"/>
              <w:right w:val="single" w:color="auto" w:sz="4" w:space="0"/>
            </w:tcBorders>
          </w:tcPr>
          <w:p w14:paraId="2C958A89">
            <w:pPr>
              <w:adjustRightInd w:val="0"/>
              <w:rPr>
                <w:rFonts w:ascii="宋体" w:hAnsi="宋体"/>
                <w:strike/>
                <w:szCs w:val="21"/>
              </w:rPr>
            </w:pPr>
          </w:p>
        </w:tc>
        <w:tc>
          <w:tcPr>
            <w:tcW w:w="1382" w:type="dxa"/>
            <w:tcBorders>
              <w:top w:val="single" w:color="auto" w:sz="4" w:space="0"/>
              <w:left w:val="single" w:color="auto" w:sz="4" w:space="0"/>
              <w:bottom w:val="single" w:color="auto" w:sz="4" w:space="0"/>
              <w:right w:val="single" w:color="auto" w:sz="4" w:space="0"/>
            </w:tcBorders>
          </w:tcPr>
          <w:p w14:paraId="05035F15">
            <w:pPr>
              <w:adjustRightInd w:val="0"/>
              <w:rPr>
                <w:rFonts w:ascii="宋体" w:hAnsi="宋体"/>
                <w:strike/>
                <w:szCs w:val="21"/>
              </w:rPr>
            </w:pPr>
          </w:p>
        </w:tc>
      </w:tr>
      <w:tr w14:paraId="63D806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20" w:type="dxa"/>
            <w:tcBorders>
              <w:top w:val="single" w:color="auto" w:sz="4" w:space="0"/>
              <w:left w:val="single" w:color="auto" w:sz="4" w:space="0"/>
              <w:bottom w:val="single" w:color="auto" w:sz="4" w:space="0"/>
              <w:right w:val="single" w:color="auto" w:sz="4" w:space="0"/>
            </w:tcBorders>
            <w:vAlign w:val="center"/>
          </w:tcPr>
          <w:p w14:paraId="0289985F">
            <w:pPr>
              <w:adjustRightInd w:val="0"/>
              <w:rPr>
                <w:rFonts w:ascii="宋体" w:hAnsi="宋体"/>
                <w:szCs w:val="21"/>
              </w:rPr>
            </w:pPr>
            <w:r>
              <w:rPr>
                <w:rFonts w:hint="eastAsia" w:ascii="宋体" w:hAnsi="宋体"/>
                <w:szCs w:val="21"/>
              </w:rPr>
              <w:t>4</w:t>
            </w:r>
          </w:p>
        </w:tc>
        <w:tc>
          <w:tcPr>
            <w:tcW w:w="5599" w:type="dxa"/>
            <w:tcBorders>
              <w:top w:val="single" w:color="auto" w:sz="4" w:space="0"/>
              <w:left w:val="single" w:color="auto" w:sz="4" w:space="0"/>
              <w:bottom w:val="single" w:color="auto" w:sz="4" w:space="0"/>
              <w:right w:val="single" w:color="auto" w:sz="4" w:space="0"/>
            </w:tcBorders>
            <w:vAlign w:val="center"/>
          </w:tcPr>
          <w:p w14:paraId="673BEB92">
            <w:pPr>
              <w:adjustRightInd w:val="0"/>
              <w:rPr>
                <w:rFonts w:ascii="宋体" w:hAnsi="宋体"/>
                <w:szCs w:val="21"/>
              </w:rPr>
            </w:pPr>
            <w:r>
              <w:rPr>
                <w:rFonts w:hint="eastAsia" w:ascii="宋体" w:hAnsi="宋体"/>
                <w:szCs w:val="21"/>
              </w:rPr>
              <w:t>投标文件中没有有效的法定代表人证明书，或由委托代理人签署的投标文件中没有法定代表人授权书；</w:t>
            </w:r>
          </w:p>
        </w:tc>
        <w:tc>
          <w:tcPr>
            <w:tcW w:w="1418" w:type="dxa"/>
            <w:tcBorders>
              <w:top w:val="single" w:color="auto" w:sz="4" w:space="0"/>
              <w:left w:val="single" w:color="auto" w:sz="4" w:space="0"/>
              <w:bottom w:val="single" w:color="auto" w:sz="4" w:space="0"/>
              <w:right w:val="single" w:color="auto" w:sz="4" w:space="0"/>
            </w:tcBorders>
          </w:tcPr>
          <w:p w14:paraId="01324652">
            <w:pPr>
              <w:adjustRightInd w:val="0"/>
              <w:rPr>
                <w:rFonts w:ascii="宋体" w:hAnsi="宋体"/>
                <w:szCs w:val="21"/>
              </w:rPr>
            </w:pPr>
          </w:p>
        </w:tc>
        <w:tc>
          <w:tcPr>
            <w:tcW w:w="1559" w:type="dxa"/>
            <w:tcBorders>
              <w:top w:val="single" w:color="auto" w:sz="4" w:space="0"/>
              <w:left w:val="single" w:color="auto" w:sz="4" w:space="0"/>
              <w:bottom w:val="single" w:color="auto" w:sz="4" w:space="0"/>
              <w:right w:val="single" w:color="auto" w:sz="4" w:space="0"/>
            </w:tcBorders>
          </w:tcPr>
          <w:p w14:paraId="41918D4E">
            <w:pPr>
              <w:adjustRightInd w:val="0"/>
              <w:rPr>
                <w:rFonts w:ascii="宋体" w:hAnsi="宋体"/>
                <w:szCs w:val="21"/>
              </w:rPr>
            </w:pPr>
          </w:p>
        </w:tc>
        <w:tc>
          <w:tcPr>
            <w:tcW w:w="1418" w:type="dxa"/>
            <w:tcBorders>
              <w:top w:val="single" w:color="auto" w:sz="4" w:space="0"/>
              <w:left w:val="single" w:color="auto" w:sz="4" w:space="0"/>
              <w:bottom w:val="single" w:color="auto" w:sz="4" w:space="0"/>
              <w:right w:val="single" w:color="auto" w:sz="4" w:space="0"/>
            </w:tcBorders>
          </w:tcPr>
          <w:p w14:paraId="77D32BCE">
            <w:pPr>
              <w:adjustRightInd w:val="0"/>
              <w:rPr>
                <w:rFonts w:ascii="宋体" w:hAnsi="宋体"/>
                <w:szCs w:val="21"/>
              </w:rPr>
            </w:pPr>
          </w:p>
        </w:tc>
        <w:tc>
          <w:tcPr>
            <w:tcW w:w="1275" w:type="dxa"/>
            <w:tcBorders>
              <w:top w:val="single" w:color="auto" w:sz="4" w:space="0"/>
              <w:left w:val="single" w:color="auto" w:sz="4" w:space="0"/>
              <w:bottom w:val="single" w:color="auto" w:sz="4" w:space="0"/>
              <w:right w:val="single" w:color="auto" w:sz="4" w:space="0"/>
            </w:tcBorders>
          </w:tcPr>
          <w:p w14:paraId="75FFB13F">
            <w:pPr>
              <w:adjustRightInd w:val="0"/>
              <w:rPr>
                <w:rFonts w:ascii="宋体" w:hAnsi="宋体"/>
                <w:szCs w:val="21"/>
              </w:rPr>
            </w:pPr>
          </w:p>
        </w:tc>
        <w:tc>
          <w:tcPr>
            <w:tcW w:w="1276" w:type="dxa"/>
            <w:tcBorders>
              <w:top w:val="single" w:color="auto" w:sz="4" w:space="0"/>
              <w:left w:val="single" w:color="auto" w:sz="4" w:space="0"/>
              <w:bottom w:val="single" w:color="auto" w:sz="4" w:space="0"/>
              <w:right w:val="single" w:color="auto" w:sz="4" w:space="0"/>
            </w:tcBorders>
          </w:tcPr>
          <w:p w14:paraId="69053005">
            <w:pPr>
              <w:adjustRightInd w:val="0"/>
              <w:rPr>
                <w:rFonts w:ascii="宋体" w:hAnsi="宋体"/>
                <w:szCs w:val="21"/>
              </w:rPr>
            </w:pPr>
          </w:p>
        </w:tc>
        <w:tc>
          <w:tcPr>
            <w:tcW w:w="1382" w:type="dxa"/>
            <w:tcBorders>
              <w:top w:val="single" w:color="auto" w:sz="4" w:space="0"/>
              <w:left w:val="single" w:color="auto" w:sz="4" w:space="0"/>
              <w:bottom w:val="single" w:color="auto" w:sz="4" w:space="0"/>
              <w:right w:val="single" w:color="auto" w:sz="4" w:space="0"/>
            </w:tcBorders>
          </w:tcPr>
          <w:p w14:paraId="2BAEC2F7">
            <w:pPr>
              <w:adjustRightInd w:val="0"/>
              <w:rPr>
                <w:rFonts w:ascii="宋体" w:hAnsi="宋体"/>
                <w:szCs w:val="21"/>
              </w:rPr>
            </w:pPr>
          </w:p>
        </w:tc>
      </w:tr>
      <w:tr w14:paraId="7AAA18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20" w:type="dxa"/>
            <w:tcBorders>
              <w:top w:val="single" w:color="auto" w:sz="4" w:space="0"/>
              <w:left w:val="single" w:color="auto" w:sz="4" w:space="0"/>
              <w:bottom w:val="single" w:color="auto" w:sz="4" w:space="0"/>
              <w:right w:val="single" w:color="auto" w:sz="4" w:space="0"/>
            </w:tcBorders>
            <w:vAlign w:val="center"/>
          </w:tcPr>
          <w:p w14:paraId="32808B14">
            <w:pPr>
              <w:adjustRightInd w:val="0"/>
              <w:rPr>
                <w:rFonts w:ascii="宋体" w:hAnsi="宋体"/>
                <w:szCs w:val="21"/>
              </w:rPr>
            </w:pPr>
            <w:r>
              <w:rPr>
                <w:rFonts w:hint="eastAsia" w:ascii="宋体" w:hAnsi="宋体"/>
                <w:szCs w:val="21"/>
              </w:rPr>
              <w:t>5</w:t>
            </w:r>
          </w:p>
        </w:tc>
        <w:tc>
          <w:tcPr>
            <w:tcW w:w="5599" w:type="dxa"/>
            <w:tcBorders>
              <w:top w:val="single" w:color="auto" w:sz="4" w:space="0"/>
              <w:left w:val="single" w:color="auto" w:sz="4" w:space="0"/>
              <w:bottom w:val="single" w:color="auto" w:sz="4" w:space="0"/>
              <w:right w:val="single" w:color="auto" w:sz="4" w:space="0"/>
            </w:tcBorders>
            <w:vAlign w:val="center"/>
          </w:tcPr>
          <w:p w14:paraId="3543CF58">
            <w:pPr>
              <w:adjustRightInd w:val="0"/>
              <w:rPr>
                <w:rFonts w:ascii="宋体" w:hAnsi="宋体"/>
                <w:szCs w:val="21"/>
              </w:rPr>
            </w:pPr>
            <w:r>
              <w:rPr>
                <w:rFonts w:hint="eastAsia" w:ascii="宋体" w:hAnsi="宋体"/>
                <w:szCs w:val="21"/>
              </w:rPr>
              <w:t>投标文件未按规定的格式填写，或主要内容不全，或关键字迹模糊、无法辨认的；</w:t>
            </w:r>
          </w:p>
        </w:tc>
        <w:tc>
          <w:tcPr>
            <w:tcW w:w="1418" w:type="dxa"/>
            <w:tcBorders>
              <w:top w:val="single" w:color="auto" w:sz="4" w:space="0"/>
              <w:left w:val="single" w:color="auto" w:sz="4" w:space="0"/>
              <w:bottom w:val="single" w:color="auto" w:sz="4" w:space="0"/>
              <w:right w:val="single" w:color="auto" w:sz="4" w:space="0"/>
            </w:tcBorders>
          </w:tcPr>
          <w:p w14:paraId="331943E4">
            <w:pPr>
              <w:adjustRightInd w:val="0"/>
              <w:rPr>
                <w:rFonts w:ascii="宋体" w:hAnsi="宋体"/>
                <w:szCs w:val="21"/>
              </w:rPr>
            </w:pPr>
          </w:p>
        </w:tc>
        <w:tc>
          <w:tcPr>
            <w:tcW w:w="1559" w:type="dxa"/>
            <w:tcBorders>
              <w:top w:val="single" w:color="auto" w:sz="4" w:space="0"/>
              <w:left w:val="single" w:color="auto" w:sz="4" w:space="0"/>
              <w:bottom w:val="single" w:color="auto" w:sz="4" w:space="0"/>
              <w:right w:val="single" w:color="auto" w:sz="4" w:space="0"/>
            </w:tcBorders>
          </w:tcPr>
          <w:p w14:paraId="4CF7DF77">
            <w:pPr>
              <w:adjustRightInd w:val="0"/>
              <w:rPr>
                <w:rFonts w:ascii="宋体" w:hAnsi="宋体"/>
                <w:szCs w:val="21"/>
              </w:rPr>
            </w:pPr>
          </w:p>
        </w:tc>
        <w:tc>
          <w:tcPr>
            <w:tcW w:w="1418" w:type="dxa"/>
            <w:tcBorders>
              <w:top w:val="single" w:color="auto" w:sz="4" w:space="0"/>
              <w:left w:val="single" w:color="auto" w:sz="4" w:space="0"/>
              <w:bottom w:val="single" w:color="auto" w:sz="4" w:space="0"/>
              <w:right w:val="single" w:color="auto" w:sz="4" w:space="0"/>
            </w:tcBorders>
          </w:tcPr>
          <w:p w14:paraId="349E3189">
            <w:pPr>
              <w:adjustRightInd w:val="0"/>
              <w:rPr>
                <w:rFonts w:ascii="宋体" w:hAnsi="宋体"/>
                <w:szCs w:val="21"/>
              </w:rPr>
            </w:pPr>
          </w:p>
        </w:tc>
        <w:tc>
          <w:tcPr>
            <w:tcW w:w="1275" w:type="dxa"/>
            <w:tcBorders>
              <w:top w:val="single" w:color="auto" w:sz="4" w:space="0"/>
              <w:left w:val="single" w:color="auto" w:sz="4" w:space="0"/>
              <w:bottom w:val="single" w:color="auto" w:sz="4" w:space="0"/>
              <w:right w:val="single" w:color="auto" w:sz="4" w:space="0"/>
            </w:tcBorders>
          </w:tcPr>
          <w:p w14:paraId="1E64E6EE">
            <w:pPr>
              <w:adjustRightInd w:val="0"/>
              <w:rPr>
                <w:rFonts w:ascii="宋体" w:hAnsi="宋体"/>
                <w:szCs w:val="21"/>
              </w:rPr>
            </w:pPr>
          </w:p>
        </w:tc>
        <w:tc>
          <w:tcPr>
            <w:tcW w:w="1276" w:type="dxa"/>
            <w:tcBorders>
              <w:top w:val="single" w:color="auto" w:sz="4" w:space="0"/>
              <w:left w:val="single" w:color="auto" w:sz="4" w:space="0"/>
              <w:bottom w:val="single" w:color="auto" w:sz="4" w:space="0"/>
              <w:right w:val="single" w:color="auto" w:sz="4" w:space="0"/>
            </w:tcBorders>
          </w:tcPr>
          <w:p w14:paraId="7EFE3CF6">
            <w:pPr>
              <w:adjustRightInd w:val="0"/>
              <w:rPr>
                <w:rFonts w:ascii="宋体" w:hAnsi="宋体"/>
                <w:szCs w:val="21"/>
              </w:rPr>
            </w:pPr>
          </w:p>
        </w:tc>
        <w:tc>
          <w:tcPr>
            <w:tcW w:w="1382" w:type="dxa"/>
            <w:tcBorders>
              <w:top w:val="single" w:color="auto" w:sz="4" w:space="0"/>
              <w:left w:val="single" w:color="auto" w:sz="4" w:space="0"/>
              <w:bottom w:val="single" w:color="auto" w:sz="4" w:space="0"/>
              <w:right w:val="single" w:color="auto" w:sz="4" w:space="0"/>
            </w:tcBorders>
          </w:tcPr>
          <w:p w14:paraId="349D05FF">
            <w:pPr>
              <w:adjustRightInd w:val="0"/>
              <w:rPr>
                <w:rFonts w:ascii="宋体" w:hAnsi="宋体"/>
                <w:szCs w:val="21"/>
              </w:rPr>
            </w:pPr>
          </w:p>
        </w:tc>
      </w:tr>
      <w:tr w14:paraId="56E355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20" w:type="dxa"/>
            <w:tcBorders>
              <w:top w:val="single" w:color="auto" w:sz="4" w:space="0"/>
              <w:left w:val="single" w:color="auto" w:sz="4" w:space="0"/>
              <w:bottom w:val="single" w:color="auto" w:sz="4" w:space="0"/>
              <w:right w:val="single" w:color="auto" w:sz="4" w:space="0"/>
            </w:tcBorders>
            <w:vAlign w:val="center"/>
          </w:tcPr>
          <w:p w14:paraId="3139C01A">
            <w:pPr>
              <w:adjustRightInd w:val="0"/>
              <w:rPr>
                <w:rFonts w:ascii="宋体" w:hAnsi="宋体"/>
                <w:szCs w:val="21"/>
              </w:rPr>
            </w:pPr>
            <w:r>
              <w:rPr>
                <w:rFonts w:hint="eastAsia" w:ascii="宋体" w:hAnsi="宋体"/>
                <w:szCs w:val="21"/>
              </w:rPr>
              <w:t>6</w:t>
            </w:r>
          </w:p>
        </w:tc>
        <w:tc>
          <w:tcPr>
            <w:tcW w:w="5599" w:type="dxa"/>
            <w:tcBorders>
              <w:top w:val="single" w:color="auto" w:sz="4" w:space="0"/>
              <w:left w:val="single" w:color="auto" w:sz="4" w:space="0"/>
              <w:bottom w:val="single" w:color="auto" w:sz="4" w:space="0"/>
              <w:right w:val="single" w:color="auto" w:sz="4" w:space="0"/>
            </w:tcBorders>
            <w:vAlign w:val="center"/>
          </w:tcPr>
          <w:p w14:paraId="4E4BD2E6">
            <w:pPr>
              <w:adjustRightInd w:val="0"/>
              <w:rPr>
                <w:rFonts w:ascii="宋体" w:hAnsi="宋体"/>
                <w:szCs w:val="21"/>
              </w:rPr>
            </w:pPr>
            <w:r>
              <w:rPr>
                <w:rFonts w:hint="eastAsia" w:ascii="宋体" w:hAnsi="宋体"/>
                <w:szCs w:val="21"/>
              </w:rPr>
              <w:t>投标人之间存在《广东省实施&lt;中华人民共和国招标投标法&gt;》第十六条所禁止的情形的；</w:t>
            </w:r>
          </w:p>
        </w:tc>
        <w:tc>
          <w:tcPr>
            <w:tcW w:w="1418" w:type="dxa"/>
            <w:tcBorders>
              <w:top w:val="single" w:color="auto" w:sz="4" w:space="0"/>
              <w:left w:val="single" w:color="auto" w:sz="4" w:space="0"/>
              <w:bottom w:val="single" w:color="auto" w:sz="4" w:space="0"/>
              <w:right w:val="single" w:color="auto" w:sz="4" w:space="0"/>
            </w:tcBorders>
          </w:tcPr>
          <w:p w14:paraId="655EEDB3">
            <w:pPr>
              <w:adjustRightInd w:val="0"/>
              <w:rPr>
                <w:rFonts w:ascii="宋体" w:hAnsi="宋体"/>
                <w:szCs w:val="21"/>
              </w:rPr>
            </w:pPr>
          </w:p>
        </w:tc>
        <w:tc>
          <w:tcPr>
            <w:tcW w:w="1559" w:type="dxa"/>
            <w:tcBorders>
              <w:top w:val="single" w:color="auto" w:sz="4" w:space="0"/>
              <w:left w:val="single" w:color="auto" w:sz="4" w:space="0"/>
              <w:bottom w:val="single" w:color="auto" w:sz="4" w:space="0"/>
              <w:right w:val="single" w:color="auto" w:sz="4" w:space="0"/>
            </w:tcBorders>
          </w:tcPr>
          <w:p w14:paraId="1BF792F0">
            <w:pPr>
              <w:adjustRightInd w:val="0"/>
              <w:rPr>
                <w:rFonts w:ascii="宋体" w:hAnsi="宋体"/>
                <w:szCs w:val="21"/>
              </w:rPr>
            </w:pPr>
          </w:p>
        </w:tc>
        <w:tc>
          <w:tcPr>
            <w:tcW w:w="1418" w:type="dxa"/>
            <w:tcBorders>
              <w:top w:val="single" w:color="auto" w:sz="4" w:space="0"/>
              <w:left w:val="single" w:color="auto" w:sz="4" w:space="0"/>
              <w:bottom w:val="single" w:color="auto" w:sz="4" w:space="0"/>
              <w:right w:val="single" w:color="auto" w:sz="4" w:space="0"/>
            </w:tcBorders>
          </w:tcPr>
          <w:p w14:paraId="455D51D6">
            <w:pPr>
              <w:adjustRightInd w:val="0"/>
              <w:rPr>
                <w:rFonts w:ascii="宋体" w:hAnsi="宋体"/>
                <w:szCs w:val="21"/>
              </w:rPr>
            </w:pPr>
          </w:p>
        </w:tc>
        <w:tc>
          <w:tcPr>
            <w:tcW w:w="1275" w:type="dxa"/>
            <w:tcBorders>
              <w:top w:val="single" w:color="auto" w:sz="4" w:space="0"/>
              <w:left w:val="single" w:color="auto" w:sz="4" w:space="0"/>
              <w:bottom w:val="single" w:color="auto" w:sz="4" w:space="0"/>
              <w:right w:val="single" w:color="auto" w:sz="4" w:space="0"/>
            </w:tcBorders>
          </w:tcPr>
          <w:p w14:paraId="3EDDD1A1">
            <w:pPr>
              <w:adjustRightInd w:val="0"/>
              <w:rPr>
                <w:rFonts w:ascii="宋体" w:hAnsi="宋体"/>
                <w:szCs w:val="21"/>
              </w:rPr>
            </w:pPr>
          </w:p>
        </w:tc>
        <w:tc>
          <w:tcPr>
            <w:tcW w:w="1276" w:type="dxa"/>
            <w:tcBorders>
              <w:top w:val="single" w:color="auto" w:sz="4" w:space="0"/>
              <w:left w:val="single" w:color="auto" w:sz="4" w:space="0"/>
              <w:bottom w:val="single" w:color="auto" w:sz="4" w:space="0"/>
              <w:right w:val="single" w:color="auto" w:sz="4" w:space="0"/>
            </w:tcBorders>
          </w:tcPr>
          <w:p w14:paraId="2D083B6B">
            <w:pPr>
              <w:adjustRightInd w:val="0"/>
              <w:rPr>
                <w:rFonts w:ascii="宋体" w:hAnsi="宋体"/>
                <w:szCs w:val="21"/>
              </w:rPr>
            </w:pPr>
          </w:p>
        </w:tc>
        <w:tc>
          <w:tcPr>
            <w:tcW w:w="1382" w:type="dxa"/>
            <w:tcBorders>
              <w:top w:val="single" w:color="auto" w:sz="4" w:space="0"/>
              <w:left w:val="single" w:color="auto" w:sz="4" w:space="0"/>
              <w:bottom w:val="single" w:color="auto" w:sz="4" w:space="0"/>
              <w:right w:val="single" w:color="auto" w:sz="4" w:space="0"/>
            </w:tcBorders>
          </w:tcPr>
          <w:p w14:paraId="1DB77032">
            <w:pPr>
              <w:adjustRightInd w:val="0"/>
              <w:rPr>
                <w:rFonts w:ascii="宋体" w:hAnsi="宋体"/>
                <w:szCs w:val="21"/>
              </w:rPr>
            </w:pPr>
          </w:p>
        </w:tc>
      </w:tr>
      <w:tr w14:paraId="373B7E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20" w:type="dxa"/>
            <w:tcBorders>
              <w:top w:val="single" w:color="auto" w:sz="4" w:space="0"/>
              <w:left w:val="single" w:color="auto" w:sz="4" w:space="0"/>
              <w:bottom w:val="single" w:color="auto" w:sz="4" w:space="0"/>
              <w:right w:val="single" w:color="auto" w:sz="4" w:space="0"/>
            </w:tcBorders>
            <w:vAlign w:val="center"/>
          </w:tcPr>
          <w:p w14:paraId="0693B781">
            <w:pPr>
              <w:adjustRightInd w:val="0"/>
              <w:rPr>
                <w:rFonts w:ascii="宋体" w:hAnsi="宋体"/>
                <w:szCs w:val="21"/>
              </w:rPr>
            </w:pPr>
            <w:r>
              <w:rPr>
                <w:rFonts w:hint="eastAsia" w:ascii="宋体" w:hAnsi="宋体"/>
                <w:szCs w:val="21"/>
              </w:rPr>
              <w:t>7</w:t>
            </w:r>
          </w:p>
        </w:tc>
        <w:tc>
          <w:tcPr>
            <w:tcW w:w="5599" w:type="dxa"/>
            <w:tcBorders>
              <w:top w:val="single" w:color="auto" w:sz="4" w:space="0"/>
              <w:left w:val="single" w:color="auto" w:sz="4" w:space="0"/>
              <w:bottom w:val="single" w:color="auto" w:sz="4" w:space="0"/>
              <w:right w:val="single" w:color="auto" w:sz="4" w:space="0"/>
            </w:tcBorders>
            <w:vAlign w:val="center"/>
          </w:tcPr>
          <w:p w14:paraId="6948F8C4">
            <w:pPr>
              <w:adjustRightInd w:val="0"/>
              <w:rPr>
                <w:rFonts w:ascii="宋体" w:hAnsi="宋体"/>
                <w:szCs w:val="21"/>
              </w:rPr>
            </w:pPr>
            <w:r>
              <w:rPr>
                <w:rFonts w:hint="eastAsia" w:ascii="宋体" w:hAnsi="宋体"/>
                <w:szCs w:val="21"/>
              </w:rPr>
              <w:t>无《参与编制技术标投标文件人员名单》的</w:t>
            </w:r>
          </w:p>
        </w:tc>
        <w:tc>
          <w:tcPr>
            <w:tcW w:w="1418" w:type="dxa"/>
            <w:tcBorders>
              <w:top w:val="single" w:color="auto" w:sz="4" w:space="0"/>
              <w:left w:val="single" w:color="auto" w:sz="4" w:space="0"/>
              <w:bottom w:val="single" w:color="auto" w:sz="4" w:space="0"/>
              <w:right w:val="single" w:color="auto" w:sz="4" w:space="0"/>
            </w:tcBorders>
          </w:tcPr>
          <w:p w14:paraId="71F9C324">
            <w:pPr>
              <w:adjustRightInd w:val="0"/>
              <w:rPr>
                <w:rFonts w:ascii="宋体" w:hAnsi="宋体"/>
                <w:szCs w:val="21"/>
              </w:rPr>
            </w:pPr>
          </w:p>
        </w:tc>
        <w:tc>
          <w:tcPr>
            <w:tcW w:w="1559" w:type="dxa"/>
            <w:tcBorders>
              <w:top w:val="single" w:color="auto" w:sz="4" w:space="0"/>
              <w:left w:val="single" w:color="auto" w:sz="4" w:space="0"/>
              <w:bottom w:val="single" w:color="auto" w:sz="4" w:space="0"/>
              <w:right w:val="single" w:color="auto" w:sz="4" w:space="0"/>
            </w:tcBorders>
          </w:tcPr>
          <w:p w14:paraId="4CBF6072">
            <w:pPr>
              <w:adjustRightInd w:val="0"/>
              <w:rPr>
                <w:rFonts w:ascii="宋体" w:hAnsi="宋体"/>
                <w:szCs w:val="21"/>
              </w:rPr>
            </w:pPr>
          </w:p>
        </w:tc>
        <w:tc>
          <w:tcPr>
            <w:tcW w:w="1418" w:type="dxa"/>
            <w:tcBorders>
              <w:top w:val="single" w:color="auto" w:sz="4" w:space="0"/>
              <w:left w:val="single" w:color="auto" w:sz="4" w:space="0"/>
              <w:bottom w:val="single" w:color="auto" w:sz="4" w:space="0"/>
              <w:right w:val="single" w:color="auto" w:sz="4" w:space="0"/>
            </w:tcBorders>
          </w:tcPr>
          <w:p w14:paraId="5B806908">
            <w:pPr>
              <w:adjustRightInd w:val="0"/>
              <w:rPr>
                <w:rFonts w:ascii="宋体" w:hAnsi="宋体"/>
                <w:szCs w:val="21"/>
              </w:rPr>
            </w:pPr>
          </w:p>
        </w:tc>
        <w:tc>
          <w:tcPr>
            <w:tcW w:w="1275" w:type="dxa"/>
            <w:tcBorders>
              <w:top w:val="single" w:color="auto" w:sz="4" w:space="0"/>
              <w:left w:val="single" w:color="auto" w:sz="4" w:space="0"/>
              <w:bottom w:val="single" w:color="auto" w:sz="4" w:space="0"/>
              <w:right w:val="single" w:color="auto" w:sz="4" w:space="0"/>
            </w:tcBorders>
          </w:tcPr>
          <w:p w14:paraId="576AAFA6">
            <w:pPr>
              <w:adjustRightInd w:val="0"/>
              <w:rPr>
                <w:rFonts w:ascii="宋体" w:hAnsi="宋体"/>
                <w:szCs w:val="21"/>
              </w:rPr>
            </w:pPr>
          </w:p>
        </w:tc>
        <w:tc>
          <w:tcPr>
            <w:tcW w:w="1276" w:type="dxa"/>
            <w:tcBorders>
              <w:top w:val="single" w:color="auto" w:sz="4" w:space="0"/>
              <w:left w:val="single" w:color="auto" w:sz="4" w:space="0"/>
              <w:bottom w:val="single" w:color="auto" w:sz="4" w:space="0"/>
              <w:right w:val="single" w:color="auto" w:sz="4" w:space="0"/>
            </w:tcBorders>
          </w:tcPr>
          <w:p w14:paraId="21408795">
            <w:pPr>
              <w:adjustRightInd w:val="0"/>
              <w:rPr>
                <w:rFonts w:ascii="宋体" w:hAnsi="宋体"/>
                <w:szCs w:val="21"/>
              </w:rPr>
            </w:pPr>
          </w:p>
        </w:tc>
        <w:tc>
          <w:tcPr>
            <w:tcW w:w="1382" w:type="dxa"/>
            <w:tcBorders>
              <w:top w:val="single" w:color="auto" w:sz="4" w:space="0"/>
              <w:left w:val="single" w:color="auto" w:sz="4" w:space="0"/>
              <w:bottom w:val="single" w:color="auto" w:sz="4" w:space="0"/>
              <w:right w:val="single" w:color="auto" w:sz="4" w:space="0"/>
            </w:tcBorders>
          </w:tcPr>
          <w:p w14:paraId="01BBB664">
            <w:pPr>
              <w:adjustRightInd w:val="0"/>
              <w:rPr>
                <w:rFonts w:ascii="宋体" w:hAnsi="宋体"/>
                <w:szCs w:val="21"/>
              </w:rPr>
            </w:pPr>
          </w:p>
        </w:tc>
      </w:tr>
      <w:tr w14:paraId="3A4EAB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20" w:type="dxa"/>
            <w:tcBorders>
              <w:top w:val="single" w:color="auto" w:sz="4" w:space="0"/>
              <w:left w:val="single" w:color="auto" w:sz="4" w:space="0"/>
              <w:bottom w:val="single" w:color="auto" w:sz="4" w:space="0"/>
              <w:right w:val="single" w:color="auto" w:sz="4" w:space="0"/>
            </w:tcBorders>
            <w:vAlign w:val="center"/>
          </w:tcPr>
          <w:p w14:paraId="570C4846">
            <w:pPr>
              <w:adjustRightInd w:val="0"/>
              <w:rPr>
                <w:rFonts w:ascii="宋体" w:hAnsi="宋体"/>
                <w:strike/>
                <w:szCs w:val="21"/>
              </w:rPr>
            </w:pPr>
            <w:r>
              <w:rPr>
                <w:rFonts w:hint="eastAsia" w:ascii="宋体" w:hAnsi="宋体"/>
                <w:strike/>
                <w:szCs w:val="21"/>
              </w:rPr>
              <w:t>8</w:t>
            </w:r>
          </w:p>
        </w:tc>
        <w:tc>
          <w:tcPr>
            <w:tcW w:w="5599" w:type="dxa"/>
            <w:tcBorders>
              <w:top w:val="single" w:color="auto" w:sz="4" w:space="0"/>
              <w:left w:val="single" w:color="auto" w:sz="4" w:space="0"/>
              <w:bottom w:val="single" w:color="auto" w:sz="4" w:space="0"/>
              <w:right w:val="single" w:color="auto" w:sz="4" w:space="0"/>
            </w:tcBorders>
            <w:vAlign w:val="center"/>
          </w:tcPr>
          <w:p w14:paraId="2148FDDC">
            <w:pPr>
              <w:adjustRightInd w:val="0"/>
              <w:rPr>
                <w:rFonts w:ascii="宋体" w:hAnsi="宋体"/>
                <w:strike/>
                <w:szCs w:val="21"/>
              </w:rPr>
            </w:pPr>
            <w:r>
              <w:rPr>
                <w:rFonts w:hint="eastAsia" w:ascii="宋体" w:hAnsi="宋体"/>
                <w:szCs w:val="21"/>
              </w:rPr>
              <w:t>投标人未按要求提交投标保证金的</w:t>
            </w:r>
          </w:p>
        </w:tc>
        <w:tc>
          <w:tcPr>
            <w:tcW w:w="1418" w:type="dxa"/>
            <w:tcBorders>
              <w:top w:val="single" w:color="auto" w:sz="4" w:space="0"/>
              <w:left w:val="single" w:color="auto" w:sz="4" w:space="0"/>
              <w:bottom w:val="single" w:color="auto" w:sz="4" w:space="0"/>
              <w:right w:val="single" w:color="auto" w:sz="4" w:space="0"/>
            </w:tcBorders>
          </w:tcPr>
          <w:p w14:paraId="7DDB1445">
            <w:pPr>
              <w:adjustRightInd w:val="0"/>
              <w:rPr>
                <w:rFonts w:ascii="宋体" w:hAnsi="宋体"/>
                <w:szCs w:val="21"/>
              </w:rPr>
            </w:pPr>
          </w:p>
        </w:tc>
        <w:tc>
          <w:tcPr>
            <w:tcW w:w="1559" w:type="dxa"/>
            <w:tcBorders>
              <w:top w:val="single" w:color="auto" w:sz="4" w:space="0"/>
              <w:left w:val="single" w:color="auto" w:sz="4" w:space="0"/>
              <w:bottom w:val="single" w:color="auto" w:sz="4" w:space="0"/>
              <w:right w:val="single" w:color="auto" w:sz="4" w:space="0"/>
            </w:tcBorders>
          </w:tcPr>
          <w:p w14:paraId="290D805A">
            <w:pPr>
              <w:adjustRightInd w:val="0"/>
              <w:rPr>
                <w:rFonts w:ascii="宋体" w:hAnsi="宋体"/>
                <w:szCs w:val="21"/>
              </w:rPr>
            </w:pPr>
          </w:p>
        </w:tc>
        <w:tc>
          <w:tcPr>
            <w:tcW w:w="1418" w:type="dxa"/>
            <w:tcBorders>
              <w:top w:val="single" w:color="auto" w:sz="4" w:space="0"/>
              <w:left w:val="single" w:color="auto" w:sz="4" w:space="0"/>
              <w:bottom w:val="single" w:color="auto" w:sz="4" w:space="0"/>
              <w:right w:val="single" w:color="auto" w:sz="4" w:space="0"/>
            </w:tcBorders>
          </w:tcPr>
          <w:p w14:paraId="3424ED96">
            <w:pPr>
              <w:adjustRightInd w:val="0"/>
              <w:rPr>
                <w:rFonts w:ascii="宋体" w:hAnsi="宋体"/>
                <w:szCs w:val="21"/>
              </w:rPr>
            </w:pPr>
          </w:p>
        </w:tc>
        <w:tc>
          <w:tcPr>
            <w:tcW w:w="1275" w:type="dxa"/>
            <w:tcBorders>
              <w:top w:val="single" w:color="auto" w:sz="4" w:space="0"/>
              <w:left w:val="single" w:color="auto" w:sz="4" w:space="0"/>
              <w:bottom w:val="single" w:color="auto" w:sz="4" w:space="0"/>
              <w:right w:val="single" w:color="auto" w:sz="4" w:space="0"/>
            </w:tcBorders>
          </w:tcPr>
          <w:p w14:paraId="6CAE2D0D">
            <w:pPr>
              <w:adjustRightInd w:val="0"/>
              <w:rPr>
                <w:rFonts w:ascii="宋体" w:hAnsi="宋体"/>
                <w:szCs w:val="21"/>
              </w:rPr>
            </w:pPr>
          </w:p>
        </w:tc>
        <w:tc>
          <w:tcPr>
            <w:tcW w:w="1276" w:type="dxa"/>
            <w:tcBorders>
              <w:top w:val="single" w:color="auto" w:sz="4" w:space="0"/>
              <w:left w:val="single" w:color="auto" w:sz="4" w:space="0"/>
              <w:bottom w:val="single" w:color="auto" w:sz="4" w:space="0"/>
              <w:right w:val="single" w:color="auto" w:sz="4" w:space="0"/>
            </w:tcBorders>
          </w:tcPr>
          <w:p w14:paraId="6ADBAA41">
            <w:pPr>
              <w:adjustRightInd w:val="0"/>
              <w:rPr>
                <w:rFonts w:ascii="宋体" w:hAnsi="宋体"/>
                <w:szCs w:val="21"/>
              </w:rPr>
            </w:pPr>
          </w:p>
        </w:tc>
        <w:tc>
          <w:tcPr>
            <w:tcW w:w="1382" w:type="dxa"/>
            <w:tcBorders>
              <w:top w:val="single" w:color="auto" w:sz="4" w:space="0"/>
              <w:left w:val="single" w:color="auto" w:sz="4" w:space="0"/>
              <w:bottom w:val="single" w:color="auto" w:sz="4" w:space="0"/>
              <w:right w:val="single" w:color="auto" w:sz="4" w:space="0"/>
            </w:tcBorders>
          </w:tcPr>
          <w:p w14:paraId="11D13895">
            <w:pPr>
              <w:adjustRightInd w:val="0"/>
              <w:rPr>
                <w:rFonts w:ascii="宋体" w:hAnsi="宋体"/>
                <w:szCs w:val="21"/>
              </w:rPr>
            </w:pPr>
          </w:p>
        </w:tc>
      </w:tr>
      <w:tr w14:paraId="2ACC8D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20" w:type="dxa"/>
            <w:tcBorders>
              <w:top w:val="single" w:color="auto" w:sz="4" w:space="0"/>
              <w:left w:val="single" w:color="auto" w:sz="4" w:space="0"/>
              <w:bottom w:val="single" w:color="auto" w:sz="4" w:space="0"/>
              <w:right w:val="single" w:color="auto" w:sz="4" w:space="0"/>
            </w:tcBorders>
            <w:vAlign w:val="center"/>
          </w:tcPr>
          <w:p w14:paraId="2E5D0F8F">
            <w:pPr>
              <w:adjustRightInd w:val="0"/>
              <w:rPr>
                <w:rFonts w:ascii="宋体" w:hAnsi="宋体"/>
                <w:szCs w:val="21"/>
              </w:rPr>
            </w:pPr>
            <w:r>
              <w:rPr>
                <w:rFonts w:hint="eastAsia" w:ascii="宋体" w:hAnsi="宋体"/>
                <w:szCs w:val="21"/>
              </w:rPr>
              <w:t>9</w:t>
            </w:r>
          </w:p>
        </w:tc>
        <w:tc>
          <w:tcPr>
            <w:tcW w:w="5599" w:type="dxa"/>
            <w:tcBorders>
              <w:top w:val="single" w:color="auto" w:sz="4" w:space="0"/>
              <w:left w:val="single" w:color="auto" w:sz="4" w:space="0"/>
              <w:bottom w:val="single" w:color="auto" w:sz="4" w:space="0"/>
              <w:right w:val="single" w:color="auto" w:sz="4" w:space="0"/>
            </w:tcBorders>
            <w:vAlign w:val="center"/>
          </w:tcPr>
          <w:p w14:paraId="43037512">
            <w:pPr>
              <w:adjustRightInd w:val="0"/>
              <w:rPr>
                <w:rFonts w:ascii="宋体" w:hAnsi="宋体"/>
                <w:szCs w:val="21"/>
              </w:rPr>
            </w:pPr>
            <w:r>
              <w:rPr>
                <w:rFonts w:hint="eastAsia" w:ascii="宋体" w:hAnsi="宋体"/>
                <w:szCs w:val="21"/>
              </w:rPr>
              <w:t>投标人与本项目其他投标人加密打包投标文件电脑机器特征码一致的(以</w:t>
            </w:r>
            <w:r>
              <w:rPr>
                <w:rFonts w:hint="eastAsia" w:ascii="宋体" w:hAnsi="宋体"/>
                <w:szCs w:val="21"/>
                <w:u w:val="single"/>
              </w:rPr>
              <w:t>广州公共资源交易中心</w:t>
            </w:r>
            <w:r>
              <w:rPr>
                <w:rFonts w:hint="eastAsia" w:ascii="宋体" w:hAnsi="宋体"/>
                <w:szCs w:val="21"/>
              </w:rPr>
              <w:t>交易平台评标系统的检索信息为准)</w:t>
            </w:r>
          </w:p>
        </w:tc>
        <w:tc>
          <w:tcPr>
            <w:tcW w:w="1418" w:type="dxa"/>
            <w:tcBorders>
              <w:top w:val="single" w:color="auto" w:sz="4" w:space="0"/>
              <w:left w:val="single" w:color="auto" w:sz="4" w:space="0"/>
              <w:bottom w:val="single" w:color="auto" w:sz="4" w:space="0"/>
              <w:right w:val="single" w:color="auto" w:sz="4" w:space="0"/>
            </w:tcBorders>
          </w:tcPr>
          <w:p w14:paraId="150428BE">
            <w:pPr>
              <w:adjustRightInd w:val="0"/>
              <w:rPr>
                <w:rFonts w:ascii="宋体" w:hAnsi="宋体"/>
                <w:szCs w:val="21"/>
              </w:rPr>
            </w:pPr>
          </w:p>
        </w:tc>
        <w:tc>
          <w:tcPr>
            <w:tcW w:w="1559" w:type="dxa"/>
            <w:tcBorders>
              <w:top w:val="single" w:color="auto" w:sz="4" w:space="0"/>
              <w:left w:val="single" w:color="auto" w:sz="4" w:space="0"/>
              <w:bottom w:val="single" w:color="auto" w:sz="4" w:space="0"/>
              <w:right w:val="single" w:color="auto" w:sz="4" w:space="0"/>
            </w:tcBorders>
          </w:tcPr>
          <w:p w14:paraId="00EDB2EB">
            <w:pPr>
              <w:adjustRightInd w:val="0"/>
              <w:rPr>
                <w:rFonts w:ascii="宋体" w:hAnsi="宋体"/>
                <w:szCs w:val="21"/>
              </w:rPr>
            </w:pPr>
          </w:p>
        </w:tc>
        <w:tc>
          <w:tcPr>
            <w:tcW w:w="1418" w:type="dxa"/>
            <w:tcBorders>
              <w:top w:val="single" w:color="auto" w:sz="4" w:space="0"/>
              <w:left w:val="single" w:color="auto" w:sz="4" w:space="0"/>
              <w:bottom w:val="single" w:color="auto" w:sz="4" w:space="0"/>
              <w:right w:val="single" w:color="auto" w:sz="4" w:space="0"/>
            </w:tcBorders>
          </w:tcPr>
          <w:p w14:paraId="3BC0559F">
            <w:pPr>
              <w:adjustRightInd w:val="0"/>
              <w:rPr>
                <w:rFonts w:ascii="宋体" w:hAnsi="宋体"/>
                <w:szCs w:val="21"/>
              </w:rPr>
            </w:pPr>
          </w:p>
        </w:tc>
        <w:tc>
          <w:tcPr>
            <w:tcW w:w="1275" w:type="dxa"/>
            <w:tcBorders>
              <w:top w:val="single" w:color="auto" w:sz="4" w:space="0"/>
              <w:left w:val="single" w:color="auto" w:sz="4" w:space="0"/>
              <w:bottom w:val="single" w:color="auto" w:sz="4" w:space="0"/>
              <w:right w:val="single" w:color="auto" w:sz="4" w:space="0"/>
            </w:tcBorders>
          </w:tcPr>
          <w:p w14:paraId="19EB32EC">
            <w:pPr>
              <w:adjustRightInd w:val="0"/>
              <w:rPr>
                <w:rFonts w:ascii="宋体" w:hAnsi="宋体"/>
                <w:szCs w:val="21"/>
              </w:rPr>
            </w:pPr>
          </w:p>
        </w:tc>
        <w:tc>
          <w:tcPr>
            <w:tcW w:w="1276" w:type="dxa"/>
            <w:tcBorders>
              <w:top w:val="single" w:color="auto" w:sz="4" w:space="0"/>
              <w:left w:val="single" w:color="auto" w:sz="4" w:space="0"/>
              <w:bottom w:val="single" w:color="auto" w:sz="4" w:space="0"/>
              <w:right w:val="single" w:color="auto" w:sz="4" w:space="0"/>
            </w:tcBorders>
          </w:tcPr>
          <w:p w14:paraId="3A7F304A">
            <w:pPr>
              <w:adjustRightInd w:val="0"/>
              <w:rPr>
                <w:rFonts w:ascii="宋体" w:hAnsi="宋体"/>
                <w:szCs w:val="21"/>
              </w:rPr>
            </w:pPr>
          </w:p>
        </w:tc>
        <w:tc>
          <w:tcPr>
            <w:tcW w:w="1382" w:type="dxa"/>
            <w:tcBorders>
              <w:top w:val="single" w:color="auto" w:sz="4" w:space="0"/>
              <w:left w:val="single" w:color="auto" w:sz="4" w:space="0"/>
              <w:bottom w:val="single" w:color="auto" w:sz="4" w:space="0"/>
              <w:right w:val="single" w:color="auto" w:sz="4" w:space="0"/>
            </w:tcBorders>
          </w:tcPr>
          <w:p w14:paraId="6A2246DA">
            <w:pPr>
              <w:adjustRightInd w:val="0"/>
              <w:rPr>
                <w:rFonts w:ascii="宋体" w:hAnsi="宋体"/>
                <w:szCs w:val="21"/>
              </w:rPr>
            </w:pPr>
          </w:p>
        </w:tc>
      </w:tr>
    </w:tbl>
    <w:p w14:paraId="251DBACE">
      <w:pPr>
        <w:rPr>
          <w:rFonts w:ascii="宋体" w:hAnsi="宋体"/>
          <w:szCs w:val="21"/>
        </w:rPr>
      </w:pPr>
      <w:r>
        <w:rPr>
          <w:rFonts w:hint="eastAsia" w:ascii="宋体" w:hAnsi="宋体"/>
          <w:szCs w:val="21"/>
        </w:rPr>
        <w:t>注：</w:t>
      </w:r>
      <w:r>
        <w:rPr>
          <w:rFonts w:ascii="宋体" w:hAnsi="宋体"/>
          <w:szCs w:val="21"/>
        </w:rPr>
        <w:t>1.</w:t>
      </w:r>
      <w:r>
        <w:rPr>
          <w:rFonts w:hint="eastAsia" w:ascii="宋体" w:hAnsi="宋体"/>
          <w:szCs w:val="21"/>
        </w:rPr>
        <w:t>本表使用GZZB2018-3招标文件范本，与范本内容不同之处均以下划线标明。技术标评审中，响应性、承诺性内容不应作为评分因素，可在该表中对上述内容进行符合性审查。审查标准须具备可操作性。</w:t>
      </w:r>
    </w:p>
    <w:p w14:paraId="231239AF">
      <w:pPr>
        <w:rPr>
          <w:rFonts w:ascii="宋体" w:hAnsi="宋体"/>
          <w:szCs w:val="21"/>
        </w:rPr>
      </w:pPr>
      <w:r>
        <w:rPr>
          <w:rFonts w:hint="eastAsia" w:ascii="宋体" w:hAnsi="宋体"/>
          <w:szCs w:val="21"/>
        </w:rPr>
        <w:t xml:space="preserve">    2</w:t>
      </w:r>
      <w:r>
        <w:rPr>
          <w:rFonts w:ascii="宋体" w:hAnsi="宋体"/>
          <w:szCs w:val="21"/>
        </w:rPr>
        <w:t>.</w:t>
      </w:r>
      <w:r>
        <w:rPr>
          <w:rFonts w:hint="eastAsia" w:ascii="宋体" w:hAnsi="宋体"/>
          <w:szCs w:val="21"/>
        </w:rPr>
        <w:t xml:space="preserve"> 不得将文件顺序、明显的文字错误等列为否决投标的情形。评委发现投标文件中含义不明确、对同类问题表述不一致、有明显文字和计算错误的，应当要求投标人作必要的澄清、说明后再判定投标人是否通过有效性审查，不得直接否决投标，若出现评标委员会否决投标的，应在评标报告中载明否决投标的具体情形、原因。</w:t>
      </w:r>
    </w:p>
    <w:p w14:paraId="2D657FEE">
      <w:pPr>
        <w:rPr>
          <w:rFonts w:ascii="宋体" w:hAnsi="宋体"/>
          <w:szCs w:val="21"/>
        </w:rPr>
      </w:pPr>
      <w:r>
        <w:rPr>
          <w:rFonts w:hint="eastAsia" w:ascii="宋体" w:hAnsi="宋体"/>
          <w:szCs w:val="21"/>
        </w:rPr>
        <w:t xml:space="preserve">    3</w:t>
      </w:r>
      <w:r>
        <w:rPr>
          <w:rFonts w:ascii="宋体" w:hAnsi="宋体"/>
          <w:szCs w:val="21"/>
        </w:rPr>
        <w:t>.</w:t>
      </w:r>
      <w:r>
        <w:rPr>
          <w:rFonts w:hint="eastAsia" w:ascii="宋体" w:hAnsi="宋体"/>
          <w:szCs w:val="21"/>
        </w:rPr>
        <w:t>凡出现以上任何一项情形，结论均为无效，否则就为有效。</w:t>
      </w:r>
    </w:p>
    <w:p w14:paraId="3E837F75">
      <w:pPr>
        <w:ind w:firstLine="420" w:firstLineChars="200"/>
        <w:rPr>
          <w:rFonts w:ascii="宋体" w:hAnsi="宋体"/>
          <w:szCs w:val="21"/>
        </w:rPr>
      </w:pPr>
      <w:r>
        <w:rPr>
          <w:rFonts w:hint="eastAsia" w:ascii="宋体" w:hAnsi="宋体"/>
          <w:szCs w:val="21"/>
        </w:rPr>
        <w:t>4</w:t>
      </w:r>
      <w:r>
        <w:rPr>
          <w:rFonts w:ascii="宋体" w:hAnsi="宋体"/>
          <w:szCs w:val="21"/>
        </w:rPr>
        <w:t>.</w:t>
      </w:r>
      <w:r>
        <w:rPr>
          <w:rFonts w:hint="eastAsia" w:ascii="宋体" w:hAnsi="宋体"/>
          <w:szCs w:val="21"/>
        </w:rPr>
        <w:t>如对本表中某种情形的评审意见不一致时，以评标委员会过半数成员的意见作为评标委员会对该情形的认定结论。</w:t>
      </w:r>
    </w:p>
    <w:p w14:paraId="425CB240">
      <w:pPr>
        <w:rPr>
          <w:rFonts w:ascii="宋体" w:hAnsi="宋体"/>
          <w:szCs w:val="21"/>
        </w:rPr>
      </w:pPr>
      <w:r>
        <w:rPr>
          <w:rFonts w:hint="eastAsia" w:ascii="宋体" w:hAnsi="宋体"/>
          <w:szCs w:val="21"/>
        </w:rPr>
        <w:t>评委签名：</w:t>
      </w:r>
    </w:p>
    <w:p w14:paraId="029DD874">
      <w:pPr>
        <w:rPr>
          <w:szCs w:val="21"/>
        </w:rPr>
      </w:pPr>
      <w:r>
        <w:br w:type="page"/>
      </w:r>
      <w:r>
        <w:rPr>
          <w:rFonts w:hint="eastAsia"/>
          <w:szCs w:val="21"/>
        </w:rPr>
        <w:t>附表三</w:t>
      </w:r>
    </w:p>
    <w:p w14:paraId="5763778D">
      <w:pPr>
        <w:jc w:val="center"/>
        <w:rPr>
          <w:b/>
          <w:sz w:val="36"/>
          <w:szCs w:val="36"/>
        </w:rPr>
      </w:pPr>
      <w:r>
        <w:rPr>
          <w:rFonts w:hint="eastAsia"/>
          <w:b/>
          <w:sz w:val="36"/>
          <w:szCs w:val="36"/>
        </w:rPr>
        <w:t>经济标有效性审查表</w:t>
      </w:r>
    </w:p>
    <w:p w14:paraId="34DF7B15">
      <w:pPr>
        <w:rPr>
          <w:szCs w:val="21"/>
        </w:rPr>
      </w:pPr>
      <w:r>
        <w:rPr>
          <w:rFonts w:hint="eastAsia"/>
          <w:szCs w:val="21"/>
        </w:rPr>
        <w:t>工程名称：</w:t>
      </w:r>
    </w:p>
    <w:tbl>
      <w:tblPr>
        <w:tblStyle w:val="34"/>
        <w:tblW w:w="15015"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2"/>
        <w:gridCol w:w="6433"/>
        <w:gridCol w:w="1066"/>
        <w:gridCol w:w="1397"/>
        <w:gridCol w:w="1397"/>
        <w:gridCol w:w="1396"/>
        <w:gridCol w:w="1397"/>
        <w:gridCol w:w="1397"/>
      </w:tblGrid>
      <w:tr w14:paraId="1034EF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532" w:type="dxa"/>
            <w:tcBorders>
              <w:top w:val="single" w:color="auto" w:sz="4" w:space="0"/>
              <w:left w:val="single" w:color="auto" w:sz="4" w:space="0"/>
              <w:bottom w:val="single" w:color="auto" w:sz="4" w:space="0"/>
              <w:right w:val="single" w:color="auto" w:sz="4" w:space="0"/>
            </w:tcBorders>
            <w:vAlign w:val="center"/>
          </w:tcPr>
          <w:p w14:paraId="6DAFFCC0">
            <w:pPr>
              <w:rPr>
                <w:rFonts w:ascii="宋体" w:hAnsi="宋体"/>
                <w:szCs w:val="21"/>
              </w:rPr>
            </w:pPr>
            <w:r>
              <w:rPr>
                <w:rFonts w:hint="eastAsia" w:ascii="宋体" w:hAnsi="宋体"/>
                <w:szCs w:val="21"/>
              </w:rPr>
              <w:t>序号</w:t>
            </w:r>
          </w:p>
        </w:tc>
        <w:tc>
          <w:tcPr>
            <w:tcW w:w="6433" w:type="dxa"/>
            <w:tcBorders>
              <w:top w:val="single" w:color="auto" w:sz="4" w:space="0"/>
              <w:left w:val="single" w:color="auto" w:sz="4" w:space="0"/>
              <w:bottom w:val="single" w:color="auto" w:sz="4" w:space="0"/>
              <w:right w:val="single" w:color="auto" w:sz="4" w:space="0"/>
              <w:tl2br w:val="single" w:color="auto" w:sz="4" w:space="0"/>
            </w:tcBorders>
          </w:tcPr>
          <w:p w14:paraId="4E86EA32">
            <w:pPr>
              <w:rPr>
                <w:rFonts w:ascii="宋体" w:hAnsi="宋体"/>
                <w:szCs w:val="21"/>
              </w:rPr>
            </w:pPr>
            <w:r>
              <w:rPr>
                <w:rFonts w:ascii="宋体" w:hAnsi="宋体"/>
                <w:szCs w:val="21"/>
              </w:rPr>
              <w:t xml:space="preserve">              </w:t>
            </w:r>
            <w:r>
              <w:rPr>
                <w:rFonts w:hint="eastAsia" w:ascii="宋体" w:hAnsi="宋体"/>
                <w:szCs w:val="21"/>
              </w:rPr>
              <w:t xml:space="preserve">                                     </w:t>
            </w:r>
            <w:r>
              <w:rPr>
                <w:rFonts w:ascii="宋体" w:hAnsi="宋体"/>
                <w:szCs w:val="21"/>
              </w:rPr>
              <w:t xml:space="preserve"> </w:t>
            </w:r>
            <w:r>
              <w:rPr>
                <w:rFonts w:hint="eastAsia" w:ascii="宋体" w:hAnsi="宋体"/>
                <w:szCs w:val="21"/>
              </w:rPr>
              <w:t>投标人</w:t>
            </w:r>
          </w:p>
          <w:p w14:paraId="6B3C1418">
            <w:pPr>
              <w:rPr>
                <w:rFonts w:ascii="宋体" w:hAnsi="宋体"/>
                <w:szCs w:val="21"/>
              </w:rPr>
            </w:pPr>
          </w:p>
          <w:p w14:paraId="16719A88">
            <w:pPr>
              <w:rPr>
                <w:rFonts w:ascii="宋体" w:hAnsi="宋体"/>
                <w:szCs w:val="21"/>
              </w:rPr>
            </w:pPr>
            <w:r>
              <w:rPr>
                <w:rFonts w:hint="eastAsia" w:ascii="宋体" w:hAnsi="宋体"/>
                <w:szCs w:val="21"/>
              </w:rPr>
              <w:t>评审内容</w:t>
            </w:r>
          </w:p>
        </w:tc>
        <w:tc>
          <w:tcPr>
            <w:tcW w:w="1066" w:type="dxa"/>
            <w:tcBorders>
              <w:top w:val="single" w:color="auto" w:sz="4" w:space="0"/>
              <w:left w:val="single" w:color="auto" w:sz="4" w:space="0"/>
              <w:bottom w:val="single" w:color="auto" w:sz="4" w:space="0"/>
              <w:right w:val="single" w:color="auto" w:sz="4" w:space="0"/>
            </w:tcBorders>
          </w:tcPr>
          <w:p w14:paraId="2E631555">
            <w:pPr>
              <w:rPr>
                <w:rFonts w:ascii="宋体" w:hAnsi="宋体"/>
                <w:szCs w:val="21"/>
              </w:rPr>
            </w:pPr>
          </w:p>
        </w:tc>
        <w:tc>
          <w:tcPr>
            <w:tcW w:w="1397" w:type="dxa"/>
            <w:tcBorders>
              <w:top w:val="single" w:color="auto" w:sz="4" w:space="0"/>
              <w:left w:val="single" w:color="auto" w:sz="4" w:space="0"/>
              <w:bottom w:val="single" w:color="auto" w:sz="4" w:space="0"/>
              <w:right w:val="single" w:color="auto" w:sz="4" w:space="0"/>
            </w:tcBorders>
          </w:tcPr>
          <w:p w14:paraId="4CF6A432">
            <w:pPr>
              <w:rPr>
                <w:rFonts w:ascii="宋体" w:hAnsi="宋体"/>
                <w:szCs w:val="21"/>
              </w:rPr>
            </w:pPr>
          </w:p>
        </w:tc>
        <w:tc>
          <w:tcPr>
            <w:tcW w:w="1397" w:type="dxa"/>
            <w:tcBorders>
              <w:top w:val="single" w:color="auto" w:sz="4" w:space="0"/>
              <w:left w:val="single" w:color="auto" w:sz="4" w:space="0"/>
              <w:bottom w:val="single" w:color="auto" w:sz="4" w:space="0"/>
              <w:right w:val="single" w:color="auto" w:sz="4" w:space="0"/>
            </w:tcBorders>
          </w:tcPr>
          <w:p w14:paraId="70D9F718">
            <w:pPr>
              <w:rPr>
                <w:rFonts w:ascii="宋体" w:hAnsi="宋体"/>
                <w:szCs w:val="21"/>
              </w:rPr>
            </w:pPr>
          </w:p>
        </w:tc>
        <w:tc>
          <w:tcPr>
            <w:tcW w:w="1396" w:type="dxa"/>
            <w:tcBorders>
              <w:top w:val="single" w:color="auto" w:sz="4" w:space="0"/>
              <w:left w:val="single" w:color="auto" w:sz="4" w:space="0"/>
              <w:bottom w:val="single" w:color="auto" w:sz="4" w:space="0"/>
              <w:right w:val="single" w:color="auto" w:sz="4" w:space="0"/>
            </w:tcBorders>
          </w:tcPr>
          <w:p w14:paraId="39BA6017">
            <w:pPr>
              <w:rPr>
                <w:rFonts w:ascii="宋体" w:hAnsi="宋体"/>
                <w:szCs w:val="21"/>
              </w:rPr>
            </w:pPr>
          </w:p>
        </w:tc>
        <w:tc>
          <w:tcPr>
            <w:tcW w:w="1397" w:type="dxa"/>
            <w:tcBorders>
              <w:top w:val="single" w:color="auto" w:sz="4" w:space="0"/>
              <w:left w:val="single" w:color="auto" w:sz="4" w:space="0"/>
              <w:bottom w:val="single" w:color="auto" w:sz="4" w:space="0"/>
              <w:right w:val="single" w:color="auto" w:sz="4" w:space="0"/>
            </w:tcBorders>
          </w:tcPr>
          <w:p w14:paraId="631894C1">
            <w:pPr>
              <w:rPr>
                <w:rFonts w:ascii="宋体" w:hAnsi="宋体"/>
                <w:szCs w:val="21"/>
              </w:rPr>
            </w:pPr>
          </w:p>
        </w:tc>
        <w:tc>
          <w:tcPr>
            <w:tcW w:w="1397" w:type="dxa"/>
            <w:tcBorders>
              <w:top w:val="single" w:color="auto" w:sz="4" w:space="0"/>
              <w:left w:val="single" w:color="auto" w:sz="4" w:space="0"/>
              <w:bottom w:val="single" w:color="auto" w:sz="4" w:space="0"/>
              <w:right w:val="single" w:color="auto" w:sz="4" w:space="0"/>
            </w:tcBorders>
          </w:tcPr>
          <w:p w14:paraId="137C7436">
            <w:pPr>
              <w:rPr>
                <w:rFonts w:ascii="宋体" w:hAnsi="宋体"/>
                <w:szCs w:val="21"/>
              </w:rPr>
            </w:pPr>
          </w:p>
        </w:tc>
      </w:tr>
      <w:tr w14:paraId="0559DF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2" w:type="dxa"/>
            <w:tcBorders>
              <w:top w:val="single" w:color="auto" w:sz="4" w:space="0"/>
              <w:left w:val="single" w:color="auto" w:sz="4" w:space="0"/>
              <w:bottom w:val="single" w:color="auto" w:sz="4" w:space="0"/>
              <w:right w:val="single" w:color="auto" w:sz="4" w:space="0"/>
            </w:tcBorders>
            <w:vAlign w:val="center"/>
          </w:tcPr>
          <w:p w14:paraId="0B90D583">
            <w:pPr>
              <w:rPr>
                <w:rFonts w:ascii="宋体" w:hAnsi="宋体"/>
                <w:szCs w:val="21"/>
              </w:rPr>
            </w:pPr>
            <w:r>
              <w:rPr>
                <w:rFonts w:hint="eastAsia" w:ascii="宋体" w:hAnsi="宋体"/>
                <w:szCs w:val="21"/>
              </w:rPr>
              <w:t>1</w:t>
            </w:r>
          </w:p>
        </w:tc>
        <w:tc>
          <w:tcPr>
            <w:tcW w:w="6433" w:type="dxa"/>
            <w:tcBorders>
              <w:top w:val="single" w:color="auto" w:sz="4" w:space="0"/>
              <w:left w:val="single" w:color="auto" w:sz="4" w:space="0"/>
              <w:bottom w:val="single" w:color="auto" w:sz="4" w:space="0"/>
              <w:right w:val="single" w:color="auto" w:sz="4" w:space="0"/>
            </w:tcBorders>
            <w:vAlign w:val="center"/>
          </w:tcPr>
          <w:p w14:paraId="2F03D698">
            <w:pPr>
              <w:rPr>
                <w:rFonts w:ascii="宋体" w:hAnsi="宋体"/>
                <w:szCs w:val="21"/>
              </w:rPr>
            </w:pPr>
            <w:r>
              <w:rPr>
                <w:rFonts w:hint="eastAsia" w:ascii="宋体" w:hAnsi="宋体"/>
                <w:szCs w:val="21"/>
              </w:rPr>
              <w:t>对同一招标项目出现两个或以上的投标报价，且没有申明哪个有效；</w:t>
            </w:r>
          </w:p>
        </w:tc>
        <w:tc>
          <w:tcPr>
            <w:tcW w:w="1066" w:type="dxa"/>
            <w:tcBorders>
              <w:top w:val="single" w:color="auto" w:sz="4" w:space="0"/>
              <w:left w:val="single" w:color="auto" w:sz="4" w:space="0"/>
              <w:bottom w:val="single" w:color="auto" w:sz="4" w:space="0"/>
              <w:right w:val="single" w:color="auto" w:sz="4" w:space="0"/>
            </w:tcBorders>
          </w:tcPr>
          <w:p w14:paraId="5F620217">
            <w:pPr>
              <w:rPr>
                <w:rFonts w:ascii="宋体" w:hAnsi="宋体"/>
                <w:szCs w:val="21"/>
              </w:rPr>
            </w:pPr>
          </w:p>
        </w:tc>
        <w:tc>
          <w:tcPr>
            <w:tcW w:w="1397" w:type="dxa"/>
            <w:tcBorders>
              <w:top w:val="single" w:color="auto" w:sz="4" w:space="0"/>
              <w:left w:val="single" w:color="auto" w:sz="4" w:space="0"/>
              <w:bottom w:val="single" w:color="auto" w:sz="4" w:space="0"/>
              <w:right w:val="single" w:color="auto" w:sz="4" w:space="0"/>
            </w:tcBorders>
          </w:tcPr>
          <w:p w14:paraId="403F3116">
            <w:pPr>
              <w:rPr>
                <w:rFonts w:ascii="宋体" w:hAnsi="宋体"/>
                <w:szCs w:val="21"/>
              </w:rPr>
            </w:pPr>
          </w:p>
        </w:tc>
        <w:tc>
          <w:tcPr>
            <w:tcW w:w="1397" w:type="dxa"/>
            <w:tcBorders>
              <w:top w:val="single" w:color="auto" w:sz="4" w:space="0"/>
              <w:left w:val="single" w:color="auto" w:sz="4" w:space="0"/>
              <w:bottom w:val="single" w:color="auto" w:sz="4" w:space="0"/>
              <w:right w:val="single" w:color="auto" w:sz="4" w:space="0"/>
            </w:tcBorders>
          </w:tcPr>
          <w:p w14:paraId="6FFA5474">
            <w:pPr>
              <w:rPr>
                <w:rFonts w:ascii="宋体" w:hAnsi="宋体"/>
                <w:szCs w:val="21"/>
              </w:rPr>
            </w:pPr>
          </w:p>
        </w:tc>
        <w:tc>
          <w:tcPr>
            <w:tcW w:w="1396" w:type="dxa"/>
            <w:tcBorders>
              <w:top w:val="single" w:color="auto" w:sz="4" w:space="0"/>
              <w:left w:val="single" w:color="auto" w:sz="4" w:space="0"/>
              <w:bottom w:val="single" w:color="auto" w:sz="4" w:space="0"/>
              <w:right w:val="single" w:color="auto" w:sz="4" w:space="0"/>
            </w:tcBorders>
          </w:tcPr>
          <w:p w14:paraId="45E313CF">
            <w:pPr>
              <w:rPr>
                <w:rFonts w:ascii="宋体" w:hAnsi="宋体"/>
                <w:szCs w:val="21"/>
              </w:rPr>
            </w:pPr>
          </w:p>
        </w:tc>
        <w:tc>
          <w:tcPr>
            <w:tcW w:w="1397" w:type="dxa"/>
            <w:tcBorders>
              <w:top w:val="single" w:color="auto" w:sz="4" w:space="0"/>
              <w:left w:val="single" w:color="auto" w:sz="4" w:space="0"/>
              <w:bottom w:val="single" w:color="auto" w:sz="4" w:space="0"/>
              <w:right w:val="single" w:color="auto" w:sz="4" w:space="0"/>
            </w:tcBorders>
          </w:tcPr>
          <w:p w14:paraId="6D0AFE37">
            <w:pPr>
              <w:rPr>
                <w:rFonts w:ascii="宋体" w:hAnsi="宋体"/>
                <w:szCs w:val="21"/>
              </w:rPr>
            </w:pPr>
          </w:p>
        </w:tc>
        <w:tc>
          <w:tcPr>
            <w:tcW w:w="1397" w:type="dxa"/>
            <w:tcBorders>
              <w:top w:val="single" w:color="auto" w:sz="4" w:space="0"/>
              <w:left w:val="single" w:color="auto" w:sz="4" w:space="0"/>
              <w:bottom w:val="single" w:color="auto" w:sz="4" w:space="0"/>
              <w:right w:val="single" w:color="auto" w:sz="4" w:space="0"/>
            </w:tcBorders>
          </w:tcPr>
          <w:p w14:paraId="23F4883F">
            <w:pPr>
              <w:rPr>
                <w:rFonts w:ascii="宋体" w:hAnsi="宋体"/>
                <w:szCs w:val="21"/>
              </w:rPr>
            </w:pPr>
          </w:p>
        </w:tc>
      </w:tr>
      <w:tr w14:paraId="3E476D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2" w:type="dxa"/>
            <w:tcBorders>
              <w:top w:val="single" w:color="auto" w:sz="4" w:space="0"/>
              <w:left w:val="single" w:color="auto" w:sz="4" w:space="0"/>
              <w:bottom w:val="single" w:color="auto" w:sz="4" w:space="0"/>
              <w:right w:val="single" w:color="auto" w:sz="4" w:space="0"/>
            </w:tcBorders>
            <w:vAlign w:val="center"/>
          </w:tcPr>
          <w:p w14:paraId="48DD1635">
            <w:pPr>
              <w:rPr>
                <w:rFonts w:ascii="宋体" w:hAnsi="宋体"/>
                <w:szCs w:val="21"/>
              </w:rPr>
            </w:pPr>
            <w:r>
              <w:rPr>
                <w:rFonts w:hint="eastAsia" w:ascii="宋体" w:hAnsi="宋体"/>
                <w:szCs w:val="21"/>
              </w:rPr>
              <w:t>2</w:t>
            </w:r>
          </w:p>
        </w:tc>
        <w:tc>
          <w:tcPr>
            <w:tcW w:w="6433" w:type="dxa"/>
            <w:tcBorders>
              <w:top w:val="single" w:color="auto" w:sz="4" w:space="0"/>
              <w:left w:val="single" w:color="auto" w:sz="4" w:space="0"/>
              <w:bottom w:val="single" w:color="auto" w:sz="4" w:space="0"/>
              <w:right w:val="single" w:color="auto" w:sz="4" w:space="0"/>
            </w:tcBorders>
            <w:vAlign w:val="center"/>
          </w:tcPr>
          <w:p w14:paraId="6EAADE2D">
            <w:pPr>
              <w:rPr>
                <w:rFonts w:ascii="宋体" w:hAnsi="宋体"/>
                <w:szCs w:val="21"/>
              </w:rPr>
            </w:pPr>
            <w:r>
              <w:rPr>
                <w:rFonts w:hint="eastAsia" w:ascii="宋体" w:hAnsi="宋体"/>
                <w:szCs w:val="21"/>
              </w:rPr>
              <w:t>投标报价高于最高投标限价的；</w:t>
            </w:r>
          </w:p>
        </w:tc>
        <w:tc>
          <w:tcPr>
            <w:tcW w:w="1066" w:type="dxa"/>
            <w:tcBorders>
              <w:top w:val="single" w:color="auto" w:sz="4" w:space="0"/>
              <w:left w:val="single" w:color="auto" w:sz="4" w:space="0"/>
              <w:bottom w:val="single" w:color="auto" w:sz="4" w:space="0"/>
              <w:right w:val="single" w:color="auto" w:sz="4" w:space="0"/>
            </w:tcBorders>
          </w:tcPr>
          <w:p w14:paraId="049DD15F">
            <w:pPr>
              <w:rPr>
                <w:rFonts w:ascii="宋体" w:hAnsi="宋体"/>
                <w:szCs w:val="21"/>
              </w:rPr>
            </w:pPr>
          </w:p>
        </w:tc>
        <w:tc>
          <w:tcPr>
            <w:tcW w:w="1397" w:type="dxa"/>
            <w:tcBorders>
              <w:top w:val="single" w:color="auto" w:sz="4" w:space="0"/>
              <w:left w:val="single" w:color="auto" w:sz="4" w:space="0"/>
              <w:bottom w:val="single" w:color="auto" w:sz="4" w:space="0"/>
              <w:right w:val="single" w:color="auto" w:sz="4" w:space="0"/>
            </w:tcBorders>
          </w:tcPr>
          <w:p w14:paraId="16A56CC1">
            <w:pPr>
              <w:rPr>
                <w:rFonts w:ascii="宋体" w:hAnsi="宋体"/>
                <w:szCs w:val="21"/>
              </w:rPr>
            </w:pPr>
          </w:p>
        </w:tc>
        <w:tc>
          <w:tcPr>
            <w:tcW w:w="1397" w:type="dxa"/>
            <w:tcBorders>
              <w:top w:val="single" w:color="auto" w:sz="4" w:space="0"/>
              <w:left w:val="single" w:color="auto" w:sz="4" w:space="0"/>
              <w:bottom w:val="single" w:color="auto" w:sz="4" w:space="0"/>
              <w:right w:val="single" w:color="auto" w:sz="4" w:space="0"/>
            </w:tcBorders>
          </w:tcPr>
          <w:p w14:paraId="525FE662">
            <w:pPr>
              <w:rPr>
                <w:rFonts w:ascii="宋体" w:hAnsi="宋体"/>
                <w:szCs w:val="21"/>
              </w:rPr>
            </w:pPr>
          </w:p>
        </w:tc>
        <w:tc>
          <w:tcPr>
            <w:tcW w:w="1396" w:type="dxa"/>
            <w:tcBorders>
              <w:top w:val="single" w:color="auto" w:sz="4" w:space="0"/>
              <w:left w:val="single" w:color="auto" w:sz="4" w:space="0"/>
              <w:bottom w:val="single" w:color="auto" w:sz="4" w:space="0"/>
              <w:right w:val="single" w:color="auto" w:sz="4" w:space="0"/>
            </w:tcBorders>
          </w:tcPr>
          <w:p w14:paraId="65F338C7">
            <w:pPr>
              <w:rPr>
                <w:rFonts w:ascii="宋体" w:hAnsi="宋体"/>
                <w:szCs w:val="21"/>
              </w:rPr>
            </w:pPr>
          </w:p>
        </w:tc>
        <w:tc>
          <w:tcPr>
            <w:tcW w:w="1397" w:type="dxa"/>
            <w:tcBorders>
              <w:top w:val="single" w:color="auto" w:sz="4" w:space="0"/>
              <w:left w:val="single" w:color="auto" w:sz="4" w:space="0"/>
              <w:bottom w:val="single" w:color="auto" w:sz="4" w:space="0"/>
              <w:right w:val="single" w:color="auto" w:sz="4" w:space="0"/>
            </w:tcBorders>
          </w:tcPr>
          <w:p w14:paraId="173B0A90">
            <w:pPr>
              <w:rPr>
                <w:rFonts w:ascii="宋体" w:hAnsi="宋体"/>
                <w:szCs w:val="21"/>
              </w:rPr>
            </w:pPr>
          </w:p>
        </w:tc>
        <w:tc>
          <w:tcPr>
            <w:tcW w:w="1397" w:type="dxa"/>
            <w:tcBorders>
              <w:top w:val="single" w:color="auto" w:sz="4" w:space="0"/>
              <w:left w:val="single" w:color="auto" w:sz="4" w:space="0"/>
              <w:bottom w:val="single" w:color="auto" w:sz="4" w:space="0"/>
              <w:right w:val="single" w:color="auto" w:sz="4" w:space="0"/>
            </w:tcBorders>
          </w:tcPr>
          <w:p w14:paraId="22611978">
            <w:pPr>
              <w:rPr>
                <w:rFonts w:ascii="宋体" w:hAnsi="宋体"/>
                <w:szCs w:val="21"/>
              </w:rPr>
            </w:pPr>
          </w:p>
        </w:tc>
      </w:tr>
      <w:tr w14:paraId="75CBB3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2" w:type="dxa"/>
            <w:tcBorders>
              <w:top w:val="single" w:color="auto" w:sz="4" w:space="0"/>
              <w:left w:val="single" w:color="auto" w:sz="4" w:space="0"/>
              <w:bottom w:val="single" w:color="auto" w:sz="4" w:space="0"/>
              <w:right w:val="single" w:color="auto" w:sz="4" w:space="0"/>
            </w:tcBorders>
            <w:vAlign w:val="center"/>
          </w:tcPr>
          <w:p w14:paraId="5C6C4618">
            <w:pPr>
              <w:rPr>
                <w:rFonts w:ascii="宋体" w:hAnsi="宋体"/>
                <w:szCs w:val="21"/>
              </w:rPr>
            </w:pPr>
            <w:r>
              <w:rPr>
                <w:rFonts w:hint="eastAsia" w:ascii="宋体" w:hAnsi="宋体"/>
                <w:szCs w:val="21"/>
              </w:rPr>
              <w:t>3</w:t>
            </w:r>
          </w:p>
        </w:tc>
        <w:tc>
          <w:tcPr>
            <w:tcW w:w="6433" w:type="dxa"/>
            <w:tcBorders>
              <w:top w:val="single" w:color="auto" w:sz="4" w:space="0"/>
              <w:left w:val="single" w:color="auto" w:sz="4" w:space="0"/>
              <w:bottom w:val="single" w:color="auto" w:sz="4" w:space="0"/>
              <w:right w:val="single" w:color="auto" w:sz="4" w:space="0"/>
            </w:tcBorders>
            <w:vAlign w:val="center"/>
          </w:tcPr>
          <w:p w14:paraId="616A283B">
            <w:pPr>
              <w:autoSpaceDE w:val="0"/>
              <w:autoSpaceDN w:val="0"/>
              <w:adjustRightInd w:val="0"/>
              <w:ind w:left="-2" w:leftChars="-1"/>
              <w:jc w:val="left"/>
              <w:rPr>
                <w:rFonts w:ascii="宋体" w:hAnsi="宋体"/>
                <w:szCs w:val="21"/>
              </w:rPr>
            </w:pPr>
            <w:r>
              <w:rPr>
                <w:rFonts w:hint="eastAsia" w:ascii="宋体" w:hAnsi="宋体"/>
                <w:szCs w:val="21"/>
              </w:rPr>
              <w:t>投标报价低于成本的（投标人的报价低于成本警戒价，使得其投标报价可能低于其个别成本，又不能合理说明或者不能提供相关证明材料，评标委员会认定该投标人低于成本报价的）；</w:t>
            </w:r>
          </w:p>
        </w:tc>
        <w:tc>
          <w:tcPr>
            <w:tcW w:w="1066" w:type="dxa"/>
            <w:tcBorders>
              <w:top w:val="single" w:color="auto" w:sz="4" w:space="0"/>
              <w:left w:val="single" w:color="auto" w:sz="4" w:space="0"/>
              <w:bottom w:val="single" w:color="auto" w:sz="4" w:space="0"/>
              <w:right w:val="single" w:color="auto" w:sz="4" w:space="0"/>
            </w:tcBorders>
          </w:tcPr>
          <w:p w14:paraId="5676ECD8">
            <w:pPr>
              <w:rPr>
                <w:rFonts w:ascii="宋体" w:hAnsi="宋体"/>
                <w:szCs w:val="21"/>
              </w:rPr>
            </w:pPr>
          </w:p>
        </w:tc>
        <w:tc>
          <w:tcPr>
            <w:tcW w:w="1397" w:type="dxa"/>
            <w:tcBorders>
              <w:top w:val="single" w:color="auto" w:sz="4" w:space="0"/>
              <w:left w:val="single" w:color="auto" w:sz="4" w:space="0"/>
              <w:bottom w:val="single" w:color="auto" w:sz="4" w:space="0"/>
              <w:right w:val="single" w:color="auto" w:sz="4" w:space="0"/>
            </w:tcBorders>
          </w:tcPr>
          <w:p w14:paraId="03B43C5B">
            <w:pPr>
              <w:rPr>
                <w:rFonts w:ascii="宋体" w:hAnsi="宋体"/>
                <w:szCs w:val="21"/>
              </w:rPr>
            </w:pPr>
          </w:p>
        </w:tc>
        <w:tc>
          <w:tcPr>
            <w:tcW w:w="1397" w:type="dxa"/>
            <w:tcBorders>
              <w:top w:val="single" w:color="auto" w:sz="4" w:space="0"/>
              <w:left w:val="single" w:color="auto" w:sz="4" w:space="0"/>
              <w:bottom w:val="single" w:color="auto" w:sz="4" w:space="0"/>
              <w:right w:val="single" w:color="auto" w:sz="4" w:space="0"/>
            </w:tcBorders>
          </w:tcPr>
          <w:p w14:paraId="22C6CB59">
            <w:pPr>
              <w:rPr>
                <w:rFonts w:ascii="宋体" w:hAnsi="宋体"/>
                <w:szCs w:val="21"/>
              </w:rPr>
            </w:pPr>
          </w:p>
        </w:tc>
        <w:tc>
          <w:tcPr>
            <w:tcW w:w="1396" w:type="dxa"/>
            <w:tcBorders>
              <w:top w:val="single" w:color="auto" w:sz="4" w:space="0"/>
              <w:left w:val="single" w:color="auto" w:sz="4" w:space="0"/>
              <w:bottom w:val="single" w:color="auto" w:sz="4" w:space="0"/>
              <w:right w:val="single" w:color="auto" w:sz="4" w:space="0"/>
            </w:tcBorders>
          </w:tcPr>
          <w:p w14:paraId="21843089">
            <w:pPr>
              <w:rPr>
                <w:rFonts w:ascii="宋体" w:hAnsi="宋体"/>
                <w:szCs w:val="21"/>
              </w:rPr>
            </w:pPr>
          </w:p>
        </w:tc>
        <w:tc>
          <w:tcPr>
            <w:tcW w:w="1397" w:type="dxa"/>
            <w:tcBorders>
              <w:top w:val="single" w:color="auto" w:sz="4" w:space="0"/>
              <w:left w:val="single" w:color="auto" w:sz="4" w:space="0"/>
              <w:bottom w:val="single" w:color="auto" w:sz="4" w:space="0"/>
              <w:right w:val="single" w:color="auto" w:sz="4" w:space="0"/>
            </w:tcBorders>
          </w:tcPr>
          <w:p w14:paraId="54C54C69">
            <w:pPr>
              <w:rPr>
                <w:rFonts w:ascii="宋体" w:hAnsi="宋体"/>
                <w:szCs w:val="21"/>
              </w:rPr>
            </w:pPr>
          </w:p>
        </w:tc>
        <w:tc>
          <w:tcPr>
            <w:tcW w:w="1397" w:type="dxa"/>
            <w:tcBorders>
              <w:top w:val="single" w:color="auto" w:sz="4" w:space="0"/>
              <w:left w:val="single" w:color="auto" w:sz="4" w:space="0"/>
              <w:bottom w:val="single" w:color="auto" w:sz="4" w:space="0"/>
              <w:right w:val="single" w:color="auto" w:sz="4" w:space="0"/>
            </w:tcBorders>
          </w:tcPr>
          <w:p w14:paraId="695754D4">
            <w:pPr>
              <w:rPr>
                <w:rFonts w:ascii="宋体" w:hAnsi="宋体"/>
                <w:szCs w:val="21"/>
              </w:rPr>
            </w:pPr>
          </w:p>
        </w:tc>
      </w:tr>
      <w:tr w14:paraId="1FFEBE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2" w:type="dxa"/>
            <w:tcBorders>
              <w:top w:val="single" w:color="auto" w:sz="4" w:space="0"/>
              <w:left w:val="single" w:color="auto" w:sz="4" w:space="0"/>
              <w:bottom w:val="single" w:color="auto" w:sz="4" w:space="0"/>
              <w:right w:val="single" w:color="auto" w:sz="4" w:space="0"/>
            </w:tcBorders>
            <w:vAlign w:val="center"/>
          </w:tcPr>
          <w:p w14:paraId="51F28E1A">
            <w:pPr>
              <w:rPr>
                <w:rFonts w:ascii="宋体" w:hAnsi="宋体"/>
                <w:szCs w:val="21"/>
              </w:rPr>
            </w:pPr>
            <w:r>
              <w:rPr>
                <w:rFonts w:hint="eastAsia" w:ascii="宋体" w:hAnsi="宋体"/>
                <w:szCs w:val="21"/>
              </w:rPr>
              <w:t>4</w:t>
            </w:r>
          </w:p>
        </w:tc>
        <w:tc>
          <w:tcPr>
            <w:tcW w:w="6433" w:type="dxa"/>
            <w:tcBorders>
              <w:top w:val="single" w:color="auto" w:sz="4" w:space="0"/>
              <w:left w:val="single" w:color="auto" w:sz="4" w:space="0"/>
              <w:bottom w:val="single" w:color="auto" w:sz="4" w:space="0"/>
              <w:right w:val="single" w:color="auto" w:sz="4" w:space="0"/>
            </w:tcBorders>
            <w:vAlign w:val="center"/>
          </w:tcPr>
          <w:p w14:paraId="2DE891D2">
            <w:pPr>
              <w:rPr>
                <w:rFonts w:ascii="宋体" w:hAnsi="宋体"/>
                <w:szCs w:val="21"/>
              </w:rPr>
            </w:pPr>
            <w:r>
              <w:rPr>
                <w:rFonts w:hint="eastAsia" w:ascii="宋体" w:hAnsi="宋体"/>
                <w:szCs w:val="21"/>
              </w:rPr>
              <w:t>投标文件未按规定的格式填写，或主要内容不全，或关键字迹模糊、无法辨认的；</w:t>
            </w:r>
          </w:p>
        </w:tc>
        <w:tc>
          <w:tcPr>
            <w:tcW w:w="1066" w:type="dxa"/>
            <w:tcBorders>
              <w:top w:val="single" w:color="auto" w:sz="4" w:space="0"/>
              <w:left w:val="single" w:color="auto" w:sz="4" w:space="0"/>
              <w:bottom w:val="single" w:color="auto" w:sz="4" w:space="0"/>
              <w:right w:val="single" w:color="auto" w:sz="4" w:space="0"/>
            </w:tcBorders>
          </w:tcPr>
          <w:p w14:paraId="7421017D">
            <w:pPr>
              <w:rPr>
                <w:rFonts w:ascii="宋体" w:hAnsi="宋体"/>
                <w:szCs w:val="21"/>
              </w:rPr>
            </w:pPr>
          </w:p>
        </w:tc>
        <w:tc>
          <w:tcPr>
            <w:tcW w:w="1397" w:type="dxa"/>
            <w:tcBorders>
              <w:top w:val="single" w:color="auto" w:sz="4" w:space="0"/>
              <w:left w:val="single" w:color="auto" w:sz="4" w:space="0"/>
              <w:bottom w:val="single" w:color="auto" w:sz="4" w:space="0"/>
              <w:right w:val="single" w:color="auto" w:sz="4" w:space="0"/>
            </w:tcBorders>
          </w:tcPr>
          <w:p w14:paraId="5E98FD6F">
            <w:pPr>
              <w:rPr>
                <w:rFonts w:ascii="宋体" w:hAnsi="宋体"/>
                <w:szCs w:val="21"/>
              </w:rPr>
            </w:pPr>
          </w:p>
        </w:tc>
        <w:tc>
          <w:tcPr>
            <w:tcW w:w="1397" w:type="dxa"/>
            <w:tcBorders>
              <w:top w:val="single" w:color="auto" w:sz="4" w:space="0"/>
              <w:left w:val="single" w:color="auto" w:sz="4" w:space="0"/>
              <w:bottom w:val="single" w:color="auto" w:sz="4" w:space="0"/>
              <w:right w:val="single" w:color="auto" w:sz="4" w:space="0"/>
            </w:tcBorders>
          </w:tcPr>
          <w:p w14:paraId="3D922BBA">
            <w:pPr>
              <w:rPr>
                <w:rFonts w:ascii="宋体" w:hAnsi="宋体"/>
                <w:szCs w:val="21"/>
              </w:rPr>
            </w:pPr>
          </w:p>
        </w:tc>
        <w:tc>
          <w:tcPr>
            <w:tcW w:w="1396" w:type="dxa"/>
            <w:tcBorders>
              <w:top w:val="single" w:color="auto" w:sz="4" w:space="0"/>
              <w:left w:val="single" w:color="auto" w:sz="4" w:space="0"/>
              <w:bottom w:val="single" w:color="auto" w:sz="4" w:space="0"/>
              <w:right w:val="single" w:color="auto" w:sz="4" w:space="0"/>
            </w:tcBorders>
          </w:tcPr>
          <w:p w14:paraId="3ED36294">
            <w:pPr>
              <w:rPr>
                <w:rFonts w:ascii="宋体" w:hAnsi="宋体"/>
                <w:szCs w:val="21"/>
              </w:rPr>
            </w:pPr>
          </w:p>
        </w:tc>
        <w:tc>
          <w:tcPr>
            <w:tcW w:w="1397" w:type="dxa"/>
            <w:tcBorders>
              <w:top w:val="single" w:color="auto" w:sz="4" w:space="0"/>
              <w:left w:val="single" w:color="auto" w:sz="4" w:space="0"/>
              <w:bottom w:val="single" w:color="auto" w:sz="4" w:space="0"/>
              <w:right w:val="single" w:color="auto" w:sz="4" w:space="0"/>
            </w:tcBorders>
          </w:tcPr>
          <w:p w14:paraId="772EE8C5">
            <w:pPr>
              <w:rPr>
                <w:rFonts w:ascii="宋体" w:hAnsi="宋体"/>
                <w:szCs w:val="21"/>
              </w:rPr>
            </w:pPr>
          </w:p>
        </w:tc>
        <w:tc>
          <w:tcPr>
            <w:tcW w:w="1397" w:type="dxa"/>
            <w:tcBorders>
              <w:top w:val="single" w:color="auto" w:sz="4" w:space="0"/>
              <w:left w:val="single" w:color="auto" w:sz="4" w:space="0"/>
              <w:bottom w:val="single" w:color="auto" w:sz="4" w:space="0"/>
              <w:right w:val="single" w:color="auto" w:sz="4" w:space="0"/>
            </w:tcBorders>
          </w:tcPr>
          <w:p w14:paraId="0F2FB9C3">
            <w:pPr>
              <w:rPr>
                <w:rFonts w:ascii="宋体" w:hAnsi="宋体"/>
                <w:szCs w:val="21"/>
              </w:rPr>
            </w:pPr>
          </w:p>
        </w:tc>
      </w:tr>
      <w:tr w14:paraId="766DB7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2" w:type="dxa"/>
            <w:tcBorders>
              <w:top w:val="single" w:color="auto" w:sz="4" w:space="0"/>
              <w:left w:val="single" w:color="auto" w:sz="4" w:space="0"/>
              <w:bottom w:val="single" w:color="auto" w:sz="4" w:space="0"/>
              <w:right w:val="single" w:color="auto" w:sz="4" w:space="0"/>
            </w:tcBorders>
            <w:vAlign w:val="center"/>
          </w:tcPr>
          <w:p w14:paraId="352756CB">
            <w:pPr>
              <w:rPr>
                <w:rFonts w:ascii="宋体" w:hAnsi="宋体"/>
                <w:szCs w:val="21"/>
              </w:rPr>
            </w:pPr>
            <w:r>
              <w:rPr>
                <w:rFonts w:hint="eastAsia" w:ascii="宋体" w:hAnsi="宋体"/>
                <w:szCs w:val="21"/>
              </w:rPr>
              <w:t>5</w:t>
            </w:r>
          </w:p>
        </w:tc>
        <w:tc>
          <w:tcPr>
            <w:tcW w:w="6433" w:type="dxa"/>
            <w:tcBorders>
              <w:top w:val="single" w:color="auto" w:sz="4" w:space="0"/>
              <w:left w:val="single" w:color="auto" w:sz="4" w:space="0"/>
              <w:bottom w:val="single" w:color="auto" w:sz="4" w:space="0"/>
              <w:right w:val="single" w:color="auto" w:sz="4" w:space="0"/>
            </w:tcBorders>
            <w:vAlign w:val="center"/>
          </w:tcPr>
          <w:p w14:paraId="595C6201">
            <w:pPr>
              <w:rPr>
                <w:rFonts w:ascii="宋体" w:hAnsi="宋体"/>
                <w:szCs w:val="21"/>
              </w:rPr>
            </w:pPr>
            <w:r>
              <w:rPr>
                <w:rFonts w:hint="eastAsia" w:ascii="宋体" w:hAnsi="宋体"/>
                <w:szCs w:val="21"/>
              </w:rPr>
              <w:t>投标人之间存在《广东省实施&lt;中华人民共和国招标投标法&gt;》第十六条所禁止的情形的；</w:t>
            </w:r>
          </w:p>
        </w:tc>
        <w:tc>
          <w:tcPr>
            <w:tcW w:w="1066" w:type="dxa"/>
            <w:tcBorders>
              <w:top w:val="single" w:color="auto" w:sz="4" w:space="0"/>
              <w:left w:val="single" w:color="auto" w:sz="4" w:space="0"/>
              <w:bottom w:val="single" w:color="auto" w:sz="4" w:space="0"/>
              <w:right w:val="single" w:color="auto" w:sz="4" w:space="0"/>
            </w:tcBorders>
          </w:tcPr>
          <w:p w14:paraId="3E8071F5">
            <w:pPr>
              <w:rPr>
                <w:rFonts w:ascii="宋体" w:hAnsi="宋体"/>
                <w:szCs w:val="21"/>
              </w:rPr>
            </w:pPr>
          </w:p>
        </w:tc>
        <w:tc>
          <w:tcPr>
            <w:tcW w:w="1397" w:type="dxa"/>
            <w:tcBorders>
              <w:top w:val="single" w:color="auto" w:sz="4" w:space="0"/>
              <w:left w:val="single" w:color="auto" w:sz="4" w:space="0"/>
              <w:bottom w:val="single" w:color="auto" w:sz="4" w:space="0"/>
              <w:right w:val="single" w:color="auto" w:sz="4" w:space="0"/>
            </w:tcBorders>
          </w:tcPr>
          <w:p w14:paraId="2D10AD8B">
            <w:pPr>
              <w:rPr>
                <w:rFonts w:ascii="宋体" w:hAnsi="宋体"/>
                <w:szCs w:val="21"/>
              </w:rPr>
            </w:pPr>
          </w:p>
        </w:tc>
        <w:tc>
          <w:tcPr>
            <w:tcW w:w="1397" w:type="dxa"/>
            <w:tcBorders>
              <w:top w:val="single" w:color="auto" w:sz="4" w:space="0"/>
              <w:left w:val="single" w:color="auto" w:sz="4" w:space="0"/>
              <w:bottom w:val="single" w:color="auto" w:sz="4" w:space="0"/>
              <w:right w:val="single" w:color="auto" w:sz="4" w:space="0"/>
            </w:tcBorders>
          </w:tcPr>
          <w:p w14:paraId="21B648E0">
            <w:pPr>
              <w:rPr>
                <w:rFonts w:ascii="宋体" w:hAnsi="宋体"/>
                <w:szCs w:val="21"/>
              </w:rPr>
            </w:pPr>
          </w:p>
        </w:tc>
        <w:tc>
          <w:tcPr>
            <w:tcW w:w="1396" w:type="dxa"/>
            <w:tcBorders>
              <w:top w:val="single" w:color="auto" w:sz="4" w:space="0"/>
              <w:left w:val="single" w:color="auto" w:sz="4" w:space="0"/>
              <w:bottom w:val="single" w:color="auto" w:sz="4" w:space="0"/>
              <w:right w:val="single" w:color="auto" w:sz="4" w:space="0"/>
            </w:tcBorders>
          </w:tcPr>
          <w:p w14:paraId="04FC42DA">
            <w:pPr>
              <w:rPr>
                <w:rFonts w:ascii="宋体" w:hAnsi="宋体"/>
                <w:szCs w:val="21"/>
              </w:rPr>
            </w:pPr>
          </w:p>
        </w:tc>
        <w:tc>
          <w:tcPr>
            <w:tcW w:w="1397" w:type="dxa"/>
            <w:tcBorders>
              <w:top w:val="single" w:color="auto" w:sz="4" w:space="0"/>
              <w:left w:val="single" w:color="auto" w:sz="4" w:space="0"/>
              <w:bottom w:val="single" w:color="auto" w:sz="4" w:space="0"/>
              <w:right w:val="single" w:color="auto" w:sz="4" w:space="0"/>
            </w:tcBorders>
          </w:tcPr>
          <w:p w14:paraId="34058C3A">
            <w:pPr>
              <w:rPr>
                <w:rFonts w:ascii="宋体" w:hAnsi="宋体"/>
                <w:szCs w:val="21"/>
              </w:rPr>
            </w:pPr>
          </w:p>
        </w:tc>
        <w:tc>
          <w:tcPr>
            <w:tcW w:w="1397" w:type="dxa"/>
            <w:tcBorders>
              <w:top w:val="single" w:color="auto" w:sz="4" w:space="0"/>
              <w:left w:val="single" w:color="auto" w:sz="4" w:space="0"/>
              <w:bottom w:val="single" w:color="auto" w:sz="4" w:space="0"/>
              <w:right w:val="single" w:color="auto" w:sz="4" w:space="0"/>
            </w:tcBorders>
          </w:tcPr>
          <w:p w14:paraId="7D86FF1C">
            <w:pPr>
              <w:rPr>
                <w:rFonts w:ascii="宋体" w:hAnsi="宋体"/>
                <w:szCs w:val="21"/>
              </w:rPr>
            </w:pPr>
          </w:p>
        </w:tc>
      </w:tr>
      <w:tr w14:paraId="76965B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2" w:type="dxa"/>
            <w:tcBorders>
              <w:top w:val="single" w:color="auto" w:sz="4" w:space="0"/>
              <w:left w:val="single" w:color="auto" w:sz="4" w:space="0"/>
              <w:bottom w:val="single" w:color="auto" w:sz="4" w:space="0"/>
              <w:right w:val="single" w:color="auto" w:sz="4" w:space="0"/>
            </w:tcBorders>
            <w:vAlign w:val="center"/>
          </w:tcPr>
          <w:p w14:paraId="2865F164">
            <w:pPr>
              <w:rPr>
                <w:rFonts w:ascii="宋体" w:hAnsi="宋体"/>
                <w:szCs w:val="21"/>
              </w:rPr>
            </w:pPr>
            <w:r>
              <w:rPr>
                <w:rFonts w:hint="eastAsia" w:ascii="宋体" w:hAnsi="宋体"/>
                <w:szCs w:val="21"/>
              </w:rPr>
              <w:t>6</w:t>
            </w:r>
          </w:p>
        </w:tc>
        <w:tc>
          <w:tcPr>
            <w:tcW w:w="6433" w:type="dxa"/>
            <w:tcBorders>
              <w:top w:val="single" w:color="auto" w:sz="4" w:space="0"/>
              <w:left w:val="single" w:color="auto" w:sz="4" w:space="0"/>
              <w:bottom w:val="single" w:color="auto" w:sz="4" w:space="0"/>
              <w:right w:val="single" w:color="auto" w:sz="4" w:space="0"/>
            </w:tcBorders>
            <w:vAlign w:val="center"/>
          </w:tcPr>
          <w:p w14:paraId="49A2FD11">
            <w:pPr>
              <w:rPr>
                <w:rFonts w:ascii="宋体" w:hAnsi="宋体"/>
                <w:szCs w:val="21"/>
              </w:rPr>
            </w:pPr>
            <w:r>
              <w:rPr>
                <w:rFonts w:hint="eastAsia" w:ascii="宋体" w:hAnsi="宋体"/>
                <w:szCs w:val="21"/>
              </w:rPr>
              <w:t>无《参与编制经济标投标文件人员名单》的；</w:t>
            </w:r>
          </w:p>
        </w:tc>
        <w:tc>
          <w:tcPr>
            <w:tcW w:w="1066" w:type="dxa"/>
            <w:tcBorders>
              <w:top w:val="single" w:color="auto" w:sz="4" w:space="0"/>
              <w:left w:val="single" w:color="auto" w:sz="4" w:space="0"/>
              <w:bottom w:val="single" w:color="auto" w:sz="4" w:space="0"/>
              <w:right w:val="single" w:color="auto" w:sz="4" w:space="0"/>
            </w:tcBorders>
          </w:tcPr>
          <w:p w14:paraId="46CEDC64">
            <w:pPr>
              <w:rPr>
                <w:rFonts w:ascii="宋体" w:hAnsi="宋体"/>
                <w:szCs w:val="21"/>
              </w:rPr>
            </w:pPr>
          </w:p>
        </w:tc>
        <w:tc>
          <w:tcPr>
            <w:tcW w:w="1397" w:type="dxa"/>
            <w:tcBorders>
              <w:top w:val="single" w:color="auto" w:sz="4" w:space="0"/>
              <w:left w:val="single" w:color="auto" w:sz="4" w:space="0"/>
              <w:bottom w:val="single" w:color="auto" w:sz="4" w:space="0"/>
              <w:right w:val="single" w:color="auto" w:sz="4" w:space="0"/>
            </w:tcBorders>
          </w:tcPr>
          <w:p w14:paraId="0A63644F">
            <w:pPr>
              <w:rPr>
                <w:rFonts w:ascii="宋体" w:hAnsi="宋体"/>
                <w:szCs w:val="21"/>
              </w:rPr>
            </w:pPr>
          </w:p>
        </w:tc>
        <w:tc>
          <w:tcPr>
            <w:tcW w:w="1397" w:type="dxa"/>
            <w:tcBorders>
              <w:top w:val="single" w:color="auto" w:sz="4" w:space="0"/>
              <w:left w:val="single" w:color="auto" w:sz="4" w:space="0"/>
              <w:bottom w:val="single" w:color="auto" w:sz="4" w:space="0"/>
              <w:right w:val="single" w:color="auto" w:sz="4" w:space="0"/>
            </w:tcBorders>
          </w:tcPr>
          <w:p w14:paraId="57EB4311">
            <w:pPr>
              <w:rPr>
                <w:rFonts w:ascii="宋体" w:hAnsi="宋体"/>
                <w:szCs w:val="21"/>
              </w:rPr>
            </w:pPr>
          </w:p>
        </w:tc>
        <w:tc>
          <w:tcPr>
            <w:tcW w:w="1396" w:type="dxa"/>
            <w:tcBorders>
              <w:top w:val="single" w:color="auto" w:sz="4" w:space="0"/>
              <w:left w:val="single" w:color="auto" w:sz="4" w:space="0"/>
              <w:bottom w:val="single" w:color="auto" w:sz="4" w:space="0"/>
              <w:right w:val="single" w:color="auto" w:sz="4" w:space="0"/>
            </w:tcBorders>
          </w:tcPr>
          <w:p w14:paraId="31E8ADEC">
            <w:pPr>
              <w:rPr>
                <w:rFonts w:ascii="宋体" w:hAnsi="宋体"/>
                <w:szCs w:val="21"/>
              </w:rPr>
            </w:pPr>
          </w:p>
        </w:tc>
        <w:tc>
          <w:tcPr>
            <w:tcW w:w="1397" w:type="dxa"/>
            <w:tcBorders>
              <w:top w:val="single" w:color="auto" w:sz="4" w:space="0"/>
              <w:left w:val="single" w:color="auto" w:sz="4" w:space="0"/>
              <w:bottom w:val="single" w:color="auto" w:sz="4" w:space="0"/>
              <w:right w:val="single" w:color="auto" w:sz="4" w:space="0"/>
            </w:tcBorders>
          </w:tcPr>
          <w:p w14:paraId="22016C1F">
            <w:pPr>
              <w:rPr>
                <w:rFonts w:ascii="宋体" w:hAnsi="宋体"/>
                <w:szCs w:val="21"/>
              </w:rPr>
            </w:pPr>
          </w:p>
        </w:tc>
        <w:tc>
          <w:tcPr>
            <w:tcW w:w="1397" w:type="dxa"/>
            <w:tcBorders>
              <w:top w:val="single" w:color="auto" w:sz="4" w:space="0"/>
              <w:left w:val="single" w:color="auto" w:sz="4" w:space="0"/>
              <w:bottom w:val="single" w:color="auto" w:sz="4" w:space="0"/>
              <w:right w:val="single" w:color="auto" w:sz="4" w:space="0"/>
            </w:tcBorders>
          </w:tcPr>
          <w:p w14:paraId="0BF922F2">
            <w:pPr>
              <w:rPr>
                <w:rFonts w:ascii="宋体" w:hAnsi="宋体"/>
                <w:szCs w:val="21"/>
              </w:rPr>
            </w:pPr>
          </w:p>
        </w:tc>
      </w:tr>
      <w:tr w14:paraId="03FCEC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2" w:type="dxa"/>
            <w:tcBorders>
              <w:top w:val="single" w:color="auto" w:sz="4" w:space="0"/>
              <w:left w:val="single" w:color="auto" w:sz="4" w:space="0"/>
              <w:bottom w:val="single" w:color="auto" w:sz="4" w:space="0"/>
              <w:right w:val="single" w:color="auto" w:sz="4" w:space="0"/>
            </w:tcBorders>
            <w:vAlign w:val="center"/>
          </w:tcPr>
          <w:p w14:paraId="0A206755">
            <w:pPr>
              <w:rPr>
                <w:rFonts w:ascii="宋体" w:hAnsi="宋体"/>
                <w:szCs w:val="21"/>
              </w:rPr>
            </w:pPr>
            <w:r>
              <w:rPr>
                <w:rFonts w:hint="eastAsia" w:ascii="宋体" w:hAnsi="宋体"/>
                <w:szCs w:val="21"/>
              </w:rPr>
              <w:t>7</w:t>
            </w:r>
          </w:p>
        </w:tc>
        <w:tc>
          <w:tcPr>
            <w:tcW w:w="6433" w:type="dxa"/>
            <w:tcBorders>
              <w:top w:val="single" w:color="auto" w:sz="4" w:space="0"/>
              <w:left w:val="single" w:color="auto" w:sz="4" w:space="0"/>
              <w:bottom w:val="single" w:color="auto" w:sz="4" w:space="0"/>
              <w:right w:val="single" w:color="auto" w:sz="4" w:space="0"/>
            </w:tcBorders>
            <w:vAlign w:val="center"/>
          </w:tcPr>
          <w:p w14:paraId="25B2E59F">
            <w:pPr>
              <w:rPr>
                <w:rFonts w:ascii="宋体" w:hAnsi="宋体"/>
                <w:szCs w:val="21"/>
              </w:rPr>
            </w:pPr>
            <w:r>
              <w:rPr>
                <w:rFonts w:hint="eastAsia" w:ascii="宋体" w:hAnsi="宋体"/>
                <w:szCs w:val="21"/>
              </w:rPr>
              <w:t>无《对投标文件编制的承诺》</w:t>
            </w:r>
          </w:p>
        </w:tc>
        <w:tc>
          <w:tcPr>
            <w:tcW w:w="1066" w:type="dxa"/>
            <w:tcBorders>
              <w:top w:val="single" w:color="auto" w:sz="4" w:space="0"/>
              <w:left w:val="single" w:color="auto" w:sz="4" w:space="0"/>
              <w:bottom w:val="single" w:color="auto" w:sz="4" w:space="0"/>
              <w:right w:val="single" w:color="auto" w:sz="4" w:space="0"/>
            </w:tcBorders>
          </w:tcPr>
          <w:p w14:paraId="5664E545">
            <w:pPr>
              <w:rPr>
                <w:rFonts w:ascii="宋体" w:hAnsi="宋体"/>
                <w:szCs w:val="21"/>
              </w:rPr>
            </w:pPr>
          </w:p>
        </w:tc>
        <w:tc>
          <w:tcPr>
            <w:tcW w:w="1397" w:type="dxa"/>
            <w:tcBorders>
              <w:top w:val="single" w:color="auto" w:sz="4" w:space="0"/>
              <w:left w:val="single" w:color="auto" w:sz="4" w:space="0"/>
              <w:bottom w:val="single" w:color="auto" w:sz="4" w:space="0"/>
              <w:right w:val="single" w:color="auto" w:sz="4" w:space="0"/>
            </w:tcBorders>
          </w:tcPr>
          <w:p w14:paraId="2A96E564">
            <w:pPr>
              <w:rPr>
                <w:rFonts w:ascii="宋体" w:hAnsi="宋体"/>
                <w:szCs w:val="21"/>
              </w:rPr>
            </w:pPr>
          </w:p>
        </w:tc>
        <w:tc>
          <w:tcPr>
            <w:tcW w:w="1397" w:type="dxa"/>
            <w:tcBorders>
              <w:top w:val="single" w:color="auto" w:sz="4" w:space="0"/>
              <w:left w:val="single" w:color="auto" w:sz="4" w:space="0"/>
              <w:bottom w:val="single" w:color="auto" w:sz="4" w:space="0"/>
              <w:right w:val="single" w:color="auto" w:sz="4" w:space="0"/>
            </w:tcBorders>
          </w:tcPr>
          <w:p w14:paraId="041A2A83">
            <w:pPr>
              <w:rPr>
                <w:rFonts w:ascii="宋体" w:hAnsi="宋体"/>
                <w:szCs w:val="21"/>
              </w:rPr>
            </w:pPr>
          </w:p>
        </w:tc>
        <w:tc>
          <w:tcPr>
            <w:tcW w:w="1396" w:type="dxa"/>
            <w:tcBorders>
              <w:top w:val="single" w:color="auto" w:sz="4" w:space="0"/>
              <w:left w:val="single" w:color="auto" w:sz="4" w:space="0"/>
              <w:bottom w:val="single" w:color="auto" w:sz="4" w:space="0"/>
              <w:right w:val="single" w:color="auto" w:sz="4" w:space="0"/>
            </w:tcBorders>
          </w:tcPr>
          <w:p w14:paraId="40223A7E">
            <w:pPr>
              <w:rPr>
                <w:rFonts w:ascii="宋体" w:hAnsi="宋体"/>
                <w:szCs w:val="21"/>
              </w:rPr>
            </w:pPr>
          </w:p>
        </w:tc>
        <w:tc>
          <w:tcPr>
            <w:tcW w:w="1397" w:type="dxa"/>
            <w:tcBorders>
              <w:top w:val="single" w:color="auto" w:sz="4" w:space="0"/>
              <w:left w:val="single" w:color="auto" w:sz="4" w:space="0"/>
              <w:bottom w:val="single" w:color="auto" w:sz="4" w:space="0"/>
              <w:right w:val="single" w:color="auto" w:sz="4" w:space="0"/>
            </w:tcBorders>
          </w:tcPr>
          <w:p w14:paraId="5CA6F406">
            <w:pPr>
              <w:rPr>
                <w:rFonts w:ascii="宋体" w:hAnsi="宋体"/>
                <w:szCs w:val="21"/>
              </w:rPr>
            </w:pPr>
          </w:p>
        </w:tc>
        <w:tc>
          <w:tcPr>
            <w:tcW w:w="1397" w:type="dxa"/>
            <w:tcBorders>
              <w:top w:val="single" w:color="auto" w:sz="4" w:space="0"/>
              <w:left w:val="single" w:color="auto" w:sz="4" w:space="0"/>
              <w:bottom w:val="single" w:color="auto" w:sz="4" w:space="0"/>
              <w:right w:val="single" w:color="auto" w:sz="4" w:space="0"/>
            </w:tcBorders>
          </w:tcPr>
          <w:p w14:paraId="40C5799D">
            <w:pPr>
              <w:rPr>
                <w:rFonts w:ascii="宋体" w:hAnsi="宋体"/>
                <w:szCs w:val="21"/>
              </w:rPr>
            </w:pPr>
          </w:p>
        </w:tc>
      </w:tr>
      <w:tr w14:paraId="61767A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2" w:type="dxa"/>
            <w:tcBorders>
              <w:top w:val="single" w:color="auto" w:sz="4" w:space="0"/>
              <w:left w:val="single" w:color="auto" w:sz="4" w:space="0"/>
              <w:bottom w:val="single" w:color="auto" w:sz="4" w:space="0"/>
              <w:right w:val="single" w:color="auto" w:sz="4" w:space="0"/>
            </w:tcBorders>
            <w:vAlign w:val="center"/>
          </w:tcPr>
          <w:p w14:paraId="7CCA6AD5">
            <w:pPr>
              <w:rPr>
                <w:rFonts w:ascii="宋体" w:hAnsi="宋体"/>
                <w:szCs w:val="21"/>
              </w:rPr>
            </w:pPr>
            <w:r>
              <w:rPr>
                <w:rFonts w:hint="eastAsia" w:ascii="宋体" w:hAnsi="宋体"/>
                <w:szCs w:val="21"/>
              </w:rPr>
              <w:t>8</w:t>
            </w:r>
          </w:p>
        </w:tc>
        <w:tc>
          <w:tcPr>
            <w:tcW w:w="6433" w:type="dxa"/>
            <w:tcBorders>
              <w:top w:val="single" w:color="auto" w:sz="4" w:space="0"/>
              <w:left w:val="single" w:color="auto" w:sz="4" w:space="0"/>
              <w:bottom w:val="single" w:color="auto" w:sz="4" w:space="0"/>
              <w:right w:val="single" w:color="auto" w:sz="4" w:space="0"/>
            </w:tcBorders>
            <w:vAlign w:val="center"/>
          </w:tcPr>
          <w:p w14:paraId="0ED23828">
            <w:pPr>
              <w:rPr>
                <w:rFonts w:ascii="宋体" w:hAnsi="宋体"/>
                <w:szCs w:val="21"/>
              </w:rPr>
            </w:pPr>
            <w:r>
              <w:rPr>
                <w:rFonts w:hint="eastAsia" w:ascii="宋体" w:hAnsi="宋体"/>
                <w:szCs w:val="21"/>
              </w:rPr>
              <w:t>投标人与本项目其他投标人的投标文件工程量清单编制机器硬件</w:t>
            </w:r>
          </w:p>
          <w:p w14:paraId="62A10B8A">
            <w:pPr>
              <w:rPr>
                <w:rFonts w:ascii="宋体" w:hAnsi="宋体"/>
                <w:szCs w:val="21"/>
              </w:rPr>
            </w:pPr>
            <w:r>
              <w:rPr>
                <w:rFonts w:hint="eastAsia" w:ascii="宋体" w:hAnsi="宋体"/>
                <w:szCs w:val="21"/>
              </w:rPr>
              <w:t>信息一致的（以交易平台评标系统的检索信息为准）</w:t>
            </w:r>
          </w:p>
        </w:tc>
        <w:tc>
          <w:tcPr>
            <w:tcW w:w="1066" w:type="dxa"/>
            <w:tcBorders>
              <w:top w:val="single" w:color="auto" w:sz="4" w:space="0"/>
              <w:left w:val="single" w:color="auto" w:sz="4" w:space="0"/>
              <w:bottom w:val="single" w:color="auto" w:sz="4" w:space="0"/>
              <w:right w:val="single" w:color="auto" w:sz="4" w:space="0"/>
            </w:tcBorders>
          </w:tcPr>
          <w:p w14:paraId="40109E29">
            <w:pPr>
              <w:rPr>
                <w:rFonts w:ascii="宋体" w:hAnsi="宋体"/>
                <w:szCs w:val="21"/>
              </w:rPr>
            </w:pPr>
          </w:p>
        </w:tc>
        <w:tc>
          <w:tcPr>
            <w:tcW w:w="1397" w:type="dxa"/>
            <w:tcBorders>
              <w:top w:val="single" w:color="auto" w:sz="4" w:space="0"/>
              <w:left w:val="single" w:color="auto" w:sz="4" w:space="0"/>
              <w:bottom w:val="single" w:color="auto" w:sz="4" w:space="0"/>
              <w:right w:val="single" w:color="auto" w:sz="4" w:space="0"/>
            </w:tcBorders>
          </w:tcPr>
          <w:p w14:paraId="6049246C">
            <w:pPr>
              <w:rPr>
                <w:rFonts w:ascii="宋体" w:hAnsi="宋体"/>
                <w:szCs w:val="21"/>
              </w:rPr>
            </w:pPr>
          </w:p>
        </w:tc>
        <w:tc>
          <w:tcPr>
            <w:tcW w:w="1397" w:type="dxa"/>
            <w:tcBorders>
              <w:top w:val="single" w:color="auto" w:sz="4" w:space="0"/>
              <w:left w:val="single" w:color="auto" w:sz="4" w:space="0"/>
              <w:bottom w:val="single" w:color="auto" w:sz="4" w:space="0"/>
              <w:right w:val="single" w:color="auto" w:sz="4" w:space="0"/>
            </w:tcBorders>
          </w:tcPr>
          <w:p w14:paraId="364175BE">
            <w:pPr>
              <w:rPr>
                <w:rFonts w:ascii="宋体" w:hAnsi="宋体"/>
                <w:szCs w:val="21"/>
              </w:rPr>
            </w:pPr>
          </w:p>
        </w:tc>
        <w:tc>
          <w:tcPr>
            <w:tcW w:w="1396" w:type="dxa"/>
            <w:tcBorders>
              <w:top w:val="single" w:color="auto" w:sz="4" w:space="0"/>
              <w:left w:val="single" w:color="auto" w:sz="4" w:space="0"/>
              <w:bottom w:val="single" w:color="auto" w:sz="4" w:space="0"/>
              <w:right w:val="single" w:color="auto" w:sz="4" w:space="0"/>
            </w:tcBorders>
          </w:tcPr>
          <w:p w14:paraId="0C087FA3">
            <w:pPr>
              <w:rPr>
                <w:rFonts w:ascii="宋体" w:hAnsi="宋体"/>
                <w:szCs w:val="21"/>
              </w:rPr>
            </w:pPr>
          </w:p>
        </w:tc>
        <w:tc>
          <w:tcPr>
            <w:tcW w:w="1397" w:type="dxa"/>
            <w:tcBorders>
              <w:top w:val="single" w:color="auto" w:sz="4" w:space="0"/>
              <w:left w:val="single" w:color="auto" w:sz="4" w:space="0"/>
              <w:bottom w:val="single" w:color="auto" w:sz="4" w:space="0"/>
              <w:right w:val="single" w:color="auto" w:sz="4" w:space="0"/>
            </w:tcBorders>
          </w:tcPr>
          <w:p w14:paraId="3DE0AD16">
            <w:pPr>
              <w:rPr>
                <w:rFonts w:ascii="宋体" w:hAnsi="宋体"/>
                <w:szCs w:val="21"/>
              </w:rPr>
            </w:pPr>
          </w:p>
        </w:tc>
        <w:tc>
          <w:tcPr>
            <w:tcW w:w="1397" w:type="dxa"/>
            <w:tcBorders>
              <w:top w:val="single" w:color="auto" w:sz="4" w:space="0"/>
              <w:left w:val="single" w:color="auto" w:sz="4" w:space="0"/>
              <w:bottom w:val="single" w:color="auto" w:sz="4" w:space="0"/>
              <w:right w:val="single" w:color="auto" w:sz="4" w:space="0"/>
            </w:tcBorders>
          </w:tcPr>
          <w:p w14:paraId="4AC35458">
            <w:pPr>
              <w:rPr>
                <w:rFonts w:ascii="宋体" w:hAnsi="宋体"/>
                <w:szCs w:val="21"/>
              </w:rPr>
            </w:pPr>
          </w:p>
        </w:tc>
      </w:tr>
    </w:tbl>
    <w:p w14:paraId="2A44EDD6">
      <w:pPr>
        <w:ind w:firstLine="458"/>
        <w:rPr>
          <w:rFonts w:ascii="宋体" w:hAnsi="宋体"/>
          <w:szCs w:val="21"/>
        </w:rPr>
      </w:pPr>
      <w:r>
        <w:rPr>
          <w:rFonts w:hint="eastAsia" w:ascii="宋体" w:hAnsi="宋体"/>
          <w:szCs w:val="21"/>
        </w:rPr>
        <w:t>注：</w:t>
      </w:r>
      <w:r>
        <w:rPr>
          <w:rFonts w:ascii="宋体" w:hAnsi="宋体"/>
          <w:szCs w:val="21"/>
        </w:rPr>
        <w:t>1.</w:t>
      </w:r>
      <w:r>
        <w:rPr>
          <w:rFonts w:hint="eastAsia" w:ascii="宋体" w:hAnsi="宋体"/>
          <w:szCs w:val="21"/>
        </w:rPr>
        <w:t>本表使用GZZB2018-3招标文件范本，与范本内容不同之处均以下划线标明。</w:t>
      </w:r>
    </w:p>
    <w:p w14:paraId="14382174">
      <w:pPr>
        <w:ind w:firstLine="458"/>
        <w:rPr>
          <w:rFonts w:ascii="宋体" w:hAnsi="宋体"/>
          <w:szCs w:val="21"/>
        </w:rPr>
      </w:pPr>
      <w:r>
        <w:rPr>
          <w:rFonts w:ascii="宋体" w:hAnsi="宋体"/>
          <w:szCs w:val="21"/>
        </w:rPr>
        <w:t>2.</w:t>
      </w:r>
      <w:r>
        <w:rPr>
          <w:rFonts w:hint="eastAsia" w:ascii="宋体" w:hAnsi="宋体"/>
          <w:szCs w:val="21"/>
        </w:rPr>
        <w:t>凡出现以上任何一项情形，结论均为无效，否则就为有效。</w:t>
      </w:r>
    </w:p>
    <w:p w14:paraId="7FE6E2C7">
      <w:pPr>
        <w:ind w:firstLine="458"/>
        <w:rPr>
          <w:rFonts w:ascii="宋体" w:hAnsi="宋体"/>
          <w:szCs w:val="21"/>
        </w:rPr>
      </w:pPr>
      <w:r>
        <w:rPr>
          <w:rFonts w:hint="eastAsia" w:ascii="宋体" w:hAnsi="宋体"/>
          <w:szCs w:val="21"/>
        </w:rPr>
        <w:t>3</w:t>
      </w:r>
      <w:r>
        <w:rPr>
          <w:rFonts w:ascii="宋体" w:hAnsi="宋体"/>
          <w:szCs w:val="21"/>
        </w:rPr>
        <w:t>.</w:t>
      </w:r>
      <w:r>
        <w:rPr>
          <w:rFonts w:hint="eastAsia" w:ascii="宋体" w:hAnsi="宋体"/>
          <w:szCs w:val="21"/>
        </w:rPr>
        <w:t>如对本表中某种情形的评审意见不一致时，以评标委员会过半数成员的意见作为评标委员会对该情形的认定结论。</w:t>
      </w:r>
    </w:p>
    <w:p w14:paraId="0E358545">
      <w:pPr>
        <w:ind w:firstLine="458"/>
        <w:rPr>
          <w:rFonts w:ascii="宋体" w:hAnsi="宋体"/>
          <w:szCs w:val="21"/>
        </w:rPr>
      </w:pPr>
      <w:r>
        <w:rPr>
          <w:rFonts w:ascii="宋体" w:hAnsi="宋体"/>
          <w:szCs w:val="21"/>
        </w:rPr>
        <w:t>4.</w:t>
      </w:r>
      <w:r>
        <w:rPr>
          <w:rFonts w:hint="eastAsia" w:ascii="宋体" w:hAnsi="宋体"/>
          <w:szCs w:val="21"/>
        </w:rPr>
        <w:t>不得将文件顺序、明显的文字错误等列为否决投标的情形。评委发现投标文件中含义不明确、对同类问题表述不一致、有明显文字和计算错误、投标报价可能低于成本影响履约的，应当要求投标人作必要的澄清、说明后再判定投标人是否通过有效性审查，不得直接否决投标。</w:t>
      </w:r>
    </w:p>
    <w:p w14:paraId="0E3E01B6">
      <w:pPr>
        <w:pStyle w:val="5"/>
        <w:ind w:firstLine="458"/>
        <w:rPr>
          <w:rFonts w:ascii="宋体" w:hAnsi="宋体" w:eastAsia="宋体"/>
          <w:szCs w:val="21"/>
        </w:rPr>
        <w:sectPr>
          <w:endnotePr>
            <w:numFmt w:val="decimal"/>
          </w:endnotePr>
          <w:pgSz w:w="16838" w:h="11906" w:orient="landscape"/>
          <w:pgMar w:top="1418" w:right="1247" w:bottom="1418" w:left="1134" w:header="851" w:footer="907" w:gutter="0"/>
          <w:cols w:space="720" w:num="1"/>
          <w:titlePg/>
          <w:docGrid w:type="linesAndChars" w:linePitch="312" w:charSpace="0"/>
        </w:sectPr>
      </w:pPr>
      <w:r>
        <w:rPr>
          <w:rFonts w:hint="eastAsia" w:ascii="宋体" w:hAnsi="宋体" w:eastAsia="宋体"/>
          <w:szCs w:val="21"/>
        </w:rPr>
        <w:t>评委签名：</w:t>
      </w:r>
    </w:p>
    <w:p w14:paraId="323FE3C7">
      <w:pPr>
        <w:rPr>
          <w:rFonts w:ascii="宋体" w:hAnsi="宋体" w:cs="宋体"/>
          <w:szCs w:val="21"/>
        </w:rPr>
      </w:pPr>
      <w:r>
        <w:rPr>
          <w:rFonts w:hint="eastAsia"/>
          <w:szCs w:val="21"/>
        </w:rPr>
        <w:t>附表四</w:t>
      </w:r>
      <w:bookmarkStart w:id="23" w:name="_Hlk151460145"/>
      <w:r>
        <w:rPr>
          <w:rFonts w:hint="eastAsia" w:ascii="宋体" w:hAnsi="宋体" w:cs="宋体"/>
          <w:szCs w:val="21"/>
        </w:rPr>
        <w:t xml:space="preserve">                           </w:t>
      </w:r>
    </w:p>
    <w:p w14:paraId="3E17AFCF">
      <w:pPr>
        <w:jc w:val="center"/>
        <w:rPr>
          <w:rFonts w:ascii="宋体" w:hAnsi="宋体" w:cs="宋体"/>
          <w:b/>
          <w:sz w:val="36"/>
          <w:szCs w:val="36"/>
        </w:rPr>
      </w:pPr>
      <w:r>
        <w:rPr>
          <w:rFonts w:hint="eastAsia" w:ascii="宋体" w:hAnsi="宋体" w:cs="宋体"/>
          <w:b/>
          <w:sz w:val="36"/>
          <w:szCs w:val="36"/>
        </w:rPr>
        <w:t>技术标详细审查评分表</w:t>
      </w:r>
    </w:p>
    <w:tbl>
      <w:tblPr>
        <w:tblStyle w:val="34"/>
        <w:tblW w:w="143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9"/>
        <w:gridCol w:w="2050"/>
        <w:gridCol w:w="759"/>
        <w:gridCol w:w="9889"/>
      </w:tblGrid>
      <w:tr w14:paraId="5E2CF8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73" w:hRule="atLeast"/>
          <w:jc w:val="center"/>
        </w:trPr>
        <w:tc>
          <w:tcPr>
            <w:tcW w:w="1619" w:type="dxa"/>
            <w:tcBorders>
              <w:top w:val="single" w:color="auto" w:sz="4" w:space="0"/>
              <w:left w:val="single" w:color="auto" w:sz="4" w:space="0"/>
              <w:bottom w:val="single" w:color="auto" w:sz="4" w:space="0"/>
              <w:right w:val="single" w:color="auto" w:sz="4" w:space="0"/>
            </w:tcBorders>
            <w:vAlign w:val="center"/>
          </w:tcPr>
          <w:p w14:paraId="7D4DCB9D">
            <w:pPr>
              <w:widowControl/>
              <w:spacing w:before="100" w:beforeAutospacing="1" w:after="100" w:afterAutospacing="1"/>
              <w:jc w:val="center"/>
              <w:rPr>
                <w:rFonts w:ascii="lucida Grande" w:hAnsi="lucida Grande"/>
                <w:b/>
                <w:szCs w:val="21"/>
              </w:rPr>
            </w:pPr>
            <w:r>
              <w:rPr>
                <w:rStyle w:val="133"/>
                <w:rFonts w:ascii="宋体" w:hAnsi="lucida Grande"/>
                <w:b/>
                <w:color w:val="auto"/>
              </w:rPr>
              <w:t>评分项目</w:t>
            </w:r>
          </w:p>
        </w:tc>
        <w:tc>
          <w:tcPr>
            <w:tcW w:w="2050" w:type="dxa"/>
            <w:tcBorders>
              <w:top w:val="single" w:color="auto" w:sz="4" w:space="0"/>
              <w:left w:val="single" w:color="auto" w:sz="4" w:space="0"/>
              <w:bottom w:val="single" w:color="auto" w:sz="4" w:space="0"/>
              <w:right w:val="single" w:color="auto" w:sz="4" w:space="0"/>
            </w:tcBorders>
            <w:vAlign w:val="center"/>
          </w:tcPr>
          <w:p w14:paraId="47B45F75">
            <w:pPr>
              <w:spacing w:before="100" w:beforeAutospacing="1" w:after="100" w:afterAutospacing="1"/>
              <w:jc w:val="center"/>
              <w:rPr>
                <w:rFonts w:ascii="lucida Grande" w:hAnsi="lucida Grande"/>
                <w:b/>
                <w:szCs w:val="21"/>
              </w:rPr>
            </w:pPr>
            <w:r>
              <w:rPr>
                <w:rStyle w:val="133"/>
                <w:rFonts w:ascii="宋体" w:hAnsi="lucida Grande"/>
                <w:b/>
                <w:color w:val="auto"/>
              </w:rPr>
              <w:t>评分内容</w:t>
            </w:r>
          </w:p>
        </w:tc>
        <w:tc>
          <w:tcPr>
            <w:tcW w:w="759" w:type="dxa"/>
            <w:tcBorders>
              <w:top w:val="single" w:color="auto" w:sz="4" w:space="0"/>
              <w:left w:val="single" w:color="auto" w:sz="4" w:space="0"/>
              <w:bottom w:val="single" w:color="auto" w:sz="4" w:space="0"/>
              <w:right w:val="single" w:color="auto" w:sz="4" w:space="0"/>
            </w:tcBorders>
            <w:vAlign w:val="center"/>
          </w:tcPr>
          <w:p w14:paraId="702461E6">
            <w:pPr>
              <w:spacing w:before="100" w:beforeAutospacing="1" w:after="100" w:afterAutospacing="1"/>
              <w:jc w:val="center"/>
              <w:rPr>
                <w:rFonts w:ascii="lucida Grande" w:hAnsi="lucida Grande"/>
                <w:b/>
                <w:szCs w:val="21"/>
              </w:rPr>
            </w:pPr>
            <w:r>
              <w:rPr>
                <w:rStyle w:val="133"/>
                <w:rFonts w:ascii="宋体" w:hAnsi="lucida Grande"/>
                <w:b/>
                <w:color w:val="auto"/>
              </w:rPr>
              <w:t>分值</w:t>
            </w:r>
          </w:p>
        </w:tc>
        <w:tc>
          <w:tcPr>
            <w:tcW w:w="9889" w:type="dxa"/>
            <w:tcBorders>
              <w:top w:val="single" w:color="auto" w:sz="4" w:space="0"/>
              <w:left w:val="single" w:color="auto" w:sz="4" w:space="0"/>
              <w:bottom w:val="single" w:color="auto" w:sz="4" w:space="0"/>
              <w:right w:val="single" w:color="auto" w:sz="4" w:space="0"/>
            </w:tcBorders>
            <w:vAlign w:val="center"/>
          </w:tcPr>
          <w:p w14:paraId="011CDE1B">
            <w:pPr>
              <w:spacing w:before="100" w:beforeAutospacing="1" w:after="100" w:afterAutospacing="1"/>
              <w:jc w:val="center"/>
              <w:rPr>
                <w:rFonts w:ascii="lucida Grande" w:hAnsi="lucida Grande"/>
                <w:b/>
                <w:szCs w:val="21"/>
              </w:rPr>
            </w:pPr>
            <w:r>
              <w:rPr>
                <w:rStyle w:val="133"/>
                <w:rFonts w:ascii="宋体" w:hAnsi="lucida Grande"/>
                <w:b/>
                <w:color w:val="auto"/>
              </w:rPr>
              <w:t>评审标准</w:t>
            </w:r>
          </w:p>
        </w:tc>
      </w:tr>
      <w:tr w14:paraId="51DF9A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1619" w:type="dxa"/>
            <w:vMerge w:val="restart"/>
            <w:tcBorders>
              <w:top w:val="single" w:color="auto" w:sz="4" w:space="0"/>
              <w:left w:val="single" w:color="auto" w:sz="4" w:space="0"/>
              <w:right w:val="single" w:color="auto" w:sz="4" w:space="0"/>
            </w:tcBorders>
            <w:vAlign w:val="center"/>
          </w:tcPr>
          <w:p w14:paraId="42C704B8">
            <w:pPr>
              <w:widowControl/>
              <w:spacing w:before="100" w:beforeAutospacing="1" w:after="100" w:afterAutospacing="1"/>
              <w:jc w:val="center"/>
              <w:rPr>
                <w:rStyle w:val="133"/>
                <w:rFonts w:ascii="lucida Grande" w:hAnsi="lucida Grande"/>
                <w:color w:val="auto"/>
              </w:rPr>
            </w:pPr>
            <w:r>
              <w:rPr>
                <w:rFonts w:hint="eastAsia" w:ascii="宋体" w:hAnsi="宋体" w:cs="宋体"/>
                <w:szCs w:val="21"/>
              </w:rPr>
              <w:t>一、项目管理机构能力</w:t>
            </w:r>
            <w:r>
              <w:rPr>
                <w:rFonts w:ascii="宋体" w:hAnsi="宋体" w:cs="宋体"/>
                <w:szCs w:val="21"/>
              </w:rPr>
              <w:t>（</w:t>
            </w:r>
            <w:r>
              <w:rPr>
                <w:rFonts w:hint="eastAsia" w:ascii="宋体" w:hAnsi="宋体" w:cs="宋体"/>
                <w:szCs w:val="21"/>
              </w:rPr>
              <w:t>70</w:t>
            </w:r>
            <w:r>
              <w:rPr>
                <w:rFonts w:ascii="宋体" w:hAnsi="宋体" w:cs="宋体"/>
                <w:szCs w:val="21"/>
              </w:rPr>
              <w:t>分）</w:t>
            </w:r>
          </w:p>
        </w:tc>
        <w:tc>
          <w:tcPr>
            <w:tcW w:w="2050" w:type="dxa"/>
            <w:tcBorders>
              <w:top w:val="single" w:color="auto" w:sz="4" w:space="0"/>
              <w:left w:val="single" w:color="auto" w:sz="4" w:space="0"/>
              <w:right w:val="single" w:color="auto" w:sz="4" w:space="0"/>
            </w:tcBorders>
            <w:vAlign w:val="center"/>
          </w:tcPr>
          <w:p w14:paraId="60435DC4">
            <w:pPr>
              <w:autoSpaceDE w:val="0"/>
              <w:autoSpaceDN w:val="0"/>
              <w:adjustRightInd w:val="0"/>
              <w:snapToGrid w:val="0"/>
              <w:jc w:val="center"/>
              <w:rPr>
                <w:rFonts w:ascii="宋体" w:hAnsi="宋体" w:cs="宋体"/>
                <w:szCs w:val="21"/>
              </w:rPr>
            </w:pPr>
            <w:r>
              <w:rPr>
                <w:rFonts w:hint="eastAsia" w:ascii="宋体" w:hAnsi="宋体" w:cs="宋体"/>
                <w:color w:val="000000" w:themeColor="text1"/>
                <w:kern w:val="0"/>
                <w:szCs w:val="21"/>
                <w14:textFill>
                  <w14:solidFill>
                    <w14:schemeClr w14:val="tx1"/>
                  </w14:solidFill>
                </w14:textFill>
              </w:rPr>
              <w:t>主要项目管理人员配备表</w:t>
            </w:r>
          </w:p>
        </w:tc>
        <w:tc>
          <w:tcPr>
            <w:tcW w:w="759" w:type="dxa"/>
            <w:tcBorders>
              <w:top w:val="single" w:color="auto" w:sz="4" w:space="0"/>
              <w:left w:val="single" w:color="auto" w:sz="4" w:space="0"/>
              <w:right w:val="single" w:color="auto" w:sz="4" w:space="0"/>
            </w:tcBorders>
            <w:vAlign w:val="center"/>
          </w:tcPr>
          <w:p w14:paraId="583693BE">
            <w:pPr>
              <w:jc w:val="center"/>
              <w:rPr>
                <w:rFonts w:ascii="宋体" w:hAnsi="宋体" w:cs="宋体"/>
                <w:szCs w:val="21"/>
              </w:rPr>
            </w:pPr>
            <w:r>
              <w:rPr>
                <w:rFonts w:hint="eastAsia" w:ascii="宋体" w:hAnsi="宋体" w:cs="宋体"/>
                <w:szCs w:val="21"/>
              </w:rPr>
              <w:t>10</w:t>
            </w:r>
          </w:p>
        </w:tc>
        <w:tc>
          <w:tcPr>
            <w:tcW w:w="9889" w:type="dxa"/>
            <w:tcBorders>
              <w:top w:val="single" w:color="auto" w:sz="4" w:space="0"/>
              <w:left w:val="single" w:color="auto" w:sz="4" w:space="0"/>
              <w:bottom w:val="single" w:color="auto" w:sz="4" w:space="0"/>
              <w:right w:val="single" w:color="auto" w:sz="4" w:space="0"/>
            </w:tcBorders>
            <w:shd w:val="clear" w:color="auto" w:fill="auto"/>
          </w:tcPr>
          <w:p w14:paraId="39085EA0">
            <w:pPr>
              <w:autoSpaceDE w:val="0"/>
              <w:ind w:right="141" w:rightChars="67"/>
              <w:jc w:val="left"/>
            </w:pPr>
            <w:r>
              <w:rPr>
                <w:rFonts w:hint="eastAsia" w:ascii="宋体" w:hAnsi="宋体" w:cs="宋体"/>
                <w:color w:val="000000" w:themeColor="text1"/>
                <w:kern w:val="0"/>
                <w:szCs w:val="21"/>
                <w14:textFill>
                  <w14:solidFill>
                    <w14:schemeClr w14:val="tx1"/>
                  </w14:solidFill>
                </w14:textFill>
              </w:rPr>
              <w:t>项目管理人员配备满足附件《主要项目管理人员配备表》的得10分，不满足附件《主要项目管理人员配备表》要求的，本项得0分。</w:t>
            </w:r>
          </w:p>
        </w:tc>
      </w:tr>
      <w:tr w14:paraId="0FBD05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9" w:hRule="atLeast"/>
          <w:jc w:val="center"/>
        </w:trPr>
        <w:tc>
          <w:tcPr>
            <w:tcW w:w="1619" w:type="dxa"/>
            <w:vMerge w:val="continue"/>
            <w:tcBorders>
              <w:left w:val="single" w:color="auto" w:sz="4" w:space="0"/>
              <w:right w:val="single" w:color="auto" w:sz="4" w:space="0"/>
            </w:tcBorders>
            <w:vAlign w:val="center"/>
          </w:tcPr>
          <w:p w14:paraId="4A0B734B">
            <w:pPr>
              <w:widowControl/>
              <w:spacing w:before="100" w:beforeAutospacing="1" w:after="100" w:afterAutospacing="1"/>
              <w:jc w:val="center"/>
              <w:rPr>
                <w:rFonts w:ascii="宋体" w:hAnsi="宋体" w:cs="宋体"/>
                <w:szCs w:val="21"/>
              </w:rPr>
            </w:pPr>
          </w:p>
        </w:tc>
        <w:tc>
          <w:tcPr>
            <w:tcW w:w="2050" w:type="dxa"/>
            <w:tcBorders>
              <w:top w:val="single" w:color="auto" w:sz="4" w:space="0"/>
              <w:left w:val="single" w:color="auto" w:sz="4" w:space="0"/>
              <w:right w:val="single" w:color="auto" w:sz="4" w:space="0"/>
            </w:tcBorders>
            <w:vAlign w:val="center"/>
          </w:tcPr>
          <w:p w14:paraId="5450BD7B">
            <w:pPr>
              <w:autoSpaceDE w:val="0"/>
              <w:autoSpaceDN w:val="0"/>
              <w:adjustRightInd w:val="0"/>
              <w:snapToGrid w:val="0"/>
              <w:jc w:val="center"/>
              <w:rPr>
                <w:rFonts w:ascii="宋体" w:hAnsi="宋体" w:cs="宋体"/>
                <w:szCs w:val="21"/>
              </w:rPr>
            </w:pPr>
            <w:r>
              <w:rPr>
                <w:rFonts w:hint="eastAsia" w:ascii="宋体" w:hAnsi="宋体" w:cs="宋体"/>
                <w:b/>
                <w:bCs/>
                <w:color w:val="000000" w:themeColor="text1"/>
                <w:szCs w:val="21"/>
                <w14:textFill>
                  <w14:solidFill>
                    <w14:schemeClr w14:val="tx1"/>
                  </w14:solidFill>
                </w14:textFill>
              </w:rPr>
              <w:t>技术负责人</w:t>
            </w:r>
          </w:p>
        </w:tc>
        <w:tc>
          <w:tcPr>
            <w:tcW w:w="759" w:type="dxa"/>
            <w:tcBorders>
              <w:top w:val="single" w:color="auto" w:sz="4" w:space="0"/>
              <w:left w:val="single" w:color="auto" w:sz="4" w:space="0"/>
              <w:right w:val="single" w:color="auto" w:sz="4" w:space="0"/>
            </w:tcBorders>
            <w:vAlign w:val="center"/>
          </w:tcPr>
          <w:p w14:paraId="3EDB29C8">
            <w:pPr>
              <w:jc w:val="center"/>
              <w:rPr>
                <w:rFonts w:ascii="宋体" w:hAnsi="宋体" w:cs="宋体"/>
                <w:szCs w:val="21"/>
              </w:rPr>
            </w:pPr>
            <w:r>
              <w:rPr>
                <w:rFonts w:hint="eastAsia" w:ascii="宋体" w:hAnsi="宋体" w:cs="宋体"/>
                <w:szCs w:val="21"/>
              </w:rPr>
              <w:t>10</w:t>
            </w:r>
          </w:p>
        </w:tc>
        <w:tc>
          <w:tcPr>
            <w:tcW w:w="9889" w:type="dxa"/>
            <w:tcBorders>
              <w:top w:val="single" w:color="auto" w:sz="4" w:space="0"/>
              <w:left w:val="single" w:color="auto" w:sz="4" w:space="0"/>
              <w:bottom w:val="single" w:color="auto" w:sz="4" w:space="0"/>
              <w:right w:val="single" w:color="auto" w:sz="4" w:space="0"/>
            </w:tcBorders>
            <w:shd w:val="clear" w:color="auto" w:fill="auto"/>
          </w:tcPr>
          <w:p w14:paraId="318B9DC6">
            <w:pPr>
              <w:rPr>
                <w:rFonts w:ascii="宋体" w:hAnsi="宋体"/>
                <w:szCs w:val="21"/>
              </w:rPr>
            </w:pPr>
            <w:r>
              <w:rPr>
                <w:rFonts w:hint="eastAsia" w:ascii="宋体" w:hAnsi="宋体"/>
                <w:szCs w:val="21"/>
              </w:rPr>
              <w:t>1.具有建筑工程类专业高级工程师职称或以上技术职称，得2分；</w:t>
            </w:r>
          </w:p>
          <w:p w14:paraId="25BF37A9">
            <w:pPr>
              <w:jc w:val="left"/>
              <w:rPr>
                <w:rFonts w:ascii="宋体" w:hAnsi="宋体"/>
                <w:szCs w:val="21"/>
              </w:rPr>
            </w:pPr>
            <w:r>
              <w:rPr>
                <w:rFonts w:hint="eastAsia" w:ascii="宋体" w:hAnsi="宋体"/>
                <w:szCs w:val="21"/>
              </w:rPr>
              <w:t>2.取得该职称证书的年限10年(不含10年)以上的，得8分；</w:t>
            </w:r>
            <w:r>
              <w:rPr>
                <w:rFonts w:ascii="宋体" w:hAnsi="宋体"/>
                <w:szCs w:val="21"/>
              </w:rPr>
              <w:t>6</w:t>
            </w:r>
            <w:r>
              <w:rPr>
                <w:rFonts w:hint="eastAsia" w:ascii="宋体" w:hAnsi="宋体"/>
                <w:szCs w:val="21"/>
              </w:rPr>
              <w:t>～10年(含10年)的，得3分；1～</w:t>
            </w:r>
            <w:r>
              <w:rPr>
                <w:rFonts w:ascii="宋体" w:hAnsi="宋体"/>
                <w:szCs w:val="21"/>
              </w:rPr>
              <w:t>5</w:t>
            </w:r>
            <w:r>
              <w:rPr>
                <w:rFonts w:hint="eastAsia" w:ascii="宋体" w:hAnsi="宋体"/>
                <w:szCs w:val="21"/>
              </w:rPr>
              <w:t>年（含5年）的，得1分。</w:t>
            </w:r>
          </w:p>
          <w:p w14:paraId="08DB476E">
            <w:pPr>
              <w:jc w:val="left"/>
              <w:rPr>
                <w:rFonts w:ascii="宋体" w:hAnsi="宋体"/>
                <w:szCs w:val="21"/>
              </w:rPr>
            </w:pPr>
            <w:r>
              <w:rPr>
                <w:rFonts w:hint="eastAsia" w:ascii="宋体" w:hAnsi="宋体"/>
                <w:szCs w:val="21"/>
              </w:rPr>
              <w:t>本项最高得10分。</w:t>
            </w:r>
          </w:p>
        </w:tc>
      </w:tr>
      <w:tr w14:paraId="7F5FC0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7" w:hRule="atLeast"/>
          <w:jc w:val="center"/>
        </w:trPr>
        <w:tc>
          <w:tcPr>
            <w:tcW w:w="1619" w:type="dxa"/>
            <w:vMerge w:val="continue"/>
            <w:tcBorders>
              <w:left w:val="single" w:color="auto" w:sz="4" w:space="0"/>
              <w:right w:val="single" w:color="auto" w:sz="4" w:space="0"/>
            </w:tcBorders>
            <w:vAlign w:val="center"/>
          </w:tcPr>
          <w:p w14:paraId="5256C6B4">
            <w:pPr>
              <w:widowControl/>
              <w:spacing w:before="100" w:beforeAutospacing="1" w:after="100" w:afterAutospacing="1"/>
              <w:jc w:val="center"/>
              <w:rPr>
                <w:rFonts w:ascii="宋体" w:hAnsi="宋体" w:cs="宋体"/>
                <w:szCs w:val="21"/>
              </w:rPr>
            </w:pPr>
          </w:p>
        </w:tc>
        <w:tc>
          <w:tcPr>
            <w:tcW w:w="2050" w:type="dxa"/>
            <w:tcBorders>
              <w:left w:val="single" w:color="auto" w:sz="4" w:space="0"/>
              <w:right w:val="single" w:color="auto" w:sz="4" w:space="0"/>
            </w:tcBorders>
            <w:vAlign w:val="center"/>
          </w:tcPr>
          <w:p w14:paraId="6DB6C43A">
            <w:pPr>
              <w:autoSpaceDE w:val="0"/>
              <w:autoSpaceDN w:val="0"/>
              <w:adjustRightInd w:val="0"/>
              <w:snapToGrid w:val="0"/>
              <w:jc w:val="center"/>
              <w:rPr>
                <w:rFonts w:ascii="宋体" w:hAnsi="宋体" w:cs="宋体"/>
                <w:szCs w:val="21"/>
              </w:rPr>
            </w:pPr>
            <w:r>
              <w:rPr>
                <w:rFonts w:hint="eastAsia" w:ascii="宋体" w:hAnsi="宋体" w:cs="宋体"/>
                <w:b/>
                <w:bCs/>
                <w:color w:val="000000" w:themeColor="text1"/>
                <w:szCs w:val="21"/>
                <w14:textFill>
                  <w14:solidFill>
                    <w14:schemeClr w14:val="tx1"/>
                  </w14:solidFill>
                </w14:textFill>
              </w:rPr>
              <w:t>深化设计负责人</w:t>
            </w:r>
          </w:p>
        </w:tc>
        <w:tc>
          <w:tcPr>
            <w:tcW w:w="759" w:type="dxa"/>
            <w:tcBorders>
              <w:left w:val="single" w:color="auto" w:sz="4" w:space="0"/>
              <w:right w:val="single" w:color="auto" w:sz="4" w:space="0"/>
            </w:tcBorders>
            <w:vAlign w:val="center"/>
          </w:tcPr>
          <w:p w14:paraId="2E0A2458">
            <w:pPr>
              <w:adjustRightInd w:val="0"/>
              <w:snapToGrid w:val="0"/>
              <w:ind w:left="-59" w:leftChars="-28" w:right="-50" w:rightChars="-24"/>
              <w:jc w:val="center"/>
              <w:rPr>
                <w:rFonts w:ascii="宋体" w:hAnsi="宋体" w:cs="宋体"/>
                <w:szCs w:val="21"/>
              </w:rPr>
            </w:pPr>
            <w:r>
              <w:rPr>
                <w:rFonts w:hint="eastAsia" w:ascii="宋体" w:hAnsi="宋体" w:cs="宋体"/>
                <w:szCs w:val="21"/>
              </w:rPr>
              <w:t>10</w:t>
            </w:r>
          </w:p>
        </w:tc>
        <w:tc>
          <w:tcPr>
            <w:tcW w:w="9889" w:type="dxa"/>
            <w:tcBorders>
              <w:top w:val="single" w:color="auto" w:sz="4" w:space="0"/>
              <w:left w:val="single" w:color="auto" w:sz="4" w:space="0"/>
              <w:bottom w:val="single" w:color="auto" w:sz="4" w:space="0"/>
              <w:right w:val="single" w:color="auto" w:sz="4" w:space="0"/>
            </w:tcBorders>
            <w:shd w:val="clear" w:color="auto" w:fill="auto"/>
            <w:vAlign w:val="center"/>
          </w:tcPr>
          <w:p w14:paraId="625FEDB2">
            <w:pPr>
              <w:rPr>
                <w:rFonts w:ascii="宋体" w:hAnsi="宋体"/>
                <w:szCs w:val="21"/>
              </w:rPr>
            </w:pPr>
            <w:r>
              <w:rPr>
                <w:rFonts w:hint="eastAsia" w:ascii="宋体" w:hAnsi="宋体"/>
                <w:szCs w:val="21"/>
              </w:rPr>
              <w:t>1.具有建筑设计或环境艺术设计类高级职称或以上技术职称，得2分；</w:t>
            </w:r>
          </w:p>
          <w:p w14:paraId="0FEC31D9">
            <w:pPr>
              <w:jc w:val="left"/>
              <w:rPr>
                <w:rFonts w:ascii="宋体" w:hAnsi="宋体"/>
                <w:szCs w:val="21"/>
              </w:rPr>
            </w:pPr>
            <w:r>
              <w:rPr>
                <w:rFonts w:hint="eastAsia" w:ascii="宋体" w:hAnsi="宋体"/>
                <w:szCs w:val="21"/>
              </w:rPr>
              <w:t>2.取得该职称证书的年限10年(不含10年)以上的，得8分；</w:t>
            </w:r>
            <w:r>
              <w:rPr>
                <w:rFonts w:ascii="宋体" w:hAnsi="宋体"/>
                <w:szCs w:val="21"/>
              </w:rPr>
              <w:t>6</w:t>
            </w:r>
            <w:r>
              <w:rPr>
                <w:rFonts w:hint="eastAsia" w:ascii="宋体" w:hAnsi="宋体"/>
                <w:szCs w:val="21"/>
              </w:rPr>
              <w:t>～10年(含10年)的，得3分；1～</w:t>
            </w:r>
            <w:r>
              <w:rPr>
                <w:rFonts w:ascii="宋体" w:hAnsi="宋体"/>
                <w:szCs w:val="21"/>
              </w:rPr>
              <w:t>5</w:t>
            </w:r>
            <w:r>
              <w:rPr>
                <w:rFonts w:hint="eastAsia" w:ascii="宋体" w:hAnsi="宋体"/>
                <w:szCs w:val="21"/>
              </w:rPr>
              <w:t>年（含5年）的，得1分。</w:t>
            </w:r>
          </w:p>
          <w:p w14:paraId="5A86302D">
            <w:pPr>
              <w:autoSpaceDE w:val="0"/>
              <w:ind w:right="141" w:rightChars="67"/>
              <w:rPr>
                <w:rFonts w:ascii="宋体" w:hAnsi="宋体"/>
                <w:szCs w:val="21"/>
              </w:rPr>
            </w:pPr>
            <w:r>
              <w:rPr>
                <w:rFonts w:hint="eastAsia" w:ascii="宋体" w:hAnsi="宋体"/>
                <w:szCs w:val="21"/>
              </w:rPr>
              <w:t>本项最高得10分。</w:t>
            </w:r>
          </w:p>
        </w:tc>
      </w:tr>
      <w:tr w14:paraId="35789F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5" w:hRule="atLeast"/>
          <w:jc w:val="center"/>
        </w:trPr>
        <w:tc>
          <w:tcPr>
            <w:tcW w:w="1619" w:type="dxa"/>
            <w:vMerge w:val="continue"/>
            <w:tcBorders>
              <w:left w:val="single" w:color="auto" w:sz="4" w:space="0"/>
              <w:right w:val="single" w:color="auto" w:sz="4" w:space="0"/>
            </w:tcBorders>
            <w:vAlign w:val="center"/>
          </w:tcPr>
          <w:p w14:paraId="1F804560">
            <w:pPr>
              <w:widowControl/>
              <w:spacing w:before="100" w:beforeAutospacing="1" w:after="100" w:afterAutospacing="1"/>
              <w:jc w:val="center"/>
              <w:rPr>
                <w:rFonts w:ascii="宋体" w:hAnsi="宋体" w:cs="宋体"/>
                <w:szCs w:val="21"/>
              </w:rPr>
            </w:pPr>
          </w:p>
        </w:tc>
        <w:tc>
          <w:tcPr>
            <w:tcW w:w="2050" w:type="dxa"/>
            <w:tcBorders>
              <w:left w:val="single" w:color="auto" w:sz="4" w:space="0"/>
              <w:right w:val="single" w:color="auto" w:sz="4" w:space="0"/>
            </w:tcBorders>
            <w:vAlign w:val="center"/>
          </w:tcPr>
          <w:p w14:paraId="1D99D3C9">
            <w:pPr>
              <w:autoSpaceDE w:val="0"/>
              <w:autoSpaceDN w:val="0"/>
              <w:adjustRightInd w:val="0"/>
              <w:snapToGrid w:val="0"/>
              <w:jc w:val="center"/>
              <w:rPr>
                <w:rFonts w:ascii="宋体" w:hAnsi="宋体" w:cs="宋体"/>
                <w:szCs w:val="21"/>
              </w:rPr>
            </w:pPr>
            <w:r>
              <w:rPr>
                <w:rFonts w:hint="eastAsia" w:ascii="宋体" w:hAnsi="宋体" w:cs="宋体"/>
                <w:b/>
                <w:bCs/>
                <w:szCs w:val="21"/>
              </w:rPr>
              <w:t>安全负责人</w:t>
            </w:r>
          </w:p>
        </w:tc>
        <w:tc>
          <w:tcPr>
            <w:tcW w:w="759" w:type="dxa"/>
            <w:tcBorders>
              <w:left w:val="single" w:color="auto" w:sz="4" w:space="0"/>
              <w:right w:val="single" w:color="auto" w:sz="4" w:space="0"/>
            </w:tcBorders>
            <w:vAlign w:val="center"/>
          </w:tcPr>
          <w:p w14:paraId="056F1883">
            <w:pPr>
              <w:adjustRightInd w:val="0"/>
              <w:snapToGrid w:val="0"/>
              <w:ind w:left="-59" w:leftChars="-28" w:right="-50" w:rightChars="-24"/>
              <w:jc w:val="center"/>
              <w:rPr>
                <w:rFonts w:ascii="宋体" w:hAnsi="宋体" w:cs="宋体"/>
                <w:szCs w:val="21"/>
              </w:rPr>
            </w:pPr>
            <w:r>
              <w:rPr>
                <w:rFonts w:hint="eastAsia" w:ascii="宋体" w:hAnsi="宋体" w:cs="宋体"/>
                <w:szCs w:val="21"/>
              </w:rPr>
              <w:t>10</w:t>
            </w:r>
          </w:p>
        </w:tc>
        <w:tc>
          <w:tcPr>
            <w:tcW w:w="9889" w:type="dxa"/>
            <w:tcBorders>
              <w:top w:val="single" w:color="auto" w:sz="4" w:space="0"/>
              <w:left w:val="single" w:color="auto" w:sz="4" w:space="0"/>
              <w:bottom w:val="single" w:color="auto" w:sz="4" w:space="0"/>
              <w:right w:val="single" w:color="auto" w:sz="4" w:space="0"/>
            </w:tcBorders>
            <w:shd w:val="clear" w:color="auto" w:fill="auto"/>
            <w:vAlign w:val="center"/>
          </w:tcPr>
          <w:p w14:paraId="20C68035">
            <w:pPr>
              <w:rPr>
                <w:rFonts w:ascii="宋体" w:hAnsi="宋体"/>
                <w:szCs w:val="21"/>
              </w:rPr>
            </w:pPr>
            <w:r>
              <w:rPr>
                <w:rFonts w:hint="eastAsia" w:ascii="宋体" w:hAnsi="宋体"/>
                <w:szCs w:val="21"/>
              </w:rPr>
              <w:t>1.具有建筑施工类专业高级工程师职称或以上技术职称，得2分；</w:t>
            </w:r>
          </w:p>
          <w:p w14:paraId="5B361E10">
            <w:pPr>
              <w:jc w:val="left"/>
              <w:rPr>
                <w:rFonts w:ascii="宋体" w:hAnsi="宋体"/>
                <w:szCs w:val="21"/>
              </w:rPr>
            </w:pPr>
            <w:r>
              <w:rPr>
                <w:rFonts w:hint="eastAsia" w:ascii="宋体" w:hAnsi="宋体"/>
                <w:szCs w:val="21"/>
              </w:rPr>
              <w:t>2.取得该职称证书的年限10年(不含10年)以上的，得8分；</w:t>
            </w:r>
            <w:r>
              <w:rPr>
                <w:rFonts w:ascii="宋体" w:hAnsi="宋体"/>
                <w:szCs w:val="21"/>
              </w:rPr>
              <w:t>6</w:t>
            </w:r>
            <w:r>
              <w:rPr>
                <w:rFonts w:hint="eastAsia" w:ascii="宋体" w:hAnsi="宋体"/>
                <w:szCs w:val="21"/>
              </w:rPr>
              <w:t>～10年(含10年)的，得3分；1～</w:t>
            </w:r>
            <w:r>
              <w:rPr>
                <w:rFonts w:ascii="宋体" w:hAnsi="宋体"/>
                <w:szCs w:val="21"/>
              </w:rPr>
              <w:t>5</w:t>
            </w:r>
            <w:r>
              <w:rPr>
                <w:rFonts w:hint="eastAsia" w:ascii="宋体" w:hAnsi="宋体"/>
                <w:szCs w:val="21"/>
              </w:rPr>
              <w:t>年（含5年）的，得1分。</w:t>
            </w:r>
          </w:p>
          <w:p w14:paraId="069A84DF">
            <w:pPr>
              <w:autoSpaceDE w:val="0"/>
              <w:ind w:right="141" w:rightChars="67"/>
              <w:rPr>
                <w:rFonts w:ascii="宋体" w:hAnsi="宋体"/>
                <w:szCs w:val="21"/>
              </w:rPr>
            </w:pPr>
            <w:r>
              <w:rPr>
                <w:rFonts w:hint="eastAsia" w:ascii="宋体" w:hAnsi="宋体"/>
                <w:szCs w:val="21"/>
              </w:rPr>
              <w:t>本项最高得10分。</w:t>
            </w:r>
          </w:p>
        </w:tc>
      </w:tr>
      <w:tr w14:paraId="7DFA34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19" w:type="dxa"/>
            <w:vMerge w:val="continue"/>
            <w:tcBorders>
              <w:left w:val="single" w:color="auto" w:sz="4" w:space="0"/>
              <w:right w:val="single" w:color="auto" w:sz="4" w:space="0"/>
            </w:tcBorders>
            <w:vAlign w:val="center"/>
          </w:tcPr>
          <w:p w14:paraId="346222BD">
            <w:pPr>
              <w:widowControl/>
              <w:spacing w:before="100" w:beforeAutospacing="1" w:after="100" w:afterAutospacing="1"/>
              <w:jc w:val="center"/>
              <w:rPr>
                <w:rFonts w:ascii="宋体" w:hAnsi="宋体" w:cs="宋体"/>
                <w:szCs w:val="21"/>
              </w:rPr>
            </w:pPr>
          </w:p>
        </w:tc>
        <w:tc>
          <w:tcPr>
            <w:tcW w:w="2050" w:type="dxa"/>
            <w:tcBorders>
              <w:left w:val="single" w:color="auto" w:sz="4" w:space="0"/>
              <w:right w:val="single" w:color="auto" w:sz="4" w:space="0"/>
            </w:tcBorders>
            <w:vAlign w:val="center"/>
          </w:tcPr>
          <w:p w14:paraId="2836CB31">
            <w:pPr>
              <w:autoSpaceDE w:val="0"/>
              <w:autoSpaceDN w:val="0"/>
              <w:adjustRightInd w:val="0"/>
              <w:snapToGrid w:val="0"/>
              <w:jc w:val="center"/>
              <w:rPr>
                <w:rFonts w:ascii="宋体" w:hAnsi="宋体" w:cs="宋体"/>
                <w:szCs w:val="21"/>
              </w:rPr>
            </w:pPr>
            <w:r>
              <w:rPr>
                <w:rFonts w:hint="eastAsia" w:ascii="宋体" w:hAnsi="宋体" w:cs="宋体"/>
                <w:b/>
                <w:bCs/>
                <w:szCs w:val="21"/>
              </w:rPr>
              <w:t>质量工程师</w:t>
            </w:r>
          </w:p>
        </w:tc>
        <w:tc>
          <w:tcPr>
            <w:tcW w:w="759" w:type="dxa"/>
            <w:tcBorders>
              <w:left w:val="single" w:color="auto" w:sz="4" w:space="0"/>
              <w:right w:val="single" w:color="auto" w:sz="4" w:space="0"/>
            </w:tcBorders>
            <w:vAlign w:val="center"/>
          </w:tcPr>
          <w:p w14:paraId="078CBC14">
            <w:pPr>
              <w:adjustRightInd w:val="0"/>
              <w:snapToGrid w:val="0"/>
              <w:ind w:left="-59" w:leftChars="-28" w:right="-50" w:rightChars="-24"/>
              <w:jc w:val="center"/>
              <w:rPr>
                <w:rFonts w:ascii="宋体" w:hAnsi="宋体" w:cs="宋体"/>
                <w:szCs w:val="21"/>
              </w:rPr>
            </w:pPr>
            <w:r>
              <w:rPr>
                <w:rFonts w:hint="eastAsia" w:ascii="宋体" w:hAnsi="宋体" w:cs="宋体"/>
                <w:szCs w:val="21"/>
              </w:rPr>
              <w:t>8</w:t>
            </w:r>
          </w:p>
        </w:tc>
        <w:tc>
          <w:tcPr>
            <w:tcW w:w="9889" w:type="dxa"/>
            <w:tcBorders>
              <w:top w:val="single" w:color="auto" w:sz="4" w:space="0"/>
              <w:left w:val="single" w:color="auto" w:sz="4" w:space="0"/>
              <w:bottom w:val="single" w:color="auto" w:sz="4" w:space="0"/>
              <w:right w:val="single" w:color="auto" w:sz="4" w:space="0"/>
            </w:tcBorders>
            <w:shd w:val="clear" w:color="auto" w:fill="auto"/>
            <w:vAlign w:val="center"/>
          </w:tcPr>
          <w:p w14:paraId="14BBA851">
            <w:pPr>
              <w:autoSpaceDE w:val="0"/>
              <w:ind w:right="141" w:rightChars="67"/>
              <w:rPr>
                <w:rFonts w:ascii="宋体" w:hAnsi="宋体"/>
                <w:szCs w:val="21"/>
              </w:rPr>
            </w:pPr>
            <w:r>
              <w:rPr>
                <w:rFonts w:hint="eastAsia" w:ascii="宋体" w:hAnsi="宋体" w:cs="宋体"/>
                <w:kern w:val="0"/>
                <w:szCs w:val="21"/>
              </w:rPr>
              <w:t>具有建筑装饰施工类专业高级工程师 (或以上)职称，每名得4分，本项</w:t>
            </w:r>
            <w:r>
              <w:rPr>
                <w:rFonts w:ascii="宋体" w:hAnsi="宋体" w:cs="宋体"/>
                <w:kern w:val="0"/>
                <w:szCs w:val="21"/>
              </w:rPr>
              <w:t>最高</w:t>
            </w:r>
            <w:r>
              <w:rPr>
                <w:rFonts w:hint="eastAsia" w:ascii="宋体" w:hAnsi="宋体" w:cs="宋体"/>
                <w:kern w:val="0"/>
                <w:szCs w:val="21"/>
              </w:rPr>
              <w:t>得8分。</w:t>
            </w:r>
          </w:p>
        </w:tc>
      </w:tr>
      <w:tr w14:paraId="3DADFD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19" w:type="dxa"/>
            <w:vMerge w:val="continue"/>
            <w:tcBorders>
              <w:left w:val="single" w:color="auto" w:sz="4" w:space="0"/>
              <w:right w:val="single" w:color="auto" w:sz="4" w:space="0"/>
            </w:tcBorders>
            <w:vAlign w:val="center"/>
          </w:tcPr>
          <w:p w14:paraId="6E75E4FC">
            <w:pPr>
              <w:widowControl/>
              <w:spacing w:before="100" w:beforeAutospacing="1" w:after="100" w:afterAutospacing="1"/>
              <w:jc w:val="center"/>
              <w:rPr>
                <w:rFonts w:ascii="宋体" w:hAnsi="宋体" w:cs="宋体"/>
                <w:szCs w:val="21"/>
              </w:rPr>
            </w:pPr>
          </w:p>
        </w:tc>
        <w:tc>
          <w:tcPr>
            <w:tcW w:w="2050" w:type="dxa"/>
            <w:tcBorders>
              <w:left w:val="single" w:color="auto" w:sz="4" w:space="0"/>
              <w:right w:val="single" w:color="auto" w:sz="4" w:space="0"/>
            </w:tcBorders>
            <w:vAlign w:val="center"/>
          </w:tcPr>
          <w:p w14:paraId="4D4F7B9D">
            <w:pPr>
              <w:autoSpaceDE w:val="0"/>
              <w:autoSpaceDN w:val="0"/>
              <w:adjustRightInd w:val="0"/>
              <w:snapToGrid w:val="0"/>
              <w:jc w:val="center"/>
              <w:rPr>
                <w:rFonts w:ascii="宋体" w:hAnsi="宋体" w:cs="宋体"/>
                <w:szCs w:val="21"/>
              </w:rPr>
            </w:pPr>
            <w:r>
              <w:rPr>
                <w:rFonts w:hint="eastAsia" w:ascii="宋体" w:hAnsi="宋体" w:cs="宋体"/>
                <w:b/>
                <w:bCs/>
                <w:szCs w:val="21"/>
              </w:rPr>
              <w:t>造价工程师</w:t>
            </w:r>
          </w:p>
        </w:tc>
        <w:tc>
          <w:tcPr>
            <w:tcW w:w="759" w:type="dxa"/>
            <w:tcBorders>
              <w:left w:val="single" w:color="auto" w:sz="4" w:space="0"/>
              <w:right w:val="single" w:color="auto" w:sz="4" w:space="0"/>
            </w:tcBorders>
            <w:vAlign w:val="center"/>
          </w:tcPr>
          <w:p w14:paraId="156839CF">
            <w:pPr>
              <w:adjustRightInd w:val="0"/>
              <w:snapToGrid w:val="0"/>
              <w:ind w:left="-59" w:leftChars="-28" w:right="-50" w:rightChars="-24"/>
              <w:jc w:val="center"/>
              <w:rPr>
                <w:rFonts w:ascii="宋体" w:hAnsi="宋体" w:cs="宋体"/>
                <w:szCs w:val="21"/>
              </w:rPr>
            </w:pPr>
            <w:r>
              <w:rPr>
                <w:rFonts w:hint="eastAsia" w:ascii="宋体" w:hAnsi="宋体" w:cs="宋体"/>
                <w:szCs w:val="21"/>
              </w:rPr>
              <w:t>8</w:t>
            </w:r>
          </w:p>
        </w:tc>
        <w:tc>
          <w:tcPr>
            <w:tcW w:w="9889" w:type="dxa"/>
            <w:tcBorders>
              <w:top w:val="single" w:color="auto" w:sz="4" w:space="0"/>
              <w:left w:val="single" w:color="auto" w:sz="4" w:space="0"/>
              <w:bottom w:val="single" w:color="auto" w:sz="4" w:space="0"/>
              <w:right w:val="single" w:color="auto" w:sz="4" w:space="0"/>
            </w:tcBorders>
            <w:shd w:val="clear" w:color="auto" w:fill="auto"/>
            <w:vAlign w:val="center"/>
          </w:tcPr>
          <w:p w14:paraId="55EEEE50">
            <w:pPr>
              <w:autoSpaceDE w:val="0"/>
              <w:ind w:right="141" w:rightChars="67"/>
              <w:rPr>
                <w:rFonts w:ascii="宋体" w:hAnsi="宋体"/>
                <w:szCs w:val="21"/>
              </w:rPr>
            </w:pPr>
            <w:r>
              <w:rPr>
                <w:rFonts w:hint="eastAsia" w:ascii="宋体" w:hAnsi="宋体" w:cs="宋体"/>
                <w:szCs w:val="21"/>
              </w:rPr>
              <w:t>具有建筑工程造价</w:t>
            </w:r>
            <w:r>
              <w:rPr>
                <w:rFonts w:hint="eastAsia" w:ascii="宋体" w:hAnsi="宋体"/>
                <w:szCs w:val="21"/>
              </w:rPr>
              <w:t>类专业</w:t>
            </w:r>
            <w:r>
              <w:rPr>
                <w:rFonts w:hint="eastAsia" w:ascii="宋体" w:hAnsi="宋体" w:cs="宋体"/>
                <w:kern w:val="0"/>
                <w:szCs w:val="21"/>
              </w:rPr>
              <w:t>高级工程师 (或以上)职称，每名得4分，本项</w:t>
            </w:r>
            <w:r>
              <w:rPr>
                <w:rFonts w:ascii="宋体" w:hAnsi="宋体" w:cs="宋体"/>
                <w:kern w:val="0"/>
                <w:szCs w:val="21"/>
              </w:rPr>
              <w:t>最高</w:t>
            </w:r>
            <w:r>
              <w:rPr>
                <w:rFonts w:hint="eastAsia" w:ascii="宋体" w:hAnsi="宋体" w:cs="宋体"/>
                <w:kern w:val="0"/>
                <w:szCs w:val="21"/>
              </w:rPr>
              <w:t>得8分。</w:t>
            </w:r>
          </w:p>
        </w:tc>
      </w:tr>
      <w:tr w14:paraId="00DF09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19" w:type="dxa"/>
            <w:vMerge w:val="continue"/>
            <w:tcBorders>
              <w:left w:val="single" w:color="auto" w:sz="4" w:space="0"/>
              <w:right w:val="single" w:color="auto" w:sz="4" w:space="0"/>
            </w:tcBorders>
            <w:vAlign w:val="center"/>
          </w:tcPr>
          <w:p w14:paraId="57F41F14">
            <w:pPr>
              <w:widowControl/>
              <w:spacing w:before="100" w:beforeAutospacing="1" w:after="100" w:afterAutospacing="1"/>
              <w:jc w:val="center"/>
              <w:rPr>
                <w:rFonts w:ascii="宋体" w:hAnsi="宋体" w:cs="宋体"/>
                <w:szCs w:val="21"/>
              </w:rPr>
            </w:pPr>
          </w:p>
        </w:tc>
        <w:tc>
          <w:tcPr>
            <w:tcW w:w="2050" w:type="dxa"/>
            <w:tcBorders>
              <w:left w:val="single" w:color="auto" w:sz="4" w:space="0"/>
              <w:right w:val="single" w:color="auto" w:sz="4" w:space="0"/>
            </w:tcBorders>
            <w:vAlign w:val="center"/>
          </w:tcPr>
          <w:p w14:paraId="3C9DC5FA">
            <w:pPr>
              <w:autoSpaceDE w:val="0"/>
              <w:autoSpaceDN w:val="0"/>
              <w:adjustRightInd w:val="0"/>
              <w:snapToGrid w:val="0"/>
              <w:jc w:val="center"/>
              <w:rPr>
                <w:rFonts w:ascii="宋体" w:hAnsi="宋体" w:cs="宋体"/>
                <w:szCs w:val="21"/>
              </w:rPr>
            </w:pPr>
            <w:r>
              <w:rPr>
                <w:rFonts w:hint="eastAsia" w:ascii="宋体" w:hAnsi="宋体" w:cs="宋体"/>
                <w:b/>
                <w:bCs/>
                <w:szCs w:val="21"/>
              </w:rPr>
              <w:t>装修工程师</w:t>
            </w:r>
          </w:p>
        </w:tc>
        <w:tc>
          <w:tcPr>
            <w:tcW w:w="759" w:type="dxa"/>
            <w:tcBorders>
              <w:left w:val="single" w:color="auto" w:sz="4" w:space="0"/>
              <w:right w:val="single" w:color="auto" w:sz="4" w:space="0"/>
            </w:tcBorders>
            <w:vAlign w:val="center"/>
          </w:tcPr>
          <w:p w14:paraId="1FA91B48">
            <w:pPr>
              <w:adjustRightInd w:val="0"/>
              <w:snapToGrid w:val="0"/>
              <w:ind w:left="-59" w:leftChars="-28" w:right="-50" w:rightChars="-24"/>
              <w:jc w:val="center"/>
              <w:rPr>
                <w:rFonts w:ascii="宋体" w:hAnsi="宋体" w:cs="宋体"/>
                <w:szCs w:val="21"/>
              </w:rPr>
            </w:pPr>
            <w:r>
              <w:rPr>
                <w:rFonts w:hint="eastAsia" w:ascii="宋体" w:hAnsi="宋体" w:cs="宋体"/>
                <w:szCs w:val="21"/>
              </w:rPr>
              <w:t>8</w:t>
            </w:r>
          </w:p>
        </w:tc>
        <w:tc>
          <w:tcPr>
            <w:tcW w:w="9889" w:type="dxa"/>
            <w:tcBorders>
              <w:top w:val="single" w:color="auto" w:sz="4" w:space="0"/>
              <w:left w:val="single" w:color="auto" w:sz="4" w:space="0"/>
              <w:bottom w:val="single" w:color="auto" w:sz="4" w:space="0"/>
              <w:right w:val="single" w:color="auto" w:sz="4" w:space="0"/>
            </w:tcBorders>
            <w:shd w:val="clear" w:color="auto" w:fill="auto"/>
            <w:vAlign w:val="center"/>
          </w:tcPr>
          <w:p w14:paraId="3DE50100">
            <w:pPr>
              <w:autoSpaceDE w:val="0"/>
              <w:ind w:right="141" w:rightChars="67"/>
              <w:rPr>
                <w:rFonts w:ascii="宋体" w:hAnsi="宋体"/>
                <w:szCs w:val="21"/>
              </w:rPr>
            </w:pPr>
            <w:r>
              <w:rPr>
                <w:rFonts w:hint="eastAsia" w:ascii="宋体" w:hAnsi="宋体" w:cs="宋体"/>
                <w:kern w:val="0"/>
                <w:szCs w:val="21"/>
              </w:rPr>
              <w:t>具有建筑装饰施工类专业高级工程师 (或以上)职称，每名得4分，本项</w:t>
            </w:r>
            <w:r>
              <w:rPr>
                <w:rFonts w:ascii="宋体" w:hAnsi="宋体" w:cs="宋体"/>
                <w:kern w:val="0"/>
                <w:szCs w:val="21"/>
              </w:rPr>
              <w:t>最高</w:t>
            </w:r>
            <w:r>
              <w:rPr>
                <w:rFonts w:hint="eastAsia" w:ascii="宋体" w:hAnsi="宋体" w:cs="宋体"/>
                <w:kern w:val="0"/>
                <w:szCs w:val="21"/>
              </w:rPr>
              <w:t>得8分。</w:t>
            </w:r>
          </w:p>
        </w:tc>
      </w:tr>
      <w:tr w14:paraId="23DCFF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19" w:type="dxa"/>
            <w:vMerge w:val="continue"/>
            <w:tcBorders>
              <w:left w:val="single" w:color="auto" w:sz="4" w:space="0"/>
              <w:right w:val="single" w:color="auto" w:sz="4" w:space="0"/>
            </w:tcBorders>
            <w:vAlign w:val="center"/>
          </w:tcPr>
          <w:p w14:paraId="59E06227">
            <w:pPr>
              <w:widowControl/>
              <w:spacing w:before="100" w:beforeAutospacing="1" w:after="100" w:afterAutospacing="1"/>
              <w:jc w:val="center"/>
              <w:rPr>
                <w:rFonts w:ascii="宋体" w:hAnsi="宋体" w:cs="宋体"/>
                <w:szCs w:val="21"/>
              </w:rPr>
            </w:pPr>
          </w:p>
        </w:tc>
        <w:tc>
          <w:tcPr>
            <w:tcW w:w="2050" w:type="dxa"/>
            <w:tcBorders>
              <w:left w:val="single" w:color="auto" w:sz="4" w:space="0"/>
              <w:right w:val="single" w:color="auto" w:sz="4" w:space="0"/>
            </w:tcBorders>
            <w:vAlign w:val="center"/>
          </w:tcPr>
          <w:p w14:paraId="411EA51C">
            <w:pPr>
              <w:autoSpaceDE w:val="0"/>
              <w:autoSpaceDN w:val="0"/>
              <w:adjustRightInd w:val="0"/>
              <w:snapToGrid w:val="0"/>
              <w:jc w:val="center"/>
              <w:rPr>
                <w:rFonts w:ascii="宋体" w:hAnsi="宋体" w:cs="宋体"/>
                <w:szCs w:val="21"/>
              </w:rPr>
            </w:pPr>
            <w:r>
              <w:rPr>
                <w:rFonts w:hint="eastAsia" w:ascii="宋体" w:hAnsi="宋体" w:cs="宋体"/>
                <w:b/>
                <w:bCs/>
                <w:color w:val="000000" w:themeColor="text1"/>
                <w:szCs w:val="21"/>
                <w14:textFill>
                  <w14:solidFill>
                    <w14:schemeClr w14:val="tx1"/>
                  </w14:solidFill>
                </w14:textFill>
              </w:rPr>
              <w:t>机电工程师</w:t>
            </w:r>
          </w:p>
        </w:tc>
        <w:tc>
          <w:tcPr>
            <w:tcW w:w="759" w:type="dxa"/>
            <w:tcBorders>
              <w:left w:val="single" w:color="auto" w:sz="4" w:space="0"/>
              <w:right w:val="single" w:color="auto" w:sz="4" w:space="0"/>
            </w:tcBorders>
            <w:vAlign w:val="center"/>
          </w:tcPr>
          <w:p w14:paraId="145D4D56">
            <w:pPr>
              <w:adjustRightInd w:val="0"/>
              <w:snapToGrid w:val="0"/>
              <w:ind w:left="-59" w:leftChars="-28" w:right="-50" w:rightChars="-24"/>
              <w:jc w:val="center"/>
              <w:rPr>
                <w:rFonts w:ascii="宋体" w:hAnsi="宋体" w:cs="宋体"/>
                <w:szCs w:val="21"/>
              </w:rPr>
            </w:pPr>
            <w:r>
              <w:rPr>
                <w:rFonts w:hint="eastAsia" w:ascii="宋体" w:hAnsi="宋体" w:cs="宋体"/>
                <w:szCs w:val="21"/>
              </w:rPr>
              <w:t>4</w:t>
            </w:r>
          </w:p>
        </w:tc>
        <w:tc>
          <w:tcPr>
            <w:tcW w:w="9889" w:type="dxa"/>
            <w:tcBorders>
              <w:top w:val="single" w:color="auto" w:sz="4" w:space="0"/>
              <w:left w:val="single" w:color="auto" w:sz="4" w:space="0"/>
              <w:bottom w:val="single" w:color="auto" w:sz="4" w:space="0"/>
              <w:right w:val="single" w:color="auto" w:sz="4" w:space="0"/>
            </w:tcBorders>
            <w:shd w:val="clear" w:color="auto" w:fill="auto"/>
            <w:vAlign w:val="center"/>
          </w:tcPr>
          <w:p w14:paraId="2F017304">
            <w:pPr>
              <w:autoSpaceDE w:val="0"/>
              <w:ind w:right="141" w:rightChars="67"/>
              <w:rPr>
                <w:rFonts w:ascii="宋体" w:hAnsi="宋体"/>
                <w:szCs w:val="21"/>
              </w:rPr>
            </w:pPr>
            <w:r>
              <w:rPr>
                <w:rFonts w:hint="eastAsia" w:ascii="宋体" w:hAnsi="宋体" w:cs="宋体"/>
                <w:kern w:val="0"/>
                <w:szCs w:val="21"/>
              </w:rPr>
              <w:t>具有</w:t>
            </w:r>
            <w:r>
              <w:rPr>
                <w:rFonts w:hint="eastAsia" w:ascii="宋体" w:hAnsi="宋体" w:cs="宋体"/>
                <w:color w:val="000000" w:themeColor="text1"/>
                <w:kern w:val="0"/>
                <w:szCs w:val="21"/>
                <w14:textFill>
                  <w14:solidFill>
                    <w14:schemeClr w14:val="tx1"/>
                  </w14:solidFill>
                </w14:textFill>
              </w:rPr>
              <w:t>建筑机电设备安装类专业高级工程师 (或以上)职称，得4分，</w:t>
            </w:r>
            <w:r>
              <w:rPr>
                <w:rFonts w:hint="eastAsia" w:ascii="宋体" w:hAnsi="宋体" w:cs="宋体"/>
                <w:kern w:val="0"/>
                <w:szCs w:val="21"/>
              </w:rPr>
              <w:t>本项</w:t>
            </w:r>
            <w:r>
              <w:rPr>
                <w:rFonts w:ascii="宋体" w:hAnsi="宋体" w:cs="宋体"/>
                <w:color w:val="000000" w:themeColor="text1"/>
                <w:kern w:val="0"/>
                <w:szCs w:val="21"/>
                <w14:textFill>
                  <w14:solidFill>
                    <w14:schemeClr w14:val="tx1"/>
                  </w14:solidFill>
                </w14:textFill>
              </w:rPr>
              <w:t>最高</w:t>
            </w:r>
            <w:r>
              <w:rPr>
                <w:rFonts w:hint="eastAsia" w:ascii="宋体" w:hAnsi="宋体" w:cs="宋体"/>
                <w:color w:val="000000" w:themeColor="text1"/>
                <w:kern w:val="0"/>
                <w:szCs w:val="21"/>
                <w14:textFill>
                  <w14:solidFill>
                    <w14:schemeClr w14:val="tx1"/>
                  </w14:solidFill>
                </w14:textFill>
              </w:rPr>
              <w:t>得4分。</w:t>
            </w:r>
          </w:p>
        </w:tc>
      </w:tr>
      <w:tr w14:paraId="42000B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19" w:type="dxa"/>
            <w:vMerge w:val="continue"/>
            <w:tcBorders>
              <w:left w:val="single" w:color="auto" w:sz="4" w:space="0"/>
              <w:right w:val="single" w:color="auto" w:sz="4" w:space="0"/>
            </w:tcBorders>
            <w:vAlign w:val="center"/>
          </w:tcPr>
          <w:p w14:paraId="1B0FFD4C">
            <w:pPr>
              <w:widowControl/>
              <w:spacing w:before="100" w:beforeAutospacing="1" w:after="100" w:afterAutospacing="1"/>
              <w:jc w:val="center"/>
              <w:rPr>
                <w:rFonts w:ascii="宋体" w:hAnsi="宋体" w:cs="宋体"/>
                <w:szCs w:val="21"/>
              </w:rPr>
            </w:pPr>
          </w:p>
        </w:tc>
        <w:tc>
          <w:tcPr>
            <w:tcW w:w="2050" w:type="dxa"/>
            <w:tcBorders>
              <w:left w:val="single" w:color="auto" w:sz="4" w:space="0"/>
              <w:right w:val="single" w:color="auto" w:sz="4" w:space="0"/>
            </w:tcBorders>
            <w:vAlign w:val="center"/>
          </w:tcPr>
          <w:p w14:paraId="0A65C4F1">
            <w:pPr>
              <w:autoSpaceDE w:val="0"/>
              <w:autoSpaceDN w:val="0"/>
              <w:adjustRightInd w:val="0"/>
              <w:snapToGrid w:val="0"/>
              <w:jc w:val="center"/>
              <w:rPr>
                <w:rFonts w:ascii="宋体" w:hAnsi="宋体" w:cs="宋体"/>
                <w:szCs w:val="21"/>
              </w:rPr>
            </w:pPr>
            <w:r>
              <w:rPr>
                <w:rFonts w:hint="eastAsia" w:ascii="宋体" w:hAnsi="宋体" w:cs="宋体"/>
                <w:b/>
                <w:bCs/>
                <w:color w:val="000000" w:themeColor="text1"/>
                <w:szCs w:val="21"/>
                <w14:textFill>
                  <w14:solidFill>
                    <w14:schemeClr w14:val="tx1"/>
                  </w14:solidFill>
                </w14:textFill>
              </w:rPr>
              <w:t>给排水工程师</w:t>
            </w:r>
          </w:p>
        </w:tc>
        <w:tc>
          <w:tcPr>
            <w:tcW w:w="759" w:type="dxa"/>
            <w:tcBorders>
              <w:left w:val="single" w:color="auto" w:sz="4" w:space="0"/>
              <w:right w:val="single" w:color="auto" w:sz="4" w:space="0"/>
            </w:tcBorders>
            <w:vAlign w:val="center"/>
          </w:tcPr>
          <w:p w14:paraId="5FB477D3">
            <w:pPr>
              <w:adjustRightInd w:val="0"/>
              <w:snapToGrid w:val="0"/>
              <w:ind w:left="-59" w:leftChars="-28" w:right="-50" w:rightChars="-24"/>
              <w:jc w:val="center"/>
              <w:rPr>
                <w:rFonts w:ascii="宋体" w:hAnsi="宋体" w:cs="宋体"/>
                <w:szCs w:val="21"/>
              </w:rPr>
            </w:pPr>
            <w:r>
              <w:rPr>
                <w:rFonts w:hint="eastAsia" w:ascii="宋体" w:hAnsi="宋体" w:cs="宋体"/>
                <w:szCs w:val="21"/>
              </w:rPr>
              <w:t>2</w:t>
            </w:r>
          </w:p>
        </w:tc>
        <w:tc>
          <w:tcPr>
            <w:tcW w:w="9889" w:type="dxa"/>
            <w:tcBorders>
              <w:top w:val="single" w:color="auto" w:sz="4" w:space="0"/>
              <w:left w:val="single" w:color="auto" w:sz="4" w:space="0"/>
              <w:bottom w:val="single" w:color="auto" w:sz="4" w:space="0"/>
              <w:right w:val="single" w:color="auto" w:sz="4" w:space="0"/>
            </w:tcBorders>
            <w:shd w:val="clear" w:color="auto" w:fill="auto"/>
            <w:vAlign w:val="center"/>
          </w:tcPr>
          <w:p w14:paraId="5362F423">
            <w:pPr>
              <w:autoSpaceDE w:val="0"/>
              <w:ind w:right="141" w:rightChars="67"/>
              <w:rPr>
                <w:rFonts w:ascii="宋体" w:hAnsi="宋体"/>
                <w:szCs w:val="21"/>
              </w:rPr>
            </w:pPr>
            <w:r>
              <w:rPr>
                <w:rFonts w:hint="eastAsia" w:ascii="宋体" w:hAnsi="宋体" w:cs="宋体"/>
                <w:kern w:val="0"/>
                <w:szCs w:val="21"/>
              </w:rPr>
              <w:t>具有</w:t>
            </w:r>
            <w:r>
              <w:rPr>
                <w:rFonts w:hint="eastAsia" w:ascii="宋体" w:hAnsi="宋体" w:cs="宋体"/>
                <w:color w:val="000000" w:themeColor="text1"/>
                <w:kern w:val="0"/>
                <w:szCs w:val="21"/>
                <w14:textFill>
                  <w14:solidFill>
                    <w14:schemeClr w14:val="tx1"/>
                  </w14:solidFill>
                </w14:textFill>
              </w:rPr>
              <w:t>给排水类专业高级工程师 (或以上)职称，得2分，</w:t>
            </w:r>
            <w:r>
              <w:rPr>
                <w:rFonts w:hint="eastAsia" w:ascii="宋体" w:hAnsi="宋体" w:cs="宋体"/>
                <w:kern w:val="0"/>
                <w:szCs w:val="21"/>
              </w:rPr>
              <w:t>本项</w:t>
            </w:r>
            <w:r>
              <w:rPr>
                <w:rFonts w:ascii="宋体" w:hAnsi="宋体" w:cs="宋体"/>
                <w:color w:val="000000" w:themeColor="text1"/>
                <w:kern w:val="0"/>
                <w:szCs w:val="21"/>
                <w14:textFill>
                  <w14:solidFill>
                    <w14:schemeClr w14:val="tx1"/>
                  </w14:solidFill>
                </w14:textFill>
              </w:rPr>
              <w:t>最高</w:t>
            </w:r>
            <w:r>
              <w:rPr>
                <w:rFonts w:hint="eastAsia" w:ascii="宋体" w:hAnsi="宋体" w:cs="宋体"/>
                <w:color w:val="000000" w:themeColor="text1"/>
                <w:kern w:val="0"/>
                <w:szCs w:val="21"/>
                <w14:textFill>
                  <w14:solidFill>
                    <w14:schemeClr w14:val="tx1"/>
                  </w14:solidFill>
                </w14:textFill>
              </w:rPr>
              <w:t>得2分。</w:t>
            </w:r>
          </w:p>
        </w:tc>
      </w:tr>
      <w:tr w14:paraId="18ECF3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8" w:hRule="atLeast"/>
          <w:jc w:val="center"/>
        </w:trPr>
        <w:tc>
          <w:tcPr>
            <w:tcW w:w="1619" w:type="dxa"/>
            <w:tcBorders>
              <w:left w:val="single" w:color="auto" w:sz="4" w:space="0"/>
              <w:right w:val="single" w:color="auto" w:sz="4" w:space="0"/>
            </w:tcBorders>
            <w:vAlign w:val="center"/>
          </w:tcPr>
          <w:p w14:paraId="67C7A8B8">
            <w:pPr>
              <w:widowControl/>
              <w:spacing w:before="100" w:beforeAutospacing="1" w:after="100" w:afterAutospacing="1"/>
              <w:jc w:val="center"/>
              <w:rPr>
                <w:rStyle w:val="133"/>
                <w:rFonts w:ascii="lucida Grande" w:hAnsi="lucida Grande"/>
                <w:color w:val="auto"/>
              </w:rPr>
            </w:pPr>
            <w:r>
              <w:rPr>
                <w:rFonts w:hint="eastAsia" w:ascii="宋体" w:hAnsi="宋体" w:cs="宋体"/>
                <w:szCs w:val="21"/>
              </w:rPr>
              <w:t>二、类似工程业绩（12分）</w:t>
            </w:r>
          </w:p>
        </w:tc>
        <w:tc>
          <w:tcPr>
            <w:tcW w:w="2050" w:type="dxa"/>
            <w:tcBorders>
              <w:left w:val="single" w:color="auto" w:sz="4" w:space="0"/>
              <w:right w:val="single" w:color="auto" w:sz="4" w:space="0"/>
            </w:tcBorders>
            <w:vAlign w:val="center"/>
          </w:tcPr>
          <w:p w14:paraId="62F5088E">
            <w:pPr>
              <w:autoSpaceDE w:val="0"/>
              <w:autoSpaceDN w:val="0"/>
              <w:adjustRightInd w:val="0"/>
              <w:snapToGrid w:val="0"/>
              <w:jc w:val="center"/>
              <w:rPr>
                <w:rFonts w:ascii="宋体" w:hAnsi="宋体" w:cs="宋体"/>
                <w:szCs w:val="21"/>
              </w:rPr>
            </w:pPr>
            <w:r>
              <w:rPr>
                <w:rFonts w:hint="eastAsia" w:ascii="宋体" w:hAnsi="宋体" w:cs="宋体"/>
                <w:szCs w:val="21"/>
              </w:rPr>
              <w:t>类似工程业绩</w:t>
            </w:r>
          </w:p>
        </w:tc>
        <w:tc>
          <w:tcPr>
            <w:tcW w:w="759" w:type="dxa"/>
            <w:tcBorders>
              <w:left w:val="single" w:color="auto" w:sz="4" w:space="0"/>
              <w:right w:val="single" w:color="auto" w:sz="4" w:space="0"/>
            </w:tcBorders>
            <w:vAlign w:val="center"/>
          </w:tcPr>
          <w:p w14:paraId="03DAF35B">
            <w:pPr>
              <w:adjustRightInd w:val="0"/>
              <w:snapToGrid w:val="0"/>
              <w:ind w:left="-59" w:leftChars="-28" w:right="-50" w:rightChars="-24"/>
              <w:jc w:val="center"/>
              <w:rPr>
                <w:rFonts w:ascii="宋体" w:hAnsi="宋体" w:cs="宋体"/>
                <w:szCs w:val="21"/>
              </w:rPr>
            </w:pPr>
            <w:r>
              <w:rPr>
                <w:rFonts w:hint="eastAsia" w:ascii="宋体" w:hAnsi="宋体" w:cs="宋体"/>
                <w:szCs w:val="21"/>
              </w:rPr>
              <w:t>12</w:t>
            </w:r>
          </w:p>
        </w:tc>
        <w:tc>
          <w:tcPr>
            <w:tcW w:w="9889" w:type="dxa"/>
            <w:tcBorders>
              <w:top w:val="single" w:color="auto" w:sz="4" w:space="0"/>
              <w:left w:val="single" w:color="auto" w:sz="4" w:space="0"/>
              <w:bottom w:val="single" w:color="auto" w:sz="4" w:space="0"/>
              <w:right w:val="single" w:color="auto" w:sz="4" w:space="0"/>
            </w:tcBorders>
            <w:shd w:val="clear" w:color="auto" w:fill="auto"/>
            <w:vAlign w:val="center"/>
          </w:tcPr>
          <w:p w14:paraId="07175633">
            <w:pPr>
              <w:autoSpaceDE w:val="0"/>
              <w:ind w:right="141" w:rightChars="67"/>
              <w:rPr>
                <w:rFonts w:ascii="宋体" w:hAnsi="宋体"/>
                <w:szCs w:val="21"/>
              </w:rPr>
            </w:pPr>
            <w:r>
              <w:rPr>
                <w:rFonts w:hint="eastAsia" w:ascii="宋体" w:hAnsi="宋体"/>
                <w:szCs w:val="21"/>
              </w:rPr>
              <w:t>投标人自20</w:t>
            </w:r>
            <w:r>
              <w:rPr>
                <w:rFonts w:ascii="宋体" w:hAnsi="宋体"/>
                <w:szCs w:val="21"/>
              </w:rPr>
              <w:t>19</w:t>
            </w:r>
            <w:r>
              <w:rPr>
                <w:rFonts w:hint="eastAsia" w:ascii="宋体" w:hAnsi="宋体"/>
                <w:szCs w:val="21"/>
              </w:rPr>
              <w:t>年1月1日至今，完成过项目金额1000万元或以上且质量合格的建筑装修装饰工程业绩的：</w:t>
            </w:r>
          </w:p>
          <w:p w14:paraId="7932632D">
            <w:pPr>
              <w:autoSpaceDE w:val="0"/>
              <w:ind w:right="141" w:rightChars="67"/>
              <w:rPr>
                <w:rFonts w:ascii="宋体" w:hAnsi="宋体"/>
                <w:szCs w:val="21"/>
              </w:rPr>
            </w:pPr>
            <w:r>
              <w:rPr>
                <w:rFonts w:hint="eastAsia" w:ascii="宋体" w:hAnsi="宋体"/>
                <w:szCs w:val="21"/>
              </w:rPr>
              <w:t>（1）完成9项(含本数)及以上的，得12分；</w:t>
            </w:r>
          </w:p>
          <w:p w14:paraId="2AAD854F">
            <w:pPr>
              <w:autoSpaceDE w:val="0"/>
              <w:ind w:right="141" w:rightChars="67"/>
              <w:rPr>
                <w:rFonts w:ascii="宋体" w:hAnsi="宋体"/>
                <w:szCs w:val="21"/>
              </w:rPr>
            </w:pPr>
            <w:r>
              <w:rPr>
                <w:rFonts w:hint="eastAsia" w:ascii="宋体" w:hAnsi="宋体"/>
                <w:szCs w:val="21"/>
              </w:rPr>
              <w:t>（2）完成</w:t>
            </w:r>
            <w:r>
              <w:rPr>
                <w:rFonts w:ascii="宋体" w:hAnsi="宋体"/>
                <w:szCs w:val="21"/>
              </w:rPr>
              <w:t>7</w:t>
            </w:r>
            <w:r>
              <w:rPr>
                <w:rFonts w:hint="eastAsia" w:ascii="宋体" w:hAnsi="宋体"/>
                <w:szCs w:val="21"/>
              </w:rPr>
              <w:t>～8项(含本数)的，得9分；</w:t>
            </w:r>
          </w:p>
          <w:p w14:paraId="303C34BA">
            <w:pPr>
              <w:autoSpaceDE w:val="0"/>
              <w:ind w:right="141" w:rightChars="67"/>
              <w:rPr>
                <w:rFonts w:ascii="宋体" w:hAnsi="宋体"/>
                <w:szCs w:val="21"/>
              </w:rPr>
            </w:pPr>
            <w:r>
              <w:rPr>
                <w:rFonts w:ascii="宋体" w:hAnsi="宋体"/>
                <w:szCs w:val="21"/>
              </w:rPr>
              <w:t>（</w:t>
            </w:r>
            <w:r>
              <w:rPr>
                <w:rFonts w:hint="eastAsia" w:ascii="宋体" w:hAnsi="宋体"/>
                <w:szCs w:val="21"/>
              </w:rPr>
              <w:t>3</w:t>
            </w:r>
            <w:r>
              <w:rPr>
                <w:rFonts w:ascii="宋体" w:hAnsi="宋体"/>
                <w:szCs w:val="21"/>
              </w:rPr>
              <w:t>）</w:t>
            </w:r>
            <w:r>
              <w:rPr>
                <w:rFonts w:hint="eastAsia" w:ascii="宋体" w:hAnsi="宋体"/>
                <w:szCs w:val="21"/>
              </w:rPr>
              <w:t>完成</w:t>
            </w:r>
            <w:r>
              <w:rPr>
                <w:rFonts w:ascii="宋体" w:hAnsi="宋体"/>
                <w:szCs w:val="21"/>
              </w:rPr>
              <w:t>4</w:t>
            </w:r>
            <w:r>
              <w:rPr>
                <w:rFonts w:hint="eastAsia" w:ascii="宋体" w:hAnsi="宋体"/>
                <w:szCs w:val="21"/>
              </w:rPr>
              <w:t>～</w:t>
            </w:r>
            <w:r>
              <w:rPr>
                <w:rFonts w:ascii="宋体" w:hAnsi="宋体"/>
                <w:szCs w:val="21"/>
              </w:rPr>
              <w:t>6</w:t>
            </w:r>
            <w:r>
              <w:rPr>
                <w:rFonts w:hint="eastAsia" w:ascii="宋体" w:hAnsi="宋体"/>
                <w:szCs w:val="21"/>
              </w:rPr>
              <w:t>项(含本数)的，得6分；</w:t>
            </w:r>
          </w:p>
          <w:p w14:paraId="01A2CD45">
            <w:pPr>
              <w:autoSpaceDE w:val="0"/>
              <w:ind w:right="141" w:rightChars="67"/>
              <w:rPr>
                <w:rFonts w:ascii="宋体" w:hAnsi="宋体"/>
                <w:szCs w:val="21"/>
              </w:rPr>
            </w:pPr>
            <w:r>
              <w:rPr>
                <w:rFonts w:hint="eastAsia" w:ascii="宋体" w:hAnsi="宋体"/>
                <w:szCs w:val="21"/>
              </w:rPr>
              <w:t>（</w:t>
            </w:r>
            <w:r>
              <w:rPr>
                <w:rFonts w:ascii="宋体" w:hAnsi="宋体"/>
                <w:szCs w:val="21"/>
              </w:rPr>
              <w:t>4</w:t>
            </w:r>
            <w:r>
              <w:rPr>
                <w:rFonts w:hint="eastAsia" w:ascii="宋体" w:hAnsi="宋体"/>
                <w:szCs w:val="21"/>
              </w:rPr>
              <w:t>）完成1～</w:t>
            </w:r>
            <w:r>
              <w:rPr>
                <w:rFonts w:ascii="宋体" w:hAnsi="宋体"/>
                <w:szCs w:val="21"/>
              </w:rPr>
              <w:t>3</w:t>
            </w:r>
            <w:r>
              <w:rPr>
                <w:rFonts w:hint="eastAsia" w:ascii="宋体" w:hAnsi="宋体"/>
                <w:szCs w:val="21"/>
              </w:rPr>
              <w:t>项(含本数)的，得3分；</w:t>
            </w:r>
          </w:p>
          <w:p w14:paraId="32A606C1">
            <w:pPr>
              <w:autoSpaceDE w:val="0"/>
              <w:ind w:right="141" w:rightChars="67"/>
              <w:rPr>
                <w:rFonts w:ascii="宋体" w:hAnsi="宋体" w:cs="宋体"/>
                <w:szCs w:val="21"/>
              </w:rPr>
            </w:pPr>
            <w:r>
              <w:rPr>
                <w:rFonts w:hint="eastAsia" w:ascii="宋体" w:hAnsi="宋体"/>
                <w:szCs w:val="21"/>
              </w:rPr>
              <w:t>不符合上述条件的不得分，本项合计最高得12分。</w:t>
            </w:r>
          </w:p>
        </w:tc>
      </w:tr>
      <w:tr w14:paraId="4B3DDB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19" w:type="dxa"/>
            <w:tcBorders>
              <w:left w:val="single" w:color="auto" w:sz="4" w:space="0"/>
              <w:right w:val="single" w:color="auto" w:sz="4" w:space="0"/>
            </w:tcBorders>
            <w:vAlign w:val="center"/>
          </w:tcPr>
          <w:p w14:paraId="6AF90A94">
            <w:pPr>
              <w:widowControl/>
              <w:spacing w:before="100" w:beforeAutospacing="1" w:after="100" w:afterAutospacing="1"/>
              <w:jc w:val="center"/>
              <w:rPr>
                <w:rStyle w:val="133"/>
                <w:rFonts w:ascii="lucida Grande" w:hAnsi="lucida Grande"/>
                <w:color w:val="auto"/>
              </w:rPr>
            </w:pPr>
            <w:r>
              <w:rPr>
                <w:rStyle w:val="133"/>
                <w:rFonts w:hint="eastAsia" w:ascii="lucida Grande" w:hAnsi="lucida Grande"/>
                <w:color w:val="auto"/>
              </w:rPr>
              <w:t>三、</w:t>
            </w:r>
            <w:r>
              <w:rPr>
                <w:rFonts w:hint="eastAsia" w:ascii="宋体" w:hAnsi="宋体" w:cs="宋体"/>
                <w:color w:val="000000" w:themeColor="text1"/>
                <w:kern w:val="0"/>
                <w:szCs w:val="21"/>
                <w14:textFill>
                  <w14:solidFill>
                    <w14:schemeClr w14:val="tx1"/>
                  </w14:solidFill>
                </w14:textFill>
              </w:rPr>
              <w:t>企业获奖（12分）</w:t>
            </w:r>
          </w:p>
        </w:tc>
        <w:tc>
          <w:tcPr>
            <w:tcW w:w="2050" w:type="dxa"/>
            <w:tcBorders>
              <w:left w:val="single" w:color="auto" w:sz="4" w:space="0"/>
              <w:right w:val="single" w:color="auto" w:sz="4" w:space="0"/>
            </w:tcBorders>
            <w:vAlign w:val="center"/>
          </w:tcPr>
          <w:p w14:paraId="65FBFED3">
            <w:pPr>
              <w:ind w:left="42" w:leftChars="20" w:right="42" w:rightChars="20"/>
              <w:jc w:val="center"/>
              <w:rPr>
                <w:rFonts w:ascii="宋体" w:hAnsi="宋体" w:cs="宋体"/>
              </w:rPr>
            </w:pPr>
            <w:r>
              <w:rPr>
                <w:rFonts w:hint="eastAsia" w:ascii="宋体" w:hAnsi="宋体" w:cs="宋体"/>
                <w:color w:val="000000" w:themeColor="text1"/>
                <w:kern w:val="0"/>
                <w:szCs w:val="21"/>
                <w14:textFill>
                  <w14:solidFill>
                    <w14:schemeClr w14:val="tx1"/>
                  </w14:solidFill>
                </w14:textFill>
              </w:rPr>
              <w:t>企业获奖</w:t>
            </w:r>
          </w:p>
        </w:tc>
        <w:tc>
          <w:tcPr>
            <w:tcW w:w="759" w:type="dxa"/>
            <w:tcBorders>
              <w:left w:val="single" w:color="auto" w:sz="4" w:space="0"/>
              <w:right w:val="single" w:color="auto" w:sz="4" w:space="0"/>
            </w:tcBorders>
            <w:vAlign w:val="center"/>
          </w:tcPr>
          <w:p w14:paraId="5D42A2AE">
            <w:pPr>
              <w:ind w:left="42" w:leftChars="20" w:right="42" w:rightChars="20"/>
              <w:jc w:val="center"/>
              <w:rPr>
                <w:rFonts w:ascii="宋体" w:hAnsi="宋体" w:cs="宋体"/>
                <w:szCs w:val="21"/>
              </w:rPr>
            </w:pPr>
            <w:r>
              <w:rPr>
                <w:rFonts w:hint="eastAsia" w:ascii="宋体" w:hAnsi="宋体" w:cs="宋体"/>
                <w:szCs w:val="21"/>
              </w:rPr>
              <w:t>12</w:t>
            </w:r>
          </w:p>
        </w:tc>
        <w:tc>
          <w:tcPr>
            <w:tcW w:w="9889" w:type="dxa"/>
            <w:tcBorders>
              <w:top w:val="single" w:color="auto" w:sz="4" w:space="0"/>
              <w:left w:val="single" w:color="auto" w:sz="4" w:space="0"/>
              <w:bottom w:val="single" w:color="auto" w:sz="4" w:space="0"/>
              <w:right w:val="single" w:color="auto" w:sz="4" w:space="0"/>
            </w:tcBorders>
            <w:vAlign w:val="center"/>
          </w:tcPr>
          <w:p w14:paraId="1FB4F01C">
            <w:pPr>
              <w:rPr>
                <w:rFonts w:ascii="宋体" w:hAnsi="宋体"/>
                <w:szCs w:val="21"/>
              </w:rPr>
            </w:pPr>
            <w:r>
              <w:rPr>
                <w:rFonts w:hint="eastAsia" w:ascii="宋体" w:hAnsi="宋体"/>
                <w:szCs w:val="21"/>
              </w:rPr>
              <w:t>投标人自2019年1月1日至今，</w:t>
            </w:r>
            <w:r>
              <w:rPr>
                <w:rFonts w:hint="eastAsia" w:ascii="宋体" w:hAnsi="宋体"/>
                <w:kern w:val="0"/>
                <w:szCs w:val="21"/>
                <w:lang w:val="zh-CN"/>
              </w:rPr>
              <w:t>完成的</w:t>
            </w:r>
            <w:r>
              <w:rPr>
                <w:rFonts w:hint="eastAsia"/>
              </w:rPr>
              <w:t>建筑装修装饰类工程</w:t>
            </w:r>
            <w:r>
              <w:rPr>
                <w:rFonts w:hint="eastAsia" w:ascii="宋体" w:hAnsi="宋体"/>
                <w:kern w:val="0"/>
                <w:szCs w:val="21"/>
                <w:lang w:val="zh-CN"/>
              </w:rPr>
              <w:t>获得</w:t>
            </w:r>
            <w:r>
              <w:rPr>
                <w:rFonts w:hint="eastAsia" w:ascii="宋体" w:hAnsi="宋体"/>
                <w:szCs w:val="21"/>
              </w:rPr>
              <w:t>市级或以上质量奖的每项得1.5分，最高得12分。</w:t>
            </w:r>
          </w:p>
          <w:p w14:paraId="41C80786">
            <w:pPr>
              <w:pStyle w:val="149"/>
              <w:jc w:val="both"/>
              <w:rPr>
                <w:rFonts w:ascii="宋体" w:hAnsi="宋体" w:cs="宋体"/>
                <w:kern w:val="2"/>
                <w:sz w:val="21"/>
                <w:szCs w:val="21"/>
              </w:rPr>
            </w:pPr>
            <w:r>
              <w:rPr>
                <w:rFonts w:hint="eastAsia" w:ascii="宋体" w:hAnsi="宋体"/>
                <w:sz w:val="21"/>
                <w:szCs w:val="21"/>
              </w:rPr>
              <w:t>注：同一工程获奖只计算一次得分，不重复计算。</w:t>
            </w:r>
          </w:p>
        </w:tc>
      </w:tr>
      <w:tr w14:paraId="564F01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1" w:hRule="atLeast"/>
          <w:jc w:val="center"/>
        </w:trPr>
        <w:tc>
          <w:tcPr>
            <w:tcW w:w="1619" w:type="dxa"/>
            <w:tcBorders>
              <w:left w:val="single" w:color="auto" w:sz="4" w:space="0"/>
              <w:right w:val="single" w:color="auto" w:sz="4" w:space="0"/>
            </w:tcBorders>
            <w:vAlign w:val="center"/>
          </w:tcPr>
          <w:p w14:paraId="7ECB978F">
            <w:pPr>
              <w:widowControl/>
              <w:spacing w:before="100" w:beforeAutospacing="1" w:after="100" w:afterAutospacing="1"/>
              <w:jc w:val="center"/>
              <w:rPr>
                <w:rStyle w:val="133"/>
                <w:rFonts w:ascii="lucida Grande" w:hAnsi="lucida Grande"/>
                <w:color w:val="auto"/>
              </w:rPr>
            </w:pPr>
            <w:r>
              <w:rPr>
                <w:rStyle w:val="133"/>
                <w:rFonts w:hint="eastAsia" w:ascii="lucida Grande" w:hAnsi="lucida Grande"/>
                <w:color w:val="auto"/>
              </w:rPr>
              <w:t>四、</w:t>
            </w:r>
            <w:r>
              <w:rPr>
                <w:rFonts w:hint="eastAsia" w:ascii="宋体" w:hAnsi="宋体" w:cs="宋体"/>
                <w:color w:val="000000" w:themeColor="text1"/>
                <w:szCs w:val="21"/>
                <w14:textFill>
                  <w14:solidFill>
                    <w14:schemeClr w14:val="tx1"/>
                  </w14:solidFill>
                </w14:textFill>
              </w:rPr>
              <w:t>第三方评价（6分）</w:t>
            </w:r>
          </w:p>
        </w:tc>
        <w:tc>
          <w:tcPr>
            <w:tcW w:w="2050" w:type="dxa"/>
            <w:tcBorders>
              <w:left w:val="single" w:color="auto" w:sz="4" w:space="0"/>
              <w:right w:val="single" w:color="auto" w:sz="4" w:space="0"/>
            </w:tcBorders>
            <w:vAlign w:val="center"/>
          </w:tcPr>
          <w:p w14:paraId="5CAA6939">
            <w:pPr>
              <w:adjustRightInd w:val="0"/>
              <w:snapToGrid w:val="0"/>
              <w:ind w:right="-48" w:rightChars="-23"/>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第三方评价</w:t>
            </w:r>
          </w:p>
        </w:tc>
        <w:tc>
          <w:tcPr>
            <w:tcW w:w="759" w:type="dxa"/>
            <w:tcBorders>
              <w:left w:val="single" w:color="auto" w:sz="4" w:space="0"/>
              <w:right w:val="single" w:color="auto" w:sz="4" w:space="0"/>
            </w:tcBorders>
            <w:vAlign w:val="center"/>
          </w:tcPr>
          <w:p w14:paraId="583BCFBA">
            <w:pPr>
              <w:snapToGrid w:val="0"/>
              <w:ind w:left="-59" w:leftChars="-28" w:right="-50" w:rightChars="-24"/>
              <w:jc w:val="center"/>
              <w:rPr>
                <w:rFonts w:ascii="宋体" w:hAnsi="宋体" w:cs="宋体"/>
                <w:szCs w:val="21"/>
              </w:rPr>
            </w:pPr>
            <w:r>
              <w:rPr>
                <w:rFonts w:hint="eastAsia" w:ascii="宋体" w:hAnsi="宋体" w:cs="宋体"/>
                <w:color w:val="000000" w:themeColor="text1"/>
                <w:szCs w:val="21"/>
                <w14:textFill>
                  <w14:solidFill>
                    <w14:schemeClr w14:val="tx1"/>
                  </w14:solidFill>
                </w14:textFill>
              </w:rPr>
              <w:t>6</w:t>
            </w:r>
          </w:p>
        </w:tc>
        <w:tc>
          <w:tcPr>
            <w:tcW w:w="9889" w:type="dxa"/>
            <w:tcBorders>
              <w:top w:val="single" w:color="auto" w:sz="4" w:space="0"/>
              <w:left w:val="single" w:color="auto" w:sz="4" w:space="0"/>
              <w:bottom w:val="single" w:color="auto" w:sz="4" w:space="0"/>
              <w:right w:val="single" w:color="auto" w:sz="4" w:space="0"/>
            </w:tcBorders>
            <w:vAlign w:val="center"/>
          </w:tcPr>
          <w:p w14:paraId="4D8FE206">
            <w:pPr>
              <w:widowControl/>
              <w:adjustRightInd w:val="0"/>
              <w:snapToGrid w:val="0"/>
              <w:jc w:val="left"/>
              <w:rPr>
                <w:rFonts w:ascii="宋体" w:hAnsi="宋体"/>
                <w:szCs w:val="21"/>
              </w:rPr>
            </w:pPr>
            <w:r>
              <w:rPr>
                <w:rFonts w:hint="eastAsia" w:ascii="宋体" w:hAnsi="宋体"/>
                <w:kern w:val="0"/>
                <w:szCs w:val="21"/>
                <w:lang w:val="zh-CN"/>
              </w:rPr>
              <w:t>投标人同时具有有效的质量管理体系认证、环境管理体系认证、职业健康安全管理体系认证、工程施工安全标准化评价认证情况，得</w:t>
            </w:r>
            <w:r>
              <w:rPr>
                <w:rFonts w:hint="eastAsia" w:ascii="宋体" w:hAnsi="宋体"/>
                <w:kern w:val="0"/>
                <w:szCs w:val="21"/>
              </w:rPr>
              <w:t>6</w:t>
            </w:r>
            <w:r>
              <w:rPr>
                <w:rFonts w:hint="eastAsia" w:ascii="宋体" w:hAnsi="宋体"/>
                <w:kern w:val="0"/>
                <w:szCs w:val="21"/>
                <w:lang w:val="zh-CN"/>
              </w:rPr>
              <w:t>分；缺少任一项的扣</w:t>
            </w:r>
            <w:r>
              <w:rPr>
                <w:rFonts w:hint="eastAsia" w:ascii="宋体" w:hAnsi="宋体"/>
                <w:kern w:val="0"/>
                <w:szCs w:val="21"/>
              </w:rPr>
              <w:t>1.5</w:t>
            </w:r>
            <w:r>
              <w:rPr>
                <w:rFonts w:hint="eastAsia" w:ascii="宋体" w:hAnsi="宋体"/>
                <w:kern w:val="0"/>
                <w:szCs w:val="21"/>
                <w:lang w:val="zh-CN"/>
              </w:rPr>
              <w:t>分，扣至0分为止。</w:t>
            </w:r>
          </w:p>
        </w:tc>
      </w:tr>
    </w:tbl>
    <w:p w14:paraId="13A29B0F">
      <w:pPr>
        <w:pStyle w:val="6"/>
      </w:pPr>
      <w:r>
        <w:rPr>
          <w:rFonts w:hint="eastAsia"/>
        </w:rPr>
        <w:t>备注：</w:t>
      </w:r>
    </w:p>
    <w:p w14:paraId="73D599CF">
      <w:pPr>
        <w:ind w:firstLine="422" w:firstLineChars="200"/>
        <w:rPr>
          <w:rFonts w:ascii="宋体" w:hAnsi="宋体" w:cs="宋体"/>
          <w:b/>
          <w:bCs/>
          <w:szCs w:val="21"/>
        </w:rPr>
      </w:pPr>
      <w:r>
        <w:rPr>
          <w:rFonts w:hint="eastAsia" w:ascii="宋体" w:hAnsi="宋体" w:cs="宋体"/>
          <w:b/>
          <w:bCs/>
          <w:szCs w:val="21"/>
        </w:rPr>
        <w:t>1.类似业绩：</w:t>
      </w:r>
    </w:p>
    <w:p w14:paraId="13F4F28C">
      <w:pPr>
        <w:ind w:firstLine="420" w:firstLineChars="200"/>
        <w:rPr>
          <w:rFonts w:ascii="宋体" w:hAnsi="宋体" w:cs="宋体"/>
        </w:rPr>
      </w:pPr>
      <w:r>
        <w:rPr>
          <w:rFonts w:hint="eastAsia" w:ascii="宋体" w:hAnsi="宋体" w:cs="宋体"/>
        </w:rPr>
        <w:t>业绩取自广州市住建行业信用管理平台。投标人须提供项目名称、广州市住建行业信用管理平台内的项目业绩编号。不提供项目名称、项目编号的业绩不予评审。若投标人提供的项目名称与项目编号不一致：①项目名称和项目编号在平台内分别对应不同业绩的，以项目名称对应的业绩为准；②项目名称存在对应业绩的，项目编号在平台内不存在对应业绩，以项目名称对应的业绩为准；③项目名称在平台内不存在对应业绩，项目编号存在对应业绩的，以项目编号对应的业绩为准。评标委员会对业绩的评审以投标截止时间在平台内业绩上传件为依据。</w:t>
      </w:r>
    </w:p>
    <w:p w14:paraId="076ACD22">
      <w:pPr>
        <w:ind w:firstLine="420" w:firstLineChars="200"/>
        <w:rPr>
          <w:rFonts w:ascii="宋体" w:hAnsi="宋体" w:cs="宋体"/>
        </w:rPr>
      </w:pPr>
      <w:r>
        <w:rPr>
          <w:rFonts w:hint="eastAsia" w:ascii="宋体" w:hAnsi="宋体" w:cs="宋体"/>
        </w:rPr>
        <w:t>（1）单独发包的专业工程的业绩金额以中标通知书为准，中标通知书上没有金额或免招标的，以施工合同（不含补充合同）为准。如中标通知书未能体现对应的专业工程金额，则以施工合同载明的对应的专业工程金额为准，如中标通知书与施工合同均不能单独体现对应的专业工程金额，则以建设单位提供的证明资料中载明的对应专业金额为准。由总承包单位依法分包的专业工程业绩其金额以分包合同中约定的合同金额为准。用于本项目投标的业绩，在广州市住建行业信用管理平台“工程对应的企业资质”栏中登记的资质须为“建筑装修装饰工程”。</w:t>
      </w:r>
    </w:p>
    <w:p w14:paraId="76995D05">
      <w:pPr>
        <w:ind w:firstLine="420" w:firstLineChars="200"/>
      </w:pPr>
      <w:r>
        <w:rPr>
          <w:rFonts w:hint="eastAsia" w:ascii="宋体" w:hAnsi="宋体" w:cs="宋体"/>
        </w:rPr>
        <w:t>（2）完成时间以子分部工程质量验收记录时间为准。验收记录至少具有建设单位、设计、施工和监理单位盖章。</w:t>
      </w:r>
    </w:p>
    <w:p w14:paraId="68AD8FD4">
      <w:pPr>
        <w:ind w:firstLine="420" w:firstLineChars="200"/>
      </w:pPr>
      <w:r>
        <w:rPr>
          <w:rFonts w:hint="eastAsia" w:ascii="宋体" w:hAnsi="宋体" w:cs="宋体"/>
        </w:rPr>
        <w:t>（3）广州市住建行业信用管理平台内业绩上传件不符合上述要求的，该项业绩不予认定。</w:t>
      </w:r>
    </w:p>
    <w:p w14:paraId="5C651578">
      <w:pPr>
        <w:ind w:firstLine="420" w:firstLineChars="200"/>
        <w:rPr>
          <w:rFonts w:ascii="宋体" w:hAnsi="宋体" w:cs="宋体"/>
          <w:szCs w:val="21"/>
        </w:rPr>
      </w:pPr>
      <w:r>
        <w:rPr>
          <w:rFonts w:hint="eastAsia" w:ascii="宋体" w:hAnsi="宋体" w:cs="宋体"/>
        </w:rPr>
        <w:t>（4）若投标人拟将本工程的装修装饰部分依法分包给专业承包单位的（详见投标函），类似工程业绩由专业承包单位提供作为评审，评审标准按以上要求执行。</w:t>
      </w:r>
    </w:p>
    <w:p w14:paraId="63E3A3B9">
      <w:pPr>
        <w:ind w:firstLine="422" w:firstLineChars="200"/>
        <w:rPr>
          <w:rFonts w:ascii="宋体" w:hAnsi="宋体" w:cs="宋体"/>
          <w:b/>
          <w:bCs/>
          <w:szCs w:val="21"/>
        </w:rPr>
      </w:pPr>
      <w:r>
        <w:rPr>
          <w:rFonts w:hint="eastAsia" w:ascii="宋体" w:hAnsi="宋体" w:cs="宋体"/>
          <w:b/>
          <w:bCs/>
          <w:szCs w:val="21"/>
        </w:rPr>
        <w:t>2.企业获奖：</w:t>
      </w:r>
    </w:p>
    <w:p w14:paraId="75131D44">
      <w:pPr>
        <w:ind w:firstLine="420" w:firstLineChars="200"/>
        <w:rPr>
          <w:rFonts w:ascii="宋体" w:hAnsi="宋体" w:cs="宋体"/>
          <w:szCs w:val="21"/>
        </w:rPr>
      </w:pPr>
      <w:r>
        <w:rPr>
          <w:rFonts w:hint="eastAsia" w:ascii="宋体" w:hAnsi="宋体" w:cs="宋体"/>
          <w:szCs w:val="21"/>
        </w:rPr>
        <w:t>（1）获奖信息可取自广州市住建行业信用管理平台或以投标人所提供的获奖证书原件扫描件为准。①取自平台的，投标人须提供在广州市住建行业信用管理平台的网页信息截图（网页信息截图须能清晰显示带有“住建行业信用管理平台”名称，并至少包含“项目基本信息”、“奖项信息”等信息），不提供网页信息截图的业绩不予评审。评标委员会的评审以投标截止时间在平台内业绩上传件为依据（投标文件中不需重复提交上传件）。用于本项目获奖的业绩，在广州市住建行业信用管理平台“工程对应的企业资质”栏中登记的资质须为“建筑装修装饰工程”。②取自获奖证书原件扫描件的，投标人须提供获奖证书原件彩色扫描件，并同时提供获奖业绩的中标通知书(或免招标证明文件)、施工合同(不含补充合同)、竣工验收文件(验收文件至少具有建设单位、设计、施工和监理单位盖章)、竣工验收备案证明文件(备案证明须具有建设行政主管部门盖章确认)原件彩色扫描件及该获奖工程在“全国建筑市场监管公共服务平台”的网页信息截图（网页信息截图须显示工程信息并具备中标信息、施工许可证、施工合同及竣工验收备案环节登记单位信息）并加盖投标人企业电子印章。不符合上述条件或上述资料相关信息不一致或提供的资料不齐全的获奖业绩不予评审。评标委员会对获奖业绩的评审以投标人提供的完整的证明资料为依据。</w:t>
      </w:r>
    </w:p>
    <w:p w14:paraId="1A52D955">
      <w:pPr>
        <w:ind w:firstLine="420" w:firstLineChars="200"/>
        <w:rPr>
          <w:rFonts w:ascii="宋体" w:hAnsi="宋体" w:cs="宋体"/>
          <w:szCs w:val="21"/>
        </w:rPr>
      </w:pPr>
      <w:r>
        <w:rPr>
          <w:rFonts w:hint="eastAsia" w:ascii="宋体" w:hAnsi="宋体" w:cs="宋体"/>
          <w:szCs w:val="21"/>
        </w:rPr>
        <w:t>（2）获奖时间以发证时间为准。</w:t>
      </w:r>
    </w:p>
    <w:p w14:paraId="100C5CDD">
      <w:pPr>
        <w:ind w:firstLine="420" w:firstLineChars="200"/>
        <w:rPr>
          <w:rFonts w:ascii="宋体" w:hAnsi="宋体" w:cs="宋体"/>
          <w:szCs w:val="21"/>
        </w:rPr>
      </w:pPr>
      <w:r>
        <w:rPr>
          <w:rFonts w:hint="eastAsia" w:ascii="宋体" w:hAnsi="宋体" w:cs="宋体"/>
          <w:szCs w:val="21"/>
        </w:rPr>
        <w:t>（3）国家级质量奖项包括：中国建设工程鲁班奖、中国土木工程詹天佑奖、国家优质工程金质奖、国家优质工程奖、中国（全国）建筑工程装饰奖（不含设计、幕墙获奖）；省市级质量奖项指省、市级行政主管部门或行业协会颁发的工程质量方面的奖项（行业协会须在民政部门备案）。只计算建筑装修装饰工程获奖得分，非建筑装修装饰类工程项目获奖不得分。不符合上述条件不得分。</w:t>
      </w:r>
    </w:p>
    <w:p w14:paraId="26192180">
      <w:pPr>
        <w:ind w:firstLine="420" w:firstLineChars="200"/>
        <w:rPr>
          <w:rFonts w:ascii="宋体" w:hAnsi="宋体" w:cs="宋体"/>
          <w:szCs w:val="21"/>
        </w:rPr>
      </w:pPr>
      <w:r>
        <w:rPr>
          <w:rFonts w:hint="eastAsia" w:ascii="宋体" w:hAnsi="宋体" w:cs="宋体"/>
          <w:szCs w:val="21"/>
        </w:rPr>
        <w:t>（4）同一工程项目同时获得多个奖项的，只计算一次最高级别的奖项得分。</w:t>
      </w:r>
    </w:p>
    <w:p w14:paraId="2BFEC702">
      <w:pPr>
        <w:ind w:firstLine="422" w:firstLineChars="200"/>
        <w:rPr>
          <w:rFonts w:ascii="宋体" w:hAnsi="宋体" w:cs="宋体"/>
          <w:b/>
          <w:bCs/>
          <w:szCs w:val="21"/>
        </w:rPr>
      </w:pPr>
      <w:r>
        <w:rPr>
          <w:rFonts w:hint="eastAsia" w:ascii="宋体" w:hAnsi="宋体" w:cs="宋体"/>
          <w:b/>
          <w:bCs/>
          <w:szCs w:val="21"/>
        </w:rPr>
        <w:t>3.第三方评价：</w:t>
      </w:r>
    </w:p>
    <w:p w14:paraId="5EA18B7C">
      <w:pPr>
        <w:ind w:firstLine="420" w:firstLineChars="200"/>
        <w:rPr>
          <w:rFonts w:ascii="宋体" w:hAnsi="宋体" w:cs="宋体"/>
          <w:szCs w:val="21"/>
        </w:rPr>
      </w:pPr>
      <w:r>
        <w:rPr>
          <w:rFonts w:hint="eastAsia" w:ascii="宋体" w:hAnsi="宋体" w:cs="宋体"/>
          <w:szCs w:val="21"/>
        </w:rPr>
        <w:t>须提供认证证书扫描件及在中国国家认证认可监督管理委员会认证认可业务信息统一查询平台（http://cx.cnca.cn/CertECloud/index/index/page）上查询结果的截图，证书状态必须为“有效”。上述资料显示的企业全称须与投标人单位全称一致，不符合上述条件或未提供上述资料的不得分。</w:t>
      </w:r>
    </w:p>
    <w:p w14:paraId="31EB369E">
      <w:pPr>
        <w:ind w:firstLine="422" w:firstLineChars="200"/>
        <w:rPr>
          <w:rFonts w:ascii="宋体" w:hAnsi="宋体" w:cs="宋体"/>
          <w:b/>
          <w:bCs/>
          <w:szCs w:val="21"/>
        </w:rPr>
      </w:pPr>
      <w:r>
        <w:rPr>
          <w:rFonts w:hint="eastAsia" w:ascii="宋体" w:hAnsi="宋体" w:cs="宋体"/>
          <w:b/>
          <w:bCs/>
          <w:szCs w:val="21"/>
        </w:rPr>
        <w:t>4.项目管理机构能力：</w:t>
      </w:r>
    </w:p>
    <w:p w14:paraId="789658DC">
      <w:pPr>
        <w:ind w:firstLine="420" w:firstLineChars="200"/>
        <w:rPr>
          <w:rFonts w:ascii="宋体" w:hAnsi="宋体" w:cs="宋体"/>
          <w:szCs w:val="21"/>
        </w:rPr>
      </w:pPr>
      <w:r>
        <w:rPr>
          <w:rFonts w:hint="eastAsia" w:ascii="宋体" w:hAnsi="宋体" w:cs="宋体"/>
          <w:szCs w:val="21"/>
        </w:rPr>
        <w:t>注：（1）所有人员岗位不能相互兼任，上述材料不提供或提供不齐全的不得分。（2）所有人员须提供相关证明资料和近一个月（2024年11月）在投标单位(不含投标人的子公司)缴纳社保的证明材料扫描件并加盖投标人企业电子印章。未提供或所提供的证明资料不符合要求的，则该评分节点不予评审。（3）项目管理团队人员是指为本公司正式人员，不含子公司人员，如投标人为集团公司，则不含其集团下属的子公司人员，下属子公司也不含其集团公司的人员。（4）一级注册造价工程师是指根据住房城乡建设部、交通运输部、水利部、人力资源社会保障部发布的《造价工程师职业资格制度规定》、《造价工程师职业资格考试实施办法》（建人［2018］67 号）取得的一级造价工程师职业资格，并经注册且在有效期内。根据原人事部、原建设部发布的《造价工程师执业资格制度暂行规定》（人发[1996]77 号)取得的造价工程师执业资格，并经注册且在有效期内的，等同于一级注册造价工程师。</w:t>
      </w:r>
    </w:p>
    <w:p w14:paraId="0E67F4AF">
      <w:pPr>
        <w:ind w:firstLine="420" w:firstLineChars="200"/>
        <w:rPr>
          <w:rFonts w:ascii="宋体" w:hAnsi="宋体" w:cs="宋体"/>
          <w:szCs w:val="21"/>
        </w:rPr>
      </w:pPr>
      <w:r>
        <w:rPr>
          <w:rFonts w:hint="eastAsia" w:ascii="宋体" w:hAnsi="宋体" w:cs="宋体"/>
          <w:szCs w:val="21"/>
        </w:rPr>
        <w:t>6.所有评委分数汇总后的算术平均值为投标人的最终得分。分数出现小数点，保留小数点后二位小数，第三位小数四舍五入。</w:t>
      </w:r>
    </w:p>
    <w:p w14:paraId="004D0955">
      <w:pPr>
        <w:ind w:firstLine="420" w:firstLineChars="200"/>
        <w:rPr>
          <w:rFonts w:ascii="宋体" w:hAnsi="宋体" w:cs="宋体"/>
          <w:szCs w:val="21"/>
        </w:rPr>
      </w:pPr>
      <w:r>
        <w:rPr>
          <w:rFonts w:hint="eastAsia" w:ascii="宋体" w:hAnsi="宋体" w:cs="宋体"/>
          <w:szCs w:val="21"/>
        </w:rPr>
        <w:t>7.投标人不符合上述条件或提供的上述资料相关信息不一致或提供的资料不齐全的，不予评审。评标委员会对上述内容的评审以投标人提供的完整的证明资料为依据。</w:t>
      </w:r>
    </w:p>
    <w:p w14:paraId="0A762345">
      <w:pPr>
        <w:rPr>
          <w:rFonts w:ascii="宋体" w:hAnsi="宋体" w:cs="宋体"/>
          <w:szCs w:val="21"/>
        </w:rPr>
      </w:pPr>
    </w:p>
    <w:p w14:paraId="36AB97CF">
      <w:pPr>
        <w:rPr>
          <w:rFonts w:ascii="宋体" w:hAnsi="宋体" w:cs="宋体"/>
          <w:szCs w:val="21"/>
        </w:rPr>
      </w:pPr>
      <w:r>
        <w:rPr>
          <w:rFonts w:hint="eastAsia" w:ascii="宋体" w:hAnsi="宋体" w:cs="宋体"/>
          <w:szCs w:val="21"/>
        </w:rPr>
        <w:t>评委签名：                                                     日期：     年   月   日</w:t>
      </w:r>
    </w:p>
    <w:bookmarkEnd w:id="23"/>
    <w:p w14:paraId="2CCA9620">
      <w:pPr>
        <w:spacing w:line="360" w:lineRule="auto"/>
        <w:rPr>
          <w:b/>
        </w:rPr>
      </w:pPr>
      <w:r>
        <w:rPr>
          <w:b/>
        </w:rPr>
        <w:br w:type="page"/>
      </w:r>
    </w:p>
    <w:p w14:paraId="4B930999">
      <w:pPr>
        <w:widowControl/>
        <w:shd w:val="clear" w:color="auto" w:fill="FFFFFF"/>
        <w:rPr>
          <w:rFonts w:ascii="宋体" w:hAnsi="宋体" w:cs="宋体"/>
          <w:b/>
          <w:bCs/>
          <w:kern w:val="0"/>
          <w:sz w:val="24"/>
          <w:szCs w:val="30"/>
        </w:rPr>
      </w:pPr>
      <w:r>
        <w:rPr>
          <w:rFonts w:hint="eastAsia" w:ascii="宋体" w:hAnsi="宋体" w:cs="宋体"/>
          <w:b/>
          <w:bCs/>
          <w:kern w:val="0"/>
          <w:sz w:val="24"/>
          <w:szCs w:val="30"/>
        </w:rPr>
        <w:t>附件：</w:t>
      </w:r>
    </w:p>
    <w:p w14:paraId="2D0DC08E">
      <w:pPr>
        <w:widowControl/>
        <w:shd w:val="clear" w:color="auto" w:fill="FFFFFF"/>
        <w:jc w:val="center"/>
        <w:rPr>
          <w:rFonts w:ascii="宋体" w:hAnsi="宋体" w:cs="宋体"/>
          <w:b/>
          <w:bCs/>
          <w:kern w:val="0"/>
          <w:sz w:val="24"/>
          <w:szCs w:val="30"/>
        </w:rPr>
      </w:pPr>
      <w:r>
        <w:rPr>
          <w:rFonts w:hint="eastAsia" w:ascii="宋体" w:hAnsi="宋体" w:cs="宋体"/>
          <w:b/>
          <w:bCs/>
          <w:kern w:val="0"/>
          <w:sz w:val="24"/>
          <w:szCs w:val="30"/>
        </w:rPr>
        <w:t>《主要项目管理人员配备表》</w:t>
      </w:r>
    </w:p>
    <w:tbl>
      <w:tblPr>
        <w:tblStyle w:val="34"/>
        <w:tblW w:w="14885" w:type="dxa"/>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
      <w:tblGrid>
        <w:gridCol w:w="1598"/>
        <w:gridCol w:w="993"/>
        <w:gridCol w:w="5244"/>
        <w:gridCol w:w="7050"/>
      </w:tblGrid>
      <w:tr w14:paraId="5128C804">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jc w:val="center"/>
        </w:trPr>
        <w:tc>
          <w:tcPr>
            <w:tcW w:w="1598"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1FD28EA7">
            <w:pPr>
              <w:widowControl/>
              <w:spacing w:before="37" w:after="37"/>
              <w:ind w:left="-65" w:right="-46"/>
              <w:jc w:val="center"/>
              <w:rPr>
                <w:rFonts w:ascii="宋体" w:hAnsi="宋体" w:cs="宋体"/>
                <w:kern w:val="0"/>
                <w:szCs w:val="21"/>
              </w:rPr>
            </w:pPr>
            <w:r>
              <w:rPr>
                <w:rFonts w:hint="eastAsia" w:ascii="宋体" w:hAnsi="宋体" w:cs="宋体"/>
                <w:b/>
                <w:bCs/>
                <w:kern w:val="0"/>
                <w:szCs w:val="21"/>
              </w:rPr>
              <w:t>项目管理团队</w:t>
            </w:r>
          </w:p>
        </w:tc>
        <w:tc>
          <w:tcPr>
            <w:tcW w:w="993"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1F853D61">
            <w:pPr>
              <w:widowControl/>
              <w:spacing w:before="37" w:after="37"/>
              <w:ind w:left="-65" w:right="-46"/>
              <w:jc w:val="center"/>
              <w:rPr>
                <w:rFonts w:ascii="宋体" w:hAnsi="宋体" w:cs="宋体"/>
                <w:kern w:val="0"/>
                <w:szCs w:val="21"/>
              </w:rPr>
            </w:pPr>
            <w:r>
              <w:rPr>
                <w:rFonts w:hint="eastAsia" w:ascii="宋体" w:hAnsi="宋体" w:cs="宋体"/>
                <w:b/>
                <w:bCs/>
                <w:kern w:val="0"/>
                <w:szCs w:val="21"/>
              </w:rPr>
              <w:t>最低人数</w:t>
            </w:r>
          </w:p>
        </w:tc>
        <w:tc>
          <w:tcPr>
            <w:tcW w:w="5244"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5F4A25C7">
            <w:pPr>
              <w:widowControl/>
              <w:spacing w:before="37" w:after="37"/>
              <w:ind w:left="-65" w:right="-46"/>
              <w:jc w:val="center"/>
              <w:rPr>
                <w:rFonts w:ascii="宋体" w:hAnsi="宋体" w:cs="宋体"/>
                <w:kern w:val="0"/>
                <w:szCs w:val="21"/>
              </w:rPr>
            </w:pPr>
            <w:r>
              <w:rPr>
                <w:rFonts w:hint="eastAsia" w:ascii="宋体" w:hAnsi="宋体" w:cs="宋体"/>
                <w:b/>
                <w:bCs/>
                <w:kern w:val="0"/>
                <w:szCs w:val="21"/>
              </w:rPr>
              <w:t>基本要求</w:t>
            </w:r>
          </w:p>
        </w:tc>
        <w:tc>
          <w:tcPr>
            <w:tcW w:w="7050"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4E074FAB">
            <w:pPr>
              <w:widowControl/>
              <w:spacing w:before="37" w:after="37"/>
              <w:ind w:left="-65" w:right="-46"/>
              <w:jc w:val="center"/>
              <w:rPr>
                <w:rFonts w:ascii="宋体" w:hAnsi="宋体" w:cs="宋体"/>
                <w:kern w:val="0"/>
                <w:szCs w:val="21"/>
              </w:rPr>
            </w:pPr>
            <w:r>
              <w:rPr>
                <w:rFonts w:hint="eastAsia" w:ascii="宋体" w:hAnsi="宋体" w:cs="宋体"/>
                <w:b/>
                <w:bCs/>
                <w:kern w:val="0"/>
                <w:szCs w:val="21"/>
              </w:rPr>
              <w:t>备注</w:t>
            </w:r>
          </w:p>
        </w:tc>
      </w:tr>
      <w:tr w14:paraId="5C624815">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284" w:hRule="atLeast"/>
          <w:jc w:val="center"/>
        </w:trPr>
        <w:tc>
          <w:tcPr>
            <w:tcW w:w="1598"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6DDF43B8">
            <w:pPr>
              <w:widowControl/>
              <w:spacing w:before="62" w:after="62"/>
              <w:ind w:left="-90" w:right="-53"/>
              <w:jc w:val="center"/>
              <w:rPr>
                <w:rFonts w:ascii="宋体" w:hAnsi="宋体" w:cs="宋体"/>
                <w:kern w:val="0"/>
                <w:szCs w:val="21"/>
              </w:rPr>
            </w:pPr>
            <w:r>
              <w:rPr>
                <w:rFonts w:hint="eastAsia" w:ascii="宋体" w:hAnsi="宋体" w:cs="宋体"/>
                <w:kern w:val="0"/>
                <w:szCs w:val="21"/>
              </w:rPr>
              <w:t>项目负责人</w:t>
            </w:r>
          </w:p>
        </w:tc>
        <w:tc>
          <w:tcPr>
            <w:tcW w:w="993"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20C7F5F1">
            <w:pPr>
              <w:widowControl/>
              <w:spacing w:before="62" w:after="62"/>
              <w:ind w:left="-65" w:right="-46"/>
              <w:jc w:val="center"/>
              <w:rPr>
                <w:rFonts w:ascii="宋体" w:hAnsi="宋体" w:cs="宋体"/>
                <w:kern w:val="0"/>
                <w:szCs w:val="21"/>
              </w:rPr>
            </w:pPr>
            <w:r>
              <w:rPr>
                <w:rFonts w:hint="eastAsia" w:ascii="宋体" w:hAnsi="宋体" w:cs="宋体"/>
                <w:kern w:val="0"/>
                <w:szCs w:val="21"/>
              </w:rPr>
              <w:t>1</w:t>
            </w:r>
          </w:p>
        </w:tc>
        <w:tc>
          <w:tcPr>
            <w:tcW w:w="524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3821936A">
            <w:pPr>
              <w:widowControl/>
              <w:spacing w:before="62" w:after="62"/>
              <w:ind w:left="-48"/>
              <w:jc w:val="left"/>
              <w:rPr>
                <w:rFonts w:ascii="宋体" w:hAnsi="宋体" w:cs="宋体"/>
                <w:kern w:val="0"/>
                <w:szCs w:val="21"/>
              </w:rPr>
            </w:pPr>
            <w:r>
              <w:rPr>
                <w:rFonts w:hint="eastAsia" w:ascii="宋体" w:hAnsi="宋体" w:cs="宋体"/>
                <w:kern w:val="0"/>
                <w:szCs w:val="21"/>
              </w:rPr>
              <w:t>按招标公告要求</w:t>
            </w:r>
          </w:p>
        </w:tc>
        <w:tc>
          <w:tcPr>
            <w:tcW w:w="705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702329BF">
            <w:pPr>
              <w:widowControl/>
              <w:spacing w:before="62" w:after="62"/>
              <w:ind w:left="-48"/>
              <w:jc w:val="left"/>
              <w:rPr>
                <w:rFonts w:ascii="宋体" w:hAnsi="宋体" w:cs="宋体"/>
                <w:kern w:val="0"/>
                <w:szCs w:val="21"/>
              </w:rPr>
            </w:pPr>
            <w:r>
              <w:rPr>
                <w:rFonts w:hint="eastAsia" w:ascii="宋体" w:hAnsi="宋体" w:cs="宋体"/>
                <w:kern w:val="0"/>
                <w:szCs w:val="21"/>
              </w:rPr>
              <w:t>须按招标公告要求提供的资料</w:t>
            </w:r>
          </w:p>
        </w:tc>
      </w:tr>
      <w:tr w14:paraId="00496688">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284" w:hRule="atLeast"/>
          <w:jc w:val="center"/>
        </w:trPr>
        <w:tc>
          <w:tcPr>
            <w:tcW w:w="1598"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48E08CA4">
            <w:pPr>
              <w:widowControl/>
              <w:spacing w:before="62" w:after="62"/>
              <w:ind w:left="-90" w:right="-53"/>
              <w:jc w:val="center"/>
              <w:rPr>
                <w:rFonts w:ascii="宋体" w:hAnsi="宋体" w:cs="宋体"/>
                <w:kern w:val="0"/>
                <w:szCs w:val="21"/>
              </w:rPr>
            </w:pPr>
            <w:r>
              <w:rPr>
                <w:rFonts w:hint="eastAsia" w:ascii="宋体" w:hAnsi="宋体" w:cs="宋体"/>
                <w:kern w:val="0"/>
                <w:szCs w:val="21"/>
              </w:rPr>
              <w:t>技术负责人</w:t>
            </w:r>
          </w:p>
        </w:tc>
        <w:tc>
          <w:tcPr>
            <w:tcW w:w="993"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049BEE11">
            <w:pPr>
              <w:widowControl/>
              <w:spacing w:before="62" w:after="62"/>
              <w:ind w:left="-65" w:right="-46"/>
              <w:jc w:val="center"/>
              <w:rPr>
                <w:rFonts w:ascii="宋体" w:hAnsi="宋体" w:cs="宋体"/>
                <w:kern w:val="0"/>
                <w:szCs w:val="21"/>
              </w:rPr>
            </w:pPr>
            <w:r>
              <w:rPr>
                <w:rFonts w:hint="eastAsia" w:ascii="宋体" w:hAnsi="宋体" w:cs="宋体"/>
                <w:kern w:val="0"/>
                <w:szCs w:val="21"/>
              </w:rPr>
              <w:t>1</w:t>
            </w:r>
          </w:p>
        </w:tc>
        <w:tc>
          <w:tcPr>
            <w:tcW w:w="524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084A62CC">
            <w:pPr>
              <w:widowControl/>
              <w:spacing w:before="62" w:after="62"/>
              <w:ind w:left="-48"/>
              <w:jc w:val="left"/>
              <w:rPr>
                <w:rFonts w:ascii="宋体" w:hAnsi="宋体" w:cs="宋体"/>
                <w:kern w:val="0"/>
                <w:szCs w:val="21"/>
              </w:rPr>
            </w:pPr>
            <w:r>
              <w:rPr>
                <w:rFonts w:hint="eastAsia" w:ascii="宋体" w:hAnsi="宋体" w:cs="宋体"/>
                <w:kern w:val="0"/>
                <w:szCs w:val="21"/>
              </w:rPr>
              <w:t>按招标公告要求</w:t>
            </w:r>
          </w:p>
        </w:tc>
        <w:tc>
          <w:tcPr>
            <w:tcW w:w="705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5BA2B78F">
            <w:pPr>
              <w:widowControl/>
              <w:spacing w:before="62" w:after="62"/>
              <w:ind w:left="-48"/>
              <w:jc w:val="left"/>
              <w:rPr>
                <w:rFonts w:ascii="宋体" w:hAnsi="宋体" w:cs="宋体"/>
                <w:kern w:val="0"/>
                <w:szCs w:val="21"/>
              </w:rPr>
            </w:pPr>
            <w:r>
              <w:rPr>
                <w:rFonts w:hint="eastAsia" w:ascii="宋体" w:hAnsi="宋体" w:cs="宋体"/>
                <w:kern w:val="0"/>
                <w:szCs w:val="21"/>
              </w:rPr>
              <w:t>须按招标公告要求提供的资料</w:t>
            </w:r>
          </w:p>
        </w:tc>
      </w:tr>
      <w:tr w14:paraId="58C01381">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311" w:hRule="atLeast"/>
          <w:jc w:val="center"/>
        </w:trPr>
        <w:tc>
          <w:tcPr>
            <w:tcW w:w="1598"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151FB895">
            <w:pPr>
              <w:widowControl/>
              <w:spacing w:before="62" w:after="62"/>
              <w:ind w:left="-90" w:right="-53"/>
              <w:jc w:val="center"/>
              <w:rPr>
                <w:rFonts w:ascii="宋体" w:hAnsi="宋体" w:cs="宋体"/>
                <w:kern w:val="0"/>
                <w:szCs w:val="21"/>
              </w:rPr>
            </w:pPr>
            <w:r>
              <w:rPr>
                <w:rFonts w:hint="eastAsia" w:ascii="宋体" w:hAnsi="宋体"/>
                <w:szCs w:val="21"/>
              </w:rPr>
              <w:t>深化设计负责人</w:t>
            </w:r>
          </w:p>
        </w:tc>
        <w:tc>
          <w:tcPr>
            <w:tcW w:w="993"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514DC74C">
            <w:pPr>
              <w:widowControl/>
              <w:spacing w:before="62" w:after="62"/>
              <w:ind w:left="-65" w:right="-46"/>
              <w:jc w:val="center"/>
              <w:rPr>
                <w:rFonts w:ascii="宋体" w:hAnsi="宋体" w:cs="宋体"/>
                <w:kern w:val="0"/>
                <w:szCs w:val="21"/>
              </w:rPr>
            </w:pPr>
            <w:r>
              <w:rPr>
                <w:rFonts w:hint="eastAsia" w:ascii="宋体" w:hAnsi="宋体"/>
                <w:szCs w:val="21"/>
              </w:rPr>
              <w:t>1</w:t>
            </w:r>
          </w:p>
        </w:tc>
        <w:tc>
          <w:tcPr>
            <w:tcW w:w="524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04BCEF26">
            <w:pPr>
              <w:widowControl/>
              <w:spacing w:before="62" w:after="62"/>
              <w:ind w:left="-48"/>
              <w:jc w:val="left"/>
              <w:rPr>
                <w:rFonts w:ascii="宋体" w:hAnsi="宋体" w:cs="宋体"/>
                <w:kern w:val="0"/>
                <w:szCs w:val="21"/>
              </w:rPr>
            </w:pPr>
            <w:r>
              <w:rPr>
                <w:rFonts w:hint="eastAsia" w:ascii="宋体" w:hAnsi="宋体" w:cs="宋体"/>
                <w:bCs/>
                <w:szCs w:val="21"/>
              </w:rPr>
              <w:t>具有建筑设计或环境艺术设计</w:t>
            </w:r>
            <w:r>
              <w:rPr>
                <w:rFonts w:hint="eastAsia" w:ascii="宋体" w:hAnsi="宋体" w:cs="宋体"/>
                <w:bCs/>
                <w:kern w:val="0"/>
                <w:szCs w:val="21"/>
              </w:rPr>
              <w:t>类</w:t>
            </w:r>
            <w:r>
              <w:rPr>
                <w:rFonts w:hint="eastAsia" w:ascii="宋体" w:hAnsi="宋体" w:cs="宋体"/>
                <w:bCs/>
                <w:szCs w:val="21"/>
              </w:rPr>
              <w:t>专业中级或以上职称</w:t>
            </w:r>
          </w:p>
        </w:tc>
        <w:tc>
          <w:tcPr>
            <w:tcW w:w="705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750A0F5C">
            <w:pPr>
              <w:widowControl/>
              <w:spacing w:before="62" w:after="62"/>
              <w:ind w:left="-48"/>
              <w:jc w:val="left"/>
              <w:rPr>
                <w:rFonts w:ascii="宋体" w:hAnsi="宋体" w:cs="宋体"/>
                <w:kern w:val="0"/>
                <w:szCs w:val="21"/>
              </w:rPr>
            </w:pPr>
            <w:r>
              <w:rPr>
                <w:rFonts w:hint="eastAsia" w:ascii="宋体" w:hAnsi="宋体" w:cs="宋体"/>
                <w:kern w:val="0"/>
                <w:szCs w:val="21"/>
              </w:rPr>
              <w:t>须提供职称证书</w:t>
            </w:r>
          </w:p>
        </w:tc>
      </w:tr>
      <w:tr w14:paraId="4F402BE5">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984" w:hRule="atLeast"/>
          <w:jc w:val="center"/>
        </w:trPr>
        <w:tc>
          <w:tcPr>
            <w:tcW w:w="1598"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076F0A97">
            <w:pPr>
              <w:widowControl/>
              <w:spacing w:before="62" w:after="62"/>
              <w:ind w:left="-90" w:right="-53"/>
              <w:jc w:val="center"/>
              <w:rPr>
                <w:rFonts w:ascii="宋体" w:hAnsi="宋体" w:cs="宋体"/>
                <w:kern w:val="0"/>
                <w:szCs w:val="21"/>
              </w:rPr>
            </w:pPr>
            <w:r>
              <w:rPr>
                <w:rFonts w:hint="eastAsia" w:ascii="宋体" w:hAnsi="宋体" w:cs="宋体"/>
                <w:kern w:val="0"/>
                <w:szCs w:val="21"/>
              </w:rPr>
              <w:t>安全负责人</w:t>
            </w:r>
          </w:p>
        </w:tc>
        <w:tc>
          <w:tcPr>
            <w:tcW w:w="993"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1F104F73">
            <w:pPr>
              <w:widowControl/>
              <w:spacing w:before="62" w:after="62"/>
              <w:ind w:left="-65" w:right="-46"/>
              <w:jc w:val="center"/>
              <w:rPr>
                <w:rFonts w:ascii="宋体" w:hAnsi="宋体" w:cs="宋体"/>
                <w:kern w:val="0"/>
                <w:szCs w:val="21"/>
              </w:rPr>
            </w:pPr>
            <w:r>
              <w:rPr>
                <w:rFonts w:hint="eastAsia" w:ascii="宋体" w:hAnsi="宋体" w:cs="宋体"/>
                <w:kern w:val="0"/>
                <w:szCs w:val="21"/>
              </w:rPr>
              <w:t>1</w:t>
            </w:r>
          </w:p>
        </w:tc>
        <w:tc>
          <w:tcPr>
            <w:tcW w:w="524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405CB642">
            <w:pPr>
              <w:widowControl/>
              <w:spacing w:before="62" w:after="62"/>
              <w:ind w:left="-48"/>
              <w:jc w:val="left"/>
              <w:rPr>
                <w:rFonts w:ascii="宋体" w:hAnsi="宋体" w:cs="宋体"/>
                <w:kern w:val="0"/>
                <w:szCs w:val="21"/>
              </w:rPr>
            </w:pPr>
            <w:r>
              <w:rPr>
                <w:rFonts w:hint="eastAsia" w:ascii="宋体" w:hAnsi="宋体" w:cs="宋体"/>
                <w:kern w:val="0"/>
                <w:szCs w:val="21"/>
              </w:rPr>
              <w:t>同时具有建筑施工类专业中级或以上职称、有效期内的建筑施工安全专业注册安全工程师执业资格</w:t>
            </w:r>
          </w:p>
        </w:tc>
        <w:tc>
          <w:tcPr>
            <w:tcW w:w="705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03602362">
            <w:pPr>
              <w:widowControl/>
              <w:spacing w:before="62" w:after="62"/>
              <w:ind w:left="-48"/>
              <w:rPr>
                <w:rFonts w:ascii="宋体" w:hAnsi="宋体" w:cs="宋体"/>
                <w:kern w:val="0"/>
                <w:szCs w:val="21"/>
              </w:rPr>
            </w:pPr>
            <w:r>
              <w:rPr>
                <w:rFonts w:hint="eastAsia" w:ascii="宋体" w:hAnsi="宋体" w:cs="宋体"/>
                <w:kern w:val="0"/>
                <w:szCs w:val="21"/>
              </w:rPr>
              <w:t>须提供职称证书、安全工程师执业资格证书、“中华人民共和国应急管理部”（</w:t>
            </w:r>
            <w:r>
              <w:rPr>
                <w:rFonts w:ascii="宋体" w:hAnsi="宋体" w:cs="宋体"/>
                <w:kern w:val="0"/>
                <w:szCs w:val="21"/>
              </w:rPr>
              <w:t>https://zwfw.mem.gov.cn/zwthlw/pages/hlwmh/yyfw/zcaqgcscx/index.html</w:t>
            </w:r>
            <w:r>
              <w:rPr>
                <w:rFonts w:hint="eastAsia" w:ascii="宋体" w:hAnsi="宋体" w:cs="宋体"/>
                <w:kern w:val="0"/>
                <w:szCs w:val="21"/>
              </w:rPr>
              <w:t>）查询结果截图</w:t>
            </w:r>
          </w:p>
        </w:tc>
      </w:tr>
      <w:tr w14:paraId="22451138">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602" w:hRule="atLeast"/>
          <w:jc w:val="center"/>
        </w:trPr>
        <w:tc>
          <w:tcPr>
            <w:tcW w:w="1598"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29A4FAEE">
            <w:pPr>
              <w:widowControl/>
              <w:spacing w:before="62" w:after="62"/>
              <w:ind w:left="-90" w:right="-53"/>
              <w:jc w:val="center"/>
              <w:rPr>
                <w:rFonts w:ascii="宋体" w:hAnsi="宋体" w:cs="宋体"/>
                <w:kern w:val="0"/>
                <w:szCs w:val="21"/>
              </w:rPr>
            </w:pPr>
            <w:r>
              <w:rPr>
                <w:rFonts w:hint="eastAsia" w:ascii="宋体" w:hAnsi="宋体" w:cs="宋体"/>
                <w:kern w:val="0"/>
                <w:szCs w:val="21"/>
              </w:rPr>
              <w:t>质量工程师</w:t>
            </w:r>
          </w:p>
        </w:tc>
        <w:tc>
          <w:tcPr>
            <w:tcW w:w="993"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409C2557">
            <w:pPr>
              <w:widowControl/>
              <w:spacing w:before="62" w:after="62"/>
              <w:ind w:left="-65" w:right="-46"/>
              <w:jc w:val="center"/>
              <w:rPr>
                <w:rFonts w:ascii="宋体" w:hAnsi="宋体" w:cs="宋体"/>
                <w:kern w:val="0"/>
                <w:szCs w:val="21"/>
              </w:rPr>
            </w:pPr>
            <w:r>
              <w:rPr>
                <w:rFonts w:hint="eastAsia" w:ascii="宋体" w:hAnsi="宋体" w:cs="宋体"/>
                <w:kern w:val="0"/>
                <w:szCs w:val="21"/>
              </w:rPr>
              <w:t>2</w:t>
            </w:r>
          </w:p>
        </w:tc>
        <w:tc>
          <w:tcPr>
            <w:tcW w:w="524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38768F4A">
            <w:pPr>
              <w:widowControl/>
              <w:spacing w:before="62" w:after="62"/>
              <w:ind w:left="-48"/>
              <w:jc w:val="left"/>
              <w:rPr>
                <w:rFonts w:ascii="宋体" w:hAnsi="宋体" w:cs="宋体"/>
                <w:kern w:val="0"/>
                <w:szCs w:val="21"/>
              </w:rPr>
            </w:pPr>
            <w:r>
              <w:rPr>
                <w:rFonts w:hint="eastAsia" w:ascii="宋体" w:hAnsi="宋体" w:cs="宋体"/>
                <w:kern w:val="0"/>
                <w:szCs w:val="21"/>
              </w:rPr>
              <w:t>同时具有建筑装饰施工类专业中级工程师(或以上)职称、质量员岗位证或培训证</w:t>
            </w:r>
          </w:p>
        </w:tc>
        <w:tc>
          <w:tcPr>
            <w:tcW w:w="705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76B039F2">
            <w:pPr>
              <w:widowControl/>
              <w:spacing w:before="62" w:after="62"/>
              <w:ind w:left="-48"/>
              <w:jc w:val="left"/>
              <w:rPr>
                <w:rFonts w:ascii="宋体" w:hAnsi="宋体" w:cs="宋体"/>
                <w:kern w:val="0"/>
                <w:szCs w:val="21"/>
              </w:rPr>
            </w:pPr>
            <w:r>
              <w:rPr>
                <w:rFonts w:hint="eastAsia" w:ascii="宋体" w:hAnsi="宋体" w:cs="宋体"/>
                <w:kern w:val="0"/>
                <w:szCs w:val="21"/>
              </w:rPr>
              <w:t>须提供岗位证或培训证、职称证书</w:t>
            </w:r>
          </w:p>
        </w:tc>
      </w:tr>
      <w:tr w14:paraId="089A9E01">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841" w:hRule="atLeast"/>
          <w:jc w:val="center"/>
        </w:trPr>
        <w:tc>
          <w:tcPr>
            <w:tcW w:w="1598"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0D330D9D">
            <w:pPr>
              <w:widowControl/>
              <w:spacing w:before="62" w:after="62"/>
              <w:ind w:left="-90" w:right="-53"/>
              <w:jc w:val="center"/>
              <w:rPr>
                <w:rFonts w:ascii="宋体" w:hAnsi="宋体" w:cs="宋体"/>
                <w:kern w:val="0"/>
                <w:szCs w:val="21"/>
              </w:rPr>
            </w:pPr>
            <w:r>
              <w:rPr>
                <w:rFonts w:hint="eastAsia" w:ascii="宋体" w:hAnsi="宋体" w:cs="宋体"/>
                <w:kern w:val="0"/>
                <w:szCs w:val="21"/>
              </w:rPr>
              <w:t>造价工程师</w:t>
            </w:r>
          </w:p>
        </w:tc>
        <w:tc>
          <w:tcPr>
            <w:tcW w:w="993"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24295E84">
            <w:pPr>
              <w:widowControl/>
              <w:spacing w:before="62" w:after="62"/>
              <w:ind w:left="-65" w:right="-46"/>
              <w:jc w:val="center"/>
              <w:rPr>
                <w:rFonts w:ascii="宋体" w:hAnsi="宋体" w:cs="宋体"/>
                <w:kern w:val="0"/>
                <w:szCs w:val="21"/>
              </w:rPr>
            </w:pPr>
            <w:r>
              <w:rPr>
                <w:rFonts w:hint="eastAsia" w:ascii="宋体" w:hAnsi="宋体" w:cs="宋体"/>
                <w:kern w:val="0"/>
                <w:szCs w:val="21"/>
              </w:rPr>
              <w:t>2</w:t>
            </w:r>
          </w:p>
        </w:tc>
        <w:tc>
          <w:tcPr>
            <w:tcW w:w="524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7996936E">
            <w:pPr>
              <w:widowControl/>
              <w:spacing w:before="62" w:after="62"/>
              <w:ind w:left="-48"/>
              <w:jc w:val="left"/>
              <w:rPr>
                <w:rFonts w:ascii="宋体" w:hAnsi="宋体" w:cs="宋体"/>
                <w:kern w:val="0"/>
                <w:szCs w:val="21"/>
              </w:rPr>
            </w:pPr>
            <w:r>
              <w:rPr>
                <w:rFonts w:hint="eastAsia" w:ascii="宋体" w:hAnsi="宋体" w:cs="宋体"/>
                <w:kern w:val="0"/>
                <w:szCs w:val="21"/>
              </w:rPr>
              <w:t>同时具有建筑工程造价类专业中级或以上职称、有效期内的土建专业一级注册造价工程师执业资格(未实行分级的注册造价工程师自动划分为一级注册造价工程师)</w:t>
            </w:r>
          </w:p>
        </w:tc>
        <w:tc>
          <w:tcPr>
            <w:tcW w:w="705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632A9A19">
            <w:pPr>
              <w:widowControl/>
              <w:spacing w:before="62" w:after="62"/>
              <w:ind w:left="-48"/>
              <w:jc w:val="left"/>
              <w:rPr>
                <w:rFonts w:ascii="宋体" w:hAnsi="宋体" w:cs="宋体"/>
                <w:kern w:val="0"/>
                <w:szCs w:val="21"/>
              </w:rPr>
            </w:pPr>
            <w:r>
              <w:rPr>
                <w:rFonts w:hint="eastAsia" w:ascii="宋体" w:hAnsi="宋体" w:cs="宋体"/>
                <w:kern w:val="0"/>
                <w:szCs w:val="21"/>
              </w:rPr>
              <w:t>须提供职称证书、造价工程师注册证书、“全国工程造价咨询管理系统”（</w:t>
            </w:r>
            <w:r>
              <w:rPr>
                <w:rFonts w:ascii="宋体" w:hAnsi="宋体" w:cs="宋体"/>
                <w:kern w:val="0"/>
                <w:szCs w:val="21"/>
              </w:rPr>
              <w:t>https://zaojiasys.jianshe99.com/cecamanage/</w:t>
            </w:r>
            <w:r>
              <w:rPr>
                <w:rFonts w:hint="eastAsia" w:ascii="宋体" w:hAnsi="宋体" w:cs="宋体"/>
                <w:kern w:val="0"/>
                <w:szCs w:val="21"/>
              </w:rPr>
              <w:t>）查询结果截图</w:t>
            </w:r>
          </w:p>
        </w:tc>
      </w:tr>
      <w:tr w14:paraId="5C9C2B2D">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284" w:hRule="atLeast"/>
          <w:jc w:val="center"/>
        </w:trPr>
        <w:tc>
          <w:tcPr>
            <w:tcW w:w="1598"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6A2B2B83">
            <w:pPr>
              <w:widowControl/>
              <w:spacing w:before="62" w:after="62"/>
              <w:ind w:left="-90" w:right="-53"/>
              <w:jc w:val="center"/>
              <w:rPr>
                <w:rFonts w:ascii="宋体" w:hAnsi="宋体" w:cs="宋体"/>
                <w:kern w:val="0"/>
                <w:szCs w:val="21"/>
              </w:rPr>
            </w:pPr>
            <w:r>
              <w:rPr>
                <w:rFonts w:hint="eastAsia" w:ascii="宋体" w:hAnsi="宋体" w:cs="宋体"/>
                <w:kern w:val="0"/>
                <w:szCs w:val="21"/>
              </w:rPr>
              <w:t>装修工程师</w:t>
            </w:r>
          </w:p>
        </w:tc>
        <w:tc>
          <w:tcPr>
            <w:tcW w:w="993"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11D07887">
            <w:pPr>
              <w:widowControl/>
              <w:spacing w:before="62" w:after="62"/>
              <w:ind w:left="-65" w:right="-46"/>
              <w:jc w:val="center"/>
              <w:rPr>
                <w:rFonts w:ascii="宋体" w:hAnsi="宋体" w:cs="宋体"/>
                <w:kern w:val="0"/>
                <w:szCs w:val="21"/>
              </w:rPr>
            </w:pPr>
            <w:r>
              <w:rPr>
                <w:rFonts w:hint="eastAsia" w:ascii="宋体" w:hAnsi="宋体" w:cs="宋体"/>
                <w:kern w:val="0"/>
                <w:szCs w:val="21"/>
              </w:rPr>
              <w:t>2</w:t>
            </w:r>
          </w:p>
        </w:tc>
        <w:tc>
          <w:tcPr>
            <w:tcW w:w="524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523F20A9">
            <w:pPr>
              <w:widowControl/>
              <w:spacing w:before="62" w:after="62"/>
              <w:ind w:left="-48"/>
              <w:jc w:val="left"/>
              <w:rPr>
                <w:rFonts w:ascii="宋体" w:hAnsi="宋体" w:cs="宋体"/>
                <w:kern w:val="0"/>
                <w:szCs w:val="21"/>
              </w:rPr>
            </w:pPr>
            <w:r>
              <w:rPr>
                <w:rFonts w:hint="eastAsia" w:ascii="宋体" w:hAnsi="宋体" w:cs="宋体"/>
                <w:kern w:val="0"/>
                <w:szCs w:val="21"/>
              </w:rPr>
              <w:t>具有建筑装饰施工类专业工程师或以上职称</w:t>
            </w:r>
          </w:p>
        </w:tc>
        <w:tc>
          <w:tcPr>
            <w:tcW w:w="705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0095F0C7">
            <w:pPr>
              <w:widowControl/>
              <w:spacing w:before="62" w:after="62"/>
              <w:ind w:left="-48"/>
              <w:jc w:val="left"/>
              <w:rPr>
                <w:rFonts w:ascii="宋体" w:hAnsi="宋体" w:cs="宋体"/>
                <w:kern w:val="0"/>
                <w:szCs w:val="21"/>
              </w:rPr>
            </w:pPr>
            <w:r>
              <w:rPr>
                <w:rFonts w:hint="eastAsia" w:ascii="宋体" w:hAnsi="宋体" w:cs="宋体"/>
                <w:kern w:val="0"/>
                <w:szCs w:val="21"/>
              </w:rPr>
              <w:t>须提供职称证书</w:t>
            </w:r>
          </w:p>
        </w:tc>
      </w:tr>
      <w:tr w14:paraId="29EFCF39">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284" w:hRule="atLeast"/>
          <w:jc w:val="center"/>
        </w:trPr>
        <w:tc>
          <w:tcPr>
            <w:tcW w:w="1598"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52CAB5E4">
            <w:pPr>
              <w:widowControl/>
              <w:spacing w:before="62" w:after="62"/>
              <w:ind w:left="-90" w:right="-53"/>
              <w:jc w:val="center"/>
              <w:rPr>
                <w:rFonts w:ascii="宋体" w:hAnsi="宋体" w:cs="宋体"/>
                <w:color w:val="000000" w:themeColor="text1"/>
                <w:kern w:val="0"/>
                <w:szCs w:val="21"/>
                <w14:textFill>
                  <w14:solidFill>
                    <w14:schemeClr w14:val="tx1"/>
                  </w14:solidFill>
                </w14:textFill>
              </w:rPr>
            </w:pPr>
            <w:r>
              <w:rPr>
                <w:rStyle w:val="156"/>
                <w:rFonts w:hint="default"/>
              </w:rPr>
              <w:t>机电工程师</w:t>
            </w:r>
          </w:p>
        </w:tc>
        <w:tc>
          <w:tcPr>
            <w:tcW w:w="993"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50A26F8F">
            <w:pPr>
              <w:widowControl/>
              <w:spacing w:before="62" w:after="62"/>
              <w:ind w:left="-65" w:right="-46"/>
              <w:jc w:val="center"/>
              <w:rPr>
                <w:rFonts w:ascii="宋体" w:hAnsi="宋体" w:cs="宋体"/>
                <w:color w:val="000000" w:themeColor="text1"/>
                <w:kern w:val="0"/>
                <w:szCs w:val="21"/>
                <w14:textFill>
                  <w14:solidFill>
                    <w14:schemeClr w14:val="tx1"/>
                  </w14:solidFill>
                </w14:textFill>
              </w:rPr>
            </w:pPr>
            <w:r>
              <w:rPr>
                <w:rFonts w:hint="eastAsia" w:ascii="宋体" w:hAnsi="宋体" w:cs="宋体"/>
                <w:kern w:val="0"/>
                <w:szCs w:val="21"/>
              </w:rPr>
              <w:t>1</w:t>
            </w:r>
          </w:p>
        </w:tc>
        <w:tc>
          <w:tcPr>
            <w:tcW w:w="524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tcPr>
          <w:p w14:paraId="28B44BC5">
            <w:pPr>
              <w:widowControl/>
              <w:spacing w:before="62" w:after="62"/>
              <w:ind w:left="-48"/>
              <w:jc w:val="left"/>
              <w:rPr>
                <w:rFonts w:ascii="宋体" w:hAnsi="宋体" w:cs="宋体"/>
                <w:color w:val="000000" w:themeColor="text1"/>
                <w:kern w:val="0"/>
                <w:szCs w:val="21"/>
                <w14:textFill>
                  <w14:solidFill>
                    <w14:schemeClr w14:val="tx1"/>
                  </w14:solidFill>
                </w14:textFill>
              </w:rPr>
            </w:pPr>
            <w:r>
              <w:rPr>
                <w:rFonts w:ascii="宋体" w:hAnsi="宋体" w:cs="宋体"/>
                <w:kern w:val="0"/>
                <w:szCs w:val="21"/>
              </w:rPr>
              <w:t>具有建筑机电设备安装</w:t>
            </w:r>
            <w:r>
              <w:rPr>
                <w:rFonts w:hint="eastAsia" w:ascii="宋体" w:hAnsi="宋体" w:cs="宋体"/>
                <w:color w:val="000000" w:themeColor="text1"/>
                <w:kern w:val="0"/>
                <w:szCs w:val="21"/>
                <w14:textFill>
                  <w14:solidFill>
                    <w14:schemeClr w14:val="tx1"/>
                  </w14:solidFill>
                </w14:textFill>
              </w:rPr>
              <w:t>类专业工程师或以上职称</w:t>
            </w:r>
          </w:p>
        </w:tc>
        <w:tc>
          <w:tcPr>
            <w:tcW w:w="705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41218091">
            <w:pPr>
              <w:widowControl/>
              <w:spacing w:before="62" w:after="62"/>
              <w:ind w:left="-48"/>
              <w:jc w:val="left"/>
              <w:rPr>
                <w:rFonts w:ascii="宋体" w:hAnsi="宋体" w:cs="宋体"/>
                <w:color w:val="000000" w:themeColor="text1"/>
                <w:kern w:val="0"/>
                <w:szCs w:val="21"/>
                <w14:textFill>
                  <w14:solidFill>
                    <w14:schemeClr w14:val="tx1"/>
                  </w14:solidFill>
                </w14:textFill>
              </w:rPr>
            </w:pPr>
            <w:r>
              <w:rPr>
                <w:rFonts w:hint="eastAsia" w:ascii="宋体" w:hAnsi="宋体" w:cs="宋体"/>
                <w:kern w:val="0"/>
                <w:szCs w:val="21"/>
              </w:rPr>
              <w:t>须提供职称证书</w:t>
            </w:r>
          </w:p>
        </w:tc>
      </w:tr>
      <w:tr w14:paraId="5CDA4E6F">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284" w:hRule="atLeast"/>
          <w:jc w:val="center"/>
        </w:trPr>
        <w:tc>
          <w:tcPr>
            <w:tcW w:w="1598"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7837EF65">
            <w:pPr>
              <w:widowControl/>
              <w:spacing w:before="62" w:after="62"/>
              <w:ind w:left="-90" w:right="-53"/>
              <w:jc w:val="center"/>
              <w:rPr>
                <w:rStyle w:val="156"/>
                <w:rFonts w:hint="default"/>
              </w:rPr>
            </w:pPr>
            <w:r>
              <w:rPr>
                <w:rFonts w:hint="eastAsia" w:ascii="宋体" w:hAnsi="宋体" w:cs="宋体"/>
                <w:kern w:val="0"/>
                <w:szCs w:val="21"/>
              </w:rPr>
              <w:t>给排水工程师</w:t>
            </w:r>
          </w:p>
        </w:tc>
        <w:tc>
          <w:tcPr>
            <w:tcW w:w="993"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312DB3AA">
            <w:pPr>
              <w:widowControl/>
              <w:spacing w:before="62" w:after="62"/>
              <w:ind w:left="-65" w:right="-46"/>
              <w:jc w:val="center"/>
              <w:rPr>
                <w:rFonts w:ascii="宋体" w:hAnsi="宋体" w:cs="宋体"/>
                <w:kern w:val="0"/>
                <w:szCs w:val="21"/>
              </w:rPr>
            </w:pPr>
            <w:r>
              <w:rPr>
                <w:rFonts w:hint="eastAsia" w:ascii="宋体" w:hAnsi="宋体" w:cs="宋体"/>
                <w:kern w:val="0"/>
                <w:szCs w:val="21"/>
              </w:rPr>
              <w:t>1</w:t>
            </w:r>
          </w:p>
        </w:tc>
        <w:tc>
          <w:tcPr>
            <w:tcW w:w="524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6AD92026">
            <w:pPr>
              <w:widowControl/>
              <w:spacing w:before="62" w:after="62"/>
              <w:ind w:left="-48"/>
              <w:jc w:val="left"/>
              <w:rPr>
                <w:rFonts w:ascii="宋体" w:hAnsi="宋体" w:cs="宋体"/>
                <w:kern w:val="0"/>
                <w:szCs w:val="21"/>
              </w:rPr>
            </w:pPr>
            <w:r>
              <w:rPr>
                <w:rFonts w:hint="eastAsia" w:ascii="宋体" w:hAnsi="宋体" w:cs="宋体"/>
                <w:kern w:val="0"/>
                <w:szCs w:val="21"/>
              </w:rPr>
              <w:t>具有给排水类专业中级工程师(或以上)职称。</w:t>
            </w:r>
          </w:p>
        </w:tc>
        <w:tc>
          <w:tcPr>
            <w:tcW w:w="705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74739B09">
            <w:pPr>
              <w:widowControl/>
              <w:spacing w:before="62" w:after="62"/>
              <w:ind w:left="-48"/>
              <w:jc w:val="left"/>
              <w:rPr>
                <w:rFonts w:ascii="宋体" w:hAnsi="宋体" w:cs="宋体"/>
                <w:kern w:val="0"/>
                <w:szCs w:val="21"/>
              </w:rPr>
            </w:pPr>
            <w:r>
              <w:rPr>
                <w:rFonts w:hint="eastAsia" w:ascii="宋体" w:hAnsi="宋体" w:cs="宋体"/>
                <w:kern w:val="0"/>
                <w:szCs w:val="21"/>
              </w:rPr>
              <w:t>须提供职称证书</w:t>
            </w:r>
          </w:p>
        </w:tc>
      </w:tr>
      <w:tr w14:paraId="60D2E324">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235" w:hRule="atLeast"/>
          <w:jc w:val="center"/>
        </w:trPr>
        <w:tc>
          <w:tcPr>
            <w:tcW w:w="1598"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0E763417">
            <w:pPr>
              <w:widowControl/>
              <w:spacing w:before="62" w:after="62"/>
              <w:ind w:left="-90" w:right="-53"/>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专职安全员</w:t>
            </w:r>
          </w:p>
        </w:tc>
        <w:tc>
          <w:tcPr>
            <w:tcW w:w="993"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52A79551">
            <w:pPr>
              <w:widowControl/>
              <w:spacing w:before="62" w:after="62"/>
              <w:ind w:left="-65" w:right="-46"/>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w:t>
            </w:r>
          </w:p>
        </w:tc>
        <w:tc>
          <w:tcPr>
            <w:tcW w:w="5244"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535538F3">
            <w:pPr>
              <w:widowControl/>
              <w:spacing w:before="62" w:after="62"/>
              <w:ind w:left="-48"/>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按招标公告要求</w:t>
            </w:r>
          </w:p>
        </w:tc>
        <w:tc>
          <w:tcPr>
            <w:tcW w:w="7050"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7B2DC776">
            <w:pPr>
              <w:widowControl/>
              <w:spacing w:before="62" w:after="62"/>
              <w:ind w:left="-48"/>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须按招标公告要求提供的资料</w:t>
            </w:r>
          </w:p>
        </w:tc>
      </w:tr>
    </w:tbl>
    <w:p w14:paraId="7A6EFD7C">
      <w:pPr>
        <w:rPr>
          <w:rFonts w:ascii="宋体" w:hAnsi="宋体" w:cs="宋体"/>
          <w:b/>
          <w:sz w:val="36"/>
          <w:szCs w:val="36"/>
        </w:rPr>
        <w:sectPr>
          <w:pgSz w:w="16838" w:h="11906" w:orient="landscape"/>
          <w:pgMar w:top="1588" w:right="1440" w:bottom="1588" w:left="1440" w:header="851" w:footer="992" w:gutter="0"/>
          <w:cols w:space="425" w:num="1"/>
          <w:docGrid w:type="lines" w:linePitch="312" w:charSpace="0"/>
        </w:sectPr>
      </w:pPr>
      <w:r>
        <w:rPr>
          <w:rFonts w:hint="eastAsia" w:ascii="宋体" w:hAnsi="宋体" w:cs="宋体"/>
          <w:bCs/>
          <w:color w:val="000000" w:themeColor="text1"/>
          <w:kern w:val="0"/>
          <w:szCs w:val="21"/>
          <w14:textFill>
            <w14:solidFill>
              <w14:schemeClr w14:val="tx1"/>
            </w14:solidFill>
          </w14:textFill>
        </w:rPr>
        <w:t>注：①所有人员岗位不能相互兼任，上述材料不提供或提供不齐全的不得分。②所有人员须提供相关证明资料和近一个月（2024年11月）在投标单位(不含投标人的子公司)缴纳社保的证明材料扫描件并加盖投标人企业电子印章。未提供或所提供的证明资料不符合要求的，则该评分节点不予评审。项目管理团队人员是指为本公司正式人员，不含子公司人员，如投标人为集团公司，则不含其集团下属的子公司人员，下属子公司也不含其集团公司的人员。④一级注册造价工程师是指根据住房城乡建设部、交通运输部、水利部、人力资源社会保障部发布的《造价工程师职业资格制度规定》、《造价工程师职业资格考试实施办法》（建人［2018］67 号）取得的一级造价工程师职业资格，并经注册且在有效期内。根据原人事部、原建设部发布的《造价工程师执业资格制度暂行规定》（人发[1996]77 号)取得的造价工程师执业资格，并经注册且在有效期内的，等同于一级注册造价工程师。</w:t>
      </w:r>
    </w:p>
    <w:p w14:paraId="01783DDF">
      <w:pPr>
        <w:rPr>
          <w:b/>
          <w:strike/>
          <w:szCs w:val="21"/>
        </w:rPr>
      </w:pPr>
      <w:r>
        <w:rPr>
          <w:rFonts w:hint="eastAsia"/>
          <w:b/>
          <w:strike/>
          <w:szCs w:val="21"/>
        </w:rPr>
        <w:t>附表五（适用于加权平均法）</w:t>
      </w:r>
    </w:p>
    <w:p w14:paraId="2AD1C52A">
      <w:pPr>
        <w:jc w:val="center"/>
        <w:rPr>
          <w:b/>
          <w:strike/>
          <w:sz w:val="36"/>
          <w:szCs w:val="36"/>
        </w:rPr>
      </w:pPr>
      <w:r>
        <w:rPr>
          <w:rFonts w:hint="eastAsia"/>
          <w:b/>
          <w:strike/>
          <w:sz w:val="36"/>
          <w:szCs w:val="36"/>
        </w:rPr>
        <w:t>经济标评分表</w:t>
      </w:r>
    </w:p>
    <w:p w14:paraId="662D30E0">
      <w:pPr>
        <w:rPr>
          <w:strike/>
          <w:szCs w:val="21"/>
        </w:rPr>
      </w:pPr>
      <w:r>
        <w:rPr>
          <w:rFonts w:hint="eastAsia"/>
          <w:strike/>
          <w:szCs w:val="21"/>
        </w:rPr>
        <w:t>工程名称：</w:t>
      </w:r>
    </w:p>
    <w:tbl>
      <w:tblPr>
        <w:tblStyle w:val="34"/>
        <w:tblW w:w="14447"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63"/>
        <w:gridCol w:w="1009"/>
        <w:gridCol w:w="12"/>
        <w:gridCol w:w="1034"/>
        <w:gridCol w:w="1033"/>
        <w:gridCol w:w="1033"/>
        <w:gridCol w:w="1033"/>
        <w:gridCol w:w="1033"/>
        <w:gridCol w:w="1033"/>
        <w:gridCol w:w="1033"/>
        <w:gridCol w:w="1033"/>
        <w:gridCol w:w="1033"/>
        <w:gridCol w:w="1033"/>
        <w:gridCol w:w="1032"/>
      </w:tblGrid>
      <w:tr w14:paraId="6A64AB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2063" w:type="dxa"/>
            <w:tcBorders>
              <w:top w:val="single" w:color="auto" w:sz="4" w:space="0"/>
              <w:left w:val="single" w:color="auto" w:sz="4" w:space="0"/>
              <w:bottom w:val="single" w:color="auto" w:sz="4" w:space="0"/>
              <w:right w:val="single" w:color="auto" w:sz="4" w:space="0"/>
            </w:tcBorders>
            <w:vAlign w:val="center"/>
          </w:tcPr>
          <w:p w14:paraId="4259C07E">
            <w:pPr>
              <w:rPr>
                <w:rFonts w:ascii="宋体" w:hAnsi="宋体"/>
                <w:strike/>
                <w:szCs w:val="21"/>
              </w:rPr>
            </w:pPr>
            <w:r>
              <w:rPr>
                <w:rFonts w:hint="eastAsia" w:ascii="宋体" w:hAnsi="宋体"/>
                <w:strike/>
                <w:szCs w:val="21"/>
              </w:rPr>
              <w:t>投标人名称</w:t>
            </w:r>
          </w:p>
        </w:tc>
        <w:tc>
          <w:tcPr>
            <w:tcW w:w="1021" w:type="dxa"/>
            <w:gridSpan w:val="2"/>
            <w:tcBorders>
              <w:top w:val="single" w:color="auto" w:sz="4" w:space="0"/>
              <w:left w:val="single" w:color="auto" w:sz="4" w:space="0"/>
              <w:bottom w:val="single" w:color="auto" w:sz="4" w:space="0"/>
              <w:right w:val="single" w:color="auto" w:sz="4" w:space="0"/>
            </w:tcBorders>
            <w:vAlign w:val="center"/>
          </w:tcPr>
          <w:p w14:paraId="2FC874A6">
            <w:pPr>
              <w:rPr>
                <w:rFonts w:ascii="宋体" w:hAnsi="宋体"/>
                <w:strike/>
                <w:szCs w:val="21"/>
              </w:rPr>
            </w:pPr>
          </w:p>
        </w:tc>
        <w:tc>
          <w:tcPr>
            <w:tcW w:w="1034" w:type="dxa"/>
            <w:tcBorders>
              <w:top w:val="single" w:color="auto" w:sz="4" w:space="0"/>
              <w:left w:val="single" w:color="auto" w:sz="4" w:space="0"/>
              <w:bottom w:val="single" w:color="auto" w:sz="4" w:space="0"/>
              <w:right w:val="single" w:color="auto" w:sz="4" w:space="0"/>
            </w:tcBorders>
            <w:vAlign w:val="center"/>
          </w:tcPr>
          <w:p w14:paraId="259B4760">
            <w:pPr>
              <w:rPr>
                <w:rFonts w:ascii="宋体" w:hAnsi="宋体"/>
                <w:strike/>
                <w:szCs w:val="21"/>
              </w:rPr>
            </w:pPr>
          </w:p>
        </w:tc>
        <w:tc>
          <w:tcPr>
            <w:tcW w:w="1033" w:type="dxa"/>
            <w:tcBorders>
              <w:top w:val="single" w:color="auto" w:sz="4" w:space="0"/>
              <w:left w:val="single" w:color="auto" w:sz="4" w:space="0"/>
              <w:bottom w:val="single" w:color="auto" w:sz="4" w:space="0"/>
              <w:right w:val="single" w:color="auto" w:sz="4" w:space="0"/>
            </w:tcBorders>
            <w:vAlign w:val="center"/>
          </w:tcPr>
          <w:p w14:paraId="47CC5462">
            <w:pPr>
              <w:rPr>
                <w:rFonts w:ascii="宋体" w:hAnsi="宋体"/>
                <w:strike/>
                <w:szCs w:val="21"/>
              </w:rPr>
            </w:pPr>
          </w:p>
        </w:tc>
        <w:tc>
          <w:tcPr>
            <w:tcW w:w="1033" w:type="dxa"/>
            <w:tcBorders>
              <w:top w:val="single" w:color="auto" w:sz="4" w:space="0"/>
              <w:left w:val="single" w:color="auto" w:sz="4" w:space="0"/>
              <w:bottom w:val="single" w:color="auto" w:sz="4" w:space="0"/>
              <w:right w:val="single" w:color="auto" w:sz="4" w:space="0"/>
            </w:tcBorders>
            <w:vAlign w:val="center"/>
          </w:tcPr>
          <w:p w14:paraId="35361A53">
            <w:pPr>
              <w:rPr>
                <w:rFonts w:ascii="宋体" w:hAnsi="宋体"/>
                <w:strike/>
                <w:szCs w:val="21"/>
              </w:rPr>
            </w:pPr>
          </w:p>
        </w:tc>
        <w:tc>
          <w:tcPr>
            <w:tcW w:w="1033" w:type="dxa"/>
            <w:tcBorders>
              <w:top w:val="single" w:color="auto" w:sz="4" w:space="0"/>
              <w:left w:val="single" w:color="auto" w:sz="4" w:space="0"/>
              <w:bottom w:val="single" w:color="auto" w:sz="4" w:space="0"/>
              <w:right w:val="single" w:color="auto" w:sz="4" w:space="0"/>
            </w:tcBorders>
            <w:vAlign w:val="center"/>
          </w:tcPr>
          <w:p w14:paraId="2D3EA129">
            <w:pPr>
              <w:rPr>
                <w:rFonts w:ascii="宋体" w:hAnsi="宋体"/>
                <w:strike/>
                <w:szCs w:val="21"/>
              </w:rPr>
            </w:pPr>
          </w:p>
        </w:tc>
        <w:tc>
          <w:tcPr>
            <w:tcW w:w="1033" w:type="dxa"/>
            <w:tcBorders>
              <w:top w:val="single" w:color="auto" w:sz="4" w:space="0"/>
              <w:left w:val="single" w:color="auto" w:sz="4" w:space="0"/>
              <w:bottom w:val="single" w:color="auto" w:sz="4" w:space="0"/>
              <w:right w:val="single" w:color="auto" w:sz="4" w:space="0"/>
            </w:tcBorders>
            <w:vAlign w:val="center"/>
          </w:tcPr>
          <w:p w14:paraId="0E3D0F47">
            <w:pPr>
              <w:rPr>
                <w:rFonts w:ascii="宋体" w:hAnsi="宋体"/>
                <w:strike/>
                <w:szCs w:val="21"/>
              </w:rPr>
            </w:pPr>
          </w:p>
        </w:tc>
        <w:tc>
          <w:tcPr>
            <w:tcW w:w="1033" w:type="dxa"/>
            <w:tcBorders>
              <w:top w:val="single" w:color="auto" w:sz="4" w:space="0"/>
              <w:left w:val="single" w:color="auto" w:sz="4" w:space="0"/>
              <w:bottom w:val="single" w:color="auto" w:sz="4" w:space="0"/>
              <w:right w:val="single" w:color="auto" w:sz="4" w:space="0"/>
            </w:tcBorders>
            <w:vAlign w:val="center"/>
          </w:tcPr>
          <w:p w14:paraId="4C6AEA8F">
            <w:pPr>
              <w:rPr>
                <w:rFonts w:ascii="宋体" w:hAnsi="宋体"/>
                <w:strike/>
                <w:szCs w:val="21"/>
              </w:rPr>
            </w:pPr>
          </w:p>
        </w:tc>
        <w:tc>
          <w:tcPr>
            <w:tcW w:w="1033" w:type="dxa"/>
            <w:tcBorders>
              <w:top w:val="single" w:color="auto" w:sz="4" w:space="0"/>
              <w:left w:val="single" w:color="auto" w:sz="4" w:space="0"/>
              <w:bottom w:val="single" w:color="auto" w:sz="4" w:space="0"/>
              <w:right w:val="single" w:color="auto" w:sz="4" w:space="0"/>
            </w:tcBorders>
            <w:vAlign w:val="center"/>
          </w:tcPr>
          <w:p w14:paraId="7FF72D8B">
            <w:pPr>
              <w:rPr>
                <w:rFonts w:ascii="宋体" w:hAnsi="宋体"/>
                <w:strike/>
                <w:szCs w:val="21"/>
              </w:rPr>
            </w:pPr>
          </w:p>
        </w:tc>
        <w:tc>
          <w:tcPr>
            <w:tcW w:w="1033" w:type="dxa"/>
            <w:tcBorders>
              <w:top w:val="single" w:color="auto" w:sz="4" w:space="0"/>
              <w:left w:val="single" w:color="auto" w:sz="4" w:space="0"/>
              <w:bottom w:val="single" w:color="auto" w:sz="4" w:space="0"/>
              <w:right w:val="single" w:color="auto" w:sz="4" w:space="0"/>
            </w:tcBorders>
            <w:vAlign w:val="center"/>
          </w:tcPr>
          <w:p w14:paraId="1CD9E2BC">
            <w:pPr>
              <w:rPr>
                <w:rFonts w:ascii="宋体" w:hAnsi="宋体"/>
                <w:strike/>
                <w:szCs w:val="21"/>
              </w:rPr>
            </w:pPr>
          </w:p>
        </w:tc>
        <w:tc>
          <w:tcPr>
            <w:tcW w:w="1033" w:type="dxa"/>
            <w:tcBorders>
              <w:top w:val="single" w:color="auto" w:sz="4" w:space="0"/>
              <w:left w:val="single" w:color="auto" w:sz="4" w:space="0"/>
              <w:bottom w:val="single" w:color="auto" w:sz="4" w:space="0"/>
              <w:right w:val="single" w:color="auto" w:sz="4" w:space="0"/>
            </w:tcBorders>
            <w:vAlign w:val="center"/>
          </w:tcPr>
          <w:p w14:paraId="305A8893">
            <w:pPr>
              <w:rPr>
                <w:rFonts w:ascii="宋体" w:hAnsi="宋体"/>
                <w:strike/>
                <w:szCs w:val="21"/>
              </w:rPr>
            </w:pPr>
          </w:p>
        </w:tc>
        <w:tc>
          <w:tcPr>
            <w:tcW w:w="1033" w:type="dxa"/>
            <w:tcBorders>
              <w:top w:val="single" w:color="auto" w:sz="4" w:space="0"/>
              <w:left w:val="single" w:color="auto" w:sz="4" w:space="0"/>
              <w:bottom w:val="single" w:color="auto" w:sz="4" w:space="0"/>
              <w:right w:val="single" w:color="auto" w:sz="4" w:space="0"/>
            </w:tcBorders>
            <w:vAlign w:val="center"/>
          </w:tcPr>
          <w:p w14:paraId="1439EF70">
            <w:pPr>
              <w:rPr>
                <w:rFonts w:ascii="宋体" w:hAnsi="宋体"/>
                <w:strike/>
                <w:szCs w:val="21"/>
              </w:rPr>
            </w:pPr>
          </w:p>
        </w:tc>
        <w:tc>
          <w:tcPr>
            <w:tcW w:w="1032" w:type="dxa"/>
            <w:tcBorders>
              <w:top w:val="single" w:color="auto" w:sz="4" w:space="0"/>
              <w:left w:val="single" w:color="auto" w:sz="4" w:space="0"/>
              <w:bottom w:val="single" w:color="auto" w:sz="4" w:space="0"/>
              <w:right w:val="single" w:color="auto" w:sz="4" w:space="0"/>
            </w:tcBorders>
            <w:vAlign w:val="center"/>
          </w:tcPr>
          <w:p w14:paraId="691A1A87">
            <w:pPr>
              <w:rPr>
                <w:rFonts w:ascii="宋体" w:hAnsi="宋体"/>
                <w:strike/>
                <w:szCs w:val="21"/>
              </w:rPr>
            </w:pPr>
          </w:p>
        </w:tc>
      </w:tr>
      <w:tr w14:paraId="3FDAD4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trPr>
        <w:tc>
          <w:tcPr>
            <w:tcW w:w="2063" w:type="dxa"/>
            <w:tcBorders>
              <w:top w:val="single" w:color="auto" w:sz="4" w:space="0"/>
              <w:left w:val="single" w:color="auto" w:sz="4" w:space="0"/>
              <w:bottom w:val="single" w:color="auto" w:sz="4" w:space="0"/>
              <w:right w:val="single" w:color="auto" w:sz="4" w:space="0"/>
            </w:tcBorders>
            <w:vAlign w:val="center"/>
          </w:tcPr>
          <w:p w14:paraId="7A49F9BA">
            <w:pPr>
              <w:rPr>
                <w:rFonts w:ascii="宋体" w:hAnsi="宋体"/>
                <w:strike/>
                <w:szCs w:val="21"/>
              </w:rPr>
            </w:pPr>
            <w:r>
              <w:rPr>
                <w:rFonts w:hint="eastAsia" w:ascii="宋体" w:hAnsi="宋体"/>
                <w:strike/>
                <w:szCs w:val="21"/>
              </w:rPr>
              <w:t>投标报价</w:t>
            </w:r>
            <w:r>
              <w:rPr>
                <w:rFonts w:ascii="宋体" w:hAnsi="宋体"/>
                <w:strike/>
                <w:szCs w:val="21"/>
              </w:rPr>
              <w:t>PT</w:t>
            </w:r>
            <w:r>
              <w:rPr>
                <w:rFonts w:hint="eastAsia" w:ascii="宋体" w:hAnsi="宋体"/>
                <w:strike/>
                <w:szCs w:val="21"/>
              </w:rPr>
              <w:t>（元）</w:t>
            </w:r>
          </w:p>
        </w:tc>
        <w:tc>
          <w:tcPr>
            <w:tcW w:w="1021" w:type="dxa"/>
            <w:gridSpan w:val="2"/>
            <w:tcBorders>
              <w:top w:val="single" w:color="auto" w:sz="4" w:space="0"/>
              <w:left w:val="single" w:color="auto" w:sz="4" w:space="0"/>
              <w:bottom w:val="single" w:color="auto" w:sz="4" w:space="0"/>
              <w:right w:val="single" w:color="auto" w:sz="4" w:space="0"/>
            </w:tcBorders>
            <w:vAlign w:val="center"/>
          </w:tcPr>
          <w:p w14:paraId="7F0C52FB">
            <w:pPr>
              <w:rPr>
                <w:rFonts w:ascii="宋体" w:hAnsi="宋体"/>
                <w:strike/>
                <w:szCs w:val="21"/>
              </w:rPr>
            </w:pPr>
          </w:p>
        </w:tc>
        <w:tc>
          <w:tcPr>
            <w:tcW w:w="1034" w:type="dxa"/>
            <w:tcBorders>
              <w:top w:val="single" w:color="auto" w:sz="4" w:space="0"/>
              <w:left w:val="single" w:color="auto" w:sz="4" w:space="0"/>
              <w:bottom w:val="single" w:color="auto" w:sz="4" w:space="0"/>
              <w:right w:val="single" w:color="auto" w:sz="4" w:space="0"/>
            </w:tcBorders>
            <w:vAlign w:val="center"/>
          </w:tcPr>
          <w:p w14:paraId="5C167FDD">
            <w:pPr>
              <w:rPr>
                <w:rFonts w:ascii="宋体" w:hAnsi="宋体"/>
                <w:strike/>
                <w:szCs w:val="21"/>
              </w:rPr>
            </w:pPr>
          </w:p>
        </w:tc>
        <w:tc>
          <w:tcPr>
            <w:tcW w:w="1033" w:type="dxa"/>
            <w:tcBorders>
              <w:top w:val="single" w:color="auto" w:sz="4" w:space="0"/>
              <w:left w:val="single" w:color="auto" w:sz="4" w:space="0"/>
              <w:bottom w:val="single" w:color="auto" w:sz="4" w:space="0"/>
              <w:right w:val="single" w:color="auto" w:sz="4" w:space="0"/>
            </w:tcBorders>
            <w:vAlign w:val="center"/>
          </w:tcPr>
          <w:p w14:paraId="7CFA9488">
            <w:pPr>
              <w:rPr>
                <w:rFonts w:ascii="宋体" w:hAnsi="宋体"/>
                <w:strike/>
                <w:szCs w:val="21"/>
              </w:rPr>
            </w:pPr>
          </w:p>
        </w:tc>
        <w:tc>
          <w:tcPr>
            <w:tcW w:w="1033" w:type="dxa"/>
            <w:tcBorders>
              <w:top w:val="single" w:color="auto" w:sz="4" w:space="0"/>
              <w:left w:val="single" w:color="auto" w:sz="4" w:space="0"/>
              <w:bottom w:val="single" w:color="auto" w:sz="4" w:space="0"/>
              <w:right w:val="single" w:color="auto" w:sz="4" w:space="0"/>
            </w:tcBorders>
            <w:vAlign w:val="center"/>
          </w:tcPr>
          <w:p w14:paraId="3D860172">
            <w:pPr>
              <w:rPr>
                <w:rFonts w:ascii="宋体" w:hAnsi="宋体"/>
                <w:strike/>
                <w:szCs w:val="21"/>
              </w:rPr>
            </w:pPr>
          </w:p>
        </w:tc>
        <w:tc>
          <w:tcPr>
            <w:tcW w:w="1033" w:type="dxa"/>
            <w:tcBorders>
              <w:top w:val="single" w:color="auto" w:sz="4" w:space="0"/>
              <w:left w:val="single" w:color="auto" w:sz="4" w:space="0"/>
              <w:bottom w:val="single" w:color="auto" w:sz="4" w:space="0"/>
              <w:right w:val="single" w:color="auto" w:sz="4" w:space="0"/>
            </w:tcBorders>
            <w:vAlign w:val="center"/>
          </w:tcPr>
          <w:p w14:paraId="52B2C206">
            <w:pPr>
              <w:rPr>
                <w:rFonts w:ascii="宋体" w:hAnsi="宋体"/>
                <w:strike/>
                <w:szCs w:val="21"/>
              </w:rPr>
            </w:pPr>
          </w:p>
        </w:tc>
        <w:tc>
          <w:tcPr>
            <w:tcW w:w="1033" w:type="dxa"/>
            <w:tcBorders>
              <w:top w:val="single" w:color="auto" w:sz="4" w:space="0"/>
              <w:left w:val="single" w:color="auto" w:sz="4" w:space="0"/>
              <w:bottom w:val="single" w:color="auto" w:sz="4" w:space="0"/>
              <w:right w:val="single" w:color="auto" w:sz="4" w:space="0"/>
            </w:tcBorders>
            <w:vAlign w:val="center"/>
          </w:tcPr>
          <w:p w14:paraId="7BF83ED6">
            <w:pPr>
              <w:rPr>
                <w:rFonts w:ascii="宋体" w:hAnsi="宋体"/>
                <w:strike/>
                <w:szCs w:val="21"/>
              </w:rPr>
            </w:pPr>
          </w:p>
        </w:tc>
        <w:tc>
          <w:tcPr>
            <w:tcW w:w="1033" w:type="dxa"/>
            <w:tcBorders>
              <w:top w:val="single" w:color="auto" w:sz="4" w:space="0"/>
              <w:left w:val="single" w:color="auto" w:sz="4" w:space="0"/>
              <w:bottom w:val="single" w:color="auto" w:sz="4" w:space="0"/>
              <w:right w:val="single" w:color="auto" w:sz="4" w:space="0"/>
            </w:tcBorders>
            <w:vAlign w:val="center"/>
          </w:tcPr>
          <w:p w14:paraId="40636A84">
            <w:pPr>
              <w:rPr>
                <w:rFonts w:ascii="宋体" w:hAnsi="宋体"/>
                <w:strike/>
                <w:szCs w:val="21"/>
              </w:rPr>
            </w:pPr>
          </w:p>
        </w:tc>
        <w:tc>
          <w:tcPr>
            <w:tcW w:w="1033" w:type="dxa"/>
            <w:tcBorders>
              <w:top w:val="single" w:color="auto" w:sz="4" w:space="0"/>
              <w:left w:val="single" w:color="auto" w:sz="4" w:space="0"/>
              <w:bottom w:val="single" w:color="auto" w:sz="4" w:space="0"/>
              <w:right w:val="single" w:color="auto" w:sz="4" w:space="0"/>
            </w:tcBorders>
            <w:vAlign w:val="center"/>
          </w:tcPr>
          <w:p w14:paraId="2E0BDDF3">
            <w:pPr>
              <w:rPr>
                <w:rFonts w:ascii="宋体" w:hAnsi="宋体"/>
                <w:strike/>
                <w:szCs w:val="21"/>
              </w:rPr>
            </w:pPr>
          </w:p>
        </w:tc>
        <w:tc>
          <w:tcPr>
            <w:tcW w:w="1033" w:type="dxa"/>
            <w:tcBorders>
              <w:top w:val="single" w:color="auto" w:sz="4" w:space="0"/>
              <w:left w:val="single" w:color="auto" w:sz="4" w:space="0"/>
              <w:bottom w:val="single" w:color="auto" w:sz="4" w:space="0"/>
              <w:right w:val="single" w:color="auto" w:sz="4" w:space="0"/>
            </w:tcBorders>
            <w:vAlign w:val="center"/>
          </w:tcPr>
          <w:p w14:paraId="150CB5DA">
            <w:pPr>
              <w:rPr>
                <w:rFonts w:ascii="宋体" w:hAnsi="宋体"/>
                <w:strike/>
                <w:szCs w:val="21"/>
              </w:rPr>
            </w:pPr>
          </w:p>
        </w:tc>
        <w:tc>
          <w:tcPr>
            <w:tcW w:w="1033" w:type="dxa"/>
            <w:tcBorders>
              <w:top w:val="single" w:color="auto" w:sz="4" w:space="0"/>
              <w:left w:val="single" w:color="auto" w:sz="4" w:space="0"/>
              <w:bottom w:val="single" w:color="auto" w:sz="4" w:space="0"/>
              <w:right w:val="single" w:color="auto" w:sz="4" w:space="0"/>
            </w:tcBorders>
            <w:vAlign w:val="center"/>
          </w:tcPr>
          <w:p w14:paraId="639E71B5">
            <w:pPr>
              <w:rPr>
                <w:rFonts w:ascii="宋体" w:hAnsi="宋体"/>
                <w:strike/>
                <w:szCs w:val="21"/>
              </w:rPr>
            </w:pPr>
          </w:p>
        </w:tc>
        <w:tc>
          <w:tcPr>
            <w:tcW w:w="1033" w:type="dxa"/>
            <w:tcBorders>
              <w:top w:val="single" w:color="auto" w:sz="4" w:space="0"/>
              <w:left w:val="single" w:color="auto" w:sz="4" w:space="0"/>
              <w:bottom w:val="single" w:color="auto" w:sz="4" w:space="0"/>
              <w:right w:val="single" w:color="auto" w:sz="4" w:space="0"/>
            </w:tcBorders>
            <w:vAlign w:val="center"/>
          </w:tcPr>
          <w:p w14:paraId="5D7C96D8">
            <w:pPr>
              <w:rPr>
                <w:rFonts w:ascii="宋体" w:hAnsi="宋体"/>
                <w:strike/>
                <w:szCs w:val="21"/>
              </w:rPr>
            </w:pPr>
          </w:p>
        </w:tc>
        <w:tc>
          <w:tcPr>
            <w:tcW w:w="1032" w:type="dxa"/>
            <w:tcBorders>
              <w:top w:val="single" w:color="auto" w:sz="4" w:space="0"/>
              <w:left w:val="single" w:color="auto" w:sz="4" w:space="0"/>
              <w:bottom w:val="single" w:color="auto" w:sz="4" w:space="0"/>
              <w:right w:val="single" w:color="auto" w:sz="4" w:space="0"/>
            </w:tcBorders>
            <w:vAlign w:val="center"/>
          </w:tcPr>
          <w:p w14:paraId="695944E4">
            <w:pPr>
              <w:rPr>
                <w:rFonts w:ascii="宋体" w:hAnsi="宋体"/>
                <w:strike/>
                <w:szCs w:val="21"/>
              </w:rPr>
            </w:pPr>
          </w:p>
        </w:tc>
      </w:tr>
      <w:tr w14:paraId="4AEA35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2063" w:type="dxa"/>
            <w:tcBorders>
              <w:top w:val="single" w:color="auto" w:sz="4" w:space="0"/>
              <w:left w:val="single" w:color="auto" w:sz="4" w:space="0"/>
              <w:bottom w:val="single" w:color="auto" w:sz="4" w:space="0"/>
              <w:right w:val="single" w:color="auto" w:sz="4" w:space="0"/>
            </w:tcBorders>
            <w:vAlign w:val="center"/>
          </w:tcPr>
          <w:p w14:paraId="24DBB661">
            <w:pPr>
              <w:rPr>
                <w:rFonts w:ascii="宋体" w:hAnsi="宋体"/>
                <w:strike/>
                <w:szCs w:val="21"/>
              </w:rPr>
            </w:pPr>
            <w:r>
              <w:rPr>
                <w:rFonts w:hint="eastAsia" w:ascii="宋体" w:hAnsi="宋体"/>
                <w:strike/>
                <w:szCs w:val="21"/>
              </w:rPr>
              <w:t>报价权重</w:t>
            </w:r>
          </w:p>
        </w:tc>
        <w:tc>
          <w:tcPr>
            <w:tcW w:w="1009" w:type="dxa"/>
            <w:tcBorders>
              <w:top w:val="single" w:color="auto" w:sz="4" w:space="0"/>
              <w:left w:val="single" w:color="auto" w:sz="4" w:space="0"/>
              <w:bottom w:val="single" w:color="auto" w:sz="4" w:space="0"/>
              <w:right w:val="single" w:color="auto" w:sz="4" w:space="0"/>
            </w:tcBorders>
            <w:vAlign w:val="center"/>
          </w:tcPr>
          <w:p w14:paraId="502F134B">
            <w:pPr>
              <w:rPr>
                <w:rFonts w:ascii="宋体" w:hAnsi="宋体"/>
                <w:strike/>
                <w:szCs w:val="21"/>
              </w:rPr>
            </w:pPr>
          </w:p>
        </w:tc>
        <w:tc>
          <w:tcPr>
            <w:tcW w:w="1046" w:type="dxa"/>
            <w:gridSpan w:val="2"/>
            <w:tcBorders>
              <w:top w:val="single" w:color="auto" w:sz="4" w:space="0"/>
              <w:left w:val="single" w:color="auto" w:sz="4" w:space="0"/>
              <w:bottom w:val="single" w:color="auto" w:sz="4" w:space="0"/>
              <w:right w:val="single" w:color="auto" w:sz="4" w:space="0"/>
            </w:tcBorders>
            <w:vAlign w:val="center"/>
          </w:tcPr>
          <w:p w14:paraId="71C321D8">
            <w:pPr>
              <w:rPr>
                <w:rFonts w:ascii="宋体" w:hAnsi="宋体"/>
                <w:strike/>
                <w:szCs w:val="21"/>
              </w:rPr>
            </w:pPr>
          </w:p>
        </w:tc>
        <w:tc>
          <w:tcPr>
            <w:tcW w:w="1033" w:type="dxa"/>
            <w:tcBorders>
              <w:top w:val="single" w:color="auto" w:sz="4" w:space="0"/>
              <w:left w:val="single" w:color="auto" w:sz="4" w:space="0"/>
              <w:bottom w:val="single" w:color="auto" w:sz="4" w:space="0"/>
              <w:right w:val="single" w:color="auto" w:sz="4" w:space="0"/>
            </w:tcBorders>
            <w:vAlign w:val="center"/>
          </w:tcPr>
          <w:p w14:paraId="6F3AE795">
            <w:pPr>
              <w:rPr>
                <w:rFonts w:ascii="宋体" w:hAnsi="宋体"/>
                <w:strike/>
                <w:szCs w:val="21"/>
              </w:rPr>
            </w:pPr>
          </w:p>
        </w:tc>
        <w:tc>
          <w:tcPr>
            <w:tcW w:w="1033" w:type="dxa"/>
            <w:tcBorders>
              <w:top w:val="single" w:color="auto" w:sz="4" w:space="0"/>
              <w:left w:val="single" w:color="auto" w:sz="4" w:space="0"/>
              <w:bottom w:val="single" w:color="auto" w:sz="4" w:space="0"/>
              <w:right w:val="single" w:color="auto" w:sz="4" w:space="0"/>
            </w:tcBorders>
            <w:vAlign w:val="center"/>
          </w:tcPr>
          <w:p w14:paraId="18ED83BB">
            <w:pPr>
              <w:rPr>
                <w:rFonts w:ascii="宋体" w:hAnsi="宋体"/>
                <w:strike/>
                <w:szCs w:val="21"/>
              </w:rPr>
            </w:pPr>
          </w:p>
        </w:tc>
        <w:tc>
          <w:tcPr>
            <w:tcW w:w="1033" w:type="dxa"/>
            <w:tcBorders>
              <w:top w:val="single" w:color="auto" w:sz="4" w:space="0"/>
              <w:left w:val="single" w:color="auto" w:sz="4" w:space="0"/>
              <w:bottom w:val="single" w:color="auto" w:sz="4" w:space="0"/>
              <w:right w:val="single" w:color="auto" w:sz="4" w:space="0"/>
            </w:tcBorders>
            <w:vAlign w:val="center"/>
          </w:tcPr>
          <w:p w14:paraId="5F833A06">
            <w:pPr>
              <w:rPr>
                <w:rFonts w:ascii="宋体" w:hAnsi="宋体"/>
                <w:strike/>
                <w:szCs w:val="21"/>
              </w:rPr>
            </w:pPr>
          </w:p>
        </w:tc>
        <w:tc>
          <w:tcPr>
            <w:tcW w:w="1033" w:type="dxa"/>
            <w:tcBorders>
              <w:top w:val="single" w:color="auto" w:sz="4" w:space="0"/>
              <w:left w:val="single" w:color="auto" w:sz="4" w:space="0"/>
              <w:bottom w:val="single" w:color="auto" w:sz="4" w:space="0"/>
              <w:right w:val="single" w:color="auto" w:sz="4" w:space="0"/>
            </w:tcBorders>
            <w:vAlign w:val="center"/>
          </w:tcPr>
          <w:p w14:paraId="48298815">
            <w:pPr>
              <w:rPr>
                <w:rFonts w:ascii="宋体" w:hAnsi="宋体"/>
                <w:strike/>
                <w:szCs w:val="21"/>
              </w:rPr>
            </w:pPr>
          </w:p>
        </w:tc>
        <w:tc>
          <w:tcPr>
            <w:tcW w:w="1033" w:type="dxa"/>
            <w:tcBorders>
              <w:top w:val="single" w:color="auto" w:sz="4" w:space="0"/>
              <w:left w:val="single" w:color="auto" w:sz="4" w:space="0"/>
              <w:bottom w:val="single" w:color="auto" w:sz="4" w:space="0"/>
              <w:right w:val="single" w:color="auto" w:sz="4" w:space="0"/>
            </w:tcBorders>
            <w:vAlign w:val="center"/>
          </w:tcPr>
          <w:p w14:paraId="3D0508C5">
            <w:pPr>
              <w:rPr>
                <w:rFonts w:ascii="宋体" w:hAnsi="宋体"/>
                <w:strike/>
                <w:szCs w:val="21"/>
              </w:rPr>
            </w:pPr>
          </w:p>
        </w:tc>
        <w:tc>
          <w:tcPr>
            <w:tcW w:w="1033" w:type="dxa"/>
            <w:tcBorders>
              <w:top w:val="single" w:color="auto" w:sz="4" w:space="0"/>
              <w:left w:val="single" w:color="auto" w:sz="4" w:space="0"/>
              <w:bottom w:val="single" w:color="auto" w:sz="4" w:space="0"/>
              <w:right w:val="single" w:color="auto" w:sz="4" w:space="0"/>
            </w:tcBorders>
            <w:vAlign w:val="center"/>
          </w:tcPr>
          <w:p w14:paraId="1F755CCF">
            <w:pPr>
              <w:rPr>
                <w:rFonts w:ascii="宋体" w:hAnsi="宋体"/>
                <w:strike/>
                <w:szCs w:val="21"/>
              </w:rPr>
            </w:pPr>
          </w:p>
        </w:tc>
        <w:tc>
          <w:tcPr>
            <w:tcW w:w="1033" w:type="dxa"/>
            <w:tcBorders>
              <w:top w:val="single" w:color="auto" w:sz="4" w:space="0"/>
              <w:left w:val="single" w:color="auto" w:sz="4" w:space="0"/>
              <w:bottom w:val="single" w:color="auto" w:sz="4" w:space="0"/>
              <w:right w:val="single" w:color="auto" w:sz="4" w:space="0"/>
            </w:tcBorders>
            <w:vAlign w:val="center"/>
          </w:tcPr>
          <w:p w14:paraId="78009104">
            <w:pPr>
              <w:rPr>
                <w:rFonts w:ascii="宋体" w:hAnsi="宋体"/>
                <w:strike/>
                <w:szCs w:val="21"/>
              </w:rPr>
            </w:pPr>
          </w:p>
        </w:tc>
        <w:tc>
          <w:tcPr>
            <w:tcW w:w="1033" w:type="dxa"/>
            <w:tcBorders>
              <w:top w:val="single" w:color="auto" w:sz="4" w:space="0"/>
              <w:left w:val="single" w:color="auto" w:sz="4" w:space="0"/>
              <w:bottom w:val="single" w:color="auto" w:sz="4" w:space="0"/>
              <w:right w:val="single" w:color="auto" w:sz="4" w:space="0"/>
            </w:tcBorders>
            <w:vAlign w:val="center"/>
          </w:tcPr>
          <w:p w14:paraId="5FDB966A">
            <w:pPr>
              <w:rPr>
                <w:rFonts w:ascii="宋体" w:hAnsi="宋体"/>
                <w:strike/>
                <w:szCs w:val="21"/>
              </w:rPr>
            </w:pPr>
          </w:p>
        </w:tc>
        <w:tc>
          <w:tcPr>
            <w:tcW w:w="1033" w:type="dxa"/>
            <w:tcBorders>
              <w:top w:val="single" w:color="auto" w:sz="4" w:space="0"/>
              <w:left w:val="single" w:color="auto" w:sz="4" w:space="0"/>
              <w:bottom w:val="single" w:color="auto" w:sz="4" w:space="0"/>
              <w:right w:val="single" w:color="auto" w:sz="4" w:space="0"/>
            </w:tcBorders>
            <w:vAlign w:val="center"/>
          </w:tcPr>
          <w:p w14:paraId="667798E6">
            <w:pPr>
              <w:rPr>
                <w:rFonts w:ascii="宋体" w:hAnsi="宋体"/>
                <w:strike/>
                <w:szCs w:val="21"/>
              </w:rPr>
            </w:pPr>
          </w:p>
        </w:tc>
        <w:tc>
          <w:tcPr>
            <w:tcW w:w="1032" w:type="dxa"/>
            <w:tcBorders>
              <w:top w:val="single" w:color="auto" w:sz="4" w:space="0"/>
              <w:left w:val="single" w:color="auto" w:sz="4" w:space="0"/>
              <w:bottom w:val="single" w:color="auto" w:sz="4" w:space="0"/>
              <w:right w:val="single" w:color="auto" w:sz="4" w:space="0"/>
            </w:tcBorders>
            <w:vAlign w:val="center"/>
          </w:tcPr>
          <w:p w14:paraId="3FDFE5C4">
            <w:pPr>
              <w:rPr>
                <w:rFonts w:ascii="宋体" w:hAnsi="宋体"/>
                <w:strike/>
                <w:szCs w:val="21"/>
              </w:rPr>
            </w:pPr>
          </w:p>
        </w:tc>
      </w:tr>
      <w:tr w14:paraId="4CA1FD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2063" w:type="dxa"/>
            <w:tcBorders>
              <w:top w:val="single" w:color="auto" w:sz="4" w:space="0"/>
              <w:left w:val="single" w:color="auto" w:sz="4" w:space="0"/>
              <w:bottom w:val="single" w:color="auto" w:sz="4" w:space="0"/>
              <w:right w:val="single" w:color="auto" w:sz="4" w:space="0"/>
            </w:tcBorders>
            <w:vAlign w:val="center"/>
          </w:tcPr>
          <w:p w14:paraId="46148AEE">
            <w:pPr>
              <w:rPr>
                <w:rFonts w:ascii="宋体" w:hAnsi="宋体"/>
                <w:strike/>
                <w:szCs w:val="21"/>
              </w:rPr>
            </w:pPr>
            <w:r>
              <w:rPr>
                <w:rFonts w:hint="eastAsia" w:ascii="宋体" w:hAnsi="宋体"/>
                <w:strike/>
                <w:szCs w:val="21"/>
              </w:rPr>
              <w:t>评标参考价PC（元）</w:t>
            </w:r>
          </w:p>
        </w:tc>
        <w:tc>
          <w:tcPr>
            <w:tcW w:w="12384" w:type="dxa"/>
            <w:gridSpan w:val="13"/>
            <w:tcBorders>
              <w:top w:val="single" w:color="auto" w:sz="4" w:space="0"/>
              <w:left w:val="single" w:color="auto" w:sz="4" w:space="0"/>
              <w:bottom w:val="single" w:color="auto" w:sz="4" w:space="0"/>
              <w:right w:val="single" w:color="auto" w:sz="4" w:space="0"/>
            </w:tcBorders>
            <w:vAlign w:val="center"/>
          </w:tcPr>
          <w:p w14:paraId="3B61A9F1">
            <w:pPr>
              <w:rPr>
                <w:rFonts w:ascii="宋体" w:hAnsi="宋体"/>
                <w:strike/>
                <w:szCs w:val="21"/>
              </w:rPr>
            </w:pPr>
          </w:p>
        </w:tc>
      </w:tr>
      <w:tr w14:paraId="572616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2063" w:type="dxa"/>
            <w:tcBorders>
              <w:top w:val="single" w:color="auto" w:sz="4" w:space="0"/>
              <w:left w:val="single" w:color="auto" w:sz="4" w:space="0"/>
              <w:bottom w:val="single" w:color="auto" w:sz="4" w:space="0"/>
              <w:right w:val="single" w:color="auto" w:sz="4" w:space="0"/>
            </w:tcBorders>
            <w:vAlign w:val="center"/>
          </w:tcPr>
          <w:p w14:paraId="33DEFF60">
            <w:pPr>
              <w:rPr>
                <w:rFonts w:ascii="宋体" w:hAnsi="宋体"/>
                <w:strike/>
                <w:szCs w:val="21"/>
              </w:rPr>
            </w:pPr>
            <w:r>
              <w:rPr>
                <w:rFonts w:hint="eastAsia" w:ascii="宋体" w:hAnsi="宋体"/>
                <w:strike/>
                <w:szCs w:val="21"/>
              </w:rPr>
              <w:t>偏差（（</w:t>
            </w:r>
            <w:r>
              <w:rPr>
                <w:rFonts w:ascii="宋体" w:hAnsi="宋体"/>
                <w:strike/>
                <w:szCs w:val="21"/>
              </w:rPr>
              <w:t>PT-PC</w:t>
            </w:r>
            <w:r>
              <w:rPr>
                <w:rFonts w:hint="eastAsia" w:ascii="宋体" w:hAnsi="宋体"/>
                <w:strike/>
                <w:szCs w:val="21"/>
              </w:rPr>
              <w:t>）</w:t>
            </w:r>
            <w:r>
              <w:rPr>
                <w:rFonts w:ascii="宋体" w:hAnsi="宋体"/>
                <w:strike/>
                <w:szCs w:val="21"/>
              </w:rPr>
              <w:t>/PC</w:t>
            </w:r>
            <w:r>
              <w:rPr>
                <w:rFonts w:hint="eastAsia" w:ascii="宋体" w:hAnsi="宋体"/>
                <w:strike/>
                <w:szCs w:val="21"/>
              </w:rPr>
              <w:t>）（</w:t>
            </w:r>
            <w:r>
              <w:rPr>
                <w:rFonts w:ascii="宋体" w:hAnsi="宋体"/>
                <w:strike/>
                <w:szCs w:val="21"/>
              </w:rPr>
              <w:t>%</w:t>
            </w:r>
            <w:r>
              <w:rPr>
                <w:rFonts w:hint="eastAsia" w:ascii="宋体" w:hAnsi="宋体"/>
                <w:strike/>
                <w:szCs w:val="21"/>
              </w:rPr>
              <w:t>）</w:t>
            </w:r>
          </w:p>
        </w:tc>
        <w:tc>
          <w:tcPr>
            <w:tcW w:w="1021" w:type="dxa"/>
            <w:gridSpan w:val="2"/>
            <w:tcBorders>
              <w:top w:val="single" w:color="auto" w:sz="4" w:space="0"/>
              <w:left w:val="single" w:color="auto" w:sz="4" w:space="0"/>
              <w:bottom w:val="single" w:color="auto" w:sz="4" w:space="0"/>
              <w:right w:val="single" w:color="auto" w:sz="4" w:space="0"/>
            </w:tcBorders>
            <w:vAlign w:val="center"/>
          </w:tcPr>
          <w:p w14:paraId="15A62FEA">
            <w:pPr>
              <w:rPr>
                <w:rFonts w:ascii="宋体" w:hAnsi="宋体"/>
                <w:strike/>
                <w:szCs w:val="21"/>
              </w:rPr>
            </w:pPr>
          </w:p>
        </w:tc>
        <w:tc>
          <w:tcPr>
            <w:tcW w:w="1034" w:type="dxa"/>
            <w:tcBorders>
              <w:top w:val="single" w:color="auto" w:sz="4" w:space="0"/>
              <w:left w:val="single" w:color="auto" w:sz="4" w:space="0"/>
              <w:bottom w:val="single" w:color="auto" w:sz="4" w:space="0"/>
              <w:right w:val="single" w:color="auto" w:sz="4" w:space="0"/>
            </w:tcBorders>
            <w:vAlign w:val="center"/>
          </w:tcPr>
          <w:p w14:paraId="2083EDFD">
            <w:pPr>
              <w:rPr>
                <w:rFonts w:ascii="宋体" w:hAnsi="宋体"/>
                <w:strike/>
                <w:szCs w:val="21"/>
              </w:rPr>
            </w:pPr>
          </w:p>
        </w:tc>
        <w:tc>
          <w:tcPr>
            <w:tcW w:w="1033" w:type="dxa"/>
            <w:tcBorders>
              <w:top w:val="single" w:color="auto" w:sz="4" w:space="0"/>
              <w:left w:val="single" w:color="auto" w:sz="4" w:space="0"/>
              <w:bottom w:val="single" w:color="auto" w:sz="4" w:space="0"/>
              <w:right w:val="single" w:color="auto" w:sz="4" w:space="0"/>
            </w:tcBorders>
            <w:vAlign w:val="center"/>
          </w:tcPr>
          <w:p w14:paraId="2555F72E">
            <w:pPr>
              <w:rPr>
                <w:rFonts w:ascii="宋体" w:hAnsi="宋体"/>
                <w:strike/>
                <w:szCs w:val="21"/>
              </w:rPr>
            </w:pPr>
          </w:p>
        </w:tc>
        <w:tc>
          <w:tcPr>
            <w:tcW w:w="1033" w:type="dxa"/>
            <w:tcBorders>
              <w:top w:val="single" w:color="auto" w:sz="4" w:space="0"/>
              <w:left w:val="single" w:color="auto" w:sz="4" w:space="0"/>
              <w:bottom w:val="single" w:color="auto" w:sz="4" w:space="0"/>
              <w:right w:val="single" w:color="auto" w:sz="4" w:space="0"/>
            </w:tcBorders>
            <w:vAlign w:val="center"/>
          </w:tcPr>
          <w:p w14:paraId="5CD64529">
            <w:pPr>
              <w:rPr>
                <w:rFonts w:ascii="宋体" w:hAnsi="宋体"/>
                <w:strike/>
                <w:szCs w:val="21"/>
              </w:rPr>
            </w:pPr>
          </w:p>
        </w:tc>
        <w:tc>
          <w:tcPr>
            <w:tcW w:w="1033" w:type="dxa"/>
            <w:tcBorders>
              <w:top w:val="single" w:color="auto" w:sz="4" w:space="0"/>
              <w:left w:val="single" w:color="auto" w:sz="4" w:space="0"/>
              <w:bottom w:val="single" w:color="auto" w:sz="4" w:space="0"/>
              <w:right w:val="single" w:color="auto" w:sz="4" w:space="0"/>
            </w:tcBorders>
            <w:vAlign w:val="center"/>
          </w:tcPr>
          <w:p w14:paraId="03F4DFAC">
            <w:pPr>
              <w:rPr>
                <w:rFonts w:ascii="宋体" w:hAnsi="宋体"/>
                <w:strike/>
                <w:szCs w:val="21"/>
              </w:rPr>
            </w:pPr>
          </w:p>
        </w:tc>
        <w:tc>
          <w:tcPr>
            <w:tcW w:w="1033" w:type="dxa"/>
            <w:tcBorders>
              <w:top w:val="single" w:color="auto" w:sz="4" w:space="0"/>
              <w:left w:val="single" w:color="auto" w:sz="4" w:space="0"/>
              <w:bottom w:val="single" w:color="auto" w:sz="4" w:space="0"/>
              <w:right w:val="single" w:color="auto" w:sz="4" w:space="0"/>
            </w:tcBorders>
            <w:vAlign w:val="center"/>
          </w:tcPr>
          <w:p w14:paraId="64CC8A72">
            <w:pPr>
              <w:rPr>
                <w:rFonts w:ascii="宋体" w:hAnsi="宋体"/>
                <w:strike/>
                <w:szCs w:val="21"/>
              </w:rPr>
            </w:pPr>
          </w:p>
        </w:tc>
        <w:tc>
          <w:tcPr>
            <w:tcW w:w="1033" w:type="dxa"/>
            <w:tcBorders>
              <w:top w:val="single" w:color="auto" w:sz="4" w:space="0"/>
              <w:left w:val="single" w:color="auto" w:sz="4" w:space="0"/>
              <w:bottom w:val="single" w:color="auto" w:sz="4" w:space="0"/>
              <w:right w:val="single" w:color="auto" w:sz="4" w:space="0"/>
            </w:tcBorders>
            <w:vAlign w:val="center"/>
          </w:tcPr>
          <w:p w14:paraId="5D4E2CA4">
            <w:pPr>
              <w:rPr>
                <w:rFonts w:ascii="宋体" w:hAnsi="宋体"/>
                <w:strike/>
                <w:szCs w:val="21"/>
              </w:rPr>
            </w:pPr>
          </w:p>
        </w:tc>
        <w:tc>
          <w:tcPr>
            <w:tcW w:w="1033" w:type="dxa"/>
            <w:tcBorders>
              <w:top w:val="single" w:color="auto" w:sz="4" w:space="0"/>
              <w:left w:val="single" w:color="auto" w:sz="4" w:space="0"/>
              <w:bottom w:val="single" w:color="auto" w:sz="4" w:space="0"/>
              <w:right w:val="single" w:color="auto" w:sz="4" w:space="0"/>
            </w:tcBorders>
            <w:vAlign w:val="center"/>
          </w:tcPr>
          <w:p w14:paraId="67661658">
            <w:pPr>
              <w:rPr>
                <w:rFonts w:ascii="宋体" w:hAnsi="宋体"/>
                <w:strike/>
                <w:szCs w:val="21"/>
              </w:rPr>
            </w:pPr>
          </w:p>
        </w:tc>
        <w:tc>
          <w:tcPr>
            <w:tcW w:w="1033" w:type="dxa"/>
            <w:tcBorders>
              <w:top w:val="single" w:color="auto" w:sz="4" w:space="0"/>
              <w:left w:val="single" w:color="auto" w:sz="4" w:space="0"/>
              <w:bottom w:val="single" w:color="auto" w:sz="4" w:space="0"/>
              <w:right w:val="single" w:color="auto" w:sz="4" w:space="0"/>
            </w:tcBorders>
            <w:vAlign w:val="center"/>
          </w:tcPr>
          <w:p w14:paraId="7A585EDA">
            <w:pPr>
              <w:rPr>
                <w:rFonts w:ascii="宋体" w:hAnsi="宋体"/>
                <w:strike/>
                <w:szCs w:val="21"/>
              </w:rPr>
            </w:pPr>
          </w:p>
        </w:tc>
        <w:tc>
          <w:tcPr>
            <w:tcW w:w="1033" w:type="dxa"/>
            <w:tcBorders>
              <w:top w:val="single" w:color="auto" w:sz="4" w:space="0"/>
              <w:left w:val="single" w:color="auto" w:sz="4" w:space="0"/>
              <w:bottom w:val="single" w:color="auto" w:sz="4" w:space="0"/>
              <w:right w:val="single" w:color="auto" w:sz="4" w:space="0"/>
            </w:tcBorders>
            <w:vAlign w:val="center"/>
          </w:tcPr>
          <w:p w14:paraId="29F14848">
            <w:pPr>
              <w:rPr>
                <w:rFonts w:ascii="宋体" w:hAnsi="宋体"/>
                <w:strike/>
                <w:szCs w:val="21"/>
              </w:rPr>
            </w:pPr>
          </w:p>
        </w:tc>
        <w:tc>
          <w:tcPr>
            <w:tcW w:w="1033" w:type="dxa"/>
            <w:tcBorders>
              <w:top w:val="single" w:color="auto" w:sz="4" w:space="0"/>
              <w:left w:val="single" w:color="auto" w:sz="4" w:space="0"/>
              <w:bottom w:val="single" w:color="auto" w:sz="4" w:space="0"/>
              <w:right w:val="single" w:color="auto" w:sz="4" w:space="0"/>
            </w:tcBorders>
            <w:vAlign w:val="center"/>
          </w:tcPr>
          <w:p w14:paraId="5EF43D10">
            <w:pPr>
              <w:rPr>
                <w:rFonts w:ascii="宋体" w:hAnsi="宋体"/>
                <w:strike/>
                <w:szCs w:val="21"/>
              </w:rPr>
            </w:pPr>
          </w:p>
        </w:tc>
        <w:tc>
          <w:tcPr>
            <w:tcW w:w="1032" w:type="dxa"/>
            <w:tcBorders>
              <w:top w:val="single" w:color="auto" w:sz="4" w:space="0"/>
              <w:left w:val="single" w:color="auto" w:sz="4" w:space="0"/>
              <w:bottom w:val="single" w:color="auto" w:sz="4" w:space="0"/>
              <w:right w:val="single" w:color="auto" w:sz="4" w:space="0"/>
            </w:tcBorders>
            <w:vAlign w:val="center"/>
          </w:tcPr>
          <w:p w14:paraId="5BE457F8">
            <w:pPr>
              <w:rPr>
                <w:rFonts w:ascii="宋体" w:hAnsi="宋体"/>
                <w:strike/>
                <w:szCs w:val="21"/>
              </w:rPr>
            </w:pPr>
          </w:p>
        </w:tc>
      </w:tr>
      <w:tr w14:paraId="6F6E56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trPr>
        <w:tc>
          <w:tcPr>
            <w:tcW w:w="2063" w:type="dxa"/>
            <w:tcBorders>
              <w:top w:val="single" w:color="auto" w:sz="4" w:space="0"/>
              <w:left w:val="single" w:color="auto" w:sz="4" w:space="0"/>
              <w:bottom w:val="single" w:color="auto" w:sz="4" w:space="0"/>
              <w:right w:val="single" w:color="auto" w:sz="4" w:space="0"/>
            </w:tcBorders>
            <w:vAlign w:val="center"/>
          </w:tcPr>
          <w:p w14:paraId="6DD40F1E">
            <w:pPr>
              <w:rPr>
                <w:rFonts w:ascii="宋体" w:hAnsi="宋体"/>
                <w:strike/>
                <w:szCs w:val="21"/>
              </w:rPr>
            </w:pPr>
            <w:r>
              <w:rPr>
                <w:rFonts w:hint="eastAsia" w:ascii="宋体" w:hAnsi="宋体"/>
                <w:strike/>
                <w:szCs w:val="21"/>
              </w:rPr>
              <w:t>减分（</w:t>
            </w:r>
            <w:r>
              <w:rPr>
                <w:rFonts w:ascii="宋体" w:hAnsi="宋体"/>
                <w:strike/>
                <w:szCs w:val="21"/>
              </w:rPr>
              <w:t>A</w:t>
            </w:r>
            <w:r>
              <w:rPr>
                <w:rFonts w:hint="eastAsia" w:ascii="宋体" w:hAnsi="宋体"/>
                <w:strike/>
                <w:szCs w:val="21"/>
              </w:rPr>
              <w:t>）</w:t>
            </w:r>
          </w:p>
        </w:tc>
        <w:tc>
          <w:tcPr>
            <w:tcW w:w="1021" w:type="dxa"/>
            <w:gridSpan w:val="2"/>
            <w:tcBorders>
              <w:top w:val="single" w:color="auto" w:sz="4" w:space="0"/>
              <w:left w:val="single" w:color="auto" w:sz="4" w:space="0"/>
              <w:bottom w:val="single" w:color="auto" w:sz="4" w:space="0"/>
              <w:right w:val="single" w:color="auto" w:sz="4" w:space="0"/>
            </w:tcBorders>
            <w:vAlign w:val="center"/>
          </w:tcPr>
          <w:p w14:paraId="151F6194">
            <w:pPr>
              <w:rPr>
                <w:rFonts w:ascii="宋体" w:hAnsi="宋体"/>
                <w:strike/>
                <w:szCs w:val="21"/>
              </w:rPr>
            </w:pPr>
          </w:p>
        </w:tc>
        <w:tc>
          <w:tcPr>
            <w:tcW w:w="1034" w:type="dxa"/>
            <w:tcBorders>
              <w:top w:val="single" w:color="auto" w:sz="4" w:space="0"/>
              <w:left w:val="single" w:color="auto" w:sz="4" w:space="0"/>
              <w:bottom w:val="single" w:color="auto" w:sz="4" w:space="0"/>
              <w:right w:val="single" w:color="auto" w:sz="4" w:space="0"/>
            </w:tcBorders>
            <w:vAlign w:val="center"/>
          </w:tcPr>
          <w:p w14:paraId="2049C624">
            <w:pPr>
              <w:rPr>
                <w:rFonts w:ascii="宋体" w:hAnsi="宋体"/>
                <w:strike/>
                <w:szCs w:val="21"/>
              </w:rPr>
            </w:pPr>
          </w:p>
        </w:tc>
        <w:tc>
          <w:tcPr>
            <w:tcW w:w="1033" w:type="dxa"/>
            <w:tcBorders>
              <w:top w:val="single" w:color="auto" w:sz="4" w:space="0"/>
              <w:left w:val="single" w:color="auto" w:sz="4" w:space="0"/>
              <w:bottom w:val="single" w:color="auto" w:sz="4" w:space="0"/>
              <w:right w:val="single" w:color="auto" w:sz="4" w:space="0"/>
            </w:tcBorders>
            <w:vAlign w:val="center"/>
          </w:tcPr>
          <w:p w14:paraId="46DB4F14">
            <w:pPr>
              <w:rPr>
                <w:rFonts w:ascii="宋体" w:hAnsi="宋体"/>
                <w:strike/>
                <w:szCs w:val="21"/>
              </w:rPr>
            </w:pPr>
          </w:p>
        </w:tc>
        <w:tc>
          <w:tcPr>
            <w:tcW w:w="1033" w:type="dxa"/>
            <w:tcBorders>
              <w:top w:val="single" w:color="auto" w:sz="4" w:space="0"/>
              <w:left w:val="single" w:color="auto" w:sz="4" w:space="0"/>
              <w:bottom w:val="single" w:color="auto" w:sz="4" w:space="0"/>
              <w:right w:val="single" w:color="auto" w:sz="4" w:space="0"/>
            </w:tcBorders>
            <w:vAlign w:val="center"/>
          </w:tcPr>
          <w:p w14:paraId="20BDC412">
            <w:pPr>
              <w:rPr>
                <w:rFonts w:ascii="宋体" w:hAnsi="宋体"/>
                <w:strike/>
                <w:szCs w:val="21"/>
              </w:rPr>
            </w:pPr>
          </w:p>
        </w:tc>
        <w:tc>
          <w:tcPr>
            <w:tcW w:w="1033" w:type="dxa"/>
            <w:tcBorders>
              <w:top w:val="single" w:color="auto" w:sz="4" w:space="0"/>
              <w:left w:val="single" w:color="auto" w:sz="4" w:space="0"/>
              <w:bottom w:val="single" w:color="auto" w:sz="4" w:space="0"/>
              <w:right w:val="single" w:color="auto" w:sz="4" w:space="0"/>
            </w:tcBorders>
            <w:vAlign w:val="center"/>
          </w:tcPr>
          <w:p w14:paraId="6B23B5B3">
            <w:pPr>
              <w:rPr>
                <w:rFonts w:ascii="宋体" w:hAnsi="宋体"/>
                <w:strike/>
                <w:szCs w:val="21"/>
              </w:rPr>
            </w:pPr>
          </w:p>
        </w:tc>
        <w:tc>
          <w:tcPr>
            <w:tcW w:w="1033" w:type="dxa"/>
            <w:tcBorders>
              <w:top w:val="single" w:color="auto" w:sz="4" w:space="0"/>
              <w:left w:val="single" w:color="auto" w:sz="4" w:space="0"/>
              <w:bottom w:val="single" w:color="auto" w:sz="4" w:space="0"/>
              <w:right w:val="single" w:color="auto" w:sz="4" w:space="0"/>
            </w:tcBorders>
            <w:vAlign w:val="center"/>
          </w:tcPr>
          <w:p w14:paraId="3725C9FB">
            <w:pPr>
              <w:rPr>
                <w:rFonts w:ascii="宋体" w:hAnsi="宋体"/>
                <w:strike/>
                <w:szCs w:val="21"/>
              </w:rPr>
            </w:pPr>
          </w:p>
        </w:tc>
        <w:tc>
          <w:tcPr>
            <w:tcW w:w="1033" w:type="dxa"/>
            <w:tcBorders>
              <w:top w:val="single" w:color="auto" w:sz="4" w:space="0"/>
              <w:left w:val="single" w:color="auto" w:sz="4" w:space="0"/>
              <w:bottom w:val="single" w:color="auto" w:sz="4" w:space="0"/>
              <w:right w:val="single" w:color="auto" w:sz="4" w:space="0"/>
            </w:tcBorders>
            <w:vAlign w:val="center"/>
          </w:tcPr>
          <w:p w14:paraId="0226B23F">
            <w:pPr>
              <w:rPr>
                <w:rFonts w:ascii="宋体" w:hAnsi="宋体"/>
                <w:strike/>
                <w:szCs w:val="21"/>
              </w:rPr>
            </w:pPr>
          </w:p>
        </w:tc>
        <w:tc>
          <w:tcPr>
            <w:tcW w:w="1033" w:type="dxa"/>
            <w:tcBorders>
              <w:top w:val="single" w:color="auto" w:sz="4" w:space="0"/>
              <w:left w:val="single" w:color="auto" w:sz="4" w:space="0"/>
              <w:bottom w:val="single" w:color="auto" w:sz="4" w:space="0"/>
              <w:right w:val="single" w:color="auto" w:sz="4" w:space="0"/>
            </w:tcBorders>
            <w:vAlign w:val="center"/>
          </w:tcPr>
          <w:p w14:paraId="3971C452">
            <w:pPr>
              <w:rPr>
                <w:rFonts w:ascii="宋体" w:hAnsi="宋体"/>
                <w:strike/>
                <w:szCs w:val="21"/>
              </w:rPr>
            </w:pPr>
          </w:p>
        </w:tc>
        <w:tc>
          <w:tcPr>
            <w:tcW w:w="1033" w:type="dxa"/>
            <w:tcBorders>
              <w:top w:val="single" w:color="auto" w:sz="4" w:space="0"/>
              <w:left w:val="single" w:color="auto" w:sz="4" w:space="0"/>
              <w:bottom w:val="single" w:color="auto" w:sz="4" w:space="0"/>
              <w:right w:val="single" w:color="auto" w:sz="4" w:space="0"/>
            </w:tcBorders>
            <w:vAlign w:val="center"/>
          </w:tcPr>
          <w:p w14:paraId="4CA92544">
            <w:pPr>
              <w:rPr>
                <w:rFonts w:ascii="宋体" w:hAnsi="宋体"/>
                <w:strike/>
                <w:szCs w:val="21"/>
              </w:rPr>
            </w:pPr>
          </w:p>
        </w:tc>
        <w:tc>
          <w:tcPr>
            <w:tcW w:w="1033" w:type="dxa"/>
            <w:tcBorders>
              <w:top w:val="single" w:color="auto" w:sz="4" w:space="0"/>
              <w:left w:val="single" w:color="auto" w:sz="4" w:space="0"/>
              <w:bottom w:val="single" w:color="auto" w:sz="4" w:space="0"/>
              <w:right w:val="single" w:color="auto" w:sz="4" w:space="0"/>
            </w:tcBorders>
            <w:vAlign w:val="center"/>
          </w:tcPr>
          <w:p w14:paraId="28D9C518">
            <w:pPr>
              <w:rPr>
                <w:rFonts w:ascii="宋体" w:hAnsi="宋体"/>
                <w:strike/>
                <w:szCs w:val="21"/>
              </w:rPr>
            </w:pPr>
          </w:p>
        </w:tc>
        <w:tc>
          <w:tcPr>
            <w:tcW w:w="1033" w:type="dxa"/>
            <w:tcBorders>
              <w:top w:val="single" w:color="auto" w:sz="4" w:space="0"/>
              <w:left w:val="single" w:color="auto" w:sz="4" w:space="0"/>
              <w:bottom w:val="single" w:color="auto" w:sz="4" w:space="0"/>
              <w:right w:val="single" w:color="auto" w:sz="4" w:space="0"/>
            </w:tcBorders>
            <w:vAlign w:val="center"/>
          </w:tcPr>
          <w:p w14:paraId="792991F0">
            <w:pPr>
              <w:rPr>
                <w:rFonts w:ascii="宋体" w:hAnsi="宋体"/>
                <w:strike/>
                <w:szCs w:val="21"/>
              </w:rPr>
            </w:pPr>
          </w:p>
        </w:tc>
        <w:tc>
          <w:tcPr>
            <w:tcW w:w="1032" w:type="dxa"/>
            <w:tcBorders>
              <w:top w:val="single" w:color="auto" w:sz="4" w:space="0"/>
              <w:left w:val="single" w:color="auto" w:sz="4" w:space="0"/>
              <w:bottom w:val="single" w:color="auto" w:sz="4" w:space="0"/>
              <w:right w:val="single" w:color="auto" w:sz="4" w:space="0"/>
            </w:tcBorders>
            <w:vAlign w:val="center"/>
          </w:tcPr>
          <w:p w14:paraId="35EC0288">
            <w:pPr>
              <w:rPr>
                <w:rFonts w:ascii="宋体" w:hAnsi="宋体"/>
                <w:strike/>
                <w:szCs w:val="21"/>
              </w:rPr>
            </w:pPr>
          </w:p>
        </w:tc>
      </w:tr>
      <w:tr w14:paraId="790358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2063" w:type="dxa"/>
            <w:tcBorders>
              <w:top w:val="single" w:color="auto" w:sz="4" w:space="0"/>
              <w:left w:val="single" w:color="auto" w:sz="4" w:space="0"/>
              <w:bottom w:val="single" w:color="auto" w:sz="4" w:space="0"/>
              <w:right w:val="single" w:color="auto" w:sz="4" w:space="0"/>
            </w:tcBorders>
            <w:vAlign w:val="center"/>
          </w:tcPr>
          <w:p w14:paraId="18D816FE">
            <w:pPr>
              <w:rPr>
                <w:rFonts w:ascii="宋体" w:hAnsi="宋体"/>
                <w:strike/>
                <w:szCs w:val="21"/>
              </w:rPr>
            </w:pPr>
            <w:r>
              <w:rPr>
                <w:rFonts w:hint="eastAsia" w:ascii="宋体" w:hAnsi="宋体"/>
                <w:strike/>
                <w:szCs w:val="21"/>
              </w:rPr>
              <w:t>得分</w:t>
            </w:r>
            <w:r>
              <w:rPr>
                <w:rFonts w:ascii="宋体" w:hAnsi="宋体"/>
                <w:strike/>
                <w:szCs w:val="21"/>
              </w:rPr>
              <w:t>(I=100-A)</w:t>
            </w:r>
          </w:p>
        </w:tc>
        <w:tc>
          <w:tcPr>
            <w:tcW w:w="1021" w:type="dxa"/>
            <w:gridSpan w:val="2"/>
            <w:tcBorders>
              <w:top w:val="single" w:color="auto" w:sz="4" w:space="0"/>
              <w:left w:val="single" w:color="auto" w:sz="4" w:space="0"/>
              <w:bottom w:val="single" w:color="auto" w:sz="4" w:space="0"/>
              <w:right w:val="single" w:color="auto" w:sz="4" w:space="0"/>
            </w:tcBorders>
            <w:vAlign w:val="center"/>
          </w:tcPr>
          <w:p w14:paraId="2A2062ED">
            <w:pPr>
              <w:rPr>
                <w:rFonts w:ascii="宋体" w:hAnsi="宋体"/>
                <w:strike/>
                <w:szCs w:val="21"/>
              </w:rPr>
            </w:pPr>
          </w:p>
        </w:tc>
        <w:tc>
          <w:tcPr>
            <w:tcW w:w="1034" w:type="dxa"/>
            <w:tcBorders>
              <w:top w:val="single" w:color="auto" w:sz="4" w:space="0"/>
              <w:left w:val="single" w:color="auto" w:sz="4" w:space="0"/>
              <w:bottom w:val="single" w:color="auto" w:sz="4" w:space="0"/>
              <w:right w:val="single" w:color="auto" w:sz="4" w:space="0"/>
            </w:tcBorders>
            <w:vAlign w:val="center"/>
          </w:tcPr>
          <w:p w14:paraId="6E136AA4">
            <w:pPr>
              <w:rPr>
                <w:rFonts w:ascii="宋体" w:hAnsi="宋体"/>
                <w:strike/>
                <w:szCs w:val="21"/>
              </w:rPr>
            </w:pPr>
          </w:p>
        </w:tc>
        <w:tc>
          <w:tcPr>
            <w:tcW w:w="1033" w:type="dxa"/>
            <w:tcBorders>
              <w:top w:val="single" w:color="auto" w:sz="4" w:space="0"/>
              <w:left w:val="single" w:color="auto" w:sz="4" w:space="0"/>
              <w:bottom w:val="single" w:color="auto" w:sz="4" w:space="0"/>
              <w:right w:val="single" w:color="auto" w:sz="4" w:space="0"/>
            </w:tcBorders>
            <w:vAlign w:val="center"/>
          </w:tcPr>
          <w:p w14:paraId="2357864A">
            <w:pPr>
              <w:rPr>
                <w:rFonts w:ascii="宋体" w:hAnsi="宋体"/>
                <w:strike/>
                <w:szCs w:val="21"/>
              </w:rPr>
            </w:pPr>
          </w:p>
        </w:tc>
        <w:tc>
          <w:tcPr>
            <w:tcW w:w="1033" w:type="dxa"/>
            <w:tcBorders>
              <w:top w:val="single" w:color="auto" w:sz="4" w:space="0"/>
              <w:left w:val="single" w:color="auto" w:sz="4" w:space="0"/>
              <w:bottom w:val="single" w:color="auto" w:sz="4" w:space="0"/>
              <w:right w:val="single" w:color="auto" w:sz="4" w:space="0"/>
            </w:tcBorders>
            <w:vAlign w:val="center"/>
          </w:tcPr>
          <w:p w14:paraId="61EB7039">
            <w:pPr>
              <w:rPr>
                <w:rFonts w:ascii="宋体" w:hAnsi="宋体"/>
                <w:strike/>
                <w:szCs w:val="21"/>
              </w:rPr>
            </w:pPr>
          </w:p>
        </w:tc>
        <w:tc>
          <w:tcPr>
            <w:tcW w:w="1033" w:type="dxa"/>
            <w:tcBorders>
              <w:top w:val="single" w:color="auto" w:sz="4" w:space="0"/>
              <w:left w:val="single" w:color="auto" w:sz="4" w:space="0"/>
              <w:bottom w:val="single" w:color="auto" w:sz="4" w:space="0"/>
              <w:right w:val="single" w:color="auto" w:sz="4" w:space="0"/>
            </w:tcBorders>
            <w:vAlign w:val="center"/>
          </w:tcPr>
          <w:p w14:paraId="48C1B879">
            <w:pPr>
              <w:rPr>
                <w:rFonts w:ascii="宋体" w:hAnsi="宋体"/>
                <w:strike/>
                <w:szCs w:val="21"/>
              </w:rPr>
            </w:pPr>
          </w:p>
        </w:tc>
        <w:tc>
          <w:tcPr>
            <w:tcW w:w="1033" w:type="dxa"/>
            <w:tcBorders>
              <w:top w:val="single" w:color="auto" w:sz="4" w:space="0"/>
              <w:left w:val="single" w:color="auto" w:sz="4" w:space="0"/>
              <w:bottom w:val="single" w:color="auto" w:sz="4" w:space="0"/>
              <w:right w:val="single" w:color="auto" w:sz="4" w:space="0"/>
            </w:tcBorders>
            <w:vAlign w:val="center"/>
          </w:tcPr>
          <w:p w14:paraId="4AE41A62">
            <w:pPr>
              <w:rPr>
                <w:rFonts w:ascii="宋体" w:hAnsi="宋体"/>
                <w:strike/>
                <w:szCs w:val="21"/>
              </w:rPr>
            </w:pPr>
          </w:p>
        </w:tc>
        <w:tc>
          <w:tcPr>
            <w:tcW w:w="1033" w:type="dxa"/>
            <w:tcBorders>
              <w:top w:val="single" w:color="auto" w:sz="4" w:space="0"/>
              <w:left w:val="single" w:color="auto" w:sz="4" w:space="0"/>
              <w:bottom w:val="single" w:color="auto" w:sz="4" w:space="0"/>
              <w:right w:val="single" w:color="auto" w:sz="4" w:space="0"/>
            </w:tcBorders>
            <w:vAlign w:val="center"/>
          </w:tcPr>
          <w:p w14:paraId="2EA4A7E3">
            <w:pPr>
              <w:rPr>
                <w:rFonts w:ascii="宋体" w:hAnsi="宋体"/>
                <w:strike/>
                <w:szCs w:val="21"/>
              </w:rPr>
            </w:pPr>
          </w:p>
        </w:tc>
        <w:tc>
          <w:tcPr>
            <w:tcW w:w="1033" w:type="dxa"/>
            <w:tcBorders>
              <w:top w:val="single" w:color="auto" w:sz="4" w:space="0"/>
              <w:left w:val="single" w:color="auto" w:sz="4" w:space="0"/>
              <w:bottom w:val="single" w:color="auto" w:sz="4" w:space="0"/>
              <w:right w:val="single" w:color="auto" w:sz="4" w:space="0"/>
            </w:tcBorders>
            <w:vAlign w:val="center"/>
          </w:tcPr>
          <w:p w14:paraId="49E6A91A">
            <w:pPr>
              <w:rPr>
                <w:rFonts w:ascii="宋体" w:hAnsi="宋体"/>
                <w:strike/>
                <w:szCs w:val="21"/>
              </w:rPr>
            </w:pPr>
          </w:p>
        </w:tc>
        <w:tc>
          <w:tcPr>
            <w:tcW w:w="1033" w:type="dxa"/>
            <w:tcBorders>
              <w:top w:val="single" w:color="auto" w:sz="4" w:space="0"/>
              <w:left w:val="single" w:color="auto" w:sz="4" w:space="0"/>
              <w:bottom w:val="single" w:color="auto" w:sz="4" w:space="0"/>
              <w:right w:val="single" w:color="auto" w:sz="4" w:space="0"/>
            </w:tcBorders>
            <w:vAlign w:val="center"/>
          </w:tcPr>
          <w:p w14:paraId="27CAF4DF">
            <w:pPr>
              <w:rPr>
                <w:rFonts w:ascii="宋体" w:hAnsi="宋体"/>
                <w:strike/>
                <w:szCs w:val="21"/>
              </w:rPr>
            </w:pPr>
          </w:p>
        </w:tc>
        <w:tc>
          <w:tcPr>
            <w:tcW w:w="1033" w:type="dxa"/>
            <w:tcBorders>
              <w:top w:val="single" w:color="auto" w:sz="4" w:space="0"/>
              <w:left w:val="single" w:color="auto" w:sz="4" w:space="0"/>
              <w:bottom w:val="single" w:color="auto" w:sz="4" w:space="0"/>
              <w:right w:val="single" w:color="auto" w:sz="4" w:space="0"/>
            </w:tcBorders>
            <w:vAlign w:val="center"/>
          </w:tcPr>
          <w:p w14:paraId="6DEBEBCD">
            <w:pPr>
              <w:rPr>
                <w:rFonts w:ascii="宋体" w:hAnsi="宋体"/>
                <w:strike/>
                <w:szCs w:val="21"/>
              </w:rPr>
            </w:pPr>
          </w:p>
        </w:tc>
        <w:tc>
          <w:tcPr>
            <w:tcW w:w="1033" w:type="dxa"/>
            <w:tcBorders>
              <w:top w:val="single" w:color="auto" w:sz="4" w:space="0"/>
              <w:left w:val="single" w:color="auto" w:sz="4" w:space="0"/>
              <w:bottom w:val="single" w:color="auto" w:sz="4" w:space="0"/>
              <w:right w:val="single" w:color="auto" w:sz="4" w:space="0"/>
            </w:tcBorders>
            <w:vAlign w:val="center"/>
          </w:tcPr>
          <w:p w14:paraId="03B1833B">
            <w:pPr>
              <w:rPr>
                <w:rFonts w:ascii="宋体" w:hAnsi="宋体"/>
                <w:strike/>
                <w:szCs w:val="21"/>
              </w:rPr>
            </w:pPr>
          </w:p>
        </w:tc>
        <w:tc>
          <w:tcPr>
            <w:tcW w:w="1032" w:type="dxa"/>
            <w:tcBorders>
              <w:top w:val="single" w:color="auto" w:sz="4" w:space="0"/>
              <w:left w:val="single" w:color="auto" w:sz="4" w:space="0"/>
              <w:bottom w:val="single" w:color="auto" w:sz="4" w:space="0"/>
              <w:right w:val="single" w:color="auto" w:sz="4" w:space="0"/>
            </w:tcBorders>
            <w:vAlign w:val="center"/>
          </w:tcPr>
          <w:p w14:paraId="7197E969">
            <w:pPr>
              <w:rPr>
                <w:rFonts w:ascii="宋体" w:hAnsi="宋体"/>
                <w:strike/>
                <w:szCs w:val="21"/>
              </w:rPr>
            </w:pPr>
          </w:p>
        </w:tc>
      </w:tr>
      <w:tr w14:paraId="01B252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2063" w:type="dxa"/>
            <w:tcBorders>
              <w:top w:val="single" w:color="auto" w:sz="4" w:space="0"/>
              <w:left w:val="single" w:color="auto" w:sz="4" w:space="0"/>
              <w:bottom w:val="single" w:color="auto" w:sz="4" w:space="0"/>
              <w:right w:val="single" w:color="auto" w:sz="4" w:space="0"/>
            </w:tcBorders>
            <w:vAlign w:val="center"/>
          </w:tcPr>
          <w:p w14:paraId="5134D0A0">
            <w:pPr>
              <w:rPr>
                <w:rFonts w:ascii="宋体" w:hAnsi="宋体"/>
                <w:strike/>
                <w:szCs w:val="21"/>
              </w:rPr>
            </w:pPr>
            <w:r>
              <w:rPr>
                <w:rFonts w:hint="eastAsia" w:ascii="宋体" w:hAnsi="宋体"/>
                <w:strike/>
                <w:szCs w:val="21"/>
              </w:rPr>
              <w:t>得分排名次序</w:t>
            </w:r>
          </w:p>
        </w:tc>
        <w:tc>
          <w:tcPr>
            <w:tcW w:w="1021" w:type="dxa"/>
            <w:gridSpan w:val="2"/>
            <w:tcBorders>
              <w:top w:val="single" w:color="auto" w:sz="4" w:space="0"/>
              <w:left w:val="single" w:color="auto" w:sz="4" w:space="0"/>
              <w:bottom w:val="single" w:color="auto" w:sz="4" w:space="0"/>
              <w:right w:val="single" w:color="auto" w:sz="4" w:space="0"/>
            </w:tcBorders>
            <w:vAlign w:val="center"/>
          </w:tcPr>
          <w:p w14:paraId="0B24B241">
            <w:pPr>
              <w:rPr>
                <w:rFonts w:ascii="宋体" w:hAnsi="宋体"/>
                <w:strike/>
                <w:szCs w:val="21"/>
              </w:rPr>
            </w:pPr>
          </w:p>
        </w:tc>
        <w:tc>
          <w:tcPr>
            <w:tcW w:w="1034" w:type="dxa"/>
            <w:tcBorders>
              <w:top w:val="single" w:color="auto" w:sz="4" w:space="0"/>
              <w:left w:val="single" w:color="auto" w:sz="4" w:space="0"/>
              <w:bottom w:val="single" w:color="auto" w:sz="4" w:space="0"/>
              <w:right w:val="single" w:color="auto" w:sz="4" w:space="0"/>
            </w:tcBorders>
            <w:vAlign w:val="center"/>
          </w:tcPr>
          <w:p w14:paraId="198D5DE6">
            <w:pPr>
              <w:rPr>
                <w:rFonts w:ascii="宋体" w:hAnsi="宋体"/>
                <w:strike/>
                <w:szCs w:val="21"/>
              </w:rPr>
            </w:pPr>
          </w:p>
        </w:tc>
        <w:tc>
          <w:tcPr>
            <w:tcW w:w="1033" w:type="dxa"/>
            <w:tcBorders>
              <w:top w:val="single" w:color="auto" w:sz="4" w:space="0"/>
              <w:left w:val="single" w:color="auto" w:sz="4" w:space="0"/>
              <w:bottom w:val="single" w:color="auto" w:sz="4" w:space="0"/>
              <w:right w:val="single" w:color="auto" w:sz="4" w:space="0"/>
            </w:tcBorders>
            <w:vAlign w:val="center"/>
          </w:tcPr>
          <w:p w14:paraId="19794FE3">
            <w:pPr>
              <w:rPr>
                <w:rFonts w:ascii="宋体" w:hAnsi="宋体"/>
                <w:strike/>
                <w:szCs w:val="21"/>
              </w:rPr>
            </w:pPr>
          </w:p>
        </w:tc>
        <w:tc>
          <w:tcPr>
            <w:tcW w:w="1033" w:type="dxa"/>
            <w:tcBorders>
              <w:top w:val="single" w:color="auto" w:sz="4" w:space="0"/>
              <w:left w:val="single" w:color="auto" w:sz="4" w:space="0"/>
              <w:bottom w:val="single" w:color="auto" w:sz="4" w:space="0"/>
              <w:right w:val="single" w:color="auto" w:sz="4" w:space="0"/>
            </w:tcBorders>
            <w:vAlign w:val="center"/>
          </w:tcPr>
          <w:p w14:paraId="24697B1A">
            <w:pPr>
              <w:rPr>
                <w:rFonts w:ascii="宋体" w:hAnsi="宋体"/>
                <w:strike/>
                <w:szCs w:val="21"/>
              </w:rPr>
            </w:pPr>
          </w:p>
        </w:tc>
        <w:tc>
          <w:tcPr>
            <w:tcW w:w="1033" w:type="dxa"/>
            <w:tcBorders>
              <w:top w:val="single" w:color="auto" w:sz="4" w:space="0"/>
              <w:left w:val="single" w:color="auto" w:sz="4" w:space="0"/>
              <w:bottom w:val="single" w:color="auto" w:sz="4" w:space="0"/>
              <w:right w:val="single" w:color="auto" w:sz="4" w:space="0"/>
            </w:tcBorders>
            <w:vAlign w:val="center"/>
          </w:tcPr>
          <w:p w14:paraId="196A7342">
            <w:pPr>
              <w:rPr>
                <w:rFonts w:ascii="宋体" w:hAnsi="宋体"/>
                <w:strike/>
                <w:szCs w:val="21"/>
              </w:rPr>
            </w:pPr>
          </w:p>
        </w:tc>
        <w:tc>
          <w:tcPr>
            <w:tcW w:w="1033" w:type="dxa"/>
            <w:tcBorders>
              <w:top w:val="single" w:color="auto" w:sz="4" w:space="0"/>
              <w:left w:val="single" w:color="auto" w:sz="4" w:space="0"/>
              <w:bottom w:val="single" w:color="auto" w:sz="4" w:space="0"/>
              <w:right w:val="single" w:color="auto" w:sz="4" w:space="0"/>
            </w:tcBorders>
            <w:vAlign w:val="center"/>
          </w:tcPr>
          <w:p w14:paraId="18196886">
            <w:pPr>
              <w:rPr>
                <w:rFonts w:ascii="宋体" w:hAnsi="宋体"/>
                <w:strike/>
                <w:szCs w:val="21"/>
              </w:rPr>
            </w:pPr>
          </w:p>
        </w:tc>
        <w:tc>
          <w:tcPr>
            <w:tcW w:w="1033" w:type="dxa"/>
            <w:tcBorders>
              <w:top w:val="single" w:color="auto" w:sz="4" w:space="0"/>
              <w:left w:val="single" w:color="auto" w:sz="4" w:space="0"/>
              <w:bottom w:val="single" w:color="auto" w:sz="4" w:space="0"/>
              <w:right w:val="single" w:color="auto" w:sz="4" w:space="0"/>
            </w:tcBorders>
            <w:vAlign w:val="center"/>
          </w:tcPr>
          <w:p w14:paraId="50915EE2">
            <w:pPr>
              <w:rPr>
                <w:rFonts w:ascii="宋体" w:hAnsi="宋体"/>
                <w:strike/>
                <w:szCs w:val="21"/>
              </w:rPr>
            </w:pPr>
          </w:p>
        </w:tc>
        <w:tc>
          <w:tcPr>
            <w:tcW w:w="1033" w:type="dxa"/>
            <w:tcBorders>
              <w:top w:val="single" w:color="auto" w:sz="4" w:space="0"/>
              <w:left w:val="single" w:color="auto" w:sz="4" w:space="0"/>
              <w:bottom w:val="single" w:color="auto" w:sz="4" w:space="0"/>
              <w:right w:val="single" w:color="auto" w:sz="4" w:space="0"/>
            </w:tcBorders>
            <w:vAlign w:val="center"/>
          </w:tcPr>
          <w:p w14:paraId="27889D21">
            <w:pPr>
              <w:rPr>
                <w:rFonts w:ascii="宋体" w:hAnsi="宋体"/>
                <w:strike/>
                <w:szCs w:val="21"/>
              </w:rPr>
            </w:pPr>
          </w:p>
        </w:tc>
        <w:tc>
          <w:tcPr>
            <w:tcW w:w="1033" w:type="dxa"/>
            <w:tcBorders>
              <w:top w:val="single" w:color="auto" w:sz="4" w:space="0"/>
              <w:left w:val="single" w:color="auto" w:sz="4" w:space="0"/>
              <w:bottom w:val="single" w:color="auto" w:sz="4" w:space="0"/>
              <w:right w:val="single" w:color="auto" w:sz="4" w:space="0"/>
            </w:tcBorders>
            <w:vAlign w:val="center"/>
          </w:tcPr>
          <w:p w14:paraId="19CA2368">
            <w:pPr>
              <w:rPr>
                <w:rFonts w:ascii="宋体" w:hAnsi="宋体"/>
                <w:strike/>
                <w:szCs w:val="21"/>
              </w:rPr>
            </w:pPr>
          </w:p>
        </w:tc>
        <w:tc>
          <w:tcPr>
            <w:tcW w:w="1033" w:type="dxa"/>
            <w:tcBorders>
              <w:top w:val="single" w:color="auto" w:sz="4" w:space="0"/>
              <w:left w:val="single" w:color="auto" w:sz="4" w:space="0"/>
              <w:bottom w:val="single" w:color="auto" w:sz="4" w:space="0"/>
              <w:right w:val="single" w:color="auto" w:sz="4" w:space="0"/>
            </w:tcBorders>
            <w:vAlign w:val="center"/>
          </w:tcPr>
          <w:p w14:paraId="57A00DA2">
            <w:pPr>
              <w:rPr>
                <w:rFonts w:ascii="宋体" w:hAnsi="宋体"/>
                <w:strike/>
                <w:szCs w:val="21"/>
              </w:rPr>
            </w:pPr>
          </w:p>
        </w:tc>
        <w:tc>
          <w:tcPr>
            <w:tcW w:w="1033" w:type="dxa"/>
            <w:tcBorders>
              <w:top w:val="single" w:color="auto" w:sz="4" w:space="0"/>
              <w:left w:val="single" w:color="auto" w:sz="4" w:space="0"/>
              <w:bottom w:val="single" w:color="auto" w:sz="4" w:space="0"/>
              <w:right w:val="single" w:color="auto" w:sz="4" w:space="0"/>
            </w:tcBorders>
            <w:vAlign w:val="center"/>
          </w:tcPr>
          <w:p w14:paraId="65DFE3D9">
            <w:pPr>
              <w:rPr>
                <w:rFonts w:ascii="宋体" w:hAnsi="宋体"/>
                <w:strike/>
                <w:szCs w:val="21"/>
              </w:rPr>
            </w:pPr>
          </w:p>
        </w:tc>
        <w:tc>
          <w:tcPr>
            <w:tcW w:w="1032" w:type="dxa"/>
            <w:tcBorders>
              <w:top w:val="single" w:color="auto" w:sz="4" w:space="0"/>
              <w:left w:val="single" w:color="auto" w:sz="4" w:space="0"/>
              <w:bottom w:val="single" w:color="auto" w:sz="4" w:space="0"/>
              <w:right w:val="single" w:color="auto" w:sz="4" w:space="0"/>
            </w:tcBorders>
            <w:vAlign w:val="center"/>
          </w:tcPr>
          <w:p w14:paraId="144EE0F8">
            <w:pPr>
              <w:rPr>
                <w:rFonts w:ascii="宋体" w:hAnsi="宋体"/>
                <w:strike/>
                <w:szCs w:val="21"/>
              </w:rPr>
            </w:pPr>
          </w:p>
        </w:tc>
      </w:tr>
    </w:tbl>
    <w:p w14:paraId="7C35E41B">
      <w:pPr>
        <w:rPr>
          <w:sz w:val="24"/>
          <w:szCs w:val="24"/>
        </w:rPr>
      </w:pPr>
      <w:r>
        <w:rPr>
          <w:rFonts w:hint="eastAsia"/>
          <w:strike/>
          <w:szCs w:val="21"/>
        </w:rPr>
        <w:t>评委签名：</w:t>
      </w:r>
      <w:r>
        <w:rPr>
          <w:b/>
          <w:strike/>
          <w:sz w:val="36"/>
          <w:szCs w:val="36"/>
        </w:rPr>
        <w:br w:type="page"/>
      </w:r>
      <w:r>
        <w:rPr>
          <w:rFonts w:hint="eastAsia"/>
          <w:szCs w:val="21"/>
        </w:rPr>
        <w:t>附表五（适用于区间抽取法）</w:t>
      </w:r>
    </w:p>
    <w:p w14:paraId="2324DC21">
      <w:pPr>
        <w:jc w:val="center"/>
        <w:rPr>
          <w:b/>
          <w:sz w:val="36"/>
          <w:szCs w:val="36"/>
        </w:rPr>
      </w:pPr>
      <w:r>
        <w:rPr>
          <w:rFonts w:hint="eastAsia"/>
          <w:b/>
          <w:sz w:val="36"/>
          <w:szCs w:val="36"/>
        </w:rPr>
        <w:t>经济标评分表</w:t>
      </w:r>
    </w:p>
    <w:p w14:paraId="681BA0C2">
      <w:pPr>
        <w:rPr>
          <w:szCs w:val="21"/>
        </w:rPr>
      </w:pPr>
      <w:r>
        <w:rPr>
          <w:rFonts w:hint="eastAsia"/>
          <w:szCs w:val="21"/>
        </w:rPr>
        <w:t>工程名称：</w:t>
      </w:r>
    </w:p>
    <w:tbl>
      <w:tblPr>
        <w:tblStyle w:val="34"/>
        <w:tblW w:w="14447"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4"/>
        <w:gridCol w:w="1031"/>
        <w:gridCol w:w="1031"/>
        <w:gridCol w:w="1031"/>
        <w:gridCol w:w="1031"/>
        <w:gridCol w:w="1031"/>
        <w:gridCol w:w="1031"/>
        <w:gridCol w:w="1031"/>
        <w:gridCol w:w="1031"/>
        <w:gridCol w:w="1031"/>
        <w:gridCol w:w="1031"/>
        <w:gridCol w:w="1031"/>
        <w:gridCol w:w="1032"/>
      </w:tblGrid>
      <w:tr w14:paraId="61FF04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99" w:hRule="atLeast"/>
        </w:trPr>
        <w:tc>
          <w:tcPr>
            <w:tcW w:w="2074" w:type="dxa"/>
            <w:tcBorders>
              <w:top w:val="single" w:color="auto" w:sz="4" w:space="0"/>
              <w:left w:val="single" w:color="auto" w:sz="4" w:space="0"/>
              <w:bottom w:val="single" w:color="auto" w:sz="4" w:space="0"/>
              <w:right w:val="single" w:color="auto" w:sz="4" w:space="0"/>
            </w:tcBorders>
            <w:vAlign w:val="center"/>
          </w:tcPr>
          <w:p w14:paraId="7434E999">
            <w:pPr>
              <w:rPr>
                <w:rFonts w:ascii="宋体" w:hAnsi="宋体"/>
                <w:szCs w:val="21"/>
              </w:rPr>
            </w:pPr>
            <w:r>
              <w:rPr>
                <w:rFonts w:hint="eastAsia" w:ascii="宋体" w:hAnsi="宋体"/>
                <w:szCs w:val="21"/>
              </w:rPr>
              <w:t>投标人名称</w:t>
            </w:r>
          </w:p>
        </w:tc>
        <w:tc>
          <w:tcPr>
            <w:tcW w:w="1031" w:type="dxa"/>
            <w:tcBorders>
              <w:top w:val="single" w:color="auto" w:sz="4" w:space="0"/>
              <w:left w:val="single" w:color="auto" w:sz="4" w:space="0"/>
              <w:bottom w:val="single" w:color="auto" w:sz="4" w:space="0"/>
              <w:right w:val="single" w:color="auto" w:sz="4" w:space="0"/>
            </w:tcBorders>
            <w:vAlign w:val="center"/>
          </w:tcPr>
          <w:p w14:paraId="32AE78D7">
            <w:pPr>
              <w:rPr>
                <w:rFonts w:ascii="宋体" w:hAnsi="宋体"/>
                <w:szCs w:val="21"/>
              </w:rPr>
            </w:pPr>
          </w:p>
        </w:tc>
        <w:tc>
          <w:tcPr>
            <w:tcW w:w="1031" w:type="dxa"/>
            <w:tcBorders>
              <w:top w:val="single" w:color="auto" w:sz="4" w:space="0"/>
              <w:left w:val="single" w:color="auto" w:sz="4" w:space="0"/>
              <w:bottom w:val="single" w:color="auto" w:sz="4" w:space="0"/>
              <w:right w:val="single" w:color="auto" w:sz="4" w:space="0"/>
            </w:tcBorders>
            <w:vAlign w:val="center"/>
          </w:tcPr>
          <w:p w14:paraId="1D62A720">
            <w:pPr>
              <w:rPr>
                <w:rFonts w:ascii="宋体" w:hAnsi="宋体"/>
                <w:szCs w:val="21"/>
              </w:rPr>
            </w:pPr>
          </w:p>
        </w:tc>
        <w:tc>
          <w:tcPr>
            <w:tcW w:w="1031" w:type="dxa"/>
            <w:tcBorders>
              <w:top w:val="single" w:color="auto" w:sz="4" w:space="0"/>
              <w:left w:val="single" w:color="auto" w:sz="4" w:space="0"/>
              <w:bottom w:val="single" w:color="auto" w:sz="4" w:space="0"/>
              <w:right w:val="single" w:color="auto" w:sz="4" w:space="0"/>
            </w:tcBorders>
            <w:vAlign w:val="center"/>
          </w:tcPr>
          <w:p w14:paraId="40767550">
            <w:pPr>
              <w:rPr>
                <w:rFonts w:ascii="宋体" w:hAnsi="宋体"/>
                <w:szCs w:val="21"/>
              </w:rPr>
            </w:pPr>
          </w:p>
        </w:tc>
        <w:tc>
          <w:tcPr>
            <w:tcW w:w="1031" w:type="dxa"/>
            <w:tcBorders>
              <w:top w:val="single" w:color="auto" w:sz="4" w:space="0"/>
              <w:left w:val="single" w:color="auto" w:sz="4" w:space="0"/>
              <w:bottom w:val="single" w:color="auto" w:sz="4" w:space="0"/>
              <w:right w:val="single" w:color="auto" w:sz="4" w:space="0"/>
            </w:tcBorders>
            <w:vAlign w:val="center"/>
          </w:tcPr>
          <w:p w14:paraId="002984CC">
            <w:pPr>
              <w:rPr>
                <w:rFonts w:ascii="宋体" w:hAnsi="宋体"/>
                <w:szCs w:val="21"/>
              </w:rPr>
            </w:pPr>
          </w:p>
        </w:tc>
        <w:tc>
          <w:tcPr>
            <w:tcW w:w="1031" w:type="dxa"/>
            <w:tcBorders>
              <w:top w:val="single" w:color="auto" w:sz="4" w:space="0"/>
              <w:left w:val="single" w:color="auto" w:sz="4" w:space="0"/>
              <w:bottom w:val="single" w:color="auto" w:sz="4" w:space="0"/>
              <w:right w:val="single" w:color="auto" w:sz="4" w:space="0"/>
            </w:tcBorders>
            <w:vAlign w:val="center"/>
          </w:tcPr>
          <w:p w14:paraId="684BF1C5">
            <w:pPr>
              <w:rPr>
                <w:rFonts w:ascii="宋体" w:hAnsi="宋体"/>
                <w:szCs w:val="21"/>
              </w:rPr>
            </w:pPr>
          </w:p>
        </w:tc>
        <w:tc>
          <w:tcPr>
            <w:tcW w:w="1031" w:type="dxa"/>
            <w:tcBorders>
              <w:top w:val="single" w:color="auto" w:sz="4" w:space="0"/>
              <w:left w:val="single" w:color="auto" w:sz="4" w:space="0"/>
              <w:bottom w:val="single" w:color="auto" w:sz="4" w:space="0"/>
              <w:right w:val="single" w:color="auto" w:sz="4" w:space="0"/>
            </w:tcBorders>
            <w:vAlign w:val="center"/>
          </w:tcPr>
          <w:p w14:paraId="669CA23C">
            <w:pPr>
              <w:rPr>
                <w:rFonts w:ascii="宋体" w:hAnsi="宋体"/>
                <w:szCs w:val="21"/>
              </w:rPr>
            </w:pPr>
          </w:p>
        </w:tc>
        <w:tc>
          <w:tcPr>
            <w:tcW w:w="1031" w:type="dxa"/>
            <w:tcBorders>
              <w:top w:val="single" w:color="auto" w:sz="4" w:space="0"/>
              <w:left w:val="single" w:color="auto" w:sz="4" w:space="0"/>
              <w:bottom w:val="single" w:color="auto" w:sz="4" w:space="0"/>
              <w:right w:val="single" w:color="auto" w:sz="4" w:space="0"/>
            </w:tcBorders>
            <w:vAlign w:val="center"/>
          </w:tcPr>
          <w:p w14:paraId="2FAABDB5">
            <w:pPr>
              <w:rPr>
                <w:rFonts w:ascii="宋体" w:hAnsi="宋体"/>
                <w:szCs w:val="21"/>
              </w:rPr>
            </w:pPr>
          </w:p>
        </w:tc>
        <w:tc>
          <w:tcPr>
            <w:tcW w:w="1031" w:type="dxa"/>
            <w:tcBorders>
              <w:top w:val="single" w:color="auto" w:sz="4" w:space="0"/>
              <w:left w:val="single" w:color="auto" w:sz="4" w:space="0"/>
              <w:bottom w:val="single" w:color="auto" w:sz="4" w:space="0"/>
              <w:right w:val="single" w:color="auto" w:sz="4" w:space="0"/>
            </w:tcBorders>
            <w:vAlign w:val="center"/>
          </w:tcPr>
          <w:p w14:paraId="24ED881D">
            <w:pPr>
              <w:rPr>
                <w:rFonts w:ascii="宋体" w:hAnsi="宋体"/>
                <w:szCs w:val="21"/>
              </w:rPr>
            </w:pPr>
          </w:p>
        </w:tc>
        <w:tc>
          <w:tcPr>
            <w:tcW w:w="1031" w:type="dxa"/>
            <w:tcBorders>
              <w:top w:val="single" w:color="auto" w:sz="4" w:space="0"/>
              <w:left w:val="single" w:color="auto" w:sz="4" w:space="0"/>
              <w:bottom w:val="single" w:color="auto" w:sz="4" w:space="0"/>
              <w:right w:val="single" w:color="auto" w:sz="4" w:space="0"/>
            </w:tcBorders>
            <w:vAlign w:val="center"/>
          </w:tcPr>
          <w:p w14:paraId="3842DBEE">
            <w:pPr>
              <w:rPr>
                <w:rFonts w:ascii="宋体" w:hAnsi="宋体"/>
                <w:szCs w:val="21"/>
              </w:rPr>
            </w:pPr>
          </w:p>
        </w:tc>
        <w:tc>
          <w:tcPr>
            <w:tcW w:w="1031" w:type="dxa"/>
            <w:tcBorders>
              <w:top w:val="single" w:color="auto" w:sz="4" w:space="0"/>
              <w:left w:val="single" w:color="auto" w:sz="4" w:space="0"/>
              <w:bottom w:val="single" w:color="auto" w:sz="4" w:space="0"/>
              <w:right w:val="single" w:color="auto" w:sz="4" w:space="0"/>
            </w:tcBorders>
            <w:vAlign w:val="center"/>
          </w:tcPr>
          <w:p w14:paraId="450A5B92">
            <w:pPr>
              <w:rPr>
                <w:rFonts w:ascii="宋体" w:hAnsi="宋体"/>
                <w:szCs w:val="21"/>
              </w:rPr>
            </w:pPr>
          </w:p>
        </w:tc>
        <w:tc>
          <w:tcPr>
            <w:tcW w:w="1031" w:type="dxa"/>
            <w:tcBorders>
              <w:top w:val="single" w:color="auto" w:sz="4" w:space="0"/>
              <w:left w:val="single" w:color="auto" w:sz="4" w:space="0"/>
              <w:bottom w:val="single" w:color="auto" w:sz="4" w:space="0"/>
              <w:right w:val="single" w:color="auto" w:sz="4" w:space="0"/>
            </w:tcBorders>
            <w:vAlign w:val="center"/>
          </w:tcPr>
          <w:p w14:paraId="55E65B7C">
            <w:pPr>
              <w:rPr>
                <w:rFonts w:ascii="宋体" w:hAnsi="宋体"/>
                <w:szCs w:val="21"/>
              </w:rPr>
            </w:pPr>
          </w:p>
        </w:tc>
        <w:tc>
          <w:tcPr>
            <w:tcW w:w="1032" w:type="dxa"/>
            <w:tcBorders>
              <w:top w:val="single" w:color="auto" w:sz="4" w:space="0"/>
              <w:left w:val="single" w:color="auto" w:sz="4" w:space="0"/>
              <w:bottom w:val="single" w:color="auto" w:sz="4" w:space="0"/>
              <w:right w:val="single" w:color="auto" w:sz="4" w:space="0"/>
            </w:tcBorders>
            <w:vAlign w:val="center"/>
          </w:tcPr>
          <w:p w14:paraId="23E318D9">
            <w:pPr>
              <w:rPr>
                <w:rFonts w:ascii="宋体" w:hAnsi="宋体"/>
                <w:szCs w:val="21"/>
              </w:rPr>
            </w:pPr>
          </w:p>
        </w:tc>
      </w:tr>
      <w:tr w14:paraId="02DECE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trPr>
        <w:tc>
          <w:tcPr>
            <w:tcW w:w="2074" w:type="dxa"/>
            <w:tcBorders>
              <w:top w:val="single" w:color="auto" w:sz="4" w:space="0"/>
              <w:left w:val="single" w:color="auto" w:sz="4" w:space="0"/>
              <w:bottom w:val="single" w:color="auto" w:sz="4" w:space="0"/>
              <w:right w:val="single" w:color="auto" w:sz="4" w:space="0"/>
            </w:tcBorders>
            <w:vAlign w:val="center"/>
          </w:tcPr>
          <w:p w14:paraId="1F680D27">
            <w:pPr>
              <w:rPr>
                <w:rFonts w:ascii="宋体" w:hAnsi="宋体"/>
                <w:szCs w:val="21"/>
              </w:rPr>
            </w:pPr>
            <w:r>
              <w:rPr>
                <w:rFonts w:hint="eastAsia" w:ascii="宋体" w:hAnsi="宋体"/>
                <w:szCs w:val="21"/>
              </w:rPr>
              <w:t>投标报价</w:t>
            </w:r>
            <w:r>
              <w:rPr>
                <w:rFonts w:ascii="宋体" w:hAnsi="宋体"/>
                <w:szCs w:val="21"/>
              </w:rPr>
              <w:t>PT</w:t>
            </w:r>
            <w:r>
              <w:rPr>
                <w:rFonts w:hint="eastAsia" w:ascii="宋体" w:hAnsi="宋体"/>
                <w:szCs w:val="21"/>
              </w:rPr>
              <w:t>（元）</w:t>
            </w:r>
          </w:p>
        </w:tc>
        <w:tc>
          <w:tcPr>
            <w:tcW w:w="1031" w:type="dxa"/>
            <w:tcBorders>
              <w:top w:val="single" w:color="auto" w:sz="4" w:space="0"/>
              <w:left w:val="single" w:color="auto" w:sz="4" w:space="0"/>
              <w:bottom w:val="single" w:color="auto" w:sz="4" w:space="0"/>
              <w:right w:val="single" w:color="auto" w:sz="4" w:space="0"/>
            </w:tcBorders>
            <w:vAlign w:val="center"/>
          </w:tcPr>
          <w:p w14:paraId="064CEDF5">
            <w:pPr>
              <w:rPr>
                <w:rFonts w:ascii="宋体" w:hAnsi="宋体"/>
                <w:szCs w:val="21"/>
              </w:rPr>
            </w:pPr>
          </w:p>
        </w:tc>
        <w:tc>
          <w:tcPr>
            <w:tcW w:w="1031" w:type="dxa"/>
            <w:tcBorders>
              <w:top w:val="single" w:color="auto" w:sz="4" w:space="0"/>
              <w:left w:val="single" w:color="auto" w:sz="4" w:space="0"/>
              <w:bottom w:val="single" w:color="auto" w:sz="4" w:space="0"/>
              <w:right w:val="single" w:color="auto" w:sz="4" w:space="0"/>
            </w:tcBorders>
            <w:vAlign w:val="center"/>
          </w:tcPr>
          <w:p w14:paraId="035C4FBE">
            <w:pPr>
              <w:rPr>
                <w:rFonts w:ascii="宋体" w:hAnsi="宋体"/>
                <w:szCs w:val="21"/>
              </w:rPr>
            </w:pPr>
          </w:p>
        </w:tc>
        <w:tc>
          <w:tcPr>
            <w:tcW w:w="1031" w:type="dxa"/>
            <w:tcBorders>
              <w:top w:val="single" w:color="auto" w:sz="4" w:space="0"/>
              <w:left w:val="single" w:color="auto" w:sz="4" w:space="0"/>
              <w:bottom w:val="single" w:color="auto" w:sz="4" w:space="0"/>
              <w:right w:val="single" w:color="auto" w:sz="4" w:space="0"/>
            </w:tcBorders>
            <w:vAlign w:val="center"/>
          </w:tcPr>
          <w:p w14:paraId="43A196F2">
            <w:pPr>
              <w:rPr>
                <w:rFonts w:ascii="宋体" w:hAnsi="宋体"/>
                <w:szCs w:val="21"/>
              </w:rPr>
            </w:pPr>
          </w:p>
        </w:tc>
        <w:tc>
          <w:tcPr>
            <w:tcW w:w="1031" w:type="dxa"/>
            <w:tcBorders>
              <w:top w:val="single" w:color="auto" w:sz="4" w:space="0"/>
              <w:left w:val="single" w:color="auto" w:sz="4" w:space="0"/>
              <w:bottom w:val="single" w:color="auto" w:sz="4" w:space="0"/>
              <w:right w:val="single" w:color="auto" w:sz="4" w:space="0"/>
            </w:tcBorders>
            <w:vAlign w:val="center"/>
          </w:tcPr>
          <w:p w14:paraId="671AC6A8">
            <w:pPr>
              <w:rPr>
                <w:rFonts w:ascii="宋体" w:hAnsi="宋体"/>
                <w:szCs w:val="21"/>
              </w:rPr>
            </w:pPr>
          </w:p>
        </w:tc>
        <w:tc>
          <w:tcPr>
            <w:tcW w:w="1031" w:type="dxa"/>
            <w:tcBorders>
              <w:top w:val="single" w:color="auto" w:sz="4" w:space="0"/>
              <w:left w:val="single" w:color="auto" w:sz="4" w:space="0"/>
              <w:bottom w:val="single" w:color="auto" w:sz="4" w:space="0"/>
              <w:right w:val="single" w:color="auto" w:sz="4" w:space="0"/>
            </w:tcBorders>
            <w:vAlign w:val="center"/>
          </w:tcPr>
          <w:p w14:paraId="18CCEF8D">
            <w:pPr>
              <w:rPr>
                <w:rFonts w:ascii="宋体" w:hAnsi="宋体"/>
                <w:szCs w:val="21"/>
              </w:rPr>
            </w:pPr>
          </w:p>
        </w:tc>
        <w:tc>
          <w:tcPr>
            <w:tcW w:w="1031" w:type="dxa"/>
            <w:tcBorders>
              <w:top w:val="single" w:color="auto" w:sz="4" w:space="0"/>
              <w:left w:val="single" w:color="auto" w:sz="4" w:space="0"/>
              <w:bottom w:val="single" w:color="auto" w:sz="4" w:space="0"/>
              <w:right w:val="single" w:color="auto" w:sz="4" w:space="0"/>
            </w:tcBorders>
            <w:vAlign w:val="center"/>
          </w:tcPr>
          <w:p w14:paraId="047E8447">
            <w:pPr>
              <w:rPr>
                <w:rFonts w:ascii="宋体" w:hAnsi="宋体"/>
                <w:szCs w:val="21"/>
              </w:rPr>
            </w:pPr>
          </w:p>
        </w:tc>
        <w:tc>
          <w:tcPr>
            <w:tcW w:w="1031" w:type="dxa"/>
            <w:tcBorders>
              <w:top w:val="single" w:color="auto" w:sz="4" w:space="0"/>
              <w:left w:val="single" w:color="auto" w:sz="4" w:space="0"/>
              <w:bottom w:val="single" w:color="auto" w:sz="4" w:space="0"/>
              <w:right w:val="single" w:color="auto" w:sz="4" w:space="0"/>
            </w:tcBorders>
            <w:vAlign w:val="center"/>
          </w:tcPr>
          <w:p w14:paraId="3563F946">
            <w:pPr>
              <w:rPr>
                <w:rFonts w:ascii="宋体" w:hAnsi="宋体"/>
                <w:szCs w:val="21"/>
              </w:rPr>
            </w:pPr>
          </w:p>
        </w:tc>
        <w:tc>
          <w:tcPr>
            <w:tcW w:w="1031" w:type="dxa"/>
            <w:tcBorders>
              <w:top w:val="single" w:color="auto" w:sz="4" w:space="0"/>
              <w:left w:val="single" w:color="auto" w:sz="4" w:space="0"/>
              <w:bottom w:val="single" w:color="auto" w:sz="4" w:space="0"/>
              <w:right w:val="single" w:color="auto" w:sz="4" w:space="0"/>
            </w:tcBorders>
            <w:vAlign w:val="center"/>
          </w:tcPr>
          <w:p w14:paraId="43188A3F">
            <w:pPr>
              <w:rPr>
                <w:rFonts w:ascii="宋体" w:hAnsi="宋体"/>
                <w:szCs w:val="21"/>
              </w:rPr>
            </w:pPr>
          </w:p>
        </w:tc>
        <w:tc>
          <w:tcPr>
            <w:tcW w:w="1031" w:type="dxa"/>
            <w:tcBorders>
              <w:top w:val="single" w:color="auto" w:sz="4" w:space="0"/>
              <w:left w:val="single" w:color="auto" w:sz="4" w:space="0"/>
              <w:bottom w:val="single" w:color="auto" w:sz="4" w:space="0"/>
              <w:right w:val="single" w:color="auto" w:sz="4" w:space="0"/>
            </w:tcBorders>
            <w:vAlign w:val="center"/>
          </w:tcPr>
          <w:p w14:paraId="667B5923">
            <w:pPr>
              <w:rPr>
                <w:rFonts w:ascii="宋体" w:hAnsi="宋体"/>
                <w:szCs w:val="21"/>
              </w:rPr>
            </w:pPr>
          </w:p>
        </w:tc>
        <w:tc>
          <w:tcPr>
            <w:tcW w:w="1031" w:type="dxa"/>
            <w:tcBorders>
              <w:top w:val="single" w:color="auto" w:sz="4" w:space="0"/>
              <w:left w:val="single" w:color="auto" w:sz="4" w:space="0"/>
              <w:bottom w:val="single" w:color="auto" w:sz="4" w:space="0"/>
              <w:right w:val="single" w:color="auto" w:sz="4" w:space="0"/>
            </w:tcBorders>
            <w:vAlign w:val="center"/>
          </w:tcPr>
          <w:p w14:paraId="60C4C824">
            <w:pPr>
              <w:rPr>
                <w:rFonts w:ascii="宋体" w:hAnsi="宋体"/>
                <w:szCs w:val="21"/>
              </w:rPr>
            </w:pPr>
          </w:p>
        </w:tc>
        <w:tc>
          <w:tcPr>
            <w:tcW w:w="1031" w:type="dxa"/>
            <w:tcBorders>
              <w:top w:val="single" w:color="auto" w:sz="4" w:space="0"/>
              <w:left w:val="single" w:color="auto" w:sz="4" w:space="0"/>
              <w:bottom w:val="single" w:color="auto" w:sz="4" w:space="0"/>
              <w:right w:val="single" w:color="auto" w:sz="4" w:space="0"/>
            </w:tcBorders>
            <w:vAlign w:val="center"/>
          </w:tcPr>
          <w:p w14:paraId="1D93A10C">
            <w:pPr>
              <w:rPr>
                <w:rFonts w:ascii="宋体" w:hAnsi="宋体"/>
                <w:szCs w:val="21"/>
              </w:rPr>
            </w:pPr>
          </w:p>
        </w:tc>
        <w:tc>
          <w:tcPr>
            <w:tcW w:w="1032" w:type="dxa"/>
            <w:tcBorders>
              <w:top w:val="single" w:color="auto" w:sz="4" w:space="0"/>
              <w:left w:val="single" w:color="auto" w:sz="4" w:space="0"/>
              <w:bottom w:val="single" w:color="auto" w:sz="4" w:space="0"/>
              <w:right w:val="single" w:color="auto" w:sz="4" w:space="0"/>
            </w:tcBorders>
            <w:vAlign w:val="center"/>
          </w:tcPr>
          <w:p w14:paraId="6F5FCF93">
            <w:pPr>
              <w:rPr>
                <w:rFonts w:ascii="宋体" w:hAnsi="宋体"/>
                <w:szCs w:val="21"/>
              </w:rPr>
            </w:pPr>
          </w:p>
        </w:tc>
      </w:tr>
      <w:tr w14:paraId="441C15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2074" w:type="dxa"/>
            <w:tcBorders>
              <w:top w:val="single" w:color="auto" w:sz="4" w:space="0"/>
              <w:left w:val="single" w:color="auto" w:sz="4" w:space="0"/>
              <w:bottom w:val="single" w:color="auto" w:sz="4" w:space="0"/>
              <w:right w:val="single" w:color="auto" w:sz="4" w:space="0"/>
            </w:tcBorders>
            <w:vAlign w:val="center"/>
          </w:tcPr>
          <w:p w14:paraId="60378FE2">
            <w:pPr>
              <w:rPr>
                <w:rFonts w:ascii="宋体" w:hAnsi="宋体"/>
                <w:szCs w:val="21"/>
              </w:rPr>
            </w:pPr>
            <w:r>
              <w:rPr>
                <w:rFonts w:hint="eastAsia" w:ascii="宋体" w:hAnsi="宋体"/>
                <w:szCs w:val="21"/>
              </w:rPr>
              <w:t>计算评标参考价的等分点值X</w:t>
            </w:r>
          </w:p>
        </w:tc>
        <w:tc>
          <w:tcPr>
            <w:tcW w:w="12373" w:type="dxa"/>
            <w:gridSpan w:val="12"/>
            <w:tcBorders>
              <w:top w:val="single" w:color="auto" w:sz="4" w:space="0"/>
              <w:left w:val="single" w:color="auto" w:sz="4" w:space="0"/>
              <w:bottom w:val="single" w:color="auto" w:sz="4" w:space="0"/>
              <w:right w:val="single" w:color="auto" w:sz="4" w:space="0"/>
            </w:tcBorders>
            <w:vAlign w:val="center"/>
          </w:tcPr>
          <w:p w14:paraId="520AAA15">
            <w:pPr>
              <w:rPr>
                <w:rFonts w:ascii="宋体" w:hAnsi="宋体"/>
                <w:szCs w:val="21"/>
              </w:rPr>
            </w:pPr>
          </w:p>
        </w:tc>
      </w:tr>
      <w:tr w14:paraId="75D5F2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2074" w:type="dxa"/>
            <w:tcBorders>
              <w:top w:val="single" w:color="auto" w:sz="4" w:space="0"/>
              <w:left w:val="single" w:color="auto" w:sz="4" w:space="0"/>
              <w:bottom w:val="single" w:color="auto" w:sz="4" w:space="0"/>
              <w:right w:val="single" w:color="auto" w:sz="4" w:space="0"/>
            </w:tcBorders>
            <w:vAlign w:val="center"/>
          </w:tcPr>
          <w:p w14:paraId="28C7B792">
            <w:pPr>
              <w:rPr>
                <w:rFonts w:ascii="宋体" w:hAnsi="宋体"/>
                <w:szCs w:val="21"/>
              </w:rPr>
            </w:pPr>
            <w:r>
              <w:rPr>
                <w:rFonts w:hint="eastAsia" w:ascii="宋体" w:hAnsi="宋体"/>
                <w:szCs w:val="21"/>
              </w:rPr>
              <w:t>评标参考价PC（元）</w:t>
            </w:r>
          </w:p>
        </w:tc>
        <w:tc>
          <w:tcPr>
            <w:tcW w:w="12373" w:type="dxa"/>
            <w:gridSpan w:val="12"/>
            <w:tcBorders>
              <w:top w:val="single" w:color="auto" w:sz="4" w:space="0"/>
              <w:left w:val="single" w:color="auto" w:sz="4" w:space="0"/>
              <w:bottom w:val="single" w:color="auto" w:sz="4" w:space="0"/>
              <w:right w:val="single" w:color="auto" w:sz="4" w:space="0"/>
            </w:tcBorders>
            <w:vAlign w:val="center"/>
          </w:tcPr>
          <w:p w14:paraId="731AA290">
            <w:pPr>
              <w:rPr>
                <w:rFonts w:ascii="宋体" w:hAnsi="宋体"/>
                <w:szCs w:val="21"/>
              </w:rPr>
            </w:pPr>
          </w:p>
        </w:tc>
      </w:tr>
      <w:tr w14:paraId="0EDCC1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2074" w:type="dxa"/>
            <w:tcBorders>
              <w:top w:val="single" w:color="auto" w:sz="4" w:space="0"/>
              <w:left w:val="single" w:color="auto" w:sz="4" w:space="0"/>
              <w:bottom w:val="single" w:color="auto" w:sz="4" w:space="0"/>
              <w:right w:val="single" w:color="auto" w:sz="4" w:space="0"/>
            </w:tcBorders>
            <w:vAlign w:val="center"/>
          </w:tcPr>
          <w:p w14:paraId="5AE10CEC">
            <w:pPr>
              <w:rPr>
                <w:rFonts w:ascii="宋体" w:hAnsi="宋体"/>
                <w:szCs w:val="21"/>
              </w:rPr>
            </w:pPr>
            <w:r>
              <w:rPr>
                <w:rFonts w:hint="eastAsia" w:ascii="宋体" w:hAnsi="宋体"/>
                <w:szCs w:val="21"/>
              </w:rPr>
              <w:t>偏差（（</w:t>
            </w:r>
            <w:r>
              <w:rPr>
                <w:rFonts w:ascii="宋体" w:hAnsi="宋体"/>
                <w:szCs w:val="21"/>
              </w:rPr>
              <w:t>PT-PC</w:t>
            </w:r>
            <w:r>
              <w:rPr>
                <w:rFonts w:hint="eastAsia" w:ascii="宋体" w:hAnsi="宋体"/>
                <w:szCs w:val="21"/>
              </w:rPr>
              <w:t>）</w:t>
            </w:r>
            <w:r>
              <w:rPr>
                <w:rFonts w:ascii="宋体" w:hAnsi="宋体"/>
                <w:szCs w:val="21"/>
              </w:rPr>
              <w:t>/PC</w:t>
            </w:r>
            <w:r>
              <w:rPr>
                <w:rFonts w:hint="eastAsia" w:ascii="宋体" w:hAnsi="宋体"/>
                <w:szCs w:val="21"/>
              </w:rPr>
              <w:t>）（</w:t>
            </w:r>
            <w:r>
              <w:rPr>
                <w:rFonts w:ascii="宋体" w:hAnsi="宋体"/>
                <w:szCs w:val="21"/>
              </w:rPr>
              <w:t>%</w:t>
            </w:r>
            <w:r>
              <w:rPr>
                <w:rFonts w:hint="eastAsia" w:ascii="宋体" w:hAnsi="宋体"/>
                <w:szCs w:val="21"/>
              </w:rPr>
              <w:t>）</w:t>
            </w:r>
          </w:p>
        </w:tc>
        <w:tc>
          <w:tcPr>
            <w:tcW w:w="1031" w:type="dxa"/>
            <w:tcBorders>
              <w:top w:val="single" w:color="auto" w:sz="4" w:space="0"/>
              <w:left w:val="single" w:color="auto" w:sz="4" w:space="0"/>
              <w:bottom w:val="single" w:color="auto" w:sz="4" w:space="0"/>
              <w:right w:val="single" w:color="auto" w:sz="4" w:space="0"/>
            </w:tcBorders>
            <w:vAlign w:val="center"/>
          </w:tcPr>
          <w:p w14:paraId="142A909B">
            <w:pPr>
              <w:rPr>
                <w:rFonts w:ascii="宋体" w:hAnsi="宋体"/>
                <w:szCs w:val="21"/>
              </w:rPr>
            </w:pPr>
          </w:p>
        </w:tc>
        <w:tc>
          <w:tcPr>
            <w:tcW w:w="1031" w:type="dxa"/>
            <w:tcBorders>
              <w:top w:val="single" w:color="auto" w:sz="4" w:space="0"/>
              <w:left w:val="single" w:color="auto" w:sz="4" w:space="0"/>
              <w:bottom w:val="single" w:color="auto" w:sz="4" w:space="0"/>
              <w:right w:val="single" w:color="auto" w:sz="4" w:space="0"/>
            </w:tcBorders>
            <w:vAlign w:val="center"/>
          </w:tcPr>
          <w:p w14:paraId="636E734D">
            <w:pPr>
              <w:rPr>
                <w:rFonts w:ascii="宋体" w:hAnsi="宋体"/>
                <w:szCs w:val="21"/>
              </w:rPr>
            </w:pPr>
          </w:p>
        </w:tc>
        <w:tc>
          <w:tcPr>
            <w:tcW w:w="1031" w:type="dxa"/>
            <w:tcBorders>
              <w:top w:val="single" w:color="auto" w:sz="4" w:space="0"/>
              <w:left w:val="single" w:color="auto" w:sz="4" w:space="0"/>
              <w:bottom w:val="single" w:color="auto" w:sz="4" w:space="0"/>
              <w:right w:val="single" w:color="auto" w:sz="4" w:space="0"/>
            </w:tcBorders>
            <w:vAlign w:val="center"/>
          </w:tcPr>
          <w:p w14:paraId="1FD9EECC">
            <w:pPr>
              <w:rPr>
                <w:rFonts w:ascii="宋体" w:hAnsi="宋体"/>
                <w:szCs w:val="21"/>
              </w:rPr>
            </w:pPr>
          </w:p>
        </w:tc>
        <w:tc>
          <w:tcPr>
            <w:tcW w:w="1031" w:type="dxa"/>
            <w:tcBorders>
              <w:top w:val="single" w:color="auto" w:sz="4" w:space="0"/>
              <w:left w:val="single" w:color="auto" w:sz="4" w:space="0"/>
              <w:bottom w:val="single" w:color="auto" w:sz="4" w:space="0"/>
              <w:right w:val="single" w:color="auto" w:sz="4" w:space="0"/>
            </w:tcBorders>
            <w:vAlign w:val="center"/>
          </w:tcPr>
          <w:p w14:paraId="155C9A56">
            <w:pPr>
              <w:rPr>
                <w:rFonts w:ascii="宋体" w:hAnsi="宋体"/>
                <w:szCs w:val="21"/>
              </w:rPr>
            </w:pPr>
          </w:p>
        </w:tc>
        <w:tc>
          <w:tcPr>
            <w:tcW w:w="1031" w:type="dxa"/>
            <w:tcBorders>
              <w:top w:val="single" w:color="auto" w:sz="4" w:space="0"/>
              <w:left w:val="single" w:color="auto" w:sz="4" w:space="0"/>
              <w:bottom w:val="single" w:color="auto" w:sz="4" w:space="0"/>
              <w:right w:val="single" w:color="auto" w:sz="4" w:space="0"/>
            </w:tcBorders>
            <w:vAlign w:val="center"/>
          </w:tcPr>
          <w:p w14:paraId="2E67D1AF">
            <w:pPr>
              <w:rPr>
                <w:rFonts w:ascii="宋体" w:hAnsi="宋体"/>
                <w:szCs w:val="21"/>
              </w:rPr>
            </w:pPr>
          </w:p>
        </w:tc>
        <w:tc>
          <w:tcPr>
            <w:tcW w:w="1031" w:type="dxa"/>
            <w:tcBorders>
              <w:top w:val="single" w:color="auto" w:sz="4" w:space="0"/>
              <w:left w:val="single" w:color="auto" w:sz="4" w:space="0"/>
              <w:bottom w:val="single" w:color="auto" w:sz="4" w:space="0"/>
              <w:right w:val="single" w:color="auto" w:sz="4" w:space="0"/>
            </w:tcBorders>
            <w:vAlign w:val="center"/>
          </w:tcPr>
          <w:p w14:paraId="359D14DA">
            <w:pPr>
              <w:rPr>
                <w:rFonts w:ascii="宋体" w:hAnsi="宋体"/>
                <w:szCs w:val="21"/>
              </w:rPr>
            </w:pPr>
          </w:p>
        </w:tc>
        <w:tc>
          <w:tcPr>
            <w:tcW w:w="1031" w:type="dxa"/>
            <w:tcBorders>
              <w:top w:val="single" w:color="auto" w:sz="4" w:space="0"/>
              <w:left w:val="single" w:color="auto" w:sz="4" w:space="0"/>
              <w:bottom w:val="single" w:color="auto" w:sz="4" w:space="0"/>
              <w:right w:val="single" w:color="auto" w:sz="4" w:space="0"/>
            </w:tcBorders>
            <w:vAlign w:val="center"/>
          </w:tcPr>
          <w:p w14:paraId="47922B95">
            <w:pPr>
              <w:rPr>
                <w:rFonts w:ascii="宋体" w:hAnsi="宋体"/>
                <w:szCs w:val="21"/>
              </w:rPr>
            </w:pPr>
          </w:p>
        </w:tc>
        <w:tc>
          <w:tcPr>
            <w:tcW w:w="1031" w:type="dxa"/>
            <w:tcBorders>
              <w:top w:val="single" w:color="auto" w:sz="4" w:space="0"/>
              <w:left w:val="single" w:color="auto" w:sz="4" w:space="0"/>
              <w:bottom w:val="single" w:color="auto" w:sz="4" w:space="0"/>
              <w:right w:val="single" w:color="auto" w:sz="4" w:space="0"/>
            </w:tcBorders>
            <w:vAlign w:val="center"/>
          </w:tcPr>
          <w:p w14:paraId="73522FE8">
            <w:pPr>
              <w:rPr>
                <w:rFonts w:ascii="宋体" w:hAnsi="宋体"/>
                <w:szCs w:val="21"/>
              </w:rPr>
            </w:pPr>
          </w:p>
        </w:tc>
        <w:tc>
          <w:tcPr>
            <w:tcW w:w="1031" w:type="dxa"/>
            <w:tcBorders>
              <w:top w:val="single" w:color="auto" w:sz="4" w:space="0"/>
              <w:left w:val="single" w:color="auto" w:sz="4" w:space="0"/>
              <w:bottom w:val="single" w:color="auto" w:sz="4" w:space="0"/>
              <w:right w:val="single" w:color="auto" w:sz="4" w:space="0"/>
            </w:tcBorders>
            <w:vAlign w:val="center"/>
          </w:tcPr>
          <w:p w14:paraId="0B0BF42B">
            <w:pPr>
              <w:rPr>
                <w:rFonts w:ascii="宋体" w:hAnsi="宋体"/>
                <w:szCs w:val="21"/>
              </w:rPr>
            </w:pPr>
          </w:p>
        </w:tc>
        <w:tc>
          <w:tcPr>
            <w:tcW w:w="1031" w:type="dxa"/>
            <w:tcBorders>
              <w:top w:val="single" w:color="auto" w:sz="4" w:space="0"/>
              <w:left w:val="single" w:color="auto" w:sz="4" w:space="0"/>
              <w:bottom w:val="single" w:color="auto" w:sz="4" w:space="0"/>
              <w:right w:val="single" w:color="auto" w:sz="4" w:space="0"/>
            </w:tcBorders>
            <w:vAlign w:val="center"/>
          </w:tcPr>
          <w:p w14:paraId="00E28D8B">
            <w:pPr>
              <w:rPr>
                <w:rFonts w:ascii="宋体" w:hAnsi="宋体"/>
                <w:szCs w:val="21"/>
              </w:rPr>
            </w:pPr>
          </w:p>
        </w:tc>
        <w:tc>
          <w:tcPr>
            <w:tcW w:w="1031" w:type="dxa"/>
            <w:tcBorders>
              <w:top w:val="single" w:color="auto" w:sz="4" w:space="0"/>
              <w:left w:val="single" w:color="auto" w:sz="4" w:space="0"/>
              <w:bottom w:val="single" w:color="auto" w:sz="4" w:space="0"/>
              <w:right w:val="single" w:color="auto" w:sz="4" w:space="0"/>
            </w:tcBorders>
            <w:vAlign w:val="center"/>
          </w:tcPr>
          <w:p w14:paraId="4E8E7008">
            <w:pPr>
              <w:rPr>
                <w:rFonts w:ascii="宋体" w:hAnsi="宋体"/>
                <w:szCs w:val="21"/>
              </w:rPr>
            </w:pPr>
          </w:p>
        </w:tc>
        <w:tc>
          <w:tcPr>
            <w:tcW w:w="1032" w:type="dxa"/>
            <w:tcBorders>
              <w:top w:val="single" w:color="auto" w:sz="4" w:space="0"/>
              <w:left w:val="single" w:color="auto" w:sz="4" w:space="0"/>
              <w:bottom w:val="single" w:color="auto" w:sz="4" w:space="0"/>
              <w:right w:val="single" w:color="auto" w:sz="4" w:space="0"/>
            </w:tcBorders>
            <w:vAlign w:val="center"/>
          </w:tcPr>
          <w:p w14:paraId="680C2095">
            <w:pPr>
              <w:rPr>
                <w:rFonts w:ascii="宋体" w:hAnsi="宋体"/>
                <w:szCs w:val="21"/>
              </w:rPr>
            </w:pPr>
          </w:p>
        </w:tc>
      </w:tr>
      <w:tr w14:paraId="27D9A6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trPr>
        <w:tc>
          <w:tcPr>
            <w:tcW w:w="2074" w:type="dxa"/>
            <w:tcBorders>
              <w:top w:val="single" w:color="auto" w:sz="4" w:space="0"/>
              <w:left w:val="single" w:color="auto" w:sz="4" w:space="0"/>
              <w:bottom w:val="single" w:color="auto" w:sz="4" w:space="0"/>
              <w:right w:val="single" w:color="auto" w:sz="4" w:space="0"/>
            </w:tcBorders>
            <w:vAlign w:val="center"/>
          </w:tcPr>
          <w:p w14:paraId="3D2CDAA5">
            <w:pPr>
              <w:rPr>
                <w:rFonts w:ascii="宋体" w:hAnsi="宋体"/>
                <w:szCs w:val="21"/>
              </w:rPr>
            </w:pPr>
            <w:r>
              <w:rPr>
                <w:rFonts w:hint="eastAsia" w:ascii="宋体" w:hAnsi="宋体"/>
                <w:szCs w:val="21"/>
              </w:rPr>
              <w:t>减分（</w:t>
            </w:r>
            <w:r>
              <w:rPr>
                <w:rFonts w:ascii="宋体" w:hAnsi="宋体"/>
                <w:szCs w:val="21"/>
              </w:rPr>
              <w:t>A</w:t>
            </w:r>
            <w:r>
              <w:rPr>
                <w:rFonts w:hint="eastAsia" w:ascii="宋体" w:hAnsi="宋体"/>
                <w:szCs w:val="21"/>
              </w:rPr>
              <w:t>）</w:t>
            </w:r>
          </w:p>
        </w:tc>
        <w:tc>
          <w:tcPr>
            <w:tcW w:w="1031" w:type="dxa"/>
            <w:tcBorders>
              <w:top w:val="single" w:color="auto" w:sz="4" w:space="0"/>
              <w:left w:val="single" w:color="auto" w:sz="4" w:space="0"/>
              <w:bottom w:val="single" w:color="auto" w:sz="4" w:space="0"/>
              <w:right w:val="single" w:color="auto" w:sz="4" w:space="0"/>
            </w:tcBorders>
            <w:vAlign w:val="center"/>
          </w:tcPr>
          <w:p w14:paraId="22D9B0A9">
            <w:pPr>
              <w:rPr>
                <w:rFonts w:ascii="宋体" w:hAnsi="宋体"/>
                <w:szCs w:val="21"/>
              </w:rPr>
            </w:pPr>
          </w:p>
        </w:tc>
        <w:tc>
          <w:tcPr>
            <w:tcW w:w="1031" w:type="dxa"/>
            <w:tcBorders>
              <w:top w:val="single" w:color="auto" w:sz="4" w:space="0"/>
              <w:left w:val="single" w:color="auto" w:sz="4" w:space="0"/>
              <w:bottom w:val="single" w:color="auto" w:sz="4" w:space="0"/>
              <w:right w:val="single" w:color="auto" w:sz="4" w:space="0"/>
            </w:tcBorders>
            <w:vAlign w:val="center"/>
          </w:tcPr>
          <w:p w14:paraId="5244C313">
            <w:pPr>
              <w:rPr>
                <w:rFonts w:ascii="宋体" w:hAnsi="宋体"/>
                <w:szCs w:val="21"/>
              </w:rPr>
            </w:pPr>
          </w:p>
        </w:tc>
        <w:tc>
          <w:tcPr>
            <w:tcW w:w="1031" w:type="dxa"/>
            <w:tcBorders>
              <w:top w:val="single" w:color="auto" w:sz="4" w:space="0"/>
              <w:left w:val="single" w:color="auto" w:sz="4" w:space="0"/>
              <w:bottom w:val="single" w:color="auto" w:sz="4" w:space="0"/>
              <w:right w:val="single" w:color="auto" w:sz="4" w:space="0"/>
            </w:tcBorders>
            <w:vAlign w:val="center"/>
          </w:tcPr>
          <w:p w14:paraId="63EC5FBE">
            <w:pPr>
              <w:rPr>
                <w:rFonts w:ascii="宋体" w:hAnsi="宋体"/>
                <w:szCs w:val="21"/>
              </w:rPr>
            </w:pPr>
          </w:p>
        </w:tc>
        <w:tc>
          <w:tcPr>
            <w:tcW w:w="1031" w:type="dxa"/>
            <w:tcBorders>
              <w:top w:val="single" w:color="auto" w:sz="4" w:space="0"/>
              <w:left w:val="single" w:color="auto" w:sz="4" w:space="0"/>
              <w:bottom w:val="single" w:color="auto" w:sz="4" w:space="0"/>
              <w:right w:val="single" w:color="auto" w:sz="4" w:space="0"/>
            </w:tcBorders>
            <w:vAlign w:val="center"/>
          </w:tcPr>
          <w:p w14:paraId="487D7502">
            <w:pPr>
              <w:rPr>
                <w:rFonts w:ascii="宋体" w:hAnsi="宋体"/>
                <w:szCs w:val="21"/>
              </w:rPr>
            </w:pPr>
          </w:p>
        </w:tc>
        <w:tc>
          <w:tcPr>
            <w:tcW w:w="1031" w:type="dxa"/>
            <w:tcBorders>
              <w:top w:val="single" w:color="auto" w:sz="4" w:space="0"/>
              <w:left w:val="single" w:color="auto" w:sz="4" w:space="0"/>
              <w:bottom w:val="single" w:color="auto" w:sz="4" w:space="0"/>
              <w:right w:val="single" w:color="auto" w:sz="4" w:space="0"/>
            </w:tcBorders>
            <w:vAlign w:val="center"/>
          </w:tcPr>
          <w:p w14:paraId="5455DE0B">
            <w:pPr>
              <w:rPr>
                <w:rFonts w:ascii="宋体" w:hAnsi="宋体"/>
                <w:szCs w:val="21"/>
              </w:rPr>
            </w:pPr>
          </w:p>
        </w:tc>
        <w:tc>
          <w:tcPr>
            <w:tcW w:w="1031" w:type="dxa"/>
            <w:tcBorders>
              <w:top w:val="single" w:color="auto" w:sz="4" w:space="0"/>
              <w:left w:val="single" w:color="auto" w:sz="4" w:space="0"/>
              <w:bottom w:val="single" w:color="auto" w:sz="4" w:space="0"/>
              <w:right w:val="single" w:color="auto" w:sz="4" w:space="0"/>
            </w:tcBorders>
            <w:vAlign w:val="center"/>
          </w:tcPr>
          <w:p w14:paraId="1E0624D1">
            <w:pPr>
              <w:rPr>
                <w:rFonts w:ascii="宋体" w:hAnsi="宋体"/>
                <w:szCs w:val="21"/>
              </w:rPr>
            </w:pPr>
          </w:p>
        </w:tc>
        <w:tc>
          <w:tcPr>
            <w:tcW w:w="1031" w:type="dxa"/>
            <w:tcBorders>
              <w:top w:val="single" w:color="auto" w:sz="4" w:space="0"/>
              <w:left w:val="single" w:color="auto" w:sz="4" w:space="0"/>
              <w:bottom w:val="single" w:color="auto" w:sz="4" w:space="0"/>
              <w:right w:val="single" w:color="auto" w:sz="4" w:space="0"/>
            </w:tcBorders>
            <w:vAlign w:val="center"/>
          </w:tcPr>
          <w:p w14:paraId="4668F2A3">
            <w:pPr>
              <w:rPr>
                <w:rFonts w:ascii="宋体" w:hAnsi="宋体"/>
                <w:szCs w:val="21"/>
              </w:rPr>
            </w:pPr>
          </w:p>
        </w:tc>
        <w:tc>
          <w:tcPr>
            <w:tcW w:w="1031" w:type="dxa"/>
            <w:tcBorders>
              <w:top w:val="single" w:color="auto" w:sz="4" w:space="0"/>
              <w:left w:val="single" w:color="auto" w:sz="4" w:space="0"/>
              <w:bottom w:val="single" w:color="auto" w:sz="4" w:space="0"/>
              <w:right w:val="single" w:color="auto" w:sz="4" w:space="0"/>
            </w:tcBorders>
            <w:vAlign w:val="center"/>
          </w:tcPr>
          <w:p w14:paraId="521837C1">
            <w:pPr>
              <w:rPr>
                <w:rFonts w:ascii="宋体" w:hAnsi="宋体"/>
                <w:szCs w:val="21"/>
              </w:rPr>
            </w:pPr>
          </w:p>
        </w:tc>
        <w:tc>
          <w:tcPr>
            <w:tcW w:w="1031" w:type="dxa"/>
            <w:tcBorders>
              <w:top w:val="single" w:color="auto" w:sz="4" w:space="0"/>
              <w:left w:val="single" w:color="auto" w:sz="4" w:space="0"/>
              <w:bottom w:val="single" w:color="auto" w:sz="4" w:space="0"/>
              <w:right w:val="single" w:color="auto" w:sz="4" w:space="0"/>
            </w:tcBorders>
            <w:vAlign w:val="center"/>
          </w:tcPr>
          <w:p w14:paraId="239020D2">
            <w:pPr>
              <w:rPr>
                <w:rFonts w:ascii="宋体" w:hAnsi="宋体"/>
                <w:szCs w:val="21"/>
              </w:rPr>
            </w:pPr>
          </w:p>
        </w:tc>
        <w:tc>
          <w:tcPr>
            <w:tcW w:w="1031" w:type="dxa"/>
            <w:tcBorders>
              <w:top w:val="single" w:color="auto" w:sz="4" w:space="0"/>
              <w:left w:val="single" w:color="auto" w:sz="4" w:space="0"/>
              <w:bottom w:val="single" w:color="auto" w:sz="4" w:space="0"/>
              <w:right w:val="single" w:color="auto" w:sz="4" w:space="0"/>
            </w:tcBorders>
            <w:vAlign w:val="center"/>
          </w:tcPr>
          <w:p w14:paraId="35B7D071">
            <w:pPr>
              <w:rPr>
                <w:rFonts w:ascii="宋体" w:hAnsi="宋体"/>
                <w:szCs w:val="21"/>
              </w:rPr>
            </w:pPr>
          </w:p>
        </w:tc>
        <w:tc>
          <w:tcPr>
            <w:tcW w:w="1031" w:type="dxa"/>
            <w:tcBorders>
              <w:top w:val="single" w:color="auto" w:sz="4" w:space="0"/>
              <w:left w:val="single" w:color="auto" w:sz="4" w:space="0"/>
              <w:bottom w:val="single" w:color="auto" w:sz="4" w:space="0"/>
              <w:right w:val="single" w:color="auto" w:sz="4" w:space="0"/>
            </w:tcBorders>
            <w:vAlign w:val="center"/>
          </w:tcPr>
          <w:p w14:paraId="6FA1FBD6">
            <w:pPr>
              <w:rPr>
                <w:rFonts w:ascii="宋体" w:hAnsi="宋体"/>
                <w:szCs w:val="21"/>
              </w:rPr>
            </w:pPr>
          </w:p>
        </w:tc>
        <w:tc>
          <w:tcPr>
            <w:tcW w:w="1032" w:type="dxa"/>
            <w:tcBorders>
              <w:top w:val="single" w:color="auto" w:sz="4" w:space="0"/>
              <w:left w:val="single" w:color="auto" w:sz="4" w:space="0"/>
              <w:bottom w:val="single" w:color="auto" w:sz="4" w:space="0"/>
              <w:right w:val="single" w:color="auto" w:sz="4" w:space="0"/>
            </w:tcBorders>
            <w:vAlign w:val="center"/>
          </w:tcPr>
          <w:p w14:paraId="5364D733">
            <w:pPr>
              <w:rPr>
                <w:rFonts w:ascii="宋体" w:hAnsi="宋体"/>
                <w:szCs w:val="21"/>
              </w:rPr>
            </w:pPr>
          </w:p>
        </w:tc>
      </w:tr>
      <w:tr w14:paraId="7D6D23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2074" w:type="dxa"/>
            <w:tcBorders>
              <w:top w:val="single" w:color="auto" w:sz="4" w:space="0"/>
              <w:left w:val="single" w:color="auto" w:sz="4" w:space="0"/>
              <w:bottom w:val="single" w:color="auto" w:sz="4" w:space="0"/>
              <w:right w:val="single" w:color="auto" w:sz="4" w:space="0"/>
            </w:tcBorders>
            <w:vAlign w:val="center"/>
          </w:tcPr>
          <w:p w14:paraId="33D8EBE9">
            <w:pPr>
              <w:rPr>
                <w:rFonts w:ascii="宋体" w:hAnsi="宋体"/>
                <w:szCs w:val="21"/>
              </w:rPr>
            </w:pPr>
            <w:r>
              <w:rPr>
                <w:rFonts w:hint="eastAsia" w:ascii="宋体" w:hAnsi="宋体"/>
                <w:szCs w:val="21"/>
              </w:rPr>
              <w:t>得分</w:t>
            </w:r>
            <w:r>
              <w:rPr>
                <w:rFonts w:ascii="宋体" w:hAnsi="宋体"/>
                <w:szCs w:val="21"/>
              </w:rPr>
              <w:t>(I=100-A)</w:t>
            </w:r>
          </w:p>
        </w:tc>
        <w:tc>
          <w:tcPr>
            <w:tcW w:w="1031" w:type="dxa"/>
            <w:tcBorders>
              <w:top w:val="single" w:color="auto" w:sz="4" w:space="0"/>
              <w:left w:val="single" w:color="auto" w:sz="4" w:space="0"/>
              <w:bottom w:val="single" w:color="auto" w:sz="4" w:space="0"/>
              <w:right w:val="single" w:color="auto" w:sz="4" w:space="0"/>
            </w:tcBorders>
            <w:vAlign w:val="center"/>
          </w:tcPr>
          <w:p w14:paraId="4F319837">
            <w:pPr>
              <w:rPr>
                <w:rFonts w:ascii="宋体" w:hAnsi="宋体"/>
                <w:szCs w:val="21"/>
              </w:rPr>
            </w:pPr>
          </w:p>
        </w:tc>
        <w:tc>
          <w:tcPr>
            <w:tcW w:w="1031" w:type="dxa"/>
            <w:tcBorders>
              <w:top w:val="single" w:color="auto" w:sz="4" w:space="0"/>
              <w:left w:val="single" w:color="auto" w:sz="4" w:space="0"/>
              <w:bottom w:val="single" w:color="auto" w:sz="4" w:space="0"/>
              <w:right w:val="single" w:color="auto" w:sz="4" w:space="0"/>
            </w:tcBorders>
            <w:vAlign w:val="center"/>
          </w:tcPr>
          <w:p w14:paraId="23D2A223">
            <w:pPr>
              <w:rPr>
                <w:rFonts w:ascii="宋体" w:hAnsi="宋体"/>
                <w:szCs w:val="21"/>
              </w:rPr>
            </w:pPr>
          </w:p>
        </w:tc>
        <w:tc>
          <w:tcPr>
            <w:tcW w:w="1031" w:type="dxa"/>
            <w:tcBorders>
              <w:top w:val="single" w:color="auto" w:sz="4" w:space="0"/>
              <w:left w:val="single" w:color="auto" w:sz="4" w:space="0"/>
              <w:bottom w:val="single" w:color="auto" w:sz="4" w:space="0"/>
              <w:right w:val="single" w:color="auto" w:sz="4" w:space="0"/>
            </w:tcBorders>
            <w:vAlign w:val="center"/>
          </w:tcPr>
          <w:p w14:paraId="08E3629E">
            <w:pPr>
              <w:rPr>
                <w:rFonts w:ascii="宋体" w:hAnsi="宋体"/>
                <w:szCs w:val="21"/>
              </w:rPr>
            </w:pPr>
          </w:p>
        </w:tc>
        <w:tc>
          <w:tcPr>
            <w:tcW w:w="1031" w:type="dxa"/>
            <w:tcBorders>
              <w:top w:val="single" w:color="auto" w:sz="4" w:space="0"/>
              <w:left w:val="single" w:color="auto" w:sz="4" w:space="0"/>
              <w:bottom w:val="single" w:color="auto" w:sz="4" w:space="0"/>
              <w:right w:val="single" w:color="auto" w:sz="4" w:space="0"/>
            </w:tcBorders>
            <w:vAlign w:val="center"/>
          </w:tcPr>
          <w:p w14:paraId="2229318B">
            <w:pPr>
              <w:rPr>
                <w:rFonts w:ascii="宋体" w:hAnsi="宋体"/>
                <w:szCs w:val="21"/>
              </w:rPr>
            </w:pPr>
          </w:p>
        </w:tc>
        <w:tc>
          <w:tcPr>
            <w:tcW w:w="1031" w:type="dxa"/>
            <w:tcBorders>
              <w:top w:val="single" w:color="auto" w:sz="4" w:space="0"/>
              <w:left w:val="single" w:color="auto" w:sz="4" w:space="0"/>
              <w:bottom w:val="single" w:color="auto" w:sz="4" w:space="0"/>
              <w:right w:val="single" w:color="auto" w:sz="4" w:space="0"/>
            </w:tcBorders>
            <w:vAlign w:val="center"/>
          </w:tcPr>
          <w:p w14:paraId="6286E07E">
            <w:pPr>
              <w:rPr>
                <w:rFonts w:ascii="宋体" w:hAnsi="宋体"/>
                <w:szCs w:val="21"/>
              </w:rPr>
            </w:pPr>
          </w:p>
        </w:tc>
        <w:tc>
          <w:tcPr>
            <w:tcW w:w="1031" w:type="dxa"/>
            <w:tcBorders>
              <w:top w:val="single" w:color="auto" w:sz="4" w:space="0"/>
              <w:left w:val="single" w:color="auto" w:sz="4" w:space="0"/>
              <w:bottom w:val="single" w:color="auto" w:sz="4" w:space="0"/>
              <w:right w:val="single" w:color="auto" w:sz="4" w:space="0"/>
            </w:tcBorders>
            <w:vAlign w:val="center"/>
          </w:tcPr>
          <w:p w14:paraId="25ABCA87">
            <w:pPr>
              <w:rPr>
                <w:rFonts w:ascii="宋体" w:hAnsi="宋体"/>
                <w:szCs w:val="21"/>
              </w:rPr>
            </w:pPr>
          </w:p>
        </w:tc>
        <w:tc>
          <w:tcPr>
            <w:tcW w:w="1031" w:type="dxa"/>
            <w:tcBorders>
              <w:top w:val="single" w:color="auto" w:sz="4" w:space="0"/>
              <w:left w:val="single" w:color="auto" w:sz="4" w:space="0"/>
              <w:bottom w:val="single" w:color="auto" w:sz="4" w:space="0"/>
              <w:right w:val="single" w:color="auto" w:sz="4" w:space="0"/>
            </w:tcBorders>
            <w:vAlign w:val="center"/>
          </w:tcPr>
          <w:p w14:paraId="04C2CB90">
            <w:pPr>
              <w:rPr>
                <w:rFonts w:ascii="宋体" w:hAnsi="宋体"/>
                <w:szCs w:val="21"/>
              </w:rPr>
            </w:pPr>
          </w:p>
        </w:tc>
        <w:tc>
          <w:tcPr>
            <w:tcW w:w="1031" w:type="dxa"/>
            <w:tcBorders>
              <w:top w:val="single" w:color="auto" w:sz="4" w:space="0"/>
              <w:left w:val="single" w:color="auto" w:sz="4" w:space="0"/>
              <w:bottom w:val="single" w:color="auto" w:sz="4" w:space="0"/>
              <w:right w:val="single" w:color="auto" w:sz="4" w:space="0"/>
            </w:tcBorders>
            <w:vAlign w:val="center"/>
          </w:tcPr>
          <w:p w14:paraId="0BC4A658">
            <w:pPr>
              <w:rPr>
                <w:rFonts w:ascii="宋体" w:hAnsi="宋体"/>
                <w:szCs w:val="21"/>
              </w:rPr>
            </w:pPr>
          </w:p>
        </w:tc>
        <w:tc>
          <w:tcPr>
            <w:tcW w:w="1031" w:type="dxa"/>
            <w:tcBorders>
              <w:top w:val="single" w:color="auto" w:sz="4" w:space="0"/>
              <w:left w:val="single" w:color="auto" w:sz="4" w:space="0"/>
              <w:bottom w:val="single" w:color="auto" w:sz="4" w:space="0"/>
              <w:right w:val="single" w:color="auto" w:sz="4" w:space="0"/>
            </w:tcBorders>
            <w:vAlign w:val="center"/>
          </w:tcPr>
          <w:p w14:paraId="29A6CCEC">
            <w:pPr>
              <w:rPr>
                <w:rFonts w:ascii="宋体" w:hAnsi="宋体"/>
                <w:szCs w:val="21"/>
              </w:rPr>
            </w:pPr>
          </w:p>
        </w:tc>
        <w:tc>
          <w:tcPr>
            <w:tcW w:w="1031" w:type="dxa"/>
            <w:tcBorders>
              <w:top w:val="single" w:color="auto" w:sz="4" w:space="0"/>
              <w:left w:val="single" w:color="auto" w:sz="4" w:space="0"/>
              <w:bottom w:val="single" w:color="auto" w:sz="4" w:space="0"/>
              <w:right w:val="single" w:color="auto" w:sz="4" w:space="0"/>
            </w:tcBorders>
            <w:vAlign w:val="center"/>
          </w:tcPr>
          <w:p w14:paraId="3AE87002">
            <w:pPr>
              <w:rPr>
                <w:rFonts w:ascii="宋体" w:hAnsi="宋体"/>
                <w:szCs w:val="21"/>
              </w:rPr>
            </w:pPr>
          </w:p>
        </w:tc>
        <w:tc>
          <w:tcPr>
            <w:tcW w:w="1031" w:type="dxa"/>
            <w:tcBorders>
              <w:top w:val="single" w:color="auto" w:sz="4" w:space="0"/>
              <w:left w:val="single" w:color="auto" w:sz="4" w:space="0"/>
              <w:bottom w:val="single" w:color="auto" w:sz="4" w:space="0"/>
              <w:right w:val="single" w:color="auto" w:sz="4" w:space="0"/>
            </w:tcBorders>
            <w:vAlign w:val="center"/>
          </w:tcPr>
          <w:p w14:paraId="0716F430">
            <w:pPr>
              <w:rPr>
                <w:rFonts w:ascii="宋体" w:hAnsi="宋体"/>
                <w:szCs w:val="21"/>
              </w:rPr>
            </w:pPr>
          </w:p>
        </w:tc>
        <w:tc>
          <w:tcPr>
            <w:tcW w:w="1032" w:type="dxa"/>
            <w:tcBorders>
              <w:top w:val="single" w:color="auto" w:sz="4" w:space="0"/>
              <w:left w:val="single" w:color="auto" w:sz="4" w:space="0"/>
              <w:bottom w:val="single" w:color="auto" w:sz="4" w:space="0"/>
              <w:right w:val="single" w:color="auto" w:sz="4" w:space="0"/>
            </w:tcBorders>
            <w:vAlign w:val="center"/>
          </w:tcPr>
          <w:p w14:paraId="0CF85242">
            <w:pPr>
              <w:rPr>
                <w:rFonts w:ascii="宋体" w:hAnsi="宋体"/>
                <w:szCs w:val="21"/>
              </w:rPr>
            </w:pPr>
          </w:p>
        </w:tc>
      </w:tr>
      <w:tr w14:paraId="108B9A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50" w:hRule="atLeast"/>
        </w:trPr>
        <w:tc>
          <w:tcPr>
            <w:tcW w:w="2074" w:type="dxa"/>
            <w:tcBorders>
              <w:top w:val="single" w:color="auto" w:sz="4" w:space="0"/>
              <w:left w:val="single" w:color="auto" w:sz="4" w:space="0"/>
              <w:bottom w:val="single" w:color="auto" w:sz="4" w:space="0"/>
              <w:right w:val="single" w:color="auto" w:sz="4" w:space="0"/>
            </w:tcBorders>
            <w:vAlign w:val="center"/>
          </w:tcPr>
          <w:p w14:paraId="3292A1F8">
            <w:pPr>
              <w:rPr>
                <w:rFonts w:ascii="宋体" w:hAnsi="宋体"/>
                <w:szCs w:val="21"/>
              </w:rPr>
            </w:pPr>
            <w:r>
              <w:rPr>
                <w:rFonts w:hint="eastAsia" w:ascii="宋体" w:hAnsi="宋体"/>
                <w:szCs w:val="21"/>
              </w:rPr>
              <w:t>得分排名次序</w:t>
            </w:r>
          </w:p>
        </w:tc>
        <w:tc>
          <w:tcPr>
            <w:tcW w:w="1031" w:type="dxa"/>
            <w:tcBorders>
              <w:top w:val="single" w:color="auto" w:sz="4" w:space="0"/>
              <w:left w:val="single" w:color="auto" w:sz="4" w:space="0"/>
              <w:bottom w:val="single" w:color="auto" w:sz="4" w:space="0"/>
              <w:right w:val="single" w:color="auto" w:sz="4" w:space="0"/>
            </w:tcBorders>
            <w:vAlign w:val="center"/>
          </w:tcPr>
          <w:p w14:paraId="0B6BAD88">
            <w:pPr>
              <w:rPr>
                <w:rFonts w:ascii="宋体" w:hAnsi="宋体"/>
                <w:szCs w:val="21"/>
              </w:rPr>
            </w:pPr>
          </w:p>
        </w:tc>
        <w:tc>
          <w:tcPr>
            <w:tcW w:w="1031" w:type="dxa"/>
            <w:tcBorders>
              <w:top w:val="single" w:color="auto" w:sz="4" w:space="0"/>
              <w:left w:val="single" w:color="auto" w:sz="4" w:space="0"/>
              <w:bottom w:val="single" w:color="auto" w:sz="4" w:space="0"/>
              <w:right w:val="single" w:color="auto" w:sz="4" w:space="0"/>
            </w:tcBorders>
            <w:vAlign w:val="center"/>
          </w:tcPr>
          <w:p w14:paraId="055857A1">
            <w:pPr>
              <w:rPr>
                <w:rFonts w:ascii="宋体" w:hAnsi="宋体"/>
                <w:szCs w:val="21"/>
              </w:rPr>
            </w:pPr>
          </w:p>
        </w:tc>
        <w:tc>
          <w:tcPr>
            <w:tcW w:w="1031" w:type="dxa"/>
            <w:tcBorders>
              <w:top w:val="single" w:color="auto" w:sz="4" w:space="0"/>
              <w:left w:val="single" w:color="auto" w:sz="4" w:space="0"/>
              <w:bottom w:val="single" w:color="auto" w:sz="4" w:space="0"/>
              <w:right w:val="single" w:color="auto" w:sz="4" w:space="0"/>
            </w:tcBorders>
            <w:vAlign w:val="center"/>
          </w:tcPr>
          <w:p w14:paraId="11A9A311">
            <w:pPr>
              <w:rPr>
                <w:rFonts w:ascii="宋体" w:hAnsi="宋体"/>
                <w:szCs w:val="21"/>
              </w:rPr>
            </w:pPr>
          </w:p>
        </w:tc>
        <w:tc>
          <w:tcPr>
            <w:tcW w:w="1031" w:type="dxa"/>
            <w:tcBorders>
              <w:top w:val="single" w:color="auto" w:sz="4" w:space="0"/>
              <w:left w:val="single" w:color="auto" w:sz="4" w:space="0"/>
              <w:bottom w:val="single" w:color="auto" w:sz="4" w:space="0"/>
              <w:right w:val="single" w:color="auto" w:sz="4" w:space="0"/>
            </w:tcBorders>
            <w:vAlign w:val="center"/>
          </w:tcPr>
          <w:p w14:paraId="3EC97B03">
            <w:pPr>
              <w:rPr>
                <w:rFonts w:ascii="宋体" w:hAnsi="宋体"/>
                <w:szCs w:val="21"/>
              </w:rPr>
            </w:pPr>
          </w:p>
        </w:tc>
        <w:tc>
          <w:tcPr>
            <w:tcW w:w="1031" w:type="dxa"/>
            <w:tcBorders>
              <w:top w:val="single" w:color="auto" w:sz="4" w:space="0"/>
              <w:left w:val="single" w:color="auto" w:sz="4" w:space="0"/>
              <w:bottom w:val="single" w:color="auto" w:sz="4" w:space="0"/>
              <w:right w:val="single" w:color="auto" w:sz="4" w:space="0"/>
            </w:tcBorders>
            <w:vAlign w:val="center"/>
          </w:tcPr>
          <w:p w14:paraId="15338E25">
            <w:pPr>
              <w:rPr>
                <w:rFonts w:ascii="宋体" w:hAnsi="宋体"/>
                <w:szCs w:val="21"/>
              </w:rPr>
            </w:pPr>
          </w:p>
        </w:tc>
        <w:tc>
          <w:tcPr>
            <w:tcW w:w="1031" w:type="dxa"/>
            <w:tcBorders>
              <w:top w:val="single" w:color="auto" w:sz="4" w:space="0"/>
              <w:left w:val="single" w:color="auto" w:sz="4" w:space="0"/>
              <w:bottom w:val="single" w:color="auto" w:sz="4" w:space="0"/>
              <w:right w:val="single" w:color="auto" w:sz="4" w:space="0"/>
            </w:tcBorders>
            <w:vAlign w:val="center"/>
          </w:tcPr>
          <w:p w14:paraId="498D108F">
            <w:pPr>
              <w:rPr>
                <w:rFonts w:ascii="宋体" w:hAnsi="宋体"/>
                <w:szCs w:val="21"/>
              </w:rPr>
            </w:pPr>
          </w:p>
        </w:tc>
        <w:tc>
          <w:tcPr>
            <w:tcW w:w="1031" w:type="dxa"/>
            <w:tcBorders>
              <w:top w:val="single" w:color="auto" w:sz="4" w:space="0"/>
              <w:left w:val="single" w:color="auto" w:sz="4" w:space="0"/>
              <w:bottom w:val="single" w:color="auto" w:sz="4" w:space="0"/>
              <w:right w:val="single" w:color="auto" w:sz="4" w:space="0"/>
            </w:tcBorders>
            <w:vAlign w:val="center"/>
          </w:tcPr>
          <w:p w14:paraId="293DE051">
            <w:pPr>
              <w:rPr>
                <w:rFonts w:ascii="宋体" w:hAnsi="宋体"/>
                <w:szCs w:val="21"/>
              </w:rPr>
            </w:pPr>
          </w:p>
        </w:tc>
        <w:tc>
          <w:tcPr>
            <w:tcW w:w="1031" w:type="dxa"/>
            <w:tcBorders>
              <w:top w:val="single" w:color="auto" w:sz="4" w:space="0"/>
              <w:left w:val="single" w:color="auto" w:sz="4" w:space="0"/>
              <w:bottom w:val="single" w:color="auto" w:sz="4" w:space="0"/>
              <w:right w:val="single" w:color="auto" w:sz="4" w:space="0"/>
            </w:tcBorders>
            <w:vAlign w:val="center"/>
          </w:tcPr>
          <w:p w14:paraId="4794B38C">
            <w:pPr>
              <w:rPr>
                <w:rFonts w:ascii="宋体" w:hAnsi="宋体"/>
                <w:szCs w:val="21"/>
              </w:rPr>
            </w:pPr>
          </w:p>
        </w:tc>
        <w:tc>
          <w:tcPr>
            <w:tcW w:w="1031" w:type="dxa"/>
            <w:tcBorders>
              <w:top w:val="single" w:color="auto" w:sz="4" w:space="0"/>
              <w:left w:val="single" w:color="auto" w:sz="4" w:space="0"/>
              <w:bottom w:val="single" w:color="auto" w:sz="4" w:space="0"/>
              <w:right w:val="single" w:color="auto" w:sz="4" w:space="0"/>
            </w:tcBorders>
            <w:vAlign w:val="center"/>
          </w:tcPr>
          <w:p w14:paraId="51F539BB">
            <w:pPr>
              <w:rPr>
                <w:rFonts w:ascii="宋体" w:hAnsi="宋体"/>
                <w:szCs w:val="21"/>
              </w:rPr>
            </w:pPr>
          </w:p>
        </w:tc>
        <w:tc>
          <w:tcPr>
            <w:tcW w:w="1031" w:type="dxa"/>
            <w:tcBorders>
              <w:top w:val="single" w:color="auto" w:sz="4" w:space="0"/>
              <w:left w:val="single" w:color="auto" w:sz="4" w:space="0"/>
              <w:bottom w:val="single" w:color="auto" w:sz="4" w:space="0"/>
              <w:right w:val="single" w:color="auto" w:sz="4" w:space="0"/>
            </w:tcBorders>
            <w:vAlign w:val="center"/>
          </w:tcPr>
          <w:p w14:paraId="3826BF70">
            <w:pPr>
              <w:rPr>
                <w:rFonts w:ascii="宋体" w:hAnsi="宋体"/>
                <w:szCs w:val="21"/>
              </w:rPr>
            </w:pPr>
          </w:p>
        </w:tc>
        <w:tc>
          <w:tcPr>
            <w:tcW w:w="1031" w:type="dxa"/>
            <w:tcBorders>
              <w:top w:val="single" w:color="auto" w:sz="4" w:space="0"/>
              <w:left w:val="single" w:color="auto" w:sz="4" w:space="0"/>
              <w:bottom w:val="single" w:color="auto" w:sz="4" w:space="0"/>
              <w:right w:val="single" w:color="auto" w:sz="4" w:space="0"/>
            </w:tcBorders>
            <w:vAlign w:val="center"/>
          </w:tcPr>
          <w:p w14:paraId="2B78D6EE">
            <w:pPr>
              <w:rPr>
                <w:rFonts w:ascii="宋体" w:hAnsi="宋体"/>
                <w:szCs w:val="21"/>
              </w:rPr>
            </w:pPr>
          </w:p>
        </w:tc>
        <w:tc>
          <w:tcPr>
            <w:tcW w:w="1032" w:type="dxa"/>
            <w:tcBorders>
              <w:top w:val="single" w:color="auto" w:sz="4" w:space="0"/>
              <w:left w:val="single" w:color="auto" w:sz="4" w:space="0"/>
              <w:bottom w:val="single" w:color="auto" w:sz="4" w:space="0"/>
              <w:right w:val="single" w:color="auto" w:sz="4" w:space="0"/>
            </w:tcBorders>
            <w:vAlign w:val="center"/>
          </w:tcPr>
          <w:p w14:paraId="16EB4780">
            <w:pPr>
              <w:rPr>
                <w:rFonts w:ascii="宋体" w:hAnsi="宋体"/>
                <w:szCs w:val="21"/>
              </w:rPr>
            </w:pPr>
          </w:p>
        </w:tc>
      </w:tr>
    </w:tbl>
    <w:p w14:paraId="4EDC792E">
      <w:pPr>
        <w:rPr>
          <w:szCs w:val="21"/>
        </w:rPr>
      </w:pPr>
      <w:r>
        <w:rPr>
          <w:rFonts w:hint="eastAsia"/>
          <w:szCs w:val="21"/>
        </w:rPr>
        <w:t>评委签名：</w:t>
      </w:r>
    </w:p>
    <w:p w14:paraId="55CC2997">
      <w:pPr>
        <w:rPr>
          <w:szCs w:val="21"/>
        </w:rPr>
      </w:pPr>
    </w:p>
    <w:p w14:paraId="63A9C8C6">
      <w:pPr>
        <w:rPr>
          <w:szCs w:val="21"/>
        </w:rPr>
      </w:pPr>
    </w:p>
    <w:p w14:paraId="54D99527">
      <w:pPr>
        <w:rPr>
          <w:szCs w:val="21"/>
        </w:rPr>
      </w:pPr>
    </w:p>
    <w:p w14:paraId="45C0B37E">
      <w:pPr>
        <w:rPr>
          <w:szCs w:val="21"/>
        </w:rPr>
      </w:pPr>
    </w:p>
    <w:p w14:paraId="516C2251">
      <w:pPr>
        <w:rPr>
          <w:b/>
          <w:szCs w:val="21"/>
        </w:rPr>
      </w:pPr>
      <w:r>
        <w:rPr>
          <w:rFonts w:hint="eastAsia"/>
          <w:szCs w:val="21"/>
        </w:rPr>
        <w:t>附表六</w:t>
      </w:r>
    </w:p>
    <w:p w14:paraId="7230C5C0">
      <w:pPr>
        <w:jc w:val="center"/>
        <w:rPr>
          <w:b/>
          <w:sz w:val="36"/>
          <w:szCs w:val="36"/>
        </w:rPr>
      </w:pPr>
      <w:r>
        <w:rPr>
          <w:rFonts w:hint="eastAsia"/>
          <w:b/>
          <w:sz w:val="36"/>
          <w:szCs w:val="36"/>
        </w:rPr>
        <w:t>算术复核表</w:t>
      </w:r>
    </w:p>
    <w:p w14:paraId="3EA6866B">
      <w:pPr>
        <w:rPr>
          <w:rFonts w:ascii="宋体" w:hAnsi="宋体"/>
          <w:kern w:val="0"/>
          <w:szCs w:val="21"/>
        </w:rPr>
      </w:pPr>
      <w:r>
        <w:rPr>
          <w:rFonts w:hint="eastAsia"/>
          <w:kern w:val="0"/>
          <w:szCs w:val="21"/>
        </w:rPr>
        <w:t>工程名称：</w:t>
      </w:r>
      <w:r>
        <w:rPr>
          <w:kern w:val="0"/>
          <w:szCs w:val="21"/>
        </w:rPr>
        <w:t xml:space="preserve">                                          </w:t>
      </w:r>
      <w:r>
        <w:rPr>
          <w:rFonts w:ascii="宋体" w:hAnsi="宋体"/>
          <w:kern w:val="0"/>
          <w:szCs w:val="21"/>
        </w:rPr>
        <w:t xml:space="preserve"> </w:t>
      </w:r>
      <w:r>
        <w:rPr>
          <w:rFonts w:hint="eastAsia" w:ascii="宋体" w:hAnsi="宋体"/>
          <w:kern w:val="0"/>
          <w:szCs w:val="21"/>
        </w:rPr>
        <w:t>投标人</w:t>
      </w:r>
      <w:r>
        <w:rPr>
          <w:rFonts w:ascii="宋体" w:hAnsi="宋体"/>
          <w:kern w:val="0"/>
          <w:szCs w:val="21"/>
        </w:rPr>
        <w:t xml:space="preserve">:                                                  </w:t>
      </w:r>
      <w:r>
        <w:rPr>
          <w:rFonts w:hint="eastAsia" w:ascii="宋体" w:hAnsi="宋体"/>
          <w:kern w:val="0"/>
          <w:szCs w:val="21"/>
        </w:rPr>
        <w:t>单位：元</w:t>
      </w:r>
    </w:p>
    <w:tbl>
      <w:tblPr>
        <w:tblStyle w:val="34"/>
        <w:tblW w:w="14820" w:type="dxa"/>
        <w:tblInd w:w="113" w:type="dxa"/>
        <w:tblLayout w:type="fixed"/>
        <w:tblCellMar>
          <w:top w:w="0" w:type="dxa"/>
          <w:left w:w="108" w:type="dxa"/>
          <w:bottom w:w="0" w:type="dxa"/>
          <w:right w:w="108" w:type="dxa"/>
        </w:tblCellMar>
      </w:tblPr>
      <w:tblGrid>
        <w:gridCol w:w="645"/>
        <w:gridCol w:w="4488"/>
        <w:gridCol w:w="1602"/>
        <w:gridCol w:w="1575"/>
        <w:gridCol w:w="1575"/>
        <w:gridCol w:w="1470"/>
        <w:gridCol w:w="3465"/>
      </w:tblGrid>
      <w:tr w14:paraId="3201E08A">
        <w:tblPrEx>
          <w:tblCellMar>
            <w:top w:w="0" w:type="dxa"/>
            <w:left w:w="108" w:type="dxa"/>
            <w:bottom w:w="0" w:type="dxa"/>
            <w:right w:w="108" w:type="dxa"/>
          </w:tblCellMar>
        </w:tblPrEx>
        <w:trPr>
          <w:trHeight w:val="705" w:hRule="atLeast"/>
        </w:trPr>
        <w:tc>
          <w:tcPr>
            <w:tcW w:w="645" w:type="dxa"/>
            <w:tcBorders>
              <w:top w:val="single" w:color="auto" w:sz="4" w:space="0"/>
              <w:left w:val="single" w:color="auto" w:sz="4" w:space="0"/>
              <w:bottom w:val="single" w:color="auto" w:sz="4" w:space="0"/>
              <w:right w:val="single" w:color="auto" w:sz="4" w:space="0"/>
            </w:tcBorders>
            <w:vAlign w:val="center"/>
          </w:tcPr>
          <w:p w14:paraId="3471CEB9">
            <w:pPr>
              <w:rPr>
                <w:rFonts w:ascii="宋体" w:hAnsi="宋体"/>
                <w:kern w:val="0"/>
                <w:szCs w:val="21"/>
              </w:rPr>
            </w:pPr>
            <w:r>
              <w:rPr>
                <w:rFonts w:hint="eastAsia" w:ascii="宋体" w:hAnsi="宋体"/>
                <w:kern w:val="0"/>
                <w:szCs w:val="21"/>
              </w:rPr>
              <w:t>编号</w:t>
            </w:r>
          </w:p>
        </w:tc>
        <w:tc>
          <w:tcPr>
            <w:tcW w:w="4488" w:type="dxa"/>
            <w:tcBorders>
              <w:top w:val="single" w:color="auto" w:sz="4" w:space="0"/>
              <w:left w:val="nil"/>
              <w:bottom w:val="single" w:color="auto" w:sz="4" w:space="0"/>
              <w:right w:val="single" w:color="auto" w:sz="4" w:space="0"/>
            </w:tcBorders>
            <w:vAlign w:val="center"/>
          </w:tcPr>
          <w:p w14:paraId="20A76A6A">
            <w:pPr>
              <w:rPr>
                <w:rFonts w:ascii="宋体" w:hAnsi="宋体"/>
                <w:kern w:val="0"/>
                <w:szCs w:val="21"/>
              </w:rPr>
            </w:pPr>
            <w:r>
              <w:rPr>
                <w:rFonts w:hint="eastAsia" w:ascii="宋体" w:hAnsi="宋体"/>
                <w:kern w:val="0"/>
                <w:szCs w:val="21"/>
              </w:rPr>
              <w:t>算术校核项目</w:t>
            </w:r>
          </w:p>
        </w:tc>
        <w:tc>
          <w:tcPr>
            <w:tcW w:w="1602" w:type="dxa"/>
            <w:tcBorders>
              <w:top w:val="single" w:color="auto" w:sz="4" w:space="0"/>
              <w:left w:val="nil"/>
              <w:bottom w:val="single" w:color="auto" w:sz="4" w:space="0"/>
              <w:right w:val="single" w:color="auto" w:sz="4" w:space="0"/>
            </w:tcBorders>
            <w:vAlign w:val="center"/>
          </w:tcPr>
          <w:p w14:paraId="67B52894">
            <w:pPr>
              <w:rPr>
                <w:rFonts w:ascii="宋体" w:hAnsi="宋体"/>
                <w:kern w:val="0"/>
                <w:szCs w:val="21"/>
              </w:rPr>
            </w:pPr>
            <w:r>
              <w:rPr>
                <w:rFonts w:hint="eastAsia" w:ascii="宋体" w:hAnsi="宋体"/>
                <w:kern w:val="0"/>
                <w:szCs w:val="21"/>
              </w:rPr>
              <w:t>修正前投标</w:t>
            </w:r>
          </w:p>
          <w:p w14:paraId="500E556F">
            <w:pPr>
              <w:rPr>
                <w:rFonts w:ascii="宋体" w:hAnsi="宋体"/>
                <w:kern w:val="0"/>
                <w:szCs w:val="21"/>
              </w:rPr>
            </w:pPr>
            <w:r>
              <w:rPr>
                <w:rFonts w:hint="eastAsia" w:ascii="宋体" w:hAnsi="宋体"/>
                <w:kern w:val="0"/>
                <w:szCs w:val="21"/>
              </w:rPr>
              <w:t>报价</w:t>
            </w:r>
            <w:r>
              <w:rPr>
                <w:rFonts w:ascii="宋体" w:hAnsi="宋体"/>
                <w:kern w:val="0"/>
                <w:szCs w:val="21"/>
              </w:rPr>
              <w:t>A</w:t>
            </w:r>
          </w:p>
        </w:tc>
        <w:tc>
          <w:tcPr>
            <w:tcW w:w="1575" w:type="dxa"/>
            <w:tcBorders>
              <w:top w:val="single" w:color="auto" w:sz="4" w:space="0"/>
              <w:left w:val="nil"/>
              <w:bottom w:val="single" w:color="auto" w:sz="4" w:space="0"/>
              <w:right w:val="single" w:color="auto" w:sz="4" w:space="0"/>
            </w:tcBorders>
            <w:vAlign w:val="center"/>
          </w:tcPr>
          <w:p w14:paraId="26F6B61A">
            <w:pPr>
              <w:rPr>
                <w:rFonts w:ascii="宋体" w:hAnsi="宋体"/>
                <w:kern w:val="0"/>
                <w:szCs w:val="21"/>
              </w:rPr>
            </w:pPr>
            <w:r>
              <w:rPr>
                <w:rFonts w:hint="eastAsia" w:ascii="宋体" w:hAnsi="宋体"/>
                <w:kern w:val="0"/>
                <w:szCs w:val="21"/>
              </w:rPr>
              <w:t>修正后投标</w:t>
            </w:r>
          </w:p>
          <w:p w14:paraId="7356D833">
            <w:pPr>
              <w:rPr>
                <w:rFonts w:ascii="宋体" w:hAnsi="宋体"/>
                <w:kern w:val="0"/>
                <w:szCs w:val="21"/>
              </w:rPr>
            </w:pPr>
            <w:r>
              <w:rPr>
                <w:rFonts w:hint="eastAsia" w:ascii="宋体" w:hAnsi="宋体"/>
                <w:kern w:val="0"/>
                <w:szCs w:val="21"/>
              </w:rPr>
              <w:t>报价</w:t>
            </w:r>
            <w:r>
              <w:rPr>
                <w:rFonts w:ascii="宋体" w:hAnsi="宋体"/>
                <w:kern w:val="0"/>
                <w:szCs w:val="21"/>
              </w:rPr>
              <w:t>B</w:t>
            </w:r>
          </w:p>
        </w:tc>
        <w:tc>
          <w:tcPr>
            <w:tcW w:w="1575" w:type="dxa"/>
            <w:tcBorders>
              <w:top w:val="single" w:color="auto" w:sz="4" w:space="0"/>
              <w:left w:val="nil"/>
              <w:bottom w:val="single" w:color="auto" w:sz="4" w:space="0"/>
              <w:right w:val="single" w:color="auto" w:sz="4" w:space="0"/>
            </w:tcBorders>
            <w:vAlign w:val="center"/>
          </w:tcPr>
          <w:p w14:paraId="439DB56C">
            <w:pPr>
              <w:rPr>
                <w:rFonts w:ascii="宋体" w:hAnsi="宋体"/>
                <w:kern w:val="0"/>
                <w:szCs w:val="21"/>
              </w:rPr>
            </w:pPr>
            <w:r>
              <w:rPr>
                <w:rFonts w:hint="eastAsia" w:ascii="宋体" w:hAnsi="宋体"/>
                <w:kern w:val="0"/>
                <w:szCs w:val="21"/>
              </w:rPr>
              <w:t>修正率</w:t>
            </w:r>
            <w:r>
              <w:rPr>
                <w:rFonts w:ascii="宋体" w:hAnsi="宋体"/>
                <w:kern w:val="0"/>
                <w:szCs w:val="21"/>
              </w:rPr>
              <w:br w:type="textWrapping"/>
            </w:r>
            <w:r>
              <w:rPr>
                <w:rFonts w:ascii="宋体" w:hAnsi="宋体"/>
                <w:kern w:val="0"/>
                <w:szCs w:val="21"/>
              </w:rPr>
              <w:t>r=|A-B|/A*100%</w:t>
            </w:r>
          </w:p>
        </w:tc>
        <w:tc>
          <w:tcPr>
            <w:tcW w:w="1470" w:type="dxa"/>
            <w:tcBorders>
              <w:top w:val="single" w:color="auto" w:sz="4" w:space="0"/>
              <w:left w:val="nil"/>
              <w:bottom w:val="single" w:color="auto" w:sz="4" w:space="0"/>
              <w:right w:val="single" w:color="auto" w:sz="4" w:space="0"/>
            </w:tcBorders>
            <w:vAlign w:val="center"/>
          </w:tcPr>
          <w:p w14:paraId="7B60DC8F">
            <w:pPr>
              <w:rPr>
                <w:rFonts w:ascii="宋体" w:hAnsi="宋体"/>
                <w:kern w:val="0"/>
                <w:szCs w:val="21"/>
              </w:rPr>
            </w:pPr>
            <w:r>
              <w:rPr>
                <w:rFonts w:hint="eastAsia" w:ascii="宋体" w:hAnsi="宋体"/>
                <w:kern w:val="0"/>
                <w:szCs w:val="21"/>
              </w:rPr>
              <w:t>经评审的最终投标报价</w:t>
            </w:r>
          </w:p>
        </w:tc>
        <w:tc>
          <w:tcPr>
            <w:tcW w:w="3465" w:type="dxa"/>
            <w:tcBorders>
              <w:top w:val="single" w:color="auto" w:sz="4" w:space="0"/>
              <w:left w:val="nil"/>
              <w:bottom w:val="single" w:color="auto" w:sz="4" w:space="0"/>
              <w:right w:val="single" w:color="auto" w:sz="4" w:space="0"/>
            </w:tcBorders>
            <w:vAlign w:val="center"/>
          </w:tcPr>
          <w:p w14:paraId="095A1173">
            <w:pPr>
              <w:rPr>
                <w:rFonts w:ascii="宋体" w:hAnsi="宋体"/>
                <w:kern w:val="0"/>
                <w:szCs w:val="21"/>
              </w:rPr>
            </w:pPr>
            <w:r>
              <w:rPr>
                <w:rFonts w:hint="eastAsia" w:ascii="宋体" w:hAnsi="宋体"/>
                <w:kern w:val="0"/>
                <w:szCs w:val="21"/>
              </w:rPr>
              <w:t>当</w:t>
            </w:r>
            <w:r>
              <w:rPr>
                <w:rFonts w:ascii="宋体" w:hAnsi="宋体"/>
                <w:kern w:val="0"/>
                <w:szCs w:val="21"/>
              </w:rPr>
              <w:t>B&gt;A</w:t>
            </w:r>
            <w:r>
              <w:rPr>
                <w:rFonts w:hint="eastAsia" w:ascii="宋体" w:hAnsi="宋体"/>
                <w:kern w:val="0"/>
                <w:szCs w:val="21"/>
              </w:rPr>
              <w:t>时，修正后报价与原报价的差额；当</w:t>
            </w:r>
            <w:r>
              <w:rPr>
                <w:rFonts w:ascii="宋体" w:hAnsi="宋体"/>
                <w:kern w:val="0"/>
                <w:szCs w:val="21"/>
              </w:rPr>
              <w:t>B</w:t>
            </w:r>
            <w:r>
              <w:rPr>
                <w:rFonts w:hint="eastAsia" w:ascii="宋体" w:hAnsi="宋体"/>
                <w:kern w:val="0"/>
                <w:szCs w:val="21"/>
              </w:rPr>
              <w:t>≤</w:t>
            </w:r>
            <w:r>
              <w:rPr>
                <w:rFonts w:ascii="宋体" w:hAnsi="宋体"/>
                <w:kern w:val="0"/>
                <w:szCs w:val="21"/>
              </w:rPr>
              <w:t>A</w:t>
            </w:r>
            <w:r>
              <w:rPr>
                <w:rFonts w:hint="eastAsia" w:ascii="宋体" w:hAnsi="宋体"/>
                <w:kern w:val="0"/>
                <w:szCs w:val="21"/>
              </w:rPr>
              <w:t>时</w:t>
            </w:r>
            <w:r>
              <w:rPr>
                <w:rFonts w:ascii="宋体" w:hAnsi="宋体"/>
                <w:kern w:val="0"/>
                <w:szCs w:val="21"/>
              </w:rPr>
              <w:t>,R=0</w:t>
            </w:r>
          </w:p>
        </w:tc>
      </w:tr>
      <w:tr w14:paraId="3348AB66">
        <w:tblPrEx>
          <w:tblCellMar>
            <w:top w:w="0" w:type="dxa"/>
            <w:left w:w="108" w:type="dxa"/>
            <w:bottom w:w="0" w:type="dxa"/>
            <w:right w:w="108" w:type="dxa"/>
          </w:tblCellMar>
        </w:tblPrEx>
        <w:trPr>
          <w:trHeight w:val="600" w:hRule="atLeast"/>
        </w:trPr>
        <w:tc>
          <w:tcPr>
            <w:tcW w:w="645" w:type="dxa"/>
            <w:tcBorders>
              <w:top w:val="nil"/>
              <w:left w:val="single" w:color="auto" w:sz="4" w:space="0"/>
              <w:bottom w:val="single" w:color="auto" w:sz="4" w:space="0"/>
              <w:right w:val="single" w:color="auto" w:sz="4" w:space="0"/>
            </w:tcBorders>
            <w:vAlign w:val="center"/>
          </w:tcPr>
          <w:p w14:paraId="11A0F7EA">
            <w:pPr>
              <w:rPr>
                <w:rFonts w:ascii="宋体" w:hAnsi="宋体"/>
                <w:kern w:val="0"/>
                <w:szCs w:val="21"/>
              </w:rPr>
            </w:pPr>
            <w:r>
              <w:rPr>
                <w:rFonts w:ascii="宋体" w:hAnsi="宋体"/>
                <w:kern w:val="0"/>
                <w:szCs w:val="21"/>
              </w:rPr>
              <w:t>1</w:t>
            </w:r>
          </w:p>
        </w:tc>
        <w:tc>
          <w:tcPr>
            <w:tcW w:w="4488" w:type="dxa"/>
            <w:tcBorders>
              <w:top w:val="nil"/>
              <w:left w:val="nil"/>
              <w:bottom w:val="single" w:color="auto" w:sz="4" w:space="0"/>
              <w:right w:val="single" w:color="auto" w:sz="4" w:space="0"/>
            </w:tcBorders>
            <w:vAlign w:val="center"/>
          </w:tcPr>
          <w:p w14:paraId="1D007B35">
            <w:pPr>
              <w:rPr>
                <w:rFonts w:ascii="宋体" w:hAnsi="宋体"/>
                <w:kern w:val="0"/>
                <w:szCs w:val="21"/>
              </w:rPr>
            </w:pPr>
            <w:r>
              <w:rPr>
                <w:rFonts w:ascii="宋体" w:hAnsi="宋体"/>
                <w:kern w:val="0"/>
                <w:szCs w:val="21"/>
              </w:rPr>
              <w:t>[</w:t>
            </w:r>
            <w:r>
              <w:rPr>
                <w:rFonts w:hint="eastAsia" w:ascii="宋体" w:hAnsi="宋体"/>
                <w:kern w:val="0"/>
                <w:szCs w:val="21"/>
              </w:rPr>
              <w:t>单位工程</w:t>
            </w:r>
            <w:r>
              <w:rPr>
                <w:rFonts w:ascii="宋体" w:hAnsi="宋体"/>
                <w:kern w:val="0"/>
                <w:szCs w:val="21"/>
              </w:rPr>
              <w:t>1]</w:t>
            </w:r>
          </w:p>
        </w:tc>
        <w:tc>
          <w:tcPr>
            <w:tcW w:w="1602" w:type="dxa"/>
            <w:tcBorders>
              <w:top w:val="nil"/>
              <w:left w:val="nil"/>
              <w:bottom w:val="single" w:color="auto" w:sz="4" w:space="0"/>
              <w:right w:val="single" w:color="auto" w:sz="4" w:space="0"/>
            </w:tcBorders>
            <w:vAlign w:val="center"/>
          </w:tcPr>
          <w:p w14:paraId="0E4AE68F">
            <w:pPr>
              <w:rPr>
                <w:rFonts w:ascii="宋体" w:hAnsi="宋体"/>
                <w:kern w:val="0"/>
                <w:szCs w:val="21"/>
              </w:rPr>
            </w:pPr>
            <w:r>
              <w:rPr>
                <w:rFonts w:hint="eastAsia" w:ascii="宋体" w:hAnsi="宋体"/>
                <w:kern w:val="0"/>
                <w:szCs w:val="21"/>
              </w:rPr>
              <w:t>　</w:t>
            </w:r>
          </w:p>
        </w:tc>
        <w:tc>
          <w:tcPr>
            <w:tcW w:w="1575" w:type="dxa"/>
            <w:tcBorders>
              <w:top w:val="nil"/>
              <w:left w:val="nil"/>
              <w:bottom w:val="single" w:color="auto" w:sz="4" w:space="0"/>
              <w:right w:val="single" w:color="auto" w:sz="4" w:space="0"/>
            </w:tcBorders>
            <w:vAlign w:val="center"/>
          </w:tcPr>
          <w:p w14:paraId="15D440BB">
            <w:pPr>
              <w:rPr>
                <w:rFonts w:ascii="宋体" w:hAnsi="宋体"/>
                <w:kern w:val="0"/>
                <w:szCs w:val="21"/>
              </w:rPr>
            </w:pPr>
            <w:r>
              <w:rPr>
                <w:rFonts w:hint="eastAsia" w:ascii="宋体" w:hAnsi="宋体"/>
                <w:kern w:val="0"/>
                <w:szCs w:val="21"/>
              </w:rPr>
              <w:t>　</w:t>
            </w:r>
          </w:p>
        </w:tc>
        <w:tc>
          <w:tcPr>
            <w:tcW w:w="1575" w:type="dxa"/>
            <w:tcBorders>
              <w:top w:val="nil"/>
              <w:left w:val="nil"/>
              <w:bottom w:val="single" w:color="auto" w:sz="4" w:space="0"/>
              <w:right w:val="single" w:color="auto" w:sz="4" w:space="0"/>
            </w:tcBorders>
            <w:vAlign w:val="center"/>
          </w:tcPr>
          <w:p w14:paraId="00D2DD61">
            <w:pPr>
              <w:rPr>
                <w:rFonts w:ascii="宋体" w:hAnsi="宋体"/>
                <w:kern w:val="0"/>
                <w:szCs w:val="21"/>
              </w:rPr>
            </w:pPr>
            <w:r>
              <w:rPr>
                <w:rFonts w:hint="eastAsia" w:ascii="宋体" w:hAnsi="宋体"/>
                <w:kern w:val="0"/>
                <w:szCs w:val="21"/>
              </w:rPr>
              <w:t>　</w:t>
            </w:r>
          </w:p>
        </w:tc>
        <w:tc>
          <w:tcPr>
            <w:tcW w:w="1470" w:type="dxa"/>
            <w:tcBorders>
              <w:top w:val="nil"/>
              <w:left w:val="nil"/>
              <w:bottom w:val="single" w:color="auto" w:sz="4" w:space="0"/>
              <w:right w:val="single" w:color="auto" w:sz="4" w:space="0"/>
            </w:tcBorders>
            <w:vAlign w:val="center"/>
          </w:tcPr>
          <w:p w14:paraId="34A382F5">
            <w:pPr>
              <w:rPr>
                <w:rFonts w:ascii="宋体" w:hAnsi="宋体"/>
                <w:kern w:val="0"/>
                <w:szCs w:val="21"/>
              </w:rPr>
            </w:pPr>
            <w:r>
              <w:rPr>
                <w:rFonts w:hint="eastAsia" w:ascii="宋体" w:hAnsi="宋体"/>
                <w:kern w:val="0"/>
                <w:szCs w:val="21"/>
              </w:rPr>
              <w:t>　</w:t>
            </w:r>
          </w:p>
        </w:tc>
        <w:tc>
          <w:tcPr>
            <w:tcW w:w="3465" w:type="dxa"/>
            <w:tcBorders>
              <w:top w:val="single" w:color="auto" w:sz="4" w:space="0"/>
              <w:left w:val="nil"/>
              <w:bottom w:val="single" w:color="auto" w:sz="4" w:space="0"/>
              <w:right w:val="single" w:color="auto" w:sz="4" w:space="0"/>
            </w:tcBorders>
            <w:vAlign w:val="center"/>
          </w:tcPr>
          <w:p w14:paraId="08025A73">
            <w:pPr>
              <w:rPr>
                <w:rFonts w:ascii="宋体" w:hAnsi="宋体"/>
                <w:kern w:val="0"/>
                <w:szCs w:val="21"/>
              </w:rPr>
            </w:pPr>
          </w:p>
        </w:tc>
      </w:tr>
      <w:tr w14:paraId="3D66FE31">
        <w:tblPrEx>
          <w:tblCellMar>
            <w:top w:w="0" w:type="dxa"/>
            <w:left w:w="108" w:type="dxa"/>
            <w:bottom w:w="0" w:type="dxa"/>
            <w:right w:w="108" w:type="dxa"/>
          </w:tblCellMar>
        </w:tblPrEx>
        <w:trPr>
          <w:trHeight w:val="600" w:hRule="atLeast"/>
        </w:trPr>
        <w:tc>
          <w:tcPr>
            <w:tcW w:w="645" w:type="dxa"/>
            <w:tcBorders>
              <w:top w:val="nil"/>
              <w:left w:val="single" w:color="auto" w:sz="4" w:space="0"/>
              <w:bottom w:val="single" w:color="auto" w:sz="4" w:space="0"/>
              <w:right w:val="single" w:color="auto" w:sz="4" w:space="0"/>
            </w:tcBorders>
            <w:vAlign w:val="center"/>
          </w:tcPr>
          <w:p w14:paraId="1D1050C9">
            <w:pPr>
              <w:rPr>
                <w:rFonts w:ascii="宋体" w:hAnsi="宋体"/>
                <w:kern w:val="0"/>
                <w:szCs w:val="21"/>
              </w:rPr>
            </w:pPr>
            <w:r>
              <w:rPr>
                <w:rFonts w:ascii="宋体" w:hAnsi="宋体"/>
                <w:kern w:val="0"/>
                <w:szCs w:val="21"/>
              </w:rPr>
              <w:t>2</w:t>
            </w:r>
          </w:p>
        </w:tc>
        <w:tc>
          <w:tcPr>
            <w:tcW w:w="4488" w:type="dxa"/>
            <w:tcBorders>
              <w:top w:val="nil"/>
              <w:left w:val="nil"/>
              <w:bottom w:val="single" w:color="auto" w:sz="4" w:space="0"/>
              <w:right w:val="single" w:color="auto" w:sz="4" w:space="0"/>
            </w:tcBorders>
            <w:vAlign w:val="center"/>
          </w:tcPr>
          <w:p w14:paraId="3AA27470">
            <w:pPr>
              <w:rPr>
                <w:rFonts w:ascii="宋体" w:hAnsi="宋体"/>
                <w:kern w:val="0"/>
                <w:szCs w:val="21"/>
              </w:rPr>
            </w:pPr>
            <w:r>
              <w:rPr>
                <w:rFonts w:ascii="宋体" w:hAnsi="宋体"/>
                <w:kern w:val="0"/>
                <w:szCs w:val="21"/>
              </w:rPr>
              <w:t>[</w:t>
            </w:r>
            <w:r>
              <w:rPr>
                <w:rFonts w:hint="eastAsia" w:ascii="宋体" w:hAnsi="宋体"/>
                <w:kern w:val="0"/>
                <w:szCs w:val="21"/>
              </w:rPr>
              <w:t>单位工程</w:t>
            </w:r>
            <w:r>
              <w:rPr>
                <w:rFonts w:ascii="宋体" w:hAnsi="宋体"/>
                <w:kern w:val="0"/>
                <w:szCs w:val="21"/>
              </w:rPr>
              <w:t>2]</w:t>
            </w:r>
          </w:p>
        </w:tc>
        <w:tc>
          <w:tcPr>
            <w:tcW w:w="1602" w:type="dxa"/>
            <w:tcBorders>
              <w:top w:val="nil"/>
              <w:left w:val="nil"/>
              <w:bottom w:val="single" w:color="auto" w:sz="4" w:space="0"/>
              <w:right w:val="single" w:color="auto" w:sz="4" w:space="0"/>
            </w:tcBorders>
            <w:vAlign w:val="center"/>
          </w:tcPr>
          <w:p w14:paraId="785176D7">
            <w:pPr>
              <w:rPr>
                <w:rFonts w:ascii="宋体" w:hAnsi="宋体"/>
                <w:kern w:val="0"/>
                <w:szCs w:val="21"/>
              </w:rPr>
            </w:pPr>
            <w:r>
              <w:rPr>
                <w:rFonts w:hint="eastAsia" w:ascii="宋体" w:hAnsi="宋体"/>
                <w:kern w:val="0"/>
                <w:szCs w:val="21"/>
              </w:rPr>
              <w:t>　</w:t>
            </w:r>
          </w:p>
        </w:tc>
        <w:tc>
          <w:tcPr>
            <w:tcW w:w="1575" w:type="dxa"/>
            <w:tcBorders>
              <w:top w:val="nil"/>
              <w:left w:val="nil"/>
              <w:bottom w:val="single" w:color="auto" w:sz="4" w:space="0"/>
              <w:right w:val="single" w:color="auto" w:sz="4" w:space="0"/>
            </w:tcBorders>
            <w:vAlign w:val="center"/>
          </w:tcPr>
          <w:p w14:paraId="549B8B17">
            <w:pPr>
              <w:rPr>
                <w:rFonts w:ascii="宋体" w:hAnsi="宋体"/>
                <w:kern w:val="0"/>
                <w:szCs w:val="21"/>
              </w:rPr>
            </w:pPr>
            <w:r>
              <w:rPr>
                <w:rFonts w:hint="eastAsia" w:ascii="宋体" w:hAnsi="宋体"/>
                <w:kern w:val="0"/>
                <w:szCs w:val="21"/>
              </w:rPr>
              <w:t>　</w:t>
            </w:r>
          </w:p>
        </w:tc>
        <w:tc>
          <w:tcPr>
            <w:tcW w:w="1575" w:type="dxa"/>
            <w:tcBorders>
              <w:top w:val="nil"/>
              <w:left w:val="nil"/>
              <w:bottom w:val="single" w:color="auto" w:sz="4" w:space="0"/>
              <w:right w:val="single" w:color="auto" w:sz="4" w:space="0"/>
            </w:tcBorders>
            <w:vAlign w:val="center"/>
          </w:tcPr>
          <w:p w14:paraId="25CBBDB9">
            <w:pPr>
              <w:rPr>
                <w:rFonts w:ascii="宋体" w:hAnsi="宋体"/>
                <w:kern w:val="0"/>
                <w:szCs w:val="21"/>
              </w:rPr>
            </w:pPr>
            <w:r>
              <w:rPr>
                <w:rFonts w:hint="eastAsia" w:ascii="宋体" w:hAnsi="宋体"/>
                <w:kern w:val="0"/>
                <w:szCs w:val="21"/>
              </w:rPr>
              <w:t>　</w:t>
            </w:r>
          </w:p>
        </w:tc>
        <w:tc>
          <w:tcPr>
            <w:tcW w:w="1470" w:type="dxa"/>
            <w:tcBorders>
              <w:top w:val="nil"/>
              <w:left w:val="nil"/>
              <w:bottom w:val="single" w:color="auto" w:sz="4" w:space="0"/>
              <w:right w:val="single" w:color="auto" w:sz="4" w:space="0"/>
            </w:tcBorders>
            <w:vAlign w:val="center"/>
          </w:tcPr>
          <w:p w14:paraId="6A160BC5">
            <w:pPr>
              <w:rPr>
                <w:rFonts w:ascii="宋体" w:hAnsi="宋体"/>
                <w:kern w:val="0"/>
                <w:szCs w:val="21"/>
              </w:rPr>
            </w:pPr>
            <w:r>
              <w:rPr>
                <w:rFonts w:hint="eastAsia" w:ascii="宋体" w:hAnsi="宋体"/>
                <w:kern w:val="0"/>
                <w:szCs w:val="21"/>
              </w:rPr>
              <w:t>　</w:t>
            </w:r>
          </w:p>
        </w:tc>
        <w:tc>
          <w:tcPr>
            <w:tcW w:w="3465" w:type="dxa"/>
            <w:tcBorders>
              <w:top w:val="single" w:color="auto" w:sz="4" w:space="0"/>
              <w:left w:val="nil"/>
              <w:bottom w:val="single" w:color="auto" w:sz="4" w:space="0"/>
              <w:right w:val="single" w:color="auto" w:sz="4" w:space="0"/>
            </w:tcBorders>
            <w:vAlign w:val="center"/>
          </w:tcPr>
          <w:p w14:paraId="6381DADF">
            <w:pPr>
              <w:rPr>
                <w:rFonts w:ascii="宋体" w:hAnsi="宋体"/>
                <w:kern w:val="0"/>
                <w:szCs w:val="21"/>
              </w:rPr>
            </w:pPr>
          </w:p>
        </w:tc>
      </w:tr>
      <w:tr w14:paraId="175206BC">
        <w:tblPrEx>
          <w:tblCellMar>
            <w:top w:w="0" w:type="dxa"/>
            <w:left w:w="108" w:type="dxa"/>
            <w:bottom w:w="0" w:type="dxa"/>
            <w:right w:w="108" w:type="dxa"/>
          </w:tblCellMar>
        </w:tblPrEx>
        <w:trPr>
          <w:trHeight w:val="600" w:hRule="atLeast"/>
        </w:trPr>
        <w:tc>
          <w:tcPr>
            <w:tcW w:w="645" w:type="dxa"/>
            <w:tcBorders>
              <w:top w:val="nil"/>
              <w:left w:val="single" w:color="auto" w:sz="4" w:space="0"/>
              <w:bottom w:val="single" w:color="auto" w:sz="4" w:space="0"/>
              <w:right w:val="single" w:color="auto" w:sz="4" w:space="0"/>
            </w:tcBorders>
            <w:vAlign w:val="center"/>
          </w:tcPr>
          <w:p w14:paraId="2F13BD52">
            <w:pPr>
              <w:rPr>
                <w:rFonts w:ascii="宋体" w:hAnsi="宋体"/>
                <w:kern w:val="0"/>
                <w:szCs w:val="21"/>
              </w:rPr>
            </w:pPr>
            <w:r>
              <w:rPr>
                <w:rFonts w:hint="eastAsia" w:ascii="宋体" w:hAnsi="宋体"/>
                <w:kern w:val="0"/>
                <w:szCs w:val="21"/>
              </w:rPr>
              <w:t>…</w:t>
            </w:r>
          </w:p>
        </w:tc>
        <w:tc>
          <w:tcPr>
            <w:tcW w:w="4488" w:type="dxa"/>
            <w:tcBorders>
              <w:top w:val="nil"/>
              <w:left w:val="nil"/>
              <w:bottom w:val="single" w:color="auto" w:sz="4" w:space="0"/>
              <w:right w:val="single" w:color="auto" w:sz="4" w:space="0"/>
            </w:tcBorders>
            <w:vAlign w:val="center"/>
          </w:tcPr>
          <w:p w14:paraId="33FED5B2">
            <w:pPr>
              <w:rPr>
                <w:rFonts w:ascii="宋体" w:hAnsi="宋体"/>
                <w:kern w:val="0"/>
                <w:szCs w:val="21"/>
              </w:rPr>
            </w:pPr>
            <w:r>
              <w:rPr>
                <w:rFonts w:hint="eastAsia" w:ascii="宋体" w:hAnsi="宋体"/>
                <w:kern w:val="0"/>
                <w:szCs w:val="21"/>
              </w:rPr>
              <w:t>…</w:t>
            </w:r>
          </w:p>
        </w:tc>
        <w:tc>
          <w:tcPr>
            <w:tcW w:w="1602" w:type="dxa"/>
            <w:tcBorders>
              <w:top w:val="nil"/>
              <w:left w:val="nil"/>
              <w:bottom w:val="single" w:color="auto" w:sz="4" w:space="0"/>
              <w:right w:val="single" w:color="auto" w:sz="4" w:space="0"/>
            </w:tcBorders>
            <w:vAlign w:val="center"/>
          </w:tcPr>
          <w:p w14:paraId="7279E8F6">
            <w:pPr>
              <w:rPr>
                <w:rFonts w:ascii="宋体" w:hAnsi="宋体"/>
                <w:kern w:val="0"/>
                <w:szCs w:val="21"/>
              </w:rPr>
            </w:pPr>
            <w:r>
              <w:rPr>
                <w:rFonts w:hint="eastAsia" w:ascii="宋体" w:hAnsi="宋体"/>
                <w:kern w:val="0"/>
                <w:szCs w:val="21"/>
              </w:rPr>
              <w:t>　</w:t>
            </w:r>
          </w:p>
        </w:tc>
        <w:tc>
          <w:tcPr>
            <w:tcW w:w="1575" w:type="dxa"/>
            <w:tcBorders>
              <w:top w:val="nil"/>
              <w:left w:val="nil"/>
              <w:bottom w:val="single" w:color="auto" w:sz="4" w:space="0"/>
              <w:right w:val="single" w:color="auto" w:sz="4" w:space="0"/>
            </w:tcBorders>
            <w:vAlign w:val="center"/>
          </w:tcPr>
          <w:p w14:paraId="5DDD96B9">
            <w:pPr>
              <w:rPr>
                <w:rFonts w:ascii="宋体" w:hAnsi="宋体"/>
                <w:kern w:val="0"/>
                <w:szCs w:val="21"/>
              </w:rPr>
            </w:pPr>
            <w:r>
              <w:rPr>
                <w:rFonts w:hint="eastAsia" w:ascii="宋体" w:hAnsi="宋体"/>
                <w:kern w:val="0"/>
                <w:szCs w:val="21"/>
              </w:rPr>
              <w:t>　</w:t>
            </w:r>
          </w:p>
        </w:tc>
        <w:tc>
          <w:tcPr>
            <w:tcW w:w="1575" w:type="dxa"/>
            <w:tcBorders>
              <w:top w:val="nil"/>
              <w:left w:val="nil"/>
              <w:bottom w:val="single" w:color="auto" w:sz="4" w:space="0"/>
              <w:right w:val="single" w:color="auto" w:sz="4" w:space="0"/>
            </w:tcBorders>
            <w:vAlign w:val="center"/>
          </w:tcPr>
          <w:p w14:paraId="4B8AA0B3">
            <w:pPr>
              <w:rPr>
                <w:rFonts w:ascii="宋体" w:hAnsi="宋体"/>
                <w:kern w:val="0"/>
                <w:szCs w:val="21"/>
              </w:rPr>
            </w:pPr>
            <w:r>
              <w:rPr>
                <w:rFonts w:hint="eastAsia" w:ascii="宋体" w:hAnsi="宋体"/>
                <w:kern w:val="0"/>
                <w:szCs w:val="21"/>
              </w:rPr>
              <w:t>　</w:t>
            </w:r>
          </w:p>
        </w:tc>
        <w:tc>
          <w:tcPr>
            <w:tcW w:w="1470" w:type="dxa"/>
            <w:tcBorders>
              <w:top w:val="nil"/>
              <w:left w:val="nil"/>
              <w:bottom w:val="single" w:color="auto" w:sz="4" w:space="0"/>
              <w:right w:val="single" w:color="auto" w:sz="4" w:space="0"/>
            </w:tcBorders>
            <w:vAlign w:val="center"/>
          </w:tcPr>
          <w:p w14:paraId="54AE81C9">
            <w:pPr>
              <w:rPr>
                <w:rFonts w:ascii="宋体" w:hAnsi="宋体"/>
                <w:kern w:val="0"/>
                <w:szCs w:val="21"/>
              </w:rPr>
            </w:pPr>
            <w:r>
              <w:rPr>
                <w:rFonts w:hint="eastAsia" w:ascii="宋体" w:hAnsi="宋体"/>
                <w:kern w:val="0"/>
                <w:szCs w:val="21"/>
              </w:rPr>
              <w:t>　</w:t>
            </w:r>
          </w:p>
        </w:tc>
        <w:tc>
          <w:tcPr>
            <w:tcW w:w="3465" w:type="dxa"/>
            <w:tcBorders>
              <w:top w:val="single" w:color="auto" w:sz="4" w:space="0"/>
              <w:left w:val="nil"/>
              <w:bottom w:val="single" w:color="auto" w:sz="4" w:space="0"/>
              <w:right w:val="single" w:color="auto" w:sz="4" w:space="0"/>
            </w:tcBorders>
            <w:vAlign w:val="center"/>
          </w:tcPr>
          <w:p w14:paraId="3E5F97D2">
            <w:pPr>
              <w:rPr>
                <w:rFonts w:ascii="宋体" w:hAnsi="宋体"/>
                <w:kern w:val="0"/>
                <w:szCs w:val="21"/>
              </w:rPr>
            </w:pPr>
          </w:p>
        </w:tc>
      </w:tr>
      <w:tr w14:paraId="39780364">
        <w:tblPrEx>
          <w:tblCellMar>
            <w:top w:w="0" w:type="dxa"/>
            <w:left w:w="108" w:type="dxa"/>
            <w:bottom w:w="0" w:type="dxa"/>
            <w:right w:w="108" w:type="dxa"/>
          </w:tblCellMar>
        </w:tblPrEx>
        <w:trPr>
          <w:trHeight w:val="600" w:hRule="atLeast"/>
        </w:trPr>
        <w:tc>
          <w:tcPr>
            <w:tcW w:w="645" w:type="dxa"/>
            <w:tcBorders>
              <w:top w:val="nil"/>
              <w:left w:val="single" w:color="auto" w:sz="4" w:space="0"/>
              <w:bottom w:val="single" w:color="auto" w:sz="4" w:space="0"/>
              <w:right w:val="single" w:color="auto" w:sz="4" w:space="0"/>
            </w:tcBorders>
            <w:vAlign w:val="center"/>
          </w:tcPr>
          <w:p w14:paraId="799F0FBA">
            <w:pPr>
              <w:rPr>
                <w:rFonts w:ascii="宋体" w:hAnsi="宋体"/>
                <w:kern w:val="0"/>
                <w:szCs w:val="21"/>
              </w:rPr>
            </w:pPr>
            <w:r>
              <w:rPr>
                <w:rFonts w:hint="eastAsia" w:ascii="宋体" w:hAnsi="宋体"/>
                <w:kern w:val="0"/>
                <w:szCs w:val="21"/>
              </w:rPr>
              <w:t>…</w:t>
            </w:r>
          </w:p>
        </w:tc>
        <w:tc>
          <w:tcPr>
            <w:tcW w:w="4488" w:type="dxa"/>
            <w:tcBorders>
              <w:top w:val="nil"/>
              <w:left w:val="nil"/>
              <w:bottom w:val="single" w:color="auto" w:sz="4" w:space="0"/>
              <w:right w:val="single" w:color="auto" w:sz="4" w:space="0"/>
            </w:tcBorders>
            <w:vAlign w:val="center"/>
          </w:tcPr>
          <w:p w14:paraId="4AD6BF6B">
            <w:pPr>
              <w:rPr>
                <w:rFonts w:ascii="宋体" w:hAnsi="宋体"/>
                <w:kern w:val="0"/>
                <w:szCs w:val="21"/>
              </w:rPr>
            </w:pPr>
            <w:r>
              <w:rPr>
                <w:rFonts w:hint="eastAsia" w:ascii="宋体" w:hAnsi="宋体"/>
                <w:kern w:val="0"/>
                <w:szCs w:val="21"/>
              </w:rPr>
              <w:t>…</w:t>
            </w:r>
          </w:p>
        </w:tc>
        <w:tc>
          <w:tcPr>
            <w:tcW w:w="1602" w:type="dxa"/>
            <w:tcBorders>
              <w:top w:val="nil"/>
              <w:left w:val="nil"/>
              <w:bottom w:val="single" w:color="auto" w:sz="4" w:space="0"/>
              <w:right w:val="single" w:color="auto" w:sz="4" w:space="0"/>
            </w:tcBorders>
            <w:vAlign w:val="center"/>
          </w:tcPr>
          <w:p w14:paraId="6AA15D4D">
            <w:pPr>
              <w:rPr>
                <w:rFonts w:ascii="宋体" w:hAnsi="宋体"/>
                <w:kern w:val="0"/>
                <w:szCs w:val="21"/>
              </w:rPr>
            </w:pPr>
            <w:r>
              <w:rPr>
                <w:rFonts w:hint="eastAsia" w:ascii="宋体" w:hAnsi="宋体"/>
                <w:kern w:val="0"/>
                <w:szCs w:val="21"/>
              </w:rPr>
              <w:t>　</w:t>
            </w:r>
          </w:p>
        </w:tc>
        <w:tc>
          <w:tcPr>
            <w:tcW w:w="1575" w:type="dxa"/>
            <w:tcBorders>
              <w:top w:val="nil"/>
              <w:left w:val="nil"/>
              <w:bottom w:val="single" w:color="auto" w:sz="4" w:space="0"/>
              <w:right w:val="single" w:color="auto" w:sz="4" w:space="0"/>
            </w:tcBorders>
            <w:vAlign w:val="center"/>
          </w:tcPr>
          <w:p w14:paraId="4A063C15">
            <w:pPr>
              <w:rPr>
                <w:rFonts w:ascii="宋体" w:hAnsi="宋体"/>
                <w:kern w:val="0"/>
                <w:szCs w:val="21"/>
              </w:rPr>
            </w:pPr>
            <w:r>
              <w:rPr>
                <w:rFonts w:hint="eastAsia" w:ascii="宋体" w:hAnsi="宋体"/>
                <w:kern w:val="0"/>
                <w:szCs w:val="21"/>
              </w:rPr>
              <w:t>　</w:t>
            </w:r>
          </w:p>
        </w:tc>
        <w:tc>
          <w:tcPr>
            <w:tcW w:w="1575" w:type="dxa"/>
            <w:tcBorders>
              <w:top w:val="nil"/>
              <w:left w:val="nil"/>
              <w:bottom w:val="single" w:color="auto" w:sz="4" w:space="0"/>
              <w:right w:val="single" w:color="auto" w:sz="4" w:space="0"/>
            </w:tcBorders>
            <w:vAlign w:val="center"/>
          </w:tcPr>
          <w:p w14:paraId="4240F556">
            <w:pPr>
              <w:rPr>
                <w:rFonts w:ascii="宋体" w:hAnsi="宋体"/>
                <w:kern w:val="0"/>
                <w:szCs w:val="21"/>
              </w:rPr>
            </w:pPr>
            <w:r>
              <w:rPr>
                <w:rFonts w:hint="eastAsia" w:ascii="宋体" w:hAnsi="宋体"/>
                <w:kern w:val="0"/>
                <w:szCs w:val="21"/>
              </w:rPr>
              <w:t>　</w:t>
            </w:r>
          </w:p>
        </w:tc>
        <w:tc>
          <w:tcPr>
            <w:tcW w:w="1470" w:type="dxa"/>
            <w:tcBorders>
              <w:top w:val="nil"/>
              <w:left w:val="nil"/>
              <w:bottom w:val="single" w:color="auto" w:sz="4" w:space="0"/>
              <w:right w:val="single" w:color="auto" w:sz="4" w:space="0"/>
            </w:tcBorders>
            <w:vAlign w:val="center"/>
          </w:tcPr>
          <w:p w14:paraId="20859757">
            <w:pPr>
              <w:rPr>
                <w:rFonts w:ascii="宋体" w:hAnsi="宋体"/>
                <w:kern w:val="0"/>
                <w:szCs w:val="21"/>
              </w:rPr>
            </w:pPr>
            <w:r>
              <w:rPr>
                <w:rFonts w:hint="eastAsia" w:ascii="宋体" w:hAnsi="宋体"/>
                <w:kern w:val="0"/>
                <w:szCs w:val="21"/>
              </w:rPr>
              <w:t>　</w:t>
            </w:r>
          </w:p>
        </w:tc>
        <w:tc>
          <w:tcPr>
            <w:tcW w:w="3465" w:type="dxa"/>
            <w:tcBorders>
              <w:top w:val="single" w:color="auto" w:sz="4" w:space="0"/>
              <w:left w:val="nil"/>
              <w:bottom w:val="single" w:color="auto" w:sz="4" w:space="0"/>
              <w:right w:val="single" w:color="auto" w:sz="4" w:space="0"/>
            </w:tcBorders>
            <w:vAlign w:val="center"/>
          </w:tcPr>
          <w:p w14:paraId="17390FEB">
            <w:pPr>
              <w:rPr>
                <w:rFonts w:ascii="宋体" w:hAnsi="宋体"/>
                <w:kern w:val="0"/>
                <w:szCs w:val="21"/>
              </w:rPr>
            </w:pPr>
          </w:p>
        </w:tc>
      </w:tr>
      <w:tr w14:paraId="2719D9D1">
        <w:tblPrEx>
          <w:tblCellMar>
            <w:top w:w="0" w:type="dxa"/>
            <w:left w:w="108" w:type="dxa"/>
            <w:bottom w:w="0" w:type="dxa"/>
            <w:right w:w="108" w:type="dxa"/>
          </w:tblCellMar>
        </w:tblPrEx>
        <w:trPr>
          <w:trHeight w:val="600" w:hRule="atLeast"/>
        </w:trPr>
        <w:tc>
          <w:tcPr>
            <w:tcW w:w="645" w:type="dxa"/>
            <w:tcBorders>
              <w:top w:val="nil"/>
              <w:left w:val="single" w:color="auto" w:sz="4" w:space="0"/>
              <w:bottom w:val="single" w:color="auto" w:sz="4" w:space="0"/>
              <w:right w:val="single" w:color="auto" w:sz="4" w:space="0"/>
            </w:tcBorders>
            <w:vAlign w:val="center"/>
          </w:tcPr>
          <w:p w14:paraId="6D72ABEF">
            <w:pPr>
              <w:rPr>
                <w:rFonts w:ascii="宋体" w:hAnsi="宋体"/>
                <w:kern w:val="0"/>
                <w:szCs w:val="21"/>
              </w:rPr>
            </w:pPr>
            <w:r>
              <w:rPr>
                <w:rFonts w:hint="eastAsia" w:ascii="宋体" w:hAnsi="宋体"/>
                <w:kern w:val="0"/>
                <w:szCs w:val="21"/>
              </w:rPr>
              <w:t>…</w:t>
            </w:r>
          </w:p>
        </w:tc>
        <w:tc>
          <w:tcPr>
            <w:tcW w:w="4488" w:type="dxa"/>
            <w:tcBorders>
              <w:top w:val="nil"/>
              <w:left w:val="nil"/>
              <w:bottom w:val="single" w:color="auto" w:sz="4" w:space="0"/>
              <w:right w:val="single" w:color="auto" w:sz="4" w:space="0"/>
            </w:tcBorders>
            <w:vAlign w:val="center"/>
          </w:tcPr>
          <w:p w14:paraId="0DCA2D6E">
            <w:pPr>
              <w:rPr>
                <w:rFonts w:ascii="宋体" w:hAnsi="宋体"/>
                <w:kern w:val="0"/>
                <w:szCs w:val="21"/>
              </w:rPr>
            </w:pPr>
            <w:r>
              <w:rPr>
                <w:rFonts w:hint="eastAsia" w:ascii="宋体" w:hAnsi="宋体"/>
                <w:kern w:val="0"/>
                <w:szCs w:val="21"/>
              </w:rPr>
              <w:t>…</w:t>
            </w:r>
          </w:p>
        </w:tc>
        <w:tc>
          <w:tcPr>
            <w:tcW w:w="1602" w:type="dxa"/>
            <w:tcBorders>
              <w:top w:val="nil"/>
              <w:left w:val="nil"/>
              <w:bottom w:val="single" w:color="auto" w:sz="4" w:space="0"/>
              <w:right w:val="single" w:color="auto" w:sz="4" w:space="0"/>
            </w:tcBorders>
            <w:vAlign w:val="center"/>
          </w:tcPr>
          <w:p w14:paraId="7DA0408D">
            <w:pPr>
              <w:rPr>
                <w:rFonts w:ascii="宋体" w:hAnsi="宋体"/>
                <w:kern w:val="0"/>
                <w:szCs w:val="21"/>
              </w:rPr>
            </w:pPr>
            <w:r>
              <w:rPr>
                <w:rFonts w:hint="eastAsia" w:ascii="宋体" w:hAnsi="宋体"/>
                <w:kern w:val="0"/>
                <w:szCs w:val="21"/>
              </w:rPr>
              <w:t>　</w:t>
            </w:r>
          </w:p>
        </w:tc>
        <w:tc>
          <w:tcPr>
            <w:tcW w:w="1575" w:type="dxa"/>
            <w:tcBorders>
              <w:top w:val="nil"/>
              <w:left w:val="nil"/>
              <w:bottom w:val="single" w:color="auto" w:sz="4" w:space="0"/>
              <w:right w:val="single" w:color="auto" w:sz="4" w:space="0"/>
            </w:tcBorders>
            <w:vAlign w:val="center"/>
          </w:tcPr>
          <w:p w14:paraId="04AD57F0">
            <w:pPr>
              <w:rPr>
                <w:rFonts w:ascii="宋体" w:hAnsi="宋体"/>
                <w:kern w:val="0"/>
                <w:szCs w:val="21"/>
              </w:rPr>
            </w:pPr>
            <w:r>
              <w:rPr>
                <w:rFonts w:hint="eastAsia" w:ascii="宋体" w:hAnsi="宋体"/>
                <w:kern w:val="0"/>
                <w:szCs w:val="21"/>
              </w:rPr>
              <w:t>　</w:t>
            </w:r>
          </w:p>
        </w:tc>
        <w:tc>
          <w:tcPr>
            <w:tcW w:w="1575" w:type="dxa"/>
            <w:tcBorders>
              <w:top w:val="nil"/>
              <w:left w:val="nil"/>
              <w:bottom w:val="single" w:color="auto" w:sz="4" w:space="0"/>
              <w:right w:val="single" w:color="auto" w:sz="4" w:space="0"/>
            </w:tcBorders>
            <w:vAlign w:val="center"/>
          </w:tcPr>
          <w:p w14:paraId="77721582">
            <w:pPr>
              <w:rPr>
                <w:rFonts w:ascii="宋体" w:hAnsi="宋体"/>
                <w:kern w:val="0"/>
                <w:szCs w:val="21"/>
              </w:rPr>
            </w:pPr>
            <w:r>
              <w:rPr>
                <w:rFonts w:hint="eastAsia" w:ascii="宋体" w:hAnsi="宋体"/>
                <w:kern w:val="0"/>
                <w:szCs w:val="21"/>
              </w:rPr>
              <w:t>　</w:t>
            </w:r>
          </w:p>
        </w:tc>
        <w:tc>
          <w:tcPr>
            <w:tcW w:w="1470" w:type="dxa"/>
            <w:tcBorders>
              <w:top w:val="nil"/>
              <w:left w:val="nil"/>
              <w:bottom w:val="single" w:color="auto" w:sz="4" w:space="0"/>
              <w:right w:val="single" w:color="auto" w:sz="4" w:space="0"/>
            </w:tcBorders>
            <w:vAlign w:val="center"/>
          </w:tcPr>
          <w:p w14:paraId="4A499570">
            <w:pPr>
              <w:rPr>
                <w:rFonts w:ascii="宋体" w:hAnsi="宋体"/>
                <w:kern w:val="0"/>
                <w:szCs w:val="21"/>
              </w:rPr>
            </w:pPr>
            <w:r>
              <w:rPr>
                <w:rFonts w:hint="eastAsia" w:ascii="宋体" w:hAnsi="宋体"/>
                <w:kern w:val="0"/>
                <w:szCs w:val="21"/>
              </w:rPr>
              <w:t>　</w:t>
            </w:r>
          </w:p>
        </w:tc>
        <w:tc>
          <w:tcPr>
            <w:tcW w:w="3465" w:type="dxa"/>
            <w:tcBorders>
              <w:top w:val="single" w:color="auto" w:sz="4" w:space="0"/>
              <w:left w:val="nil"/>
              <w:bottom w:val="single" w:color="auto" w:sz="4" w:space="0"/>
              <w:right w:val="single" w:color="auto" w:sz="4" w:space="0"/>
            </w:tcBorders>
            <w:vAlign w:val="center"/>
          </w:tcPr>
          <w:p w14:paraId="6D5D7274">
            <w:pPr>
              <w:rPr>
                <w:rFonts w:ascii="宋体" w:hAnsi="宋体"/>
                <w:kern w:val="0"/>
                <w:szCs w:val="21"/>
              </w:rPr>
            </w:pPr>
          </w:p>
        </w:tc>
      </w:tr>
      <w:tr w14:paraId="73ABDF75">
        <w:tblPrEx>
          <w:tblCellMar>
            <w:top w:w="0" w:type="dxa"/>
            <w:left w:w="108" w:type="dxa"/>
            <w:bottom w:w="0" w:type="dxa"/>
            <w:right w:w="108" w:type="dxa"/>
          </w:tblCellMar>
        </w:tblPrEx>
        <w:trPr>
          <w:trHeight w:val="600" w:hRule="atLeast"/>
        </w:trPr>
        <w:tc>
          <w:tcPr>
            <w:tcW w:w="645" w:type="dxa"/>
            <w:tcBorders>
              <w:top w:val="nil"/>
              <w:left w:val="single" w:color="auto" w:sz="4" w:space="0"/>
              <w:bottom w:val="single" w:color="auto" w:sz="4" w:space="0"/>
              <w:right w:val="single" w:color="auto" w:sz="4" w:space="0"/>
            </w:tcBorders>
            <w:vAlign w:val="center"/>
          </w:tcPr>
          <w:p w14:paraId="508FBA7E">
            <w:pPr>
              <w:rPr>
                <w:rFonts w:ascii="宋体" w:hAnsi="宋体"/>
                <w:kern w:val="0"/>
                <w:szCs w:val="21"/>
              </w:rPr>
            </w:pPr>
            <w:r>
              <w:rPr>
                <w:rFonts w:ascii="宋体" w:hAnsi="宋体"/>
                <w:kern w:val="0"/>
                <w:szCs w:val="21"/>
              </w:rPr>
              <w:t>n</w:t>
            </w:r>
          </w:p>
        </w:tc>
        <w:tc>
          <w:tcPr>
            <w:tcW w:w="4488" w:type="dxa"/>
            <w:tcBorders>
              <w:top w:val="nil"/>
              <w:left w:val="nil"/>
              <w:bottom w:val="single" w:color="auto" w:sz="4" w:space="0"/>
              <w:right w:val="single" w:color="auto" w:sz="4" w:space="0"/>
            </w:tcBorders>
            <w:vAlign w:val="center"/>
          </w:tcPr>
          <w:p w14:paraId="7652906D">
            <w:pPr>
              <w:rPr>
                <w:rFonts w:ascii="宋体" w:hAnsi="宋体"/>
                <w:kern w:val="0"/>
                <w:szCs w:val="21"/>
              </w:rPr>
            </w:pPr>
            <w:r>
              <w:rPr>
                <w:rFonts w:ascii="宋体" w:hAnsi="宋体"/>
                <w:kern w:val="0"/>
                <w:szCs w:val="21"/>
              </w:rPr>
              <w:t>[</w:t>
            </w:r>
            <w:r>
              <w:rPr>
                <w:rFonts w:hint="eastAsia" w:ascii="宋体" w:hAnsi="宋体"/>
                <w:kern w:val="0"/>
                <w:szCs w:val="21"/>
              </w:rPr>
              <w:t>单位工程</w:t>
            </w:r>
            <w:r>
              <w:rPr>
                <w:rFonts w:ascii="宋体" w:hAnsi="宋体"/>
                <w:kern w:val="0"/>
                <w:szCs w:val="21"/>
              </w:rPr>
              <w:t>n]</w:t>
            </w:r>
          </w:p>
        </w:tc>
        <w:tc>
          <w:tcPr>
            <w:tcW w:w="1602" w:type="dxa"/>
            <w:tcBorders>
              <w:top w:val="nil"/>
              <w:left w:val="nil"/>
              <w:bottom w:val="single" w:color="auto" w:sz="4" w:space="0"/>
              <w:right w:val="single" w:color="auto" w:sz="4" w:space="0"/>
            </w:tcBorders>
            <w:vAlign w:val="center"/>
          </w:tcPr>
          <w:p w14:paraId="214A11B3">
            <w:pPr>
              <w:rPr>
                <w:rFonts w:ascii="宋体" w:hAnsi="宋体"/>
                <w:kern w:val="0"/>
                <w:szCs w:val="21"/>
              </w:rPr>
            </w:pPr>
            <w:r>
              <w:rPr>
                <w:rFonts w:hint="eastAsia" w:ascii="宋体" w:hAnsi="宋体"/>
                <w:kern w:val="0"/>
                <w:szCs w:val="21"/>
              </w:rPr>
              <w:t>　</w:t>
            </w:r>
          </w:p>
        </w:tc>
        <w:tc>
          <w:tcPr>
            <w:tcW w:w="1575" w:type="dxa"/>
            <w:tcBorders>
              <w:top w:val="nil"/>
              <w:left w:val="nil"/>
              <w:bottom w:val="single" w:color="auto" w:sz="4" w:space="0"/>
              <w:right w:val="single" w:color="auto" w:sz="4" w:space="0"/>
            </w:tcBorders>
            <w:vAlign w:val="center"/>
          </w:tcPr>
          <w:p w14:paraId="4E380DC8">
            <w:pPr>
              <w:rPr>
                <w:rFonts w:ascii="宋体" w:hAnsi="宋体"/>
                <w:kern w:val="0"/>
                <w:szCs w:val="21"/>
              </w:rPr>
            </w:pPr>
            <w:r>
              <w:rPr>
                <w:rFonts w:hint="eastAsia" w:ascii="宋体" w:hAnsi="宋体"/>
                <w:kern w:val="0"/>
                <w:szCs w:val="21"/>
              </w:rPr>
              <w:t>　</w:t>
            </w:r>
          </w:p>
        </w:tc>
        <w:tc>
          <w:tcPr>
            <w:tcW w:w="1575" w:type="dxa"/>
            <w:tcBorders>
              <w:top w:val="nil"/>
              <w:left w:val="nil"/>
              <w:bottom w:val="single" w:color="auto" w:sz="4" w:space="0"/>
              <w:right w:val="single" w:color="auto" w:sz="4" w:space="0"/>
            </w:tcBorders>
            <w:vAlign w:val="center"/>
          </w:tcPr>
          <w:p w14:paraId="51483482">
            <w:pPr>
              <w:rPr>
                <w:rFonts w:ascii="宋体" w:hAnsi="宋体"/>
                <w:kern w:val="0"/>
                <w:szCs w:val="21"/>
              </w:rPr>
            </w:pPr>
            <w:r>
              <w:rPr>
                <w:rFonts w:hint="eastAsia" w:ascii="宋体" w:hAnsi="宋体"/>
                <w:kern w:val="0"/>
                <w:szCs w:val="21"/>
              </w:rPr>
              <w:t>　</w:t>
            </w:r>
          </w:p>
        </w:tc>
        <w:tc>
          <w:tcPr>
            <w:tcW w:w="1470" w:type="dxa"/>
            <w:tcBorders>
              <w:top w:val="nil"/>
              <w:left w:val="nil"/>
              <w:bottom w:val="single" w:color="auto" w:sz="4" w:space="0"/>
              <w:right w:val="single" w:color="auto" w:sz="4" w:space="0"/>
            </w:tcBorders>
            <w:vAlign w:val="center"/>
          </w:tcPr>
          <w:p w14:paraId="35CEB2A3">
            <w:pPr>
              <w:rPr>
                <w:rFonts w:ascii="宋体" w:hAnsi="宋体"/>
                <w:kern w:val="0"/>
                <w:szCs w:val="21"/>
              </w:rPr>
            </w:pPr>
            <w:r>
              <w:rPr>
                <w:rFonts w:hint="eastAsia" w:ascii="宋体" w:hAnsi="宋体"/>
                <w:kern w:val="0"/>
                <w:szCs w:val="21"/>
              </w:rPr>
              <w:t>　</w:t>
            </w:r>
          </w:p>
        </w:tc>
        <w:tc>
          <w:tcPr>
            <w:tcW w:w="3465" w:type="dxa"/>
            <w:tcBorders>
              <w:top w:val="single" w:color="auto" w:sz="4" w:space="0"/>
              <w:left w:val="nil"/>
              <w:bottom w:val="single" w:color="auto" w:sz="4" w:space="0"/>
              <w:right w:val="single" w:color="auto" w:sz="4" w:space="0"/>
            </w:tcBorders>
            <w:vAlign w:val="center"/>
          </w:tcPr>
          <w:p w14:paraId="1386555C">
            <w:pPr>
              <w:rPr>
                <w:rFonts w:ascii="宋体" w:hAnsi="宋体"/>
                <w:kern w:val="0"/>
                <w:szCs w:val="21"/>
              </w:rPr>
            </w:pPr>
          </w:p>
        </w:tc>
      </w:tr>
      <w:tr w14:paraId="33334E11">
        <w:tblPrEx>
          <w:tblCellMar>
            <w:top w:w="0" w:type="dxa"/>
            <w:left w:w="108" w:type="dxa"/>
            <w:bottom w:w="0" w:type="dxa"/>
            <w:right w:w="108" w:type="dxa"/>
          </w:tblCellMar>
        </w:tblPrEx>
        <w:trPr>
          <w:trHeight w:val="600" w:hRule="atLeast"/>
        </w:trPr>
        <w:tc>
          <w:tcPr>
            <w:tcW w:w="645" w:type="dxa"/>
            <w:tcBorders>
              <w:top w:val="nil"/>
              <w:left w:val="single" w:color="auto" w:sz="4" w:space="0"/>
              <w:bottom w:val="single" w:color="auto" w:sz="4" w:space="0"/>
              <w:right w:val="single" w:color="auto" w:sz="4" w:space="0"/>
            </w:tcBorders>
            <w:vAlign w:val="center"/>
          </w:tcPr>
          <w:p w14:paraId="71023D3F">
            <w:pPr>
              <w:rPr>
                <w:rFonts w:ascii="宋体" w:hAnsi="宋体"/>
                <w:kern w:val="0"/>
                <w:szCs w:val="21"/>
              </w:rPr>
            </w:pPr>
            <w:r>
              <w:rPr>
                <w:rFonts w:hint="eastAsia" w:ascii="宋体" w:hAnsi="宋体"/>
                <w:kern w:val="0"/>
                <w:szCs w:val="21"/>
              </w:rPr>
              <w:t>∑</w:t>
            </w:r>
          </w:p>
        </w:tc>
        <w:tc>
          <w:tcPr>
            <w:tcW w:w="4488" w:type="dxa"/>
            <w:tcBorders>
              <w:top w:val="nil"/>
              <w:left w:val="nil"/>
              <w:bottom w:val="single" w:color="auto" w:sz="4" w:space="0"/>
              <w:right w:val="single" w:color="auto" w:sz="4" w:space="0"/>
            </w:tcBorders>
            <w:vAlign w:val="center"/>
          </w:tcPr>
          <w:p w14:paraId="5055EB8B">
            <w:pPr>
              <w:rPr>
                <w:rFonts w:ascii="宋体" w:hAnsi="宋体"/>
                <w:kern w:val="0"/>
                <w:szCs w:val="21"/>
              </w:rPr>
            </w:pPr>
            <w:r>
              <w:rPr>
                <w:rFonts w:hint="eastAsia" w:ascii="宋体" w:hAnsi="宋体"/>
                <w:kern w:val="0"/>
                <w:szCs w:val="21"/>
              </w:rPr>
              <w:t>投标总报价</w:t>
            </w:r>
          </w:p>
        </w:tc>
        <w:tc>
          <w:tcPr>
            <w:tcW w:w="1602" w:type="dxa"/>
            <w:tcBorders>
              <w:top w:val="nil"/>
              <w:left w:val="nil"/>
              <w:bottom w:val="single" w:color="auto" w:sz="4" w:space="0"/>
              <w:right w:val="single" w:color="auto" w:sz="4" w:space="0"/>
            </w:tcBorders>
            <w:vAlign w:val="center"/>
          </w:tcPr>
          <w:p w14:paraId="007A4CBB">
            <w:pPr>
              <w:rPr>
                <w:rFonts w:ascii="宋体" w:hAnsi="宋体"/>
                <w:kern w:val="0"/>
                <w:szCs w:val="21"/>
              </w:rPr>
            </w:pPr>
            <w:r>
              <w:rPr>
                <w:rFonts w:hint="eastAsia" w:ascii="宋体" w:hAnsi="宋体"/>
                <w:kern w:val="0"/>
                <w:szCs w:val="21"/>
              </w:rPr>
              <w:t>　</w:t>
            </w:r>
          </w:p>
        </w:tc>
        <w:tc>
          <w:tcPr>
            <w:tcW w:w="1575" w:type="dxa"/>
            <w:tcBorders>
              <w:top w:val="nil"/>
              <w:left w:val="nil"/>
              <w:bottom w:val="single" w:color="auto" w:sz="4" w:space="0"/>
              <w:right w:val="single" w:color="auto" w:sz="4" w:space="0"/>
            </w:tcBorders>
            <w:vAlign w:val="center"/>
          </w:tcPr>
          <w:p w14:paraId="5485AB84">
            <w:pPr>
              <w:rPr>
                <w:rFonts w:ascii="宋体" w:hAnsi="宋体"/>
                <w:kern w:val="0"/>
                <w:szCs w:val="21"/>
              </w:rPr>
            </w:pPr>
            <w:r>
              <w:rPr>
                <w:rFonts w:hint="eastAsia" w:ascii="宋体" w:hAnsi="宋体"/>
                <w:kern w:val="0"/>
                <w:szCs w:val="21"/>
              </w:rPr>
              <w:t>　</w:t>
            </w:r>
          </w:p>
        </w:tc>
        <w:tc>
          <w:tcPr>
            <w:tcW w:w="1575" w:type="dxa"/>
            <w:tcBorders>
              <w:top w:val="nil"/>
              <w:left w:val="nil"/>
              <w:bottom w:val="single" w:color="auto" w:sz="4" w:space="0"/>
              <w:right w:val="single" w:color="auto" w:sz="4" w:space="0"/>
              <w:tr2bl w:val="single" w:color="auto" w:sz="4" w:space="0"/>
            </w:tcBorders>
            <w:vAlign w:val="center"/>
          </w:tcPr>
          <w:p w14:paraId="29356D34">
            <w:pPr>
              <w:rPr>
                <w:rFonts w:ascii="宋体" w:hAnsi="宋体"/>
                <w:kern w:val="0"/>
                <w:szCs w:val="21"/>
              </w:rPr>
            </w:pPr>
            <w:r>
              <w:rPr>
                <w:rFonts w:hint="eastAsia" w:ascii="宋体" w:hAnsi="宋体"/>
                <w:kern w:val="0"/>
                <w:szCs w:val="21"/>
              </w:rPr>
              <w:t>　</w:t>
            </w:r>
          </w:p>
        </w:tc>
        <w:tc>
          <w:tcPr>
            <w:tcW w:w="1470" w:type="dxa"/>
            <w:tcBorders>
              <w:top w:val="nil"/>
              <w:left w:val="nil"/>
              <w:bottom w:val="single" w:color="auto" w:sz="4" w:space="0"/>
              <w:right w:val="single" w:color="auto" w:sz="4" w:space="0"/>
            </w:tcBorders>
            <w:vAlign w:val="center"/>
          </w:tcPr>
          <w:p w14:paraId="34154E3F">
            <w:pPr>
              <w:rPr>
                <w:rFonts w:ascii="宋体" w:hAnsi="宋体"/>
                <w:kern w:val="0"/>
                <w:szCs w:val="21"/>
              </w:rPr>
            </w:pPr>
            <w:r>
              <w:rPr>
                <w:rFonts w:hint="eastAsia" w:ascii="宋体" w:hAnsi="宋体"/>
                <w:kern w:val="0"/>
                <w:szCs w:val="21"/>
              </w:rPr>
              <w:t>　</w:t>
            </w:r>
          </w:p>
        </w:tc>
        <w:tc>
          <w:tcPr>
            <w:tcW w:w="3465" w:type="dxa"/>
            <w:tcBorders>
              <w:top w:val="single" w:color="auto" w:sz="4" w:space="0"/>
              <w:left w:val="nil"/>
              <w:bottom w:val="single" w:color="auto" w:sz="4" w:space="0"/>
              <w:right w:val="single" w:color="auto" w:sz="4" w:space="0"/>
            </w:tcBorders>
            <w:vAlign w:val="center"/>
          </w:tcPr>
          <w:p w14:paraId="25BAC4F7">
            <w:pPr>
              <w:rPr>
                <w:rFonts w:ascii="宋体" w:hAnsi="宋体"/>
                <w:kern w:val="0"/>
                <w:szCs w:val="21"/>
              </w:rPr>
            </w:pPr>
            <w:r>
              <w:rPr>
                <w:rFonts w:hint="eastAsia" w:ascii="宋体" w:hAnsi="宋体"/>
                <w:kern w:val="0"/>
                <w:szCs w:val="21"/>
              </w:rPr>
              <w:t>∑</w:t>
            </w:r>
            <w:r>
              <w:rPr>
                <w:rFonts w:ascii="宋体" w:hAnsi="宋体"/>
                <w:kern w:val="0"/>
                <w:szCs w:val="21"/>
              </w:rPr>
              <w:t>A=A</w:t>
            </w:r>
            <w:r>
              <w:rPr>
                <w:rFonts w:ascii="宋体" w:hAnsi="宋体"/>
                <w:kern w:val="0"/>
                <w:szCs w:val="21"/>
                <w:vertAlign w:val="subscript"/>
              </w:rPr>
              <w:t>1</w:t>
            </w:r>
            <w:r>
              <w:rPr>
                <w:rFonts w:ascii="宋体" w:hAnsi="宋体"/>
                <w:kern w:val="0"/>
                <w:szCs w:val="21"/>
              </w:rPr>
              <w:t>+A</w:t>
            </w:r>
            <w:r>
              <w:rPr>
                <w:rFonts w:ascii="宋体" w:hAnsi="宋体"/>
                <w:kern w:val="0"/>
                <w:szCs w:val="21"/>
                <w:vertAlign w:val="subscript"/>
              </w:rPr>
              <w:t>2</w:t>
            </w:r>
            <w:r>
              <w:rPr>
                <w:rFonts w:ascii="宋体" w:hAnsi="宋体"/>
                <w:kern w:val="0"/>
                <w:szCs w:val="21"/>
              </w:rPr>
              <w:t>+</w:t>
            </w:r>
            <w:r>
              <w:rPr>
                <w:rFonts w:hint="eastAsia" w:ascii="宋体" w:hAnsi="宋体"/>
                <w:kern w:val="0"/>
                <w:szCs w:val="21"/>
              </w:rPr>
              <w:t>…</w:t>
            </w:r>
            <w:r>
              <w:rPr>
                <w:rFonts w:ascii="宋体" w:hAnsi="宋体"/>
                <w:kern w:val="0"/>
                <w:szCs w:val="21"/>
              </w:rPr>
              <w:t>An</w:t>
            </w:r>
            <w:r>
              <w:rPr>
                <w:rFonts w:hint="eastAsia" w:ascii="宋体" w:hAnsi="宋体"/>
                <w:kern w:val="0"/>
                <w:szCs w:val="21"/>
              </w:rPr>
              <w:t>；∑</w:t>
            </w:r>
            <w:r>
              <w:rPr>
                <w:rFonts w:ascii="宋体" w:hAnsi="宋体"/>
                <w:kern w:val="0"/>
                <w:szCs w:val="21"/>
              </w:rPr>
              <w:t>B=B</w:t>
            </w:r>
            <w:r>
              <w:rPr>
                <w:rFonts w:ascii="宋体" w:hAnsi="宋体"/>
                <w:kern w:val="0"/>
                <w:szCs w:val="21"/>
                <w:vertAlign w:val="subscript"/>
              </w:rPr>
              <w:t>1</w:t>
            </w:r>
            <w:r>
              <w:rPr>
                <w:rFonts w:ascii="宋体" w:hAnsi="宋体"/>
                <w:kern w:val="0"/>
                <w:szCs w:val="21"/>
              </w:rPr>
              <w:t>+B</w:t>
            </w:r>
            <w:r>
              <w:rPr>
                <w:rFonts w:ascii="宋体" w:hAnsi="宋体"/>
                <w:kern w:val="0"/>
                <w:szCs w:val="21"/>
                <w:vertAlign w:val="subscript"/>
              </w:rPr>
              <w:t>2</w:t>
            </w:r>
            <w:r>
              <w:rPr>
                <w:rFonts w:ascii="宋体" w:hAnsi="宋体"/>
                <w:kern w:val="0"/>
                <w:szCs w:val="21"/>
              </w:rPr>
              <w:t>+</w:t>
            </w:r>
            <w:r>
              <w:rPr>
                <w:rFonts w:hint="eastAsia" w:ascii="宋体" w:hAnsi="宋体"/>
                <w:kern w:val="0"/>
                <w:szCs w:val="21"/>
              </w:rPr>
              <w:t>…</w:t>
            </w:r>
            <w:r>
              <w:rPr>
                <w:rFonts w:ascii="宋体" w:hAnsi="宋体"/>
                <w:kern w:val="0"/>
                <w:szCs w:val="21"/>
              </w:rPr>
              <w:t>Bn</w:t>
            </w:r>
          </w:p>
        </w:tc>
      </w:tr>
    </w:tbl>
    <w:p w14:paraId="1775F4CB">
      <w:pPr>
        <w:rPr>
          <w:rFonts w:cs="宋体"/>
          <w:kern w:val="0"/>
          <w:szCs w:val="21"/>
        </w:rPr>
      </w:pPr>
      <w:r>
        <w:rPr>
          <w:rFonts w:hint="eastAsia" w:cs="宋体"/>
          <w:kern w:val="0"/>
          <w:szCs w:val="21"/>
        </w:rPr>
        <w:t>修正原则：</w:t>
      </w:r>
      <w:r>
        <w:rPr>
          <w:rFonts w:hint="eastAsia"/>
          <w:szCs w:val="21"/>
        </w:rPr>
        <w:t>按就低不就高原则，当修正后报价小于原报价，总价按修正后报价；当修正后报价大于原报价，总价按原报价，并在签订合同时载明在结算价中扣除修正报价与原报价的差额。</w:t>
      </w:r>
      <w:r>
        <w:rPr>
          <w:rFonts w:cs="宋体"/>
          <w:kern w:val="0"/>
          <w:szCs w:val="21"/>
        </w:rPr>
        <w:tab/>
      </w:r>
    </w:p>
    <w:p w14:paraId="317E6F61">
      <w:pPr>
        <w:rPr>
          <w:kern w:val="0"/>
          <w:szCs w:val="21"/>
        </w:rPr>
      </w:pPr>
      <w:r>
        <w:rPr>
          <w:rFonts w:hint="eastAsia"/>
          <w:kern w:val="0"/>
          <w:szCs w:val="21"/>
        </w:rPr>
        <w:t>评委签名：</w:t>
      </w:r>
      <w:r>
        <w:rPr>
          <w:kern w:val="0"/>
          <w:szCs w:val="21"/>
        </w:rPr>
        <w:tab/>
      </w:r>
      <w:r>
        <w:rPr>
          <w:kern w:val="0"/>
          <w:szCs w:val="21"/>
        </w:rPr>
        <w:tab/>
      </w:r>
      <w:r>
        <w:rPr>
          <w:kern w:val="0"/>
          <w:szCs w:val="21"/>
        </w:rPr>
        <w:tab/>
      </w:r>
      <w:r>
        <w:rPr>
          <w:kern w:val="0"/>
          <w:szCs w:val="21"/>
        </w:rPr>
        <w:tab/>
      </w:r>
      <w:r>
        <w:rPr>
          <w:kern w:val="0"/>
          <w:szCs w:val="21"/>
        </w:rPr>
        <w:tab/>
      </w:r>
      <w:r>
        <w:rPr>
          <w:rFonts w:hint="eastAsia"/>
          <w:kern w:val="0"/>
          <w:szCs w:val="21"/>
        </w:rPr>
        <w:t>日期：</w:t>
      </w:r>
    </w:p>
    <w:p w14:paraId="7264A4B8"/>
    <w:p w14:paraId="2C7FE0C9">
      <w:r>
        <w:br w:type="page"/>
      </w:r>
    </w:p>
    <w:p w14:paraId="5DDB6F92">
      <w:pPr>
        <w:jc w:val="center"/>
        <w:rPr>
          <w:b/>
          <w:sz w:val="36"/>
          <w:szCs w:val="36"/>
        </w:rPr>
      </w:pPr>
      <w:r>
        <w:rPr>
          <w:rFonts w:hint="eastAsia"/>
          <w:b/>
          <w:sz w:val="36"/>
          <w:szCs w:val="36"/>
        </w:rPr>
        <w:t>算术复核表</w:t>
      </w:r>
    </w:p>
    <w:p w14:paraId="3C67D627">
      <w:pPr>
        <w:rPr>
          <w:szCs w:val="21"/>
        </w:rPr>
      </w:pPr>
      <w:r>
        <w:rPr>
          <w:rFonts w:hint="eastAsia"/>
          <w:szCs w:val="21"/>
        </w:rPr>
        <w:t>工程名称：</w:t>
      </w:r>
    </w:p>
    <w:tbl>
      <w:tblPr>
        <w:tblStyle w:val="34"/>
        <w:tblW w:w="14174"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3"/>
        <w:gridCol w:w="4297"/>
        <w:gridCol w:w="2330"/>
        <w:gridCol w:w="3101"/>
        <w:gridCol w:w="3423"/>
      </w:tblGrid>
      <w:tr w14:paraId="397692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dxa"/>
            <w:tcBorders>
              <w:top w:val="single" w:color="auto" w:sz="4" w:space="0"/>
              <w:left w:val="single" w:color="auto" w:sz="4" w:space="0"/>
              <w:bottom w:val="single" w:color="auto" w:sz="4" w:space="0"/>
              <w:right w:val="single" w:color="auto" w:sz="4" w:space="0"/>
            </w:tcBorders>
          </w:tcPr>
          <w:p w14:paraId="1249DE87">
            <w:pPr>
              <w:rPr>
                <w:b/>
                <w:sz w:val="28"/>
                <w:szCs w:val="28"/>
              </w:rPr>
            </w:pPr>
            <w:r>
              <w:rPr>
                <w:rFonts w:hint="eastAsia"/>
                <w:b/>
                <w:sz w:val="28"/>
                <w:szCs w:val="28"/>
              </w:rPr>
              <w:t>编号</w:t>
            </w:r>
          </w:p>
        </w:tc>
        <w:tc>
          <w:tcPr>
            <w:tcW w:w="4297" w:type="dxa"/>
            <w:tcBorders>
              <w:top w:val="single" w:color="auto" w:sz="4" w:space="0"/>
              <w:left w:val="single" w:color="auto" w:sz="4" w:space="0"/>
              <w:bottom w:val="single" w:color="auto" w:sz="4" w:space="0"/>
              <w:right w:val="single" w:color="auto" w:sz="4" w:space="0"/>
            </w:tcBorders>
          </w:tcPr>
          <w:p w14:paraId="5AD3FD51">
            <w:pPr>
              <w:rPr>
                <w:b/>
                <w:sz w:val="28"/>
                <w:szCs w:val="28"/>
              </w:rPr>
            </w:pPr>
            <w:r>
              <w:rPr>
                <w:rFonts w:hint="eastAsia"/>
                <w:b/>
                <w:sz w:val="28"/>
                <w:szCs w:val="28"/>
              </w:rPr>
              <w:t>投标人名称</w:t>
            </w:r>
          </w:p>
        </w:tc>
        <w:tc>
          <w:tcPr>
            <w:tcW w:w="2330" w:type="dxa"/>
            <w:tcBorders>
              <w:top w:val="single" w:color="auto" w:sz="4" w:space="0"/>
              <w:left w:val="single" w:color="auto" w:sz="4" w:space="0"/>
              <w:bottom w:val="single" w:color="auto" w:sz="4" w:space="0"/>
              <w:right w:val="single" w:color="auto" w:sz="4" w:space="0"/>
            </w:tcBorders>
          </w:tcPr>
          <w:p w14:paraId="00B4E53E">
            <w:pPr>
              <w:rPr>
                <w:b/>
                <w:sz w:val="28"/>
                <w:szCs w:val="28"/>
              </w:rPr>
            </w:pPr>
            <w:r>
              <w:rPr>
                <w:rFonts w:hint="eastAsia"/>
                <w:b/>
                <w:sz w:val="28"/>
                <w:szCs w:val="28"/>
              </w:rPr>
              <w:t>原投标报价（</w:t>
            </w:r>
            <w:r>
              <w:rPr>
                <w:b/>
                <w:sz w:val="28"/>
                <w:szCs w:val="28"/>
              </w:rPr>
              <w:t>A</w:t>
            </w:r>
            <w:r>
              <w:rPr>
                <w:rFonts w:hint="eastAsia"/>
                <w:b/>
                <w:sz w:val="28"/>
                <w:szCs w:val="28"/>
              </w:rPr>
              <w:t>）</w:t>
            </w:r>
          </w:p>
        </w:tc>
        <w:tc>
          <w:tcPr>
            <w:tcW w:w="3101" w:type="dxa"/>
            <w:tcBorders>
              <w:top w:val="single" w:color="auto" w:sz="4" w:space="0"/>
              <w:left w:val="single" w:color="auto" w:sz="4" w:space="0"/>
              <w:bottom w:val="single" w:color="auto" w:sz="4" w:space="0"/>
              <w:right w:val="single" w:color="auto" w:sz="4" w:space="0"/>
            </w:tcBorders>
          </w:tcPr>
          <w:p w14:paraId="4E81E1AD">
            <w:pPr>
              <w:rPr>
                <w:b/>
                <w:sz w:val="28"/>
                <w:szCs w:val="28"/>
              </w:rPr>
            </w:pPr>
            <w:r>
              <w:rPr>
                <w:rFonts w:hint="eastAsia"/>
                <w:b/>
                <w:sz w:val="28"/>
                <w:szCs w:val="28"/>
              </w:rPr>
              <w:t>算数复核后投标报价（</w:t>
            </w:r>
            <w:r>
              <w:rPr>
                <w:b/>
                <w:sz w:val="28"/>
                <w:szCs w:val="28"/>
              </w:rPr>
              <w:t>B</w:t>
            </w:r>
            <w:r>
              <w:rPr>
                <w:rFonts w:hint="eastAsia"/>
                <w:b/>
                <w:sz w:val="28"/>
                <w:szCs w:val="28"/>
              </w:rPr>
              <w:t>）</w:t>
            </w:r>
          </w:p>
        </w:tc>
        <w:tc>
          <w:tcPr>
            <w:tcW w:w="3423" w:type="dxa"/>
            <w:tcBorders>
              <w:top w:val="single" w:color="auto" w:sz="4" w:space="0"/>
              <w:left w:val="single" w:color="auto" w:sz="4" w:space="0"/>
              <w:bottom w:val="single" w:color="auto" w:sz="4" w:space="0"/>
              <w:right w:val="single" w:color="auto" w:sz="4" w:space="0"/>
            </w:tcBorders>
          </w:tcPr>
          <w:p w14:paraId="1978365D">
            <w:pPr>
              <w:rPr>
                <w:b/>
                <w:sz w:val="28"/>
                <w:szCs w:val="28"/>
              </w:rPr>
            </w:pPr>
            <w:r>
              <w:rPr>
                <w:rFonts w:hint="eastAsia"/>
                <w:b/>
                <w:sz w:val="28"/>
                <w:szCs w:val="28"/>
              </w:rPr>
              <w:t>误差率（</w:t>
            </w:r>
            <w:r>
              <w:rPr>
                <w:b/>
                <w:sz w:val="28"/>
                <w:szCs w:val="28"/>
              </w:rPr>
              <w:t>r=|A-B|/A*100%</w:t>
            </w:r>
            <w:r>
              <w:rPr>
                <w:rFonts w:hint="eastAsia"/>
                <w:b/>
                <w:sz w:val="28"/>
                <w:szCs w:val="28"/>
              </w:rPr>
              <w:t>）</w:t>
            </w:r>
          </w:p>
        </w:tc>
      </w:tr>
      <w:tr w14:paraId="498A33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dxa"/>
            <w:tcBorders>
              <w:top w:val="single" w:color="auto" w:sz="4" w:space="0"/>
              <w:left w:val="single" w:color="auto" w:sz="4" w:space="0"/>
              <w:bottom w:val="single" w:color="auto" w:sz="4" w:space="0"/>
              <w:right w:val="single" w:color="auto" w:sz="4" w:space="0"/>
            </w:tcBorders>
          </w:tcPr>
          <w:p w14:paraId="0734EB4B">
            <w:pPr>
              <w:rPr>
                <w:sz w:val="36"/>
                <w:szCs w:val="36"/>
              </w:rPr>
            </w:pPr>
          </w:p>
        </w:tc>
        <w:tc>
          <w:tcPr>
            <w:tcW w:w="4297" w:type="dxa"/>
            <w:tcBorders>
              <w:top w:val="single" w:color="auto" w:sz="4" w:space="0"/>
              <w:left w:val="single" w:color="auto" w:sz="4" w:space="0"/>
              <w:bottom w:val="single" w:color="auto" w:sz="4" w:space="0"/>
              <w:right w:val="single" w:color="auto" w:sz="4" w:space="0"/>
            </w:tcBorders>
          </w:tcPr>
          <w:p w14:paraId="6CCAAC99">
            <w:pPr>
              <w:rPr>
                <w:sz w:val="36"/>
                <w:szCs w:val="36"/>
              </w:rPr>
            </w:pPr>
          </w:p>
        </w:tc>
        <w:tc>
          <w:tcPr>
            <w:tcW w:w="2330" w:type="dxa"/>
            <w:tcBorders>
              <w:top w:val="single" w:color="auto" w:sz="4" w:space="0"/>
              <w:left w:val="single" w:color="auto" w:sz="4" w:space="0"/>
              <w:bottom w:val="single" w:color="auto" w:sz="4" w:space="0"/>
              <w:right w:val="single" w:color="auto" w:sz="4" w:space="0"/>
            </w:tcBorders>
          </w:tcPr>
          <w:p w14:paraId="2172D5C5">
            <w:pPr>
              <w:rPr>
                <w:sz w:val="36"/>
                <w:szCs w:val="36"/>
              </w:rPr>
            </w:pPr>
          </w:p>
        </w:tc>
        <w:tc>
          <w:tcPr>
            <w:tcW w:w="3101" w:type="dxa"/>
            <w:tcBorders>
              <w:top w:val="single" w:color="auto" w:sz="4" w:space="0"/>
              <w:left w:val="single" w:color="auto" w:sz="4" w:space="0"/>
              <w:bottom w:val="single" w:color="auto" w:sz="4" w:space="0"/>
              <w:right w:val="single" w:color="auto" w:sz="4" w:space="0"/>
            </w:tcBorders>
          </w:tcPr>
          <w:p w14:paraId="3CCB8860">
            <w:pPr>
              <w:rPr>
                <w:sz w:val="36"/>
                <w:szCs w:val="36"/>
              </w:rPr>
            </w:pPr>
          </w:p>
        </w:tc>
        <w:tc>
          <w:tcPr>
            <w:tcW w:w="3423" w:type="dxa"/>
            <w:tcBorders>
              <w:top w:val="single" w:color="auto" w:sz="4" w:space="0"/>
              <w:left w:val="single" w:color="auto" w:sz="4" w:space="0"/>
              <w:bottom w:val="single" w:color="auto" w:sz="4" w:space="0"/>
              <w:right w:val="single" w:color="auto" w:sz="4" w:space="0"/>
            </w:tcBorders>
          </w:tcPr>
          <w:p w14:paraId="5FCC4354">
            <w:pPr>
              <w:rPr>
                <w:sz w:val="36"/>
                <w:szCs w:val="36"/>
              </w:rPr>
            </w:pPr>
          </w:p>
        </w:tc>
      </w:tr>
      <w:tr w14:paraId="6648C4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23" w:type="dxa"/>
            <w:tcBorders>
              <w:top w:val="single" w:color="auto" w:sz="4" w:space="0"/>
              <w:left w:val="single" w:color="auto" w:sz="4" w:space="0"/>
              <w:bottom w:val="single" w:color="auto" w:sz="4" w:space="0"/>
              <w:right w:val="single" w:color="auto" w:sz="4" w:space="0"/>
            </w:tcBorders>
          </w:tcPr>
          <w:p w14:paraId="4DCB2738">
            <w:pPr>
              <w:rPr>
                <w:sz w:val="36"/>
                <w:szCs w:val="36"/>
              </w:rPr>
            </w:pPr>
          </w:p>
        </w:tc>
        <w:tc>
          <w:tcPr>
            <w:tcW w:w="4297" w:type="dxa"/>
            <w:tcBorders>
              <w:top w:val="single" w:color="auto" w:sz="4" w:space="0"/>
              <w:left w:val="single" w:color="auto" w:sz="4" w:space="0"/>
              <w:bottom w:val="single" w:color="auto" w:sz="4" w:space="0"/>
              <w:right w:val="single" w:color="auto" w:sz="4" w:space="0"/>
            </w:tcBorders>
          </w:tcPr>
          <w:p w14:paraId="50108E1A">
            <w:pPr>
              <w:rPr>
                <w:sz w:val="36"/>
                <w:szCs w:val="36"/>
              </w:rPr>
            </w:pPr>
          </w:p>
        </w:tc>
        <w:tc>
          <w:tcPr>
            <w:tcW w:w="2330" w:type="dxa"/>
            <w:tcBorders>
              <w:top w:val="single" w:color="auto" w:sz="4" w:space="0"/>
              <w:left w:val="single" w:color="auto" w:sz="4" w:space="0"/>
              <w:bottom w:val="single" w:color="auto" w:sz="4" w:space="0"/>
              <w:right w:val="single" w:color="auto" w:sz="4" w:space="0"/>
            </w:tcBorders>
          </w:tcPr>
          <w:p w14:paraId="1EA27DB1">
            <w:pPr>
              <w:rPr>
                <w:sz w:val="36"/>
                <w:szCs w:val="36"/>
              </w:rPr>
            </w:pPr>
          </w:p>
        </w:tc>
        <w:tc>
          <w:tcPr>
            <w:tcW w:w="3101" w:type="dxa"/>
            <w:tcBorders>
              <w:top w:val="single" w:color="auto" w:sz="4" w:space="0"/>
              <w:left w:val="single" w:color="auto" w:sz="4" w:space="0"/>
              <w:bottom w:val="single" w:color="auto" w:sz="4" w:space="0"/>
              <w:right w:val="single" w:color="auto" w:sz="4" w:space="0"/>
            </w:tcBorders>
          </w:tcPr>
          <w:p w14:paraId="254D107B">
            <w:pPr>
              <w:rPr>
                <w:sz w:val="36"/>
                <w:szCs w:val="36"/>
              </w:rPr>
            </w:pPr>
          </w:p>
        </w:tc>
        <w:tc>
          <w:tcPr>
            <w:tcW w:w="3423" w:type="dxa"/>
            <w:tcBorders>
              <w:top w:val="single" w:color="auto" w:sz="4" w:space="0"/>
              <w:left w:val="single" w:color="auto" w:sz="4" w:space="0"/>
              <w:bottom w:val="single" w:color="auto" w:sz="4" w:space="0"/>
              <w:right w:val="single" w:color="auto" w:sz="4" w:space="0"/>
            </w:tcBorders>
          </w:tcPr>
          <w:p w14:paraId="338C9EF3">
            <w:pPr>
              <w:rPr>
                <w:sz w:val="36"/>
                <w:szCs w:val="36"/>
              </w:rPr>
            </w:pPr>
          </w:p>
        </w:tc>
      </w:tr>
      <w:tr w14:paraId="035399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dxa"/>
            <w:tcBorders>
              <w:top w:val="single" w:color="auto" w:sz="4" w:space="0"/>
              <w:left w:val="single" w:color="auto" w:sz="4" w:space="0"/>
              <w:bottom w:val="single" w:color="auto" w:sz="4" w:space="0"/>
              <w:right w:val="single" w:color="auto" w:sz="4" w:space="0"/>
            </w:tcBorders>
          </w:tcPr>
          <w:p w14:paraId="550C9871">
            <w:pPr>
              <w:rPr>
                <w:sz w:val="36"/>
                <w:szCs w:val="36"/>
              </w:rPr>
            </w:pPr>
          </w:p>
        </w:tc>
        <w:tc>
          <w:tcPr>
            <w:tcW w:w="4297" w:type="dxa"/>
            <w:tcBorders>
              <w:top w:val="single" w:color="auto" w:sz="4" w:space="0"/>
              <w:left w:val="single" w:color="auto" w:sz="4" w:space="0"/>
              <w:bottom w:val="single" w:color="auto" w:sz="4" w:space="0"/>
              <w:right w:val="single" w:color="auto" w:sz="4" w:space="0"/>
            </w:tcBorders>
          </w:tcPr>
          <w:p w14:paraId="0A1AB3BA">
            <w:pPr>
              <w:rPr>
                <w:sz w:val="36"/>
                <w:szCs w:val="36"/>
              </w:rPr>
            </w:pPr>
          </w:p>
        </w:tc>
        <w:tc>
          <w:tcPr>
            <w:tcW w:w="2330" w:type="dxa"/>
            <w:tcBorders>
              <w:top w:val="single" w:color="auto" w:sz="4" w:space="0"/>
              <w:left w:val="single" w:color="auto" w:sz="4" w:space="0"/>
              <w:bottom w:val="single" w:color="auto" w:sz="4" w:space="0"/>
              <w:right w:val="single" w:color="auto" w:sz="4" w:space="0"/>
            </w:tcBorders>
          </w:tcPr>
          <w:p w14:paraId="2266C007">
            <w:pPr>
              <w:rPr>
                <w:sz w:val="36"/>
                <w:szCs w:val="36"/>
              </w:rPr>
            </w:pPr>
          </w:p>
        </w:tc>
        <w:tc>
          <w:tcPr>
            <w:tcW w:w="3101" w:type="dxa"/>
            <w:tcBorders>
              <w:top w:val="single" w:color="auto" w:sz="4" w:space="0"/>
              <w:left w:val="single" w:color="auto" w:sz="4" w:space="0"/>
              <w:bottom w:val="single" w:color="auto" w:sz="4" w:space="0"/>
              <w:right w:val="single" w:color="auto" w:sz="4" w:space="0"/>
            </w:tcBorders>
          </w:tcPr>
          <w:p w14:paraId="715119DA">
            <w:pPr>
              <w:rPr>
                <w:sz w:val="36"/>
                <w:szCs w:val="36"/>
              </w:rPr>
            </w:pPr>
          </w:p>
        </w:tc>
        <w:tc>
          <w:tcPr>
            <w:tcW w:w="3423" w:type="dxa"/>
            <w:tcBorders>
              <w:top w:val="single" w:color="auto" w:sz="4" w:space="0"/>
              <w:left w:val="single" w:color="auto" w:sz="4" w:space="0"/>
              <w:bottom w:val="single" w:color="auto" w:sz="4" w:space="0"/>
              <w:right w:val="single" w:color="auto" w:sz="4" w:space="0"/>
            </w:tcBorders>
          </w:tcPr>
          <w:p w14:paraId="21D05B9E">
            <w:pPr>
              <w:rPr>
                <w:sz w:val="36"/>
                <w:szCs w:val="36"/>
              </w:rPr>
            </w:pPr>
          </w:p>
        </w:tc>
      </w:tr>
      <w:tr w14:paraId="4E759B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dxa"/>
            <w:tcBorders>
              <w:top w:val="single" w:color="auto" w:sz="4" w:space="0"/>
              <w:left w:val="single" w:color="auto" w:sz="4" w:space="0"/>
              <w:bottom w:val="single" w:color="auto" w:sz="4" w:space="0"/>
              <w:right w:val="single" w:color="auto" w:sz="4" w:space="0"/>
            </w:tcBorders>
          </w:tcPr>
          <w:p w14:paraId="54B42485">
            <w:pPr>
              <w:rPr>
                <w:sz w:val="36"/>
                <w:szCs w:val="36"/>
              </w:rPr>
            </w:pPr>
          </w:p>
        </w:tc>
        <w:tc>
          <w:tcPr>
            <w:tcW w:w="4297" w:type="dxa"/>
            <w:tcBorders>
              <w:top w:val="single" w:color="auto" w:sz="4" w:space="0"/>
              <w:left w:val="single" w:color="auto" w:sz="4" w:space="0"/>
              <w:bottom w:val="single" w:color="auto" w:sz="4" w:space="0"/>
              <w:right w:val="single" w:color="auto" w:sz="4" w:space="0"/>
            </w:tcBorders>
          </w:tcPr>
          <w:p w14:paraId="68B1E40F">
            <w:pPr>
              <w:rPr>
                <w:sz w:val="36"/>
                <w:szCs w:val="36"/>
              </w:rPr>
            </w:pPr>
          </w:p>
        </w:tc>
        <w:tc>
          <w:tcPr>
            <w:tcW w:w="2330" w:type="dxa"/>
            <w:tcBorders>
              <w:top w:val="single" w:color="auto" w:sz="4" w:space="0"/>
              <w:left w:val="single" w:color="auto" w:sz="4" w:space="0"/>
              <w:bottom w:val="single" w:color="auto" w:sz="4" w:space="0"/>
              <w:right w:val="single" w:color="auto" w:sz="4" w:space="0"/>
            </w:tcBorders>
          </w:tcPr>
          <w:p w14:paraId="37BC4AAF">
            <w:pPr>
              <w:rPr>
                <w:sz w:val="36"/>
                <w:szCs w:val="36"/>
              </w:rPr>
            </w:pPr>
          </w:p>
        </w:tc>
        <w:tc>
          <w:tcPr>
            <w:tcW w:w="3101" w:type="dxa"/>
            <w:tcBorders>
              <w:top w:val="single" w:color="auto" w:sz="4" w:space="0"/>
              <w:left w:val="single" w:color="auto" w:sz="4" w:space="0"/>
              <w:bottom w:val="single" w:color="auto" w:sz="4" w:space="0"/>
              <w:right w:val="single" w:color="auto" w:sz="4" w:space="0"/>
            </w:tcBorders>
          </w:tcPr>
          <w:p w14:paraId="5AED9C5E">
            <w:pPr>
              <w:rPr>
                <w:sz w:val="36"/>
                <w:szCs w:val="36"/>
              </w:rPr>
            </w:pPr>
          </w:p>
        </w:tc>
        <w:tc>
          <w:tcPr>
            <w:tcW w:w="3423" w:type="dxa"/>
            <w:tcBorders>
              <w:top w:val="single" w:color="auto" w:sz="4" w:space="0"/>
              <w:left w:val="single" w:color="auto" w:sz="4" w:space="0"/>
              <w:bottom w:val="single" w:color="auto" w:sz="4" w:space="0"/>
              <w:right w:val="single" w:color="auto" w:sz="4" w:space="0"/>
            </w:tcBorders>
          </w:tcPr>
          <w:p w14:paraId="0777435B">
            <w:pPr>
              <w:rPr>
                <w:sz w:val="36"/>
                <w:szCs w:val="36"/>
              </w:rPr>
            </w:pPr>
          </w:p>
        </w:tc>
      </w:tr>
      <w:tr w14:paraId="5E31D8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dxa"/>
            <w:tcBorders>
              <w:top w:val="single" w:color="auto" w:sz="4" w:space="0"/>
              <w:left w:val="single" w:color="auto" w:sz="4" w:space="0"/>
              <w:bottom w:val="single" w:color="auto" w:sz="4" w:space="0"/>
              <w:right w:val="single" w:color="auto" w:sz="4" w:space="0"/>
            </w:tcBorders>
          </w:tcPr>
          <w:p w14:paraId="7E62B1E1">
            <w:pPr>
              <w:rPr>
                <w:sz w:val="36"/>
                <w:szCs w:val="36"/>
              </w:rPr>
            </w:pPr>
          </w:p>
        </w:tc>
        <w:tc>
          <w:tcPr>
            <w:tcW w:w="4297" w:type="dxa"/>
            <w:tcBorders>
              <w:top w:val="single" w:color="auto" w:sz="4" w:space="0"/>
              <w:left w:val="single" w:color="auto" w:sz="4" w:space="0"/>
              <w:bottom w:val="single" w:color="auto" w:sz="4" w:space="0"/>
              <w:right w:val="single" w:color="auto" w:sz="4" w:space="0"/>
            </w:tcBorders>
          </w:tcPr>
          <w:p w14:paraId="6BF73AE3">
            <w:pPr>
              <w:rPr>
                <w:sz w:val="36"/>
                <w:szCs w:val="36"/>
              </w:rPr>
            </w:pPr>
          </w:p>
        </w:tc>
        <w:tc>
          <w:tcPr>
            <w:tcW w:w="2330" w:type="dxa"/>
            <w:tcBorders>
              <w:top w:val="single" w:color="auto" w:sz="4" w:space="0"/>
              <w:left w:val="single" w:color="auto" w:sz="4" w:space="0"/>
              <w:bottom w:val="single" w:color="auto" w:sz="4" w:space="0"/>
              <w:right w:val="single" w:color="auto" w:sz="4" w:space="0"/>
            </w:tcBorders>
          </w:tcPr>
          <w:p w14:paraId="10AE3174">
            <w:pPr>
              <w:rPr>
                <w:sz w:val="36"/>
                <w:szCs w:val="36"/>
              </w:rPr>
            </w:pPr>
          </w:p>
        </w:tc>
        <w:tc>
          <w:tcPr>
            <w:tcW w:w="3101" w:type="dxa"/>
            <w:tcBorders>
              <w:top w:val="single" w:color="auto" w:sz="4" w:space="0"/>
              <w:left w:val="single" w:color="auto" w:sz="4" w:space="0"/>
              <w:bottom w:val="single" w:color="auto" w:sz="4" w:space="0"/>
              <w:right w:val="single" w:color="auto" w:sz="4" w:space="0"/>
            </w:tcBorders>
          </w:tcPr>
          <w:p w14:paraId="681333DB">
            <w:pPr>
              <w:rPr>
                <w:sz w:val="36"/>
                <w:szCs w:val="36"/>
              </w:rPr>
            </w:pPr>
          </w:p>
        </w:tc>
        <w:tc>
          <w:tcPr>
            <w:tcW w:w="3423" w:type="dxa"/>
            <w:tcBorders>
              <w:top w:val="single" w:color="auto" w:sz="4" w:space="0"/>
              <w:left w:val="single" w:color="auto" w:sz="4" w:space="0"/>
              <w:bottom w:val="single" w:color="auto" w:sz="4" w:space="0"/>
              <w:right w:val="single" w:color="auto" w:sz="4" w:space="0"/>
            </w:tcBorders>
          </w:tcPr>
          <w:p w14:paraId="31834433">
            <w:pPr>
              <w:rPr>
                <w:sz w:val="36"/>
                <w:szCs w:val="36"/>
              </w:rPr>
            </w:pPr>
          </w:p>
        </w:tc>
      </w:tr>
      <w:tr w14:paraId="1365C1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dxa"/>
            <w:tcBorders>
              <w:top w:val="single" w:color="auto" w:sz="4" w:space="0"/>
              <w:left w:val="single" w:color="auto" w:sz="4" w:space="0"/>
              <w:bottom w:val="single" w:color="auto" w:sz="4" w:space="0"/>
              <w:right w:val="single" w:color="auto" w:sz="4" w:space="0"/>
            </w:tcBorders>
          </w:tcPr>
          <w:p w14:paraId="50858863">
            <w:pPr>
              <w:rPr>
                <w:sz w:val="36"/>
                <w:szCs w:val="36"/>
              </w:rPr>
            </w:pPr>
          </w:p>
        </w:tc>
        <w:tc>
          <w:tcPr>
            <w:tcW w:w="4297" w:type="dxa"/>
            <w:tcBorders>
              <w:top w:val="single" w:color="auto" w:sz="4" w:space="0"/>
              <w:left w:val="single" w:color="auto" w:sz="4" w:space="0"/>
              <w:bottom w:val="single" w:color="auto" w:sz="4" w:space="0"/>
              <w:right w:val="single" w:color="auto" w:sz="4" w:space="0"/>
            </w:tcBorders>
          </w:tcPr>
          <w:p w14:paraId="4CAB951B">
            <w:pPr>
              <w:rPr>
                <w:sz w:val="36"/>
                <w:szCs w:val="36"/>
              </w:rPr>
            </w:pPr>
          </w:p>
        </w:tc>
        <w:tc>
          <w:tcPr>
            <w:tcW w:w="2330" w:type="dxa"/>
            <w:tcBorders>
              <w:top w:val="single" w:color="auto" w:sz="4" w:space="0"/>
              <w:left w:val="single" w:color="auto" w:sz="4" w:space="0"/>
              <w:bottom w:val="single" w:color="auto" w:sz="4" w:space="0"/>
              <w:right w:val="single" w:color="auto" w:sz="4" w:space="0"/>
            </w:tcBorders>
          </w:tcPr>
          <w:p w14:paraId="0C642B50">
            <w:pPr>
              <w:rPr>
                <w:sz w:val="36"/>
                <w:szCs w:val="36"/>
              </w:rPr>
            </w:pPr>
          </w:p>
        </w:tc>
        <w:tc>
          <w:tcPr>
            <w:tcW w:w="3101" w:type="dxa"/>
            <w:tcBorders>
              <w:top w:val="single" w:color="auto" w:sz="4" w:space="0"/>
              <w:left w:val="single" w:color="auto" w:sz="4" w:space="0"/>
              <w:bottom w:val="single" w:color="auto" w:sz="4" w:space="0"/>
              <w:right w:val="single" w:color="auto" w:sz="4" w:space="0"/>
            </w:tcBorders>
          </w:tcPr>
          <w:p w14:paraId="20AF798B">
            <w:pPr>
              <w:rPr>
                <w:sz w:val="36"/>
                <w:szCs w:val="36"/>
              </w:rPr>
            </w:pPr>
          </w:p>
        </w:tc>
        <w:tc>
          <w:tcPr>
            <w:tcW w:w="3423" w:type="dxa"/>
            <w:tcBorders>
              <w:top w:val="single" w:color="auto" w:sz="4" w:space="0"/>
              <w:left w:val="single" w:color="auto" w:sz="4" w:space="0"/>
              <w:bottom w:val="single" w:color="auto" w:sz="4" w:space="0"/>
              <w:right w:val="single" w:color="auto" w:sz="4" w:space="0"/>
            </w:tcBorders>
          </w:tcPr>
          <w:p w14:paraId="2FA7DCCD">
            <w:pPr>
              <w:rPr>
                <w:sz w:val="36"/>
                <w:szCs w:val="36"/>
              </w:rPr>
            </w:pPr>
          </w:p>
        </w:tc>
      </w:tr>
      <w:tr w14:paraId="22BEB5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dxa"/>
            <w:tcBorders>
              <w:top w:val="single" w:color="auto" w:sz="4" w:space="0"/>
              <w:left w:val="single" w:color="auto" w:sz="4" w:space="0"/>
              <w:bottom w:val="single" w:color="auto" w:sz="4" w:space="0"/>
              <w:right w:val="single" w:color="auto" w:sz="4" w:space="0"/>
            </w:tcBorders>
          </w:tcPr>
          <w:p w14:paraId="7EEB24D0">
            <w:pPr>
              <w:rPr>
                <w:sz w:val="36"/>
                <w:szCs w:val="36"/>
              </w:rPr>
            </w:pPr>
          </w:p>
        </w:tc>
        <w:tc>
          <w:tcPr>
            <w:tcW w:w="4297" w:type="dxa"/>
            <w:tcBorders>
              <w:top w:val="single" w:color="auto" w:sz="4" w:space="0"/>
              <w:left w:val="single" w:color="auto" w:sz="4" w:space="0"/>
              <w:bottom w:val="single" w:color="auto" w:sz="4" w:space="0"/>
              <w:right w:val="single" w:color="auto" w:sz="4" w:space="0"/>
            </w:tcBorders>
          </w:tcPr>
          <w:p w14:paraId="628634B5">
            <w:pPr>
              <w:rPr>
                <w:sz w:val="36"/>
                <w:szCs w:val="36"/>
              </w:rPr>
            </w:pPr>
          </w:p>
        </w:tc>
        <w:tc>
          <w:tcPr>
            <w:tcW w:w="2330" w:type="dxa"/>
            <w:tcBorders>
              <w:top w:val="single" w:color="auto" w:sz="4" w:space="0"/>
              <w:left w:val="single" w:color="auto" w:sz="4" w:space="0"/>
              <w:bottom w:val="single" w:color="auto" w:sz="4" w:space="0"/>
              <w:right w:val="single" w:color="auto" w:sz="4" w:space="0"/>
            </w:tcBorders>
          </w:tcPr>
          <w:p w14:paraId="62FBA5A2">
            <w:pPr>
              <w:rPr>
                <w:sz w:val="36"/>
                <w:szCs w:val="36"/>
              </w:rPr>
            </w:pPr>
          </w:p>
        </w:tc>
        <w:tc>
          <w:tcPr>
            <w:tcW w:w="3101" w:type="dxa"/>
            <w:tcBorders>
              <w:top w:val="single" w:color="auto" w:sz="4" w:space="0"/>
              <w:left w:val="single" w:color="auto" w:sz="4" w:space="0"/>
              <w:bottom w:val="single" w:color="auto" w:sz="4" w:space="0"/>
              <w:right w:val="single" w:color="auto" w:sz="4" w:space="0"/>
            </w:tcBorders>
          </w:tcPr>
          <w:p w14:paraId="3432E183">
            <w:pPr>
              <w:rPr>
                <w:sz w:val="36"/>
                <w:szCs w:val="36"/>
              </w:rPr>
            </w:pPr>
          </w:p>
        </w:tc>
        <w:tc>
          <w:tcPr>
            <w:tcW w:w="3423" w:type="dxa"/>
            <w:tcBorders>
              <w:top w:val="single" w:color="auto" w:sz="4" w:space="0"/>
              <w:left w:val="single" w:color="auto" w:sz="4" w:space="0"/>
              <w:bottom w:val="single" w:color="auto" w:sz="4" w:space="0"/>
              <w:right w:val="single" w:color="auto" w:sz="4" w:space="0"/>
            </w:tcBorders>
          </w:tcPr>
          <w:p w14:paraId="1B6E95E2">
            <w:pPr>
              <w:rPr>
                <w:sz w:val="36"/>
                <w:szCs w:val="36"/>
              </w:rPr>
            </w:pPr>
          </w:p>
        </w:tc>
      </w:tr>
      <w:tr w14:paraId="41A3C6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dxa"/>
            <w:tcBorders>
              <w:top w:val="single" w:color="auto" w:sz="4" w:space="0"/>
              <w:left w:val="single" w:color="auto" w:sz="4" w:space="0"/>
              <w:bottom w:val="single" w:color="auto" w:sz="4" w:space="0"/>
              <w:right w:val="single" w:color="auto" w:sz="4" w:space="0"/>
            </w:tcBorders>
          </w:tcPr>
          <w:p w14:paraId="73A07D8A">
            <w:pPr>
              <w:rPr>
                <w:sz w:val="36"/>
                <w:szCs w:val="36"/>
              </w:rPr>
            </w:pPr>
          </w:p>
        </w:tc>
        <w:tc>
          <w:tcPr>
            <w:tcW w:w="4297" w:type="dxa"/>
            <w:tcBorders>
              <w:top w:val="single" w:color="auto" w:sz="4" w:space="0"/>
              <w:left w:val="single" w:color="auto" w:sz="4" w:space="0"/>
              <w:bottom w:val="single" w:color="auto" w:sz="4" w:space="0"/>
              <w:right w:val="single" w:color="auto" w:sz="4" w:space="0"/>
            </w:tcBorders>
          </w:tcPr>
          <w:p w14:paraId="04136280">
            <w:pPr>
              <w:rPr>
                <w:sz w:val="36"/>
                <w:szCs w:val="36"/>
              </w:rPr>
            </w:pPr>
          </w:p>
        </w:tc>
        <w:tc>
          <w:tcPr>
            <w:tcW w:w="2330" w:type="dxa"/>
            <w:tcBorders>
              <w:top w:val="single" w:color="auto" w:sz="4" w:space="0"/>
              <w:left w:val="single" w:color="auto" w:sz="4" w:space="0"/>
              <w:bottom w:val="single" w:color="auto" w:sz="4" w:space="0"/>
              <w:right w:val="single" w:color="auto" w:sz="4" w:space="0"/>
            </w:tcBorders>
          </w:tcPr>
          <w:p w14:paraId="4C1A5772">
            <w:pPr>
              <w:rPr>
                <w:sz w:val="36"/>
                <w:szCs w:val="36"/>
              </w:rPr>
            </w:pPr>
          </w:p>
        </w:tc>
        <w:tc>
          <w:tcPr>
            <w:tcW w:w="3101" w:type="dxa"/>
            <w:tcBorders>
              <w:top w:val="single" w:color="auto" w:sz="4" w:space="0"/>
              <w:left w:val="single" w:color="auto" w:sz="4" w:space="0"/>
              <w:bottom w:val="single" w:color="auto" w:sz="4" w:space="0"/>
              <w:right w:val="single" w:color="auto" w:sz="4" w:space="0"/>
            </w:tcBorders>
          </w:tcPr>
          <w:p w14:paraId="02095B72">
            <w:pPr>
              <w:rPr>
                <w:sz w:val="36"/>
                <w:szCs w:val="36"/>
              </w:rPr>
            </w:pPr>
          </w:p>
        </w:tc>
        <w:tc>
          <w:tcPr>
            <w:tcW w:w="3423" w:type="dxa"/>
            <w:tcBorders>
              <w:top w:val="single" w:color="auto" w:sz="4" w:space="0"/>
              <w:left w:val="single" w:color="auto" w:sz="4" w:space="0"/>
              <w:bottom w:val="single" w:color="auto" w:sz="4" w:space="0"/>
              <w:right w:val="single" w:color="auto" w:sz="4" w:space="0"/>
            </w:tcBorders>
          </w:tcPr>
          <w:p w14:paraId="50582CE5">
            <w:pPr>
              <w:rPr>
                <w:sz w:val="36"/>
                <w:szCs w:val="36"/>
              </w:rPr>
            </w:pPr>
          </w:p>
        </w:tc>
      </w:tr>
    </w:tbl>
    <w:p w14:paraId="59DC8A55">
      <w:pPr>
        <w:rPr>
          <w:szCs w:val="21"/>
        </w:rPr>
      </w:pPr>
      <w:r>
        <w:rPr>
          <w:rFonts w:hint="eastAsia"/>
          <w:szCs w:val="21"/>
        </w:rPr>
        <w:t>评委签名：</w:t>
      </w:r>
    </w:p>
    <w:p w14:paraId="48A36E31">
      <w:pPr>
        <w:spacing w:line="360" w:lineRule="auto"/>
        <w:jc w:val="center"/>
        <w:rPr>
          <w:rFonts w:ascii="仿宋_GB2312" w:hAnsi="宋体" w:eastAsia="仿宋_GB2312"/>
          <w:szCs w:val="21"/>
        </w:rPr>
        <w:sectPr>
          <w:headerReference r:id="rId9" w:type="first"/>
          <w:footerReference r:id="rId12" w:type="first"/>
          <w:headerReference r:id="rId7" w:type="default"/>
          <w:footerReference r:id="rId10" w:type="default"/>
          <w:headerReference r:id="rId8" w:type="even"/>
          <w:footerReference r:id="rId11" w:type="even"/>
          <w:endnotePr>
            <w:numFmt w:val="decimal"/>
          </w:endnotePr>
          <w:pgSz w:w="16838" w:h="11906" w:orient="landscape"/>
          <w:pgMar w:top="1418" w:right="1247" w:bottom="1418" w:left="1134" w:header="851" w:footer="907" w:gutter="0"/>
          <w:cols w:space="720" w:num="1"/>
          <w:titlePg/>
          <w:docGrid w:type="linesAndChars" w:linePitch="312" w:charSpace="0"/>
        </w:sectPr>
      </w:pPr>
    </w:p>
    <w:p w14:paraId="065C52F4">
      <w:pPr>
        <w:pStyle w:val="3"/>
        <w:jc w:val="center"/>
      </w:pPr>
      <w:bookmarkStart w:id="24" w:name="_Toc2272566"/>
      <w:r>
        <w:rPr>
          <w:rFonts w:hint="eastAsia"/>
        </w:rPr>
        <w:t>第三章</w:t>
      </w:r>
      <w:r>
        <w:t xml:space="preserve">  </w:t>
      </w:r>
      <w:r>
        <w:rPr>
          <w:rFonts w:hint="eastAsia"/>
        </w:rPr>
        <w:t>合同条款</w:t>
      </w:r>
      <w:bookmarkEnd w:id="24"/>
    </w:p>
    <w:p w14:paraId="3B9842C2">
      <w:pPr>
        <w:jc w:val="center"/>
        <w:rPr>
          <w:rFonts w:ascii="宋体"/>
          <w:b/>
          <w:sz w:val="24"/>
          <w:szCs w:val="24"/>
        </w:rPr>
      </w:pPr>
      <w:r>
        <w:rPr>
          <w:rFonts w:hint="eastAsia"/>
          <w:sz w:val="24"/>
          <w:szCs w:val="24"/>
        </w:rPr>
        <w:t>（</w:t>
      </w:r>
      <w:r>
        <w:rPr>
          <w:rFonts w:hint="eastAsia" w:ascii="宋体" w:hAnsi="宋体"/>
          <w:sz w:val="24"/>
          <w:szCs w:val="24"/>
        </w:rPr>
        <w:t>另册</w:t>
      </w:r>
      <w:r>
        <w:rPr>
          <w:rFonts w:hint="eastAsia"/>
          <w:sz w:val="24"/>
          <w:szCs w:val="24"/>
        </w:rPr>
        <w:t>）</w:t>
      </w:r>
    </w:p>
    <w:p w14:paraId="5FC7F411">
      <w:pPr>
        <w:rPr>
          <w:sz w:val="24"/>
          <w:szCs w:val="24"/>
        </w:rPr>
      </w:pPr>
    </w:p>
    <w:p w14:paraId="47315767">
      <w:pPr>
        <w:pStyle w:val="2"/>
        <w:spacing w:line="360" w:lineRule="auto"/>
        <w:rPr>
          <w:sz w:val="24"/>
          <w:szCs w:val="24"/>
        </w:rPr>
      </w:pPr>
    </w:p>
    <w:p w14:paraId="2AEBD15B">
      <w:pPr>
        <w:widowControl/>
        <w:jc w:val="left"/>
        <w:rPr>
          <w:rFonts w:ascii="宋体" w:hAnsi="Courier New"/>
          <w:sz w:val="24"/>
          <w:szCs w:val="24"/>
        </w:rPr>
      </w:pPr>
      <w:r>
        <w:rPr>
          <w:sz w:val="24"/>
          <w:szCs w:val="24"/>
        </w:rPr>
        <w:br w:type="page"/>
      </w:r>
    </w:p>
    <w:p w14:paraId="38FFEDB2">
      <w:pPr>
        <w:pStyle w:val="3"/>
        <w:jc w:val="center"/>
      </w:pPr>
      <w:bookmarkStart w:id="25" w:name="_Toc2272567"/>
      <w:r>
        <w:rPr>
          <w:rFonts w:hint="eastAsia"/>
        </w:rPr>
        <w:t>第四章</w:t>
      </w:r>
      <w:r>
        <w:t xml:space="preserve">  </w:t>
      </w:r>
      <w:r>
        <w:rPr>
          <w:rFonts w:hint="eastAsia"/>
        </w:rPr>
        <w:t>投标文件格式</w:t>
      </w:r>
      <w:bookmarkEnd w:id="25"/>
    </w:p>
    <w:p w14:paraId="057E7CA0">
      <w:pPr>
        <w:autoSpaceDE w:val="0"/>
        <w:autoSpaceDN w:val="0"/>
        <w:adjustRightInd w:val="0"/>
        <w:rPr>
          <w:rFonts w:ascii="宋体" w:hAnsi="宋体"/>
          <w:sz w:val="24"/>
          <w:szCs w:val="24"/>
        </w:rPr>
      </w:pPr>
    </w:p>
    <w:p w14:paraId="1959C46B">
      <w:pPr>
        <w:autoSpaceDE w:val="0"/>
        <w:autoSpaceDN w:val="0"/>
        <w:adjustRightInd w:val="0"/>
        <w:rPr>
          <w:rFonts w:ascii="宋体" w:hAnsi="宋体"/>
          <w:sz w:val="24"/>
          <w:szCs w:val="24"/>
        </w:rPr>
      </w:pPr>
    </w:p>
    <w:p w14:paraId="128ECF5E">
      <w:pPr>
        <w:autoSpaceDE w:val="0"/>
        <w:autoSpaceDN w:val="0"/>
        <w:adjustRightInd w:val="0"/>
        <w:rPr>
          <w:rFonts w:ascii="宋体" w:hAnsi="宋体"/>
          <w:sz w:val="24"/>
          <w:szCs w:val="24"/>
        </w:rPr>
      </w:pPr>
    </w:p>
    <w:p w14:paraId="25838D9C">
      <w:pPr>
        <w:autoSpaceDE w:val="0"/>
        <w:autoSpaceDN w:val="0"/>
        <w:adjustRightInd w:val="0"/>
        <w:rPr>
          <w:rFonts w:ascii="宋体" w:hAnsi="宋体"/>
          <w:sz w:val="24"/>
          <w:szCs w:val="24"/>
        </w:rPr>
      </w:pPr>
    </w:p>
    <w:p w14:paraId="3C20AA74">
      <w:pPr>
        <w:autoSpaceDE w:val="0"/>
        <w:autoSpaceDN w:val="0"/>
        <w:adjustRightInd w:val="0"/>
        <w:rPr>
          <w:rFonts w:ascii="宋体" w:hAnsi="宋体"/>
          <w:sz w:val="24"/>
          <w:szCs w:val="24"/>
        </w:rPr>
      </w:pPr>
    </w:p>
    <w:p w14:paraId="0A8C96AA">
      <w:pPr>
        <w:autoSpaceDE w:val="0"/>
        <w:autoSpaceDN w:val="0"/>
        <w:adjustRightInd w:val="0"/>
        <w:rPr>
          <w:rFonts w:ascii="宋体" w:hAnsi="宋体"/>
          <w:sz w:val="24"/>
          <w:szCs w:val="24"/>
        </w:rPr>
      </w:pPr>
    </w:p>
    <w:p w14:paraId="5E9692DB">
      <w:pPr>
        <w:autoSpaceDE w:val="0"/>
        <w:autoSpaceDN w:val="0"/>
        <w:adjustRightInd w:val="0"/>
        <w:rPr>
          <w:rFonts w:ascii="宋体" w:hAnsi="宋体"/>
          <w:sz w:val="24"/>
          <w:szCs w:val="24"/>
        </w:rPr>
      </w:pPr>
    </w:p>
    <w:p w14:paraId="7ED50994">
      <w:pPr>
        <w:spacing w:line="360" w:lineRule="auto"/>
        <w:jc w:val="center"/>
        <w:rPr>
          <w:rFonts w:ascii="宋体" w:hAnsi="宋体" w:cs="宋体"/>
          <w:b/>
          <w:sz w:val="32"/>
          <w:szCs w:val="32"/>
        </w:rPr>
      </w:pPr>
      <w:r>
        <w:rPr>
          <w:rFonts w:hint="eastAsia" w:ascii="宋体" w:hAnsi="宋体" w:cs="宋体"/>
          <w:b/>
          <w:sz w:val="32"/>
          <w:szCs w:val="32"/>
        </w:rPr>
        <w:t>第一部分 技术标投标文件（含资格审查文件）</w:t>
      </w:r>
    </w:p>
    <w:p w14:paraId="6F084CDF">
      <w:pPr>
        <w:spacing w:line="360" w:lineRule="auto"/>
        <w:rPr>
          <w:rFonts w:ascii="宋体" w:hAnsi="宋体" w:cs="宋体"/>
          <w:sz w:val="24"/>
        </w:rPr>
      </w:pPr>
      <w:r>
        <w:br w:type="page"/>
      </w:r>
      <w:r>
        <w:rPr>
          <w:rFonts w:hint="eastAsia" w:ascii="宋体" w:hAnsi="宋体" w:cs="宋体"/>
          <w:sz w:val="24"/>
        </w:rPr>
        <w:t xml:space="preserve"> 技术标投标文件格式一：技术标投标文件封面</w:t>
      </w:r>
    </w:p>
    <w:p w14:paraId="33342B1A">
      <w:pPr>
        <w:pStyle w:val="136"/>
        <w:ind w:firstLine="496"/>
        <w:rPr>
          <w:rFonts w:ascii="宋体" w:hAnsi="宋体" w:cs="宋体"/>
        </w:rPr>
      </w:pPr>
    </w:p>
    <w:p w14:paraId="34F4EB04">
      <w:pPr>
        <w:pStyle w:val="136"/>
        <w:ind w:firstLine="496"/>
        <w:rPr>
          <w:rFonts w:ascii="宋体" w:hAnsi="宋体" w:cs="宋体"/>
        </w:rPr>
      </w:pPr>
    </w:p>
    <w:p w14:paraId="252CC06F">
      <w:pPr>
        <w:pStyle w:val="136"/>
        <w:ind w:firstLine="496"/>
        <w:rPr>
          <w:rFonts w:ascii="宋体" w:hAnsi="宋体" w:cs="宋体"/>
        </w:rPr>
      </w:pPr>
    </w:p>
    <w:p w14:paraId="182A3FDA">
      <w:pPr>
        <w:pStyle w:val="136"/>
        <w:ind w:firstLine="496"/>
        <w:rPr>
          <w:rFonts w:ascii="宋体" w:hAnsi="宋体" w:cs="宋体"/>
        </w:rPr>
      </w:pPr>
    </w:p>
    <w:p w14:paraId="2107502B">
      <w:pPr>
        <w:pStyle w:val="139"/>
        <w:rPr>
          <w:rFonts w:ascii="宋体" w:hAnsi="宋体" w:eastAsia="宋体" w:cs="宋体"/>
          <w:u w:val="single"/>
        </w:rPr>
      </w:pPr>
      <w:r>
        <w:rPr>
          <w:rFonts w:hint="eastAsia" w:ascii="宋体" w:hAnsi="宋体" w:eastAsia="宋体" w:cs="宋体"/>
          <w:u w:val="single"/>
        </w:rPr>
        <w:t xml:space="preserve">[工程名称] </w:t>
      </w:r>
    </w:p>
    <w:p w14:paraId="6CFB7ED7">
      <w:pPr>
        <w:pStyle w:val="136"/>
        <w:ind w:firstLine="496"/>
        <w:rPr>
          <w:rFonts w:ascii="宋体" w:hAnsi="宋体" w:cs="宋体"/>
        </w:rPr>
      </w:pPr>
    </w:p>
    <w:p w14:paraId="0F1B0BAA">
      <w:pPr>
        <w:pStyle w:val="136"/>
        <w:ind w:firstLine="496"/>
        <w:rPr>
          <w:rFonts w:ascii="宋体" w:hAnsi="宋体" w:cs="宋体"/>
        </w:rPr>
      </w:pPr>
    </w:p>
    <w:p w14:paraId="02609E0B">
      <w:pPr>
        <w:pStyle w:val="136"/>
        <w:ind w:firstLine="496"/>
        <w:rPr>
          <w:rFonts w:ascii="宋体" w:hAnsi="宋体" w:cs="宋体"/>
        </w:rPr>
      </w:pPr>
    </w:p>
    <w:p w14:paraId="35076A97">
      <w:pPr>
        <w:pStyle w:val="136"/>
        <w:ind w:firstLine="496"/>
        <w:rPr>
          <w:rFonts w:ascii="宋体" w:hAnsi="宋体" w:cs="宋体"/>
        </w:rPr>
      </w:pPr>
    </w:p>
    <w:p w14:paraId="38BF0E09">
      <w:pPr>
        <w:pStyle w:val="137"/>
        <w:rPr>
          <w:rFonts w:ascii="宋体" w:hAnsi="宋体" w:eastAsia="宋体" w:cs="宋体"/>
        </w:rPr>
      </w:pPr>
      <w:r>
        <w:rPr>
          <w:rFonts w:hint="eastAsia" w:ascii="宋体" w:hAnsi="宋体" w:eastAsia="宋体" w:cs="宋体"/>
        </w:rPr>
        <w:t>投标文件</w:t>
      </w:r>
    </w:p>
    <w:p w14:paraId="196F7A22">
      <w:pPr>
        <w:pStyle w:val="139"/>
        <w:rPr>
          <w:rFonts w:ascii="宋体" w:hAnsi="宋体" w:eastAsia="宋体" w:cs="宋体"/>
        </w:rPr>
      </w:pPr>
      <w:r>
        <w:rPr>
          <w:rFonts w:hint="eastAsia" w:ascii="宋体" w:hAnsi="宋体" w:eastAsia="宋体" w:cs="宋体"/>
        </w:rPr>
        <w:t>第一部分（技术标）</w:t>
      </w:r>
    </w:p>
    <w:p w14:paraId="19927DC4">
      <w:pPr>
        <w:pStyle w:val="136"/>
        <w:ind w:firstLine="496"/>
        <w:rPr>
          <w:rFonts w:ascii="宋体" w:hAnsi="宋体" w:cs="宋体"/>
        </w:rPr>
      </w:pPr>
    </w:p>
    <w:p w14:paraId="0B22C197">
      <w:pPr>
        <w:pStyle w:val="136"/>
        <w:ind w:firstLine="496"/>
        <w:rPr>
          <w:rFonts w:ascii="宋体" w:hAnsi="宋体" w:cs="宋体"/>
        </w:rPr>
      </w:pPr>
    </w:p>
    <w:p w14:paraId="36287D77">
      <w:pPr>
        <w:pStyle w:val="136"/>
        <w:ind w:firstLine="496"/>
        <w:rPr>
          <w:rFonts w:ascii="宋体" w:hAnsi="宋体" w:cs="宋体"/>
        </w:rPr>
      </w:pPr>
    </w:p>
    <w:p w14:paraId="0FA20939">
      <w:pPr>
        <w:pStyle w:val="136"/>
        <w:ind w:firstLine="496"/>
        <w:rPr>
          <w:rFonts w:ascii="宋体" w:hAnsi="宋体" w:cs="宋体"/>
        </w:rPr>
      </w:pPr>
    </w:p>
    <w:p w14:paraId="0BF97B04">
      <w:pPr>
        <w:pStyle w:val="136"/>
        <w:ind w:firstLine="496"/>
        <w:rPr>
          <w:rFonts w:ascii="宋体" w:hAnsi="宋体" w:cs="宋体"/>
        </w:rPr>
      </w:pPr>
    </w:p>
    <w:p w14:paraId="28979AA8">
      <w:pPr>
        <w:pStyle w:val="136"/>
        <w:ind w:firstLine="496"/>
        <w:rPr>
          <w:rFonts w:ascii="宋体" w:hAnsi="宋体" w:cs="宋体"/>
        </w:rPr>
      </w:pPr>
    </w:p>
    <w:p w14:paraId="43104622">
      <w:pPr>
        <w:pStyle w:val="136"/>
        <w:ind w:firstLine="496"/>
        <w:rPr>
          <w:rFonts w:ascii="宋体" w:hAnsi="宋体" w:cs="宋体"/>
        </w:rPr>
      </w:pPr>
    </w:p>
    <w:p w14:paraId="3BA41A79">
      <w:pPr>
        <w:pStyle w:val="138"/>
        <w:ind w:firstLine="2038" w:firstLineChars="662"/>
        <w:rPr>
          <w:rFonts w:ascii="宋体" w:hAnsi="宋体" w:cs="宋体"/>
          <w:u w:val="single"/>
        </w:rPr>
      </w:pPr>
      <w:r>
        <w:rPr>
          <w:rFonts w:hint="eastAsia" w:ascii="宋体" w:hAnsi="宋体" w:cs="宋体"/>
        </w:rPr>
        <w:t>投标人：</w:t>
      </w:r>
      <w:r>
        <w:rPr>
          <w:rFonts w:hint="eastAsia" w:ascii="宋体" w:hAnsi="宋体" w:cs="宋体"/>
          <w:u w:val="single"/>
        </w:rPr>
        <w:t xml:space="preserve">                 </w:t>
      </w:r>
    </w:p>
    <w:p w14:paraId="6478FE8B">
      <w:pPr>
        <w:pStyle w:val="138"/>
        <w:ind w:firstLine="2038" w:firstLineChars="662"/>
        <w:rPr>
          <w:rFonts w:ascii="宋体" w:hAnsi="宋体" w:cs="宋体"/>
          <w:u w:val="single"/>
        </w:rPr>
      </w:pPr>
      <w:r>
        <w:rPr>
          <w:rFonts w:hint="eastAsia" w:ascii="宋体" w:hAnsi="宋体" w:cs="宋体"/>
        </w:rPr>
        <w:t>日  期：</w:t>
      </w:r>
      <w:r>
        <w:rPr>
          <w:rFonts w:hint="eastAsia" w:ascii="宋体" w:hAnsi="宋体" w:cs="宋体"/>
          <w:u w:val="single"/>
        </w:rPr>
        <w:t xml:space="preserve">                 </w:t>
      </w:r>
    </w:p>
    <w:p w14:paraId="22E300DF">
      <w:pPr>
        <w:pStyle w:val="138"/>
        <w:ind w:firstLine="496"/>
        <w:rPr>
          <w:rFonts w:ascii="宋体" w:hAnsi="宋体" w:cs="宋体"/>
          <w:sz w:val="24"/>
          <w:szCs w:val="24"/>
        </w:rPr>
      </w:pPr>
    </w:p>
    <w:p w14:paraId="42D2DD29">
      <w:pPr>
        <w:autoSpaceDE w:val="0"/>
        <w:autoSpaceDN w:val="0"/>
        <w:adjustRightInd w:val="0"/>
        <w:rPr>
          <w:bCs/>
          <w:sz w:val="24"/>
          <w:szCs w:val="24"/>
        </w:rPr>
      </w:pPr>
      <w:r>
        <w:rPr>
          <w:rFonts w:hint="eastAsia" w:ascii="宋体" w:hAnsi="宋体" w:cs="宋体"/>
        </w:rPr>
        <w:br w:type="page"/>
      </w:r>
      <w:r>
        <w:rPr>
          <w:rFonts w:hint="eastAsia"/>
          <w:bCs/>
          <w:sz w:val="24"/>
          <w:szCs w:val="24"/>
        </w:rPr>
        <w:t>技术标</w:t>
      </w:r>
      <w:r>
        <w:rPr>
          <w:rFonts w:hint="eastAsia" w:ascii="宋体" w:hAnsi="宋体" w:cs="宋体"/>
          <w:sz w:val="24"/>
        </w:rPr>
        <w:t>投标文件</w:t>
      </w:r>
      <w:r>
        <w:rPr>
          <w:rFonts w:hint="eastAsia"/>
          <w:bCs/>
          <w:sz w:val="24"/>
          <w:szCs w:val="24"/>
        </w:rPr>
        <w:t>格式二：</w:t>
      </w:r>
    </w:p>
    <w:p w14:paraId="6B5605E1">
      <w:pPr>
        <w:autoSpaceDE w:val="0"/>
        <w:autoSpaceDN w:val="0"/>
        <w:adjustRightInd w:val="0"/>
        <w:rPr>
          <w:rFonts w:ascii="宋体" w:cs="宋体"/>
          <w:b/>
          <w:bCs/>
          <w:sz w:val="24"/>
          <w:szCs w:val="24"/>
          <w:lang w:val="zh-CN"/>
        </w:rPr>
      </w:pPr>
      <w:r>
        <w:rPr>
          <w:rFonts w:hint="eastAsia"/>
          <w:bCs/>
          <w:sz w:val="24"/>
          <w:szCs w:val="24"/>
        </w:rPr>
        <w:t>（适用于技术标与经济标同时开启）</w:t>
      </w:r>
    </w:p>
    <w:p w14:paraId="4B8DC334">
      <w:pPr>
        <w:autoSpaceDE w:val="0"/>
        <w:autoSpaceDN w:val="0"/>
        <w:adjustRightInd w:val="0"/>
        <w:ind w:left="-540" w:leftChars="-257" w:firstLine="1135" w:firstLineChars="257"/>
        <w:jc w:val="center"/>
        <w:rPr>
          <w:rFonts w:ascii="宋体" w:hAnsi="宋体" w:cs="宋体"/>
          <w:b/>
          <w:bCs/>
          <w:sz w:val="44"/>
          <w:szCs w:val="44"/>
          <w:lang w:val="zh-CN"/>
        </w:rPr>
      </w:pPr>
    </w:p>
    <w:p w14:paraId="4D3EFE3E">
      <w:pPr>
        <w:autoSpaceDE w:val="0"/>
        <w:autoSpaceDN w:val="0"/>
        <w:adjustRightInd w:val="0"/>
        <w:ind w:left="-540" w:leftChars="-257" w:firstLine="1135" w:firstLineChars="257"/>
        <w:jc w:val="center"/>
        <w:rPr>
          <w:rFonts w:ascii="宋体"/>
          <w:b/>
          <w:bCs/>
          <w:sz w:val="52"/>
          <w:szCs w:val="52"/>
        </w:rPr>
      </w:pPr>
      <w:r>
        <w:rPr>
          <w:rFonts w:hint="eastAsia" w:ascii="宋体" w:hAnsi="宋体" w:cs="宋体"/>
          <w:b/>
          <w:bCs/>
          <w:sz w:val="44"/>
          <w:szCs w:val="44"/>
          <w:lang w:val="zh-CN"/>
        </w:rPr>
        <w:t>广州建设工程施工招标投标书</w:t>
      </w:r>
    </w:p>
    <w:tbl>
      <w:tblPr>
        <w:tblStyle w:val="34"/>
        <w:tblpPr w:leftFromText="180" w:rightFromText="180" w:vertAnchor="text" w:horzAnchor="margin" w:tblpXSpec="center" w:tblpY="275"/>
        <w:tblW w:w="93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05"/>
        <w:gridCol w:w="3574"/>
      </w:tblGrid>
      <w:tr w14:paraId="3DD72A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5805" w:type="dxa"/>
            <w:tcBorders>
              <w:top w:val="single" w:color="auto" w:sz="4" w:space="0"/>
              <w:left w:val="single" w:color="auto" w:sz="4" w:space="0"/>
              <w:bottom w:val="single" w:color="auto" w:sz="4" w:space="0"/>
              <w:right w:val="single" w:color="auto" w:sz="4" w:space="0"/>
            </w:tcBorders>
            <w:vAlign w:val="center"/>
          </w:tcPr>
          <w:p w14:paraId="489DA124">
            <w:pPr>
              <w:autoSpaceDE w:val="0"/>
              <w:autoSpaceDN w:val="0"/>
              <w:adjustRightInd w:val="0"/>
              <w:jc w:val="center"/>
              <w:rPr>
                <w:rFonts w:ascii="宋体" w:cs="宋体"/>
                <w:b/>
                <w:bCs/>
                <w:sz w:val="24"/>
                <w:szCs w:val="24"/>
                <w:lang w:val="zh-CN"/>
              </w:rPr>
            </w:pPr>
            <w:r>
              <w:rPr>
                <w:rFonts w:hint="eastAsia" w:ascii="宋体" w:hAnsi="宋体" w:cs="宋体"/>
                <w:b/>
                <w:sz w:val="24"/>
                <w:szCs w:val="24"/>
                <w:lang w:val="zh-CN"/>
              </w:rPr>
              <w:t>工</w:t>
            </w:r>
            <w:r>
              <w:rPr>
                <w:rFonts w:ascii="宋体" w:hAnsi="宋体" w:cs="宋体"/>
                <w:b/>
                <w:sz w:val="24"/>
                <w:szCs w:val="24"/>
                <w:lang w:val="zh-CN"/>
              </w:rPr>
              <w:t xml:space="preserve"> </w:t>
            </w:r>
            <w:r>
              <w:rPr>
                <w:rFonts w:hint="eastAsia" w:ascii="宋体" w:hAnsi="宋体" w:cs="宋体"/>
                <w:b/>
                <w:sz w:val="24"/>
                <w:szCs w:val="24"/>
                <w:lang w:val="zh-CN"/>
              </w:rPr>
              <w:t>程</w:t>
            </w:r>
            <w:r>
              <w:rPr>
                <w:rFonts w:ascii="宋体" w:hAnsi="宋体" w:cs="宋体"/>
                <w:b/>
                <w:sz w:val="24"/>
                <w:szCs w:val="24"/>
                <w:lang w:val="zh-CN"/>
              </w:rPr>
              <w:t xml:space="preserve"> </w:t>
            </w:r>
            <w:r>
              <w:rPr>
                <w:rFonts w:hint="eastAsia" w:ascii="宋体" w:hAnsi="宋体" w:cs="宋体"/>
                <w:b/>
                <w:sz w:val="24"/>
                <w:szCs w:val="24"/>
                <w:lang w:val="zh-CN"/>
              </w:rPr>
              <w:t>名</w:t>
            </w:r>
            <w:r>
              <w:rPr>
                <w:rFonts w:ascii="宋体" w:hAnsi="宋体" w:cs="宋体"/>
                <w:b/>
                <w:sz w:val="24"/>
                <w:szCs w:val="24"/>
                <w:lang w:val="zh-CN"/>
              </w:rPr>
              <w:t xml:space="preserve"> </w:t>
            </w:r>
            <w:r>
              <w:rPr>
                <w:rFonts w:hint="eastAsia" w:ascii="宋体" w:hAnsi="宋体" w:cs="宋体"/>
                <w:b/>
                <w:sz w:val="24"/>
                <w:szCs w:val="24"/>
                <w:lang w:val="zh-CN"/>
              </w:rPr>
              <w:t>称</w:t>
            </w:r>
          </w:p>
        </w:tc>
        <w:tc>
          <w:tcPr>
            <w:tcW w:w="3574" w:type="dxa"/>
            <w:tcBorders>
              <w:top w:val="single" w:color="auto" w:sz="4" w:space="0"/>
              <w:left w:val="single" w:color="auto" w:sz="4" w:space="0"/>
              <w:bottom w:val="single" w:color="auto" w:sz="4" w:space="0"/>
              <w:right w:val="single" w:color="auto" w:sz="4" w:space="0"/>
            </w:tcBorders>
          </w:tcPr>
          <w:p w14:paraId="4D325138">
            <w:pPr>
              <w:autoSpaceDE w:val="0"/>
              <w:autoSpaceDN w:val="0"/>
              <w:adjustRightInd w:val="0"/>
              <w:rPr>
                <w:rFonts w:ascii="宋体" w:cs="宋体"/>
                <w:b/>
                <w:bCs/>
                <w:sz w:val="24"/>
                <w:szCs w:val="24"/>
                <w:lang w:val="zh-CN"/>
              </w:rPr>
            </w:pPr>
          </w:p>
        </w:tc>
      </w:tr>
      <w:tr w14:paraId="47BAAB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5805" w:type="dxa"/>
            <w:tcBorders>
              <w:top w:val="single" w:color="auto" w:sz="4" w:space="0"/>
              <w:left w:val="single" w:color="auto" w:sz="4" w:space="0"/>
              <w:bottom w:val="single" w:color="auto" w:sz="4" w:space="0"/>
              <w:right w:val="single" w:color="auto" w:sz="4" w:space="0"/>
            </w:tcBorders>
            <w:vAlign w:val="center"/>
          </w:tcPr>
          <w:p w14:paraId="68CB33F4">
            <w:pPr>
              <w:autoSpaceDE w:val="0"/>
              <w:autoSpaceDN w:val="0"/>
              <w:adjustRightInd w:val="0"/>
              <w:jc w:val="center"/>
              <w:rPr>
                <w:rFonts w:ascii="宋体" w:cs="宋体"/>
                <w:b/>
                <w:bCs/>
                <w:sz w:val="24"/>
                <w:szCs w:val="24"/>
                <w:lang w:val="zh-CN"/>
              </w:rPr>
            </w:pPr>
            <w:r>
              <w:rPr>
                <w:rFonts w:hint="eastAsia" w:ascii="宋体" w:hAnsi="宋体" w:cs="宋体"/>
                <w:b/>
                <w:sz w:val="24"/>
                <w:szCs w:val="24"/>
                <w:lang w:val="zh-CN"/>
              </w:rPr>
              <w:t>投标总报价（元）</w:t>
            </w:r>
          </w:p>
        </w:tc>
        <w:tc>
          <w:tcPr>
            <w:tcW w:w="3574" w:type="dxa"/>
            <w:tcBorders>
              <w:top w:val="single" w:color="auto" w:sz="4" w:space="0"/>
              <w:left w:val="single" w:color="auto" w:sz="4" w:space="0"/>
              <w:bottom w:val="single" w:color="auto" w:sz="4" w:space="0"/>
              <w:right w:val="single" w:color="auto" w:sz="4" w:space="0"/>
            </w:tcBorders>
            <w:vAlign w:val="center"/>
          </w:tcPr>
          <w:p w14:paraId="227ADE90">
            <w:pPr>
              <w:autoSpaceDE w:val="0"/>
              <w:autoSpaceDN w:val="0"/>
              <w:adjustRightInd w:val="0"/>
              <w:rPr>
                <w:rFonts w:ascii="宋体" w:cs="宋体"/>
                <w:b/>
                <w:bCs/>
                <w:sz w:val="24"/>
                <w:szCs w:val="24"/>
                <w:lang w:val="zh-CN"/>
              </w:rPr>
            </w:pPr>
          </w:p>
        </w:tc>
      </w:tr>
      <w:tr w14:paraId="2E3D80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5805" w:type="dxa"/>
            <w:tcBorders>
              <w:top w:val="single" w:color="auto" w:sz="4" w:space="0"/>
              <w:left w:val="single" w:color="auto" w:sz="4" w:space="0"/>
              <w:bottom w:val="single" w:color="auto" w:sz="4" w:space="0"/>
              <w:right w:val="single" w:color="auto" w:sz="4" w:space="0"/>
            </w:tcBorders>
            <w:vAlign w:val="center"/>
          </w:tcPr>
          <w:p w14:paraId="6AABF229">
            <w:pPr>
              <w:autoSpaceDE w:val="0"/>
              <w:autoSpaceDN w:val="0"/>
              <w:adjustRightInd w:val="0"/>
              <w:jc w:val="center"/>
              <w:rPr>
                <w:rFonts w:ascii="宋体" w:cs="宋体"/>
                <w:b/>
                <w:bCs/>
                <w:sz w:val="24"/>
                <w:szCs w:val="24"/>
                <w:lang w:val="zh-CN"/>
              </w:rPr>
            </w:pPr>
            <w:r>
              <w:rPr>
                <w:rFonts w:hint="eastAsia" w:ascii="宋体" w:hAnsi="宋体" w:cs="宋体"/>
                <w:b/>
                <w:sz w:val="24"/>
                <w:szCs w:val="24"/>
                <w:lang w:val="zh-CN"/>
              </w:rPr>
              <w:t>其中：</w:t>
            </w:r>
            <w:r>
              <w:rPr>
                <w:rFonts w:hint="eastAsia" w:ascii="宋体" w:hAnsi="宋体" w:cs="宋体"/>
                <w:b/>
                <w:bCs/>
                <w:sz w:val="24"/>
                <w:szCs w:val="24"/>
                <w:lang w:val="zh-CN"/>
              </w:rPr>
              <w:t>人工费</w:t>
            </w:r>
            <w:r>
              <w:rPr>
                <w:rFonts w:hint="eastAsia" w:ascii="宋体" w:hAnsi="宋体" w:cs="宋体"/>
                <w:b/>
                <w:sz w:val="24"/>
                <w:szCs w:val="24"/>
                <w:lang w:val="zh-CN"/>
              </w:rPr>
              <w:t>（元）</w:t>
            </w:r>
          </w:p>
        </w:tc>
        <w:tc>
          <w:tcPr>
            <w:tcW w:w="3574" w:type="dxa"/>
            <w:tcBorders>
              <w:top w:val="single" w:color="auto" w:sz="4" w:space="0"/>
              <w:left w:val="single" w:color="auto" w:sz="4" w:space="0"/>
              <w:bottom w:val="single" w:color="auto" w:sz="4" w:space="0"/>
              <w:right w:val="single" w:color="auto" w:sz="4" w:space="0"/>
            </w:tcBorders>
            <w:vAlign w:val="center"/>
          </w:tcPr>
          <w:p w14:paraId="008A2DC6">
            <w:pPr>
              <w:autoSpaceDE w:val="0"/>
              <w:autoSpaceDN w:val="0"/>
              <w:adjustRightInd w:val="0"/>
              <w:rPr>
                <w:rFonts w:ascii="宋体" w:cs="宋体"/>
                <w:b/>
                <w:bCs/>
                <w:sz w:val="24"/>
                <w:szCs w:val="24"/>
                <w:lang w:val="zh-CN"/>
              </w:rPr>
            </w:pPr>
          </w:p>
        </w:tc>
      </w:tr>
      <w:tr w14:paraId="35183C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5805" w:type="dxa"/>
            <w:tcBorders>
              <w:top w:val="single" w:color="auto" w:sz="4" w:space="0"/>
              <w:left w:val="single" w:color="auto" w:sz="4" w:space="0"/>
              <w:bottom w:val="single" w:color="auto" w:sz="4" w:space="0"/>
              <w:right w:val="single" w:color="auto" w:sz="4" w:space="0"/>
            </w:tcBorders>
            <w:vAlign w:val="center"/>
          </w:tcPr>
          <w:p w14:paraId="252406EB">
            <w:pPr>
              <w:widowControl/>
              <w:jc w:val="left"/>
              <w:rPr>
                <w:rFonts w:ascii="宋体" w:cs="宋体"/>
                <w:b/>
                <w:bCs/>
                <w:sz w:val="24"/>
                <w:szCs w:val="24"/>
                <w:lang w:val="zh-CN"/>
              </w:rPr>
            </w:pPr>
            <w:r>
              <w:rPr>
                <w:rFonts w:hint="eastAsia" w:ascii="宋体" w:hAnsi="宋体" w:cs="宋体"/>
                <w:b/>
                <w:bCs/>
                <w:sz w:val="24"/>
                <w:szCs w:val="24"/>
                <w:lang w:val="zh-CN"/>
              </w:rPr>
              <w:t>其中：</w:t>
            </w:r>
            <w:r>
              <w:rPr>
                <w:rFonts w:hint="eastAsia" w:ascii="宋体" w:hAnsi="宋体" w:cs="宋体"/>
                <w:b/>
                <w:sz w:val="24"/>
                <w:szCs w:val="24"/>
                <w:lang w:val="zh-CN"/>
              </w:rPr>
              <w:t>绿色施工安全防护措施费（元）</w:t>
            </w:r>
          </w:p>
        </w:tc>
        <w:tc>
          <w:tcPr>
            <w:tcW w:w="3574" w:type="dxa"/>
            <w:tcBorders>
              <w:top w:val="single" w:color="auto" w:sz="4" w:space="0"/>
              <w:left w:val="single" w:color="auto" w:sz="4" w:space="0"/>
              <w:bottom w:val="single" w:color="auto" w:sz="4" w:space="0"/>
              <w:right w:val="single" w:color="auto" w:sz="4" w:space="0"/>
            </w:tcBorders>
            <w:vAlign w:val="center"/>
          </w:tcPr>
          <w:p w14:paraId="1AC88492">
            <w:pPr>
              <w:autoSpaceDE w:val="0"/>
              <w:autoSpaceDN w:val="0"/>
              <w:adjustRightInd w:val="0"/>
              <w:rPr>
                <w:rFonts w:ascii="宋体" w:cs="宋体"/>
                <w:b/>
                <w:bCs/>
                <w:sz w:val="24"/>
                <w:szCs w:val="24"/>
                <w:lang w:val="zh-CN"/>
              </w:rPr>
            </w:pPr>
          </w:p>
        </w:tc>
      </w:tr>
      <w:tr w14:paraId="6E3DFE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5805" w:type="dxa"/>
            <w:tcBorders>
              <w:top w:val="single" w:color="auto" w:sz="4" w:space="0"/>
              <w:left w:val="single" w:color="auto" w:sz="4" w:space="0"/>
              <w:bottom w:val="single" w:color="auto" w:sz="4" w:space="0"/>
              <w:right w:val="single" w:color="auto" w:sz="4" w:space="0"/>
            </w:tcBorders>
            <w:vAlign w:val="center"/>
          </w:tcPr>
          <w:p w14:paraId="2734E22A">
            <w:pPr>
              <w:jc w:val="center"/>
              <w:rPr>
                <w:rFonts w:ascii="宋体" w:cs="宋体"/>
                <w:b/>
                <w:sz w:val="24"/>
                <w:szCs w:val="24"/>
                <w:lang w:val="zh-CN"/>
              </w:rPr>
            </w:pPr>
            <w:r>
              <w:rPr>
                <w:rFonts w:hint="eastAsia" w:ascii="宋体" w:hAnsi="宋体" w:cs="宋体"/>
                <w:b/>
                <w:sz w:val="24"/>
                <w:szCs w:val="24"/>
                <w:lang w:val="zh-CN"/>
              </w:rPr>
              <w:t>投</w:t>
            </w:r>
            <w:r>
              <w:rPr>
                <w:rFonts w:ascii="宋体" w:hAnsi="宋体" w:cs="宋体"/>
                <w:b/>
                <w:sz w:val="24"/>
                <w:szCs w:val="24"/>
                <w:lang w:val="zh-CN"/>
              </w:rPr>
              <w:t xml:space="preserve"> </w:t>
            </w:r>
            <w:r>
              <w:rPr>
                <w:rFonts w:hint="eastAsia" w:ascii="宋体" w:hAnsi="宋体" w:cs="宋体"/>
                <w:b/>
                <w:sz w:val="24"/>
                <w:szCs w:val="24"/>
                <w:lang w:val="zh-CN"/>
              </w:rPr>
              <w:t>标</w:t>
            </w:r>
            <w:r>
              <w:rPr>
                <w:rFonts w:ascii="宋体" w:hAnsi="宋体" w:cs="宋体"/>
                <w:b/>
                <w:sz w:val="24"/>
                <w:szCs w:val="24"/>
                <w:lang w:val="zh-CN"/>
              </w:rPr>
              <w:t xml:space="preserve"> </w:t>
            </w:r>
            <w:r>
              <w:rPr>
                <w:rFonts w:hint="eastAsia" w:ascii="宋体" w:hAnsi="宋体" w:cs="宋体"/>
                <w:b/>
                <w:sz w:val="24"/>
                <w:szCs w:val="24"/>
                <w:lang w:val="zh-CN"/>
              </w:rPr>
              <w:t>总工</w:t>
            </w:r>
            <w:r>
              <w:rPr>
                <w:rFonts w:ascii="宋体" w:hAnsi="宋体" w:cs="宋体"/>
                <w:b/>
                <w:sz w:val="24"/>
                <w:szCs w:val="24"/>
                <w:lang w:val="zh-CN"/>
              </w:rPr>
              <w:t xml:space="preserve"> </w:t>
            </w:r>
            <w:r>
              <w:rPr>
                <w:rFonts w:hint="eastAsia" w:ascii="宋体" w:hAnsi="宋体" w:cs="宋体"/>
                <w:b/>
                <w:sz w:val="24"/>
                <w:szCs w:val="24"/>
                <w:lang w:val="zh-CN"/>
              </w:rPr>
              <w:t>期</w:t>
            </w:r>
          </w:p>
        </w:tc>
        <w:tc>
          <w:tcPr>
            <w:tcW w:w="3574" w:type="dxa"/>
            <w:tcBorders>
              <w:top w:val="single" w:color="auto" w:sz="4" w:space="0"/>
              <w:left w:val="single" w:color="auto" w:sz="4" w:space="0"/>
              <w:bottom w:val="single" w:color="auto" w:sz="4" w:space="0"/>
              <w:right w:val="single" w:color="auto" w:sz="4" w:space="0"/>
            </w:tcBorders>
          </w:tcPr>
          <w:p w14:paraId="2F9CD3C9">
            <w:pPr>
              <w:autoSpaceDE w:val="0"/>
              <w:autoSpaceDN w:val="0"/>
              <w:adjustRightInd w:val="0"/>
              <w:rPr>
                <w:rFonts w:ascii="宋体" w:cs="宋体"/>
                <w:b/>
                <w:bCs/>
                <w:sz w:val="24"/>
                <w:szCs w:val="24"/>
                <w:lang w:val="zh-CN"/>
              </w:rPr>
            </w:pPr>
          </w:p>
        </w:tc>
      </w:tr>
      <w:tr w14:paraId="261E12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5805" w:type="dxa"/>
            <w:tcBorders>
              <w:top w:val="single" w:color="auto" w:sz="4" w:space="0"/>
              <w:left w:val="single" w:color="auto" w:sz="4" w:space="0"/>
              <w:bottom w:val="single" w:color="auto" w:sz="4" w:space="0"/>
              <w:right w:val="single" w:color="auto" w:sz="4" w:space="0"/>
            </w:tcBorders>
            <w:vAlign w:val="center"/>
          </w:tcPr>
          <w:p w14:paraId="5CA268D6">
            <w:pPr>
              <w:jc w:val="center"/>
              <w:rPr>
                <w:rFonts w:ascii="宋体"/>
                <w:b/>
                <w:sz w:val="24"/>
                <w:szCs w:val="24"/>
              </w:rPr>
            </w:pPr>
            <w:r>
              <w:rPr>
                <w:rFonts w:hint="eastAsia" w:ascii="宋体" w:hAnsi="宋体" w:cs="宋体"/>
                <w:b/>
                <w:sz w:val="24"/>
                <w:szCs w:val="24"/>
                <w:lang w:val="zh-CN"/>
              </w:rPr>
              <w:t>工程质量标准</w:t>
            </w:r>
          </w:p>
        </w:tc>
        <w:tc>
          <w:tcPr>
            <w:tcW w:w="3574" w:type="dxa"/>
            <w:tcBorders>
              <w:top w:val="single" w:color="auto" w:sz="4" w:space="0"/>
              <w:left w:val="single" w:color="auto" w:sz="4" w:space="0"/>
              <w:bottom w:val="single" w:color="auto" w:sz="4" w:space="0"/>
              <w:right w:val="single" w:color="auto" w:sz="4" w:space="0"/>
            </w:tcBorders>
          </w:tcPr>
          <w:p w14:paraId="700B73DB">
            <w:pPr>
              <w:autoSpaceDE w:val="0"/>
              <w:autoSpaceDN w:val="0"/>
              <w:adjustRightInd w:val="0"/>
              <w:rPr>
                <w:rFonts w:ascii="宋体" w:cs="宋体"/>
                <w:b/>
                <w:bCs/>
                <w:sz w:val="24"/>
                <w:szCs w:val="24"/>
                <w:lang w:val="zh-CN"/>
              </w:rPr>
            </w:pPr>
          </w:p>
        </w:tc>
      </w:tr>
      <w:tr w14:paraId="5AE563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5805" w:type="dxa"/>
            <w:tcBorders>
              <w:top w:val="single" w:color="auto" w:sz="4" w:space="0"/>
              <w:left w:val="single" w:color="auto" w:sz="4" w:space="0"/>
              <w:bottom w:val="single" w:color="auto" w:sz="4" w:space="0"/>
              <w:right w:val="single" w:color="auto" w:sz="4" w:space="0"/>
            </w:tcBorders>
            <w:vAlign w:val="center"/>
          </w:tcPr>
          <w:p w14:paraId="0E8C4E1E">
            <w:pPr>
              <w:autoSpaceDE w:val="0"/>
              <w:autoSpaceDN w:val="0"/>
              <w:adjustRightInd w:val="0"/>
              <w:ind w:firstLine="2159" w:firstLineChars="896"/>
              <w:rPr>
                <w:rFonts w:ascii="宋体" w:cs="宋体"/>
                <w:b/>
                <w:bCs/>
                <w:sz w:val="24"/>
                <w:szCs w:val="24"/>
                <w:lang w:val="zh-CN"/>
              </w:rPr>
            </w:pPr>
            <w:r>
              <w:rPr>
                <w:rFonts w:hint="eastAsia" w:ascii="宋体" w:hAnsi="宋体" w:cs="宋体"/>
                <w:b/>
                <w:sz w:val="24"/>
                <w:szCs w:val="24"/>
                <w:lang w:val="zh-CN"/>
              </w:rPr>
              <w:t>保</w:t>
            </w:r>
            <w:r>
              <w:rPr>
                <w:rFonts w:ascii="宋体" w:hAnsi="宋体" w:cs="宋体"/>
                <w:b/>
                <w:sz w:val="24"/>
                <w:szCs w:val="24"/>
                <w:lang w:val="zh-CN"/>
              </w:rPr>
              <w:t xml:space="preserve"> </w:t>
            </w:r>
            <w:r>
              <w:rPr>
                <w:rFonts w:hint="eastAsia" w:ascii="宋体" w:hAnsi="宋体" w:cs="宋体"/>
                <w:b/>
                <w:sz w:val="24"/>
                <w:szCs w:val="24"/>
                <w:lang w:val="zh-CN"/>
              </w:rPr>
              <w:t>修</w:t>
            </w:r>
            <w:r>
              <w:rPr>
                <w:rFonts w:ascii="宋体" w:hAnsi="宋体" w:cs="宋体"/>
                <w:b/>
                <w:sz w:val="24"/>
                <w:szCs w:val="24"/>
                <w:lang w:val="zh-CN"/>
              </w:rPr>
              <w:t xml:space="preserve"> </w:t>
            </w:r>
            <w:r>
              <w:rPr>
                <w:rFonts w:hint="eastAsia" w:ascii="宋体" w:hAnsi="宋体" w:cs="宋体"/>
                <w:b/>
                <w:sz w:val="24"/>
                <w:szCs w:val="24"/>
                <w:lang w:val="zh-CN"/>
              </w:rPr>
              <w:t>期</w:t>
            </w:r>
            <w:r>
              <w:rPr>
                <w:rFonts w:ascii="宋体" w:hAnsi="宋体" w:cs="宋体"/>
                <w:b/>
                <w:sz w:val="24"/>
                <w:szCs w:val="24"/>
                <w:lang w:val="zh-CN"/>
              </w:rPr>
              <w:t xml:space="preserve"> </w:t>
            </w:r>
            <w:r>
              <w:rPr>
                <w:rFonts w:hint="eastAsia" w:ascii="宋体" w:hAnsi="宋体" w:cs="宋体"/>
                <w:b/>
                <w:sz w:val="24"/>
                <w:szCs w:val="24"/>
                <w:lang w:val="zh-CN"/>
              </w:rPr>
              <w:t>限</w:t>
            </w:r>
          </w:p>
        </w:tc>
        <w:tc>
          <w:tcPr>
            <w:tcW w:w="3574" w:type="dxa"/>
            <w:tcBorders>
              <w:top w:val="single" w:color="auto" w:sz="4" w:space="0"/>
              <w:left w:val="single" w:color="auto" w:sz="4" w:space="0"/>
              <w:bottom w:val="single" w:color="auto" w:sz="4" w:space="0"/>
              <w:right w:val="single" w:color="auto" w:sz="4" w:space="0"/>
            </w:tcBorders>
          </w:tcPr>
          <w:p w14:paraId="181070D6">
            <w:pPr>
              <w:autoSpaceDE w:val="0"/>
              <w:autoSpaceDN w:val="0"/>
              <w:adjustRightInd w:val="0"/>
              <w:rPr>
                <w:rFonts w:ascii="宋体" w:cs="宋体"/>
                <w:b/>
                <w:bCs/>
                <w:sz w:val="24"/>
                <w:szCs w:val="24"/>
                <w:lang w:val="zh-CN"/>
              </w:rPr>
            </w:pPr>
          </w:p>
        </w:tc>
      </w:tr>
    </w:tbl>
    <w:p w14:paraId="450E83C1">
      <w:pPr>
        <w:tabs>
          <w:tab w:val="left" w:pos="720"/>
        </w:tabs>
        <w:snapToGrid w:val="0"/>
        <w:spacing w:line="360" w:lineRule="auto"/>
        <w:rPr>
          <w:sz w:val="24"/>
          <w:szCs w:val="24"/>
        </w:rPr>
      </w:pPr>
    </w:p>
    <w:tbl>
      <w:tblPr>
        <w:tblStyle w:val="34"/>
        <w:tblW w:w="9008" w:type="dxa"/>
        <w:tblInd w:w="108" w:type="dxa"/>
        <w:tblLayout w:type="fixed"/>
        <w:tblCellMar>
          <w:top w:w="0" w:type="dxa"/>
          <w:left w:w="108" w:type="dxa"/>
          <w:bottom w:w="0" w:type="dxa"/>
          <w:right w:w="108" w:type="dxa"/>
        </w:tblCellMar>
      </w:tblPr>
      <w:tblGrid>
        <w:gridCol w:w="9008"/>
      </w:tblGrid>
      <w:tr w14:paraId="7EFEF69D">
        <w:tblPrEx>
          <w:tblCellMar>
            <w:top w:w="0" w:type="dxa"/>
            <w:left w:w="108" w:type="dxa"/>
            <w:bottom w:w="0" w:type="dxa"/>
            <w:right w:w="108" w:type="dxa"/>
          </w:tblCellMar>
        </w:tblPrEx>
        <w:trPr>
          <w:trHeight w:val="195" w:hRule="atLeast"/>
        </w:trPr>
        <w:tc>
          <w:tcPr>
            <w:tcW w:w="9008" w:type="dxa"/>
            <w:tcBorders>
              <w:top w:val="nil"/>
              <w:left w:val="nil"/>
              <w:bottom w:val="nil"/>
              <w:right w:val="nil"/>
            </w:tcBorders>
            <w:vAlign w:val="bottom"/>
          </w:tcPr>
          <w:p w14:paraId="7148B13C">
            <w:pPr>
              <w:widowControl/>
              <w:spacing w:line="360" w:lineRule="auto"/>
              <w:jc w:val="left"/>
              <w:rPr>
                <w:rFonts w:ascii="宋体" w:cs="宋体"/>
                <w:kern w:val="0"/>
                <w:sz w:val="28"/>
                <w:szCs w:val="28"/>
              </w:rPr>
            </w:pPr>
            <w:r>
              <w:rPr>
                <w:rFonts w:ascii="宋体" w:hAnsi="宋体" w:cs="宋体"/>
                <w:kern w:val="0"/>
                <w:sz w:val="28"/>
                <w:szCs w:val="28"/>
              </w:rPr>
              <w:t xml:space="preserve">                                                                                             </w:t>
            </w:r>
          </w:p>
        </w:tc>
      </w:tr>
    </w:tbl>
    <w:p w14:paraId="56CD18B6">
      <w:pPr>
        <w:autoSpaceDE w:val="0"/>
        <w:autoSpaceDN w:val="0"/>
        <w:adjustRightInd w:val="0"/>
        <w:rPr>
          <w:bCs/>
          <w:sz w:val="24"/>
          <w:szCs w:val="24"/>
        </w:rPr>
      </w:pPr>
      <w:r>
        <w:rPr>
          <w:sz w:val="24"/>
          <w:szCs w:val="24"/>
        </w:rPr>
        <w:br w:type="page"/>
      </w:r>
    </w:p>
    <w:p w14:paraId="12F30445">
      <w:pPr>
        <w:autoSpaceDE w:val="0"/>
        <w:autoSpaceDN w:val="0"/>
        <w:adjustRightInd w:val="0"/>
        <w:rPr>
          <w:sz w:val="24"/>
          <w:szCs w:val="24"/>
        </w:rPr>
      </w:pPr>
      <w:r>
        <w:rPr>
          <w:rFonts w:hint="eastAsia"/>
          <w:bCs/>
          <w:sz w:val="24"/>
          <w:szCs w:val="24"/>
        </w:rPr>
        <w:t>技术标</w:t>
      </w:r>
      <w:r>
        <w:rPr>
          <w:rFonts w:hint="eastAsia" w:ascii="宋体" w:hAnsi="宋体" w:cs="宋体"/>
          <w:sz w:val="24"/>
        </w:rPr>
        <w:t>投标文件</w:t>
      </w:r>
      <w:r>
        <w:rPr>
          <w:rFonts w:hint="eastAsia"/>
          <w:sz w:val="24"/>
          <w:szCs w:val="24"/>
        </w:rPr>
        <w:t>格式三：</w:t>
      </w:r>
    </w:p>
    <w:p w14:paraId="7E0AFA71">
      <w:pPr>
        <w:autoSpaceDE w:val="0"/>
        <w:autoSpaceDN w:val="0"/>
        <w:adjustRightInd w:val="0"/>
        <w:rPr>
          <w:sz w:val="24"/>
          <w:szCs w:val="24"/>
        </w:rPr>
      </w:pPr>
    </w:p>
    <w:p w14:paraId="1C0B7B78">
      <w:pPr>
        <w:autoSpaceDE w:val="0"/>
        <w:autoSpaceDN w:val="0"/>
        <w:adjustRightInd w:val="0"/>
        <w:rPr>
          <w:sz w:val="24"/>
          <w:szCs w:val="24"/>
        </w:rPr>
      </w:pPr>
    </w:p>
    <w:p w14:paraId="5978837B">
      <w:pPr>
        <w:autoSpaceDE w:val="0"/>
        <w:autoSpaceDN w:val="0"/>
        <w:adjustRightInd w:val="0"/>
        <w:jc w:val="center"/>
        <w:rPr>
          <w:b/>
          <w:sz w:val="32"/>
          <w:szCs w:val="32"/>
        </w:rPr>
      </w:pPr>
      <w:r>
        <w:rPr>
          <w:rFonts w:hint="eastAsia"/>
          <w:b/>
          <w:sz w:val="32"/>
          <w:szCs w:val="32"/>
        </w:rPr>
        <w:t>资格审查文件</w:t>
      </w:r>
    </w:p>
    <w:p w14:paraId="5534E014">
      <w:pPr>
        <w:autoSpaceDE w:val="0"/>
        <w:autoSpaceDN w:val="0"/>
        <w:adjustRightInd w:val="0"/>
        <w:jc w:val="center"/>
        <w:rPr>
          <w:sz w:val="24"/>
          <w:szCs w:val="24"/>
        </w:rPr>
      </w:pPr>
      <w:r>
        <w:rPr>
          <w:rFonts w:hint="eastAsia" w:ascii="宋体" w:hAnsi="宋体" w:cs="宋体"/>
          <w:snapToGrid w:val="0"/>
          <w:spacing w:val="4"/>
          <w:kern w:val="0"/>
          <w:sz w:val="24"/>
          <w:szCs w:val="20"/>
        </w:rPr>
        <w:t>注：按投标须知修改表11.2.2条款及《资格审查表》要求提交</w:t>
      </w:r>
      <w:r>
        <w:rPr>
          <w:rFonts w:hint="eastAsia" w:ascii="宋体" w:hAnsi="宋体" w:cs="宋体"/>
          <w:snapToGrid w:val="0"/>
          <w:spacing w:val="4"/>
          <w:sz w:val="24"/>
        </w:rPr>
        <w:t>，格式自拟。</w:t>
      </w:r>
    </w:p>
    <w:p w14:paraId="61C77383">
      <w:pPr>
        <w:autoSpaceDE w:val="0"/>
        <w:autoSpaceDN w:val="0"/>
        <w:adjustRightInd w:val="0"/>
        <w:rPr>
          <w:bCs/>
          <w:sz w:val="24"/>
          <w:szCs w:val="24"/>
        </w:rPr>
      </w:pPr>
    </w:p>
    <w:p w14:paraId="6CC843E5">
      <w:pPr>
        <w:widowControl/>
        <w:jc w:val="left"/>
        <w:rPr>
          <w:bCs/>
          <w:sz w:val="24"/>
          <w:szCs w:val="24"/>
        </w:rPr>
      </w:pPr>
      <w:r>
        <w:rPr>
          <w:bCs/>
          <w:sz w:val="24"/>
          <w:szCs w:val="24"/>
        </w:rPr>
        <w:br w:type="page"/>
      </w:r>
    </w:p>
    <w:p w14:paraId="0FB05D54">
      <w:pPr>
        <w:autoSpaceDE w:val="0"/>
        <w:autoSpaceDN w:val="0"/>
        <w:adjustRightInd w:val="0"/>
        <w:rPr>
          <w:sz w:val="24"/>
          <w:szCs w:val="24"/>
        </w:rPr>
      </w:pPr>
      <w:r>
        <w:rPr>
          <w:rFonts w:hint="eastAsia"/>
          <w:bCs/>
          <w:sz w:val="24"/>
          <w:szCs w:val="24"/>
        </w:rPr>
        <w:t>技术标</w:t>
      </w:r>
      <w:r>
        <w:rPr>
          <w:rFonts w:hint="eastAsia" w:ascii="宋体" w:hAnsi="宋体" w:cs="宋体"/>
          <w:sz w:val="24"/>
        </w:rPr>
        <w:t>投标文件</w:t>
      </w:r>
      <w:r>
        <w:rPr>
          <w:rFonts w:hint="eastAsia"/>
          <w:sz w:val="24"/>
          <w:szCs w:val="24"/>
        </w:rPr>
        <w:t>格式四：</w:t>
      </w:r>
    </w:p>
    <w:p w14:paraId="6483244C">
      <w:pPr>
        <w:autoSpaceDE w:val="0"/>
        <w:autoSpaceDN w:val="0"/>
        <w:adjustRightInd w:val="0"/>
        <w:rPr>
          <w:sz w:val="24"/>
          <w:szCs w:val="24"/>
        </w:rPr>
      </w:pPr>
    </w:p>
    <w:p w14:paraId="75B31C14">
      <w:pPr>
        <w:autoSpaceDE w:val="0"/>
        <w:autoSpaceDN w:val="0"/>
        <w:adjustRightInd w:val="0"/>
        <w:jc w:val="center"/>
        <w:rPr>
          <w:sz w:val="24"/>
          <w:szCs w:val="24"/>
        </w:rPr>
      </w:pPr>
      <w:r>
        <w:rPr>
          <w:rFonts w:hint="eastAsia" w:ascii="宋体" w:hAnsi="宋体" w:cs="宋体"/>
          <w:b/>
          <w:snapToGrid w:val="0"/>
          <w:spacing w:val="4"/>
          <w:kern w:val="0"/>
          <w:sz w:val="32"/>
          <w:szCs w:val="32"/>
        </w:rPr>
        <w:t>技术评审资料</w:t>
      </w:r>
    </w:p>
    <w:p w14:paraId="78171DDE">
      <w:pPr>
        <w:autoSpaceDE w:val="0"/>
        <w:autoSpaceDN w:val="0"/>
        <w:adjustRightInd w:val="0"/>
        <w:rPr>
          <w:sz w:val="24"/>
          <w:szCs w:val="24"/>
        </w:rPr>
      </w:pPr>
      <w:r>
        <w:rPr>
          <w:rFonts w:hint="eastAsia" w:ascii="宋体" w:hAnsi="宋体" w:cs="宋体"/>
          <w:snapToGrid w:val="0"/>
          <w:spacing w:val="4"/>
          <w:kern w:val="0"/>
          <w:sz w:val="24"/>
          <w:szCs w:val="20"/>
        </w:rPr>
        <w:t>注：按《技术标有效性审查表》及《技术标详细审查评分表》要求提交</w:t>
      </w:r>
      <w:r>
        <w:rPr>
          <w:rFonts w:hint="eastAsia" w:ascii="宋体" w:hAnsi="宋体" w:cs="宋体"/>
          <w:snapToGrid w:val="0"/>
          <w:spacing w:val="4"/>
          <w:sz w:val="24"/>
        </w:rPr>
        <w:t>，格式自拟。</w:t>
      </w:r>
    </w:p>
    <w:p w14:paraId="376009C7">
      <w:pPr>
        <w:widowControl/>
        <w:jc w:val="left"/>
        <w:rPr>
          <w:sz w:val="24"/>
          <w:szCs w:val="24"/>
        </w:rPr>
      </w:pPr>
      <w:r>
        <w:rPr>
          <w:sz w:val="24"/>
          <w:szCs w:val="24"/>
        </w:rPr>
        <w:br w:type="page"/>
      </w:r>
    </w:p>
    <w:p w14:paraId="7875F694">
      <w:pPr>
        <w:autoSpaceDE w:val="0"/>
        <w:autoSpaceDN w:val="0"/>
        <w:adjustRightInd w:val="0"/>
        <w:rPr>
          <w:sz w:val="24"/>
          <w:szCs w:val="24"/>
        </w:rPr>
      </w:pPr>
      <w:r>
        <w:rPr>
          <w:rFonts w:hint="eastAsia"/>
          <w:bCs/>
          <w:sz w:val="24"/>
          <w:szCs w:val="24"/>
        </w:rPr>
        <w:t>技术标</w:t>
      </w:r>
      <w:r>
        <w:rPr>
          <w:rFonts w:hint="eastAsia" w:ascii="宋体" w:hAnsi="宋体" w:cs="宋体"/>
          <w:sz w:val="24"/>
        </w:rPr>
        <w:t>投标文件</w:t>
      </w:r>
      <w:r>
        <w:rPr>
          <w:rFonts w:hint="eastAsia"/>
          <w:sz w:val="24"/>
          <w:szCs w:val="24"/>
        </w:rPr>
        <w:t>格式五：</w:t>
      </w:r>
    </w:p>
    <w:p w14:paraId="3C918C32">
      <w:pPr>
        <w:tabs>
          <w:tab w:val="left" w:pos="720"/>
        </w:tabs>
        <w:snapToGrid w:val="0"/>
        <w:spacing w:line="360" w:lineRule="auto"/>
        <w:rPr>
          <w:sz w:val="24"/>
          <w:szCs w:val="24"/>
        </w:rPr>
      </w:pPr>
    </w:p>
    <w:p w14:paraId="20AE3239">
      <w:pPr>
        <w:spacing w:line="400" w:lineRule="exact"/>
        <w:jc w:val="center"/>
        <w:rPr>
          <w:rFonts w:ascii="宋体" w:hAnsi="宋体" w:cs="宋体"/>
          <w:b/>
          <w:bCs/>
          <w:sz w:val="30"/>
          <w:szCs w:val="30"/>
        </w:rPr>
      </w:pPr>
      <w:r>
        <w:rPr>
          <w:rFonts w:hint="eastAsia" w:ascii="宋体" w:hAnsi="宋体" w:cs="宋体"/>
          <w:b/>
          <w:bCs/>
          <w:sz w:val="30"/>
          <w:szCs w:val="30"/>
        </w:rPr>
        <w:t>人员投入承诺书</w:t>
      </w:r>
    </w:p>
    <w:p w14:paraId="224FB6C7">
      <w:pPr>
        <w:topLinePunct/>
        <w:adjustRightInd w:val="0"/>
        <w:snapToGrid w:val="0"/>
        <w:spacing w:line="360" w:lineRule="auto"/>
        <w:rPr>
          <w:rFonts w:ascii="宋体" w:hAnsi="宋体" w:cs="宋体"/>
          <w:snapToGrid w:val="0"/>
          <w:spacing w:val="4"/>
          <w:kern w:val="0"/>
          <w:sz w:val="24"/>
          <w:szCs w:val="24"/>
        </w:rPr>
      </w:pPr>
    </w:p>
    <w:p w14:paraId="69653277">
      <w:pPr>
        <w:topLinePunct/>
        <w:adjustRightInd w:val="0"/>
        <w:snapToGrid w:val="0"/>
        <w:spacing w:line="400" w:lineRule="exact"/>
        <w:rPr>
          <w:rFonts w:ascii="宋体" w:hAnsi="宋体" w:cs="宋体"/>
          <w:snapToGrid w:val="0"/>
          <w:spacing w:val="4"/>
          <w:kern w:val="0"/>
          <w:sz w:val="24"/>
          <w:szCs w:val="24"/>
        </w:rPr>
      </w:pPr>
      <w:r>
        <w:rPr>
          <w:rFonts w:hint="eastAsia" w:ascii="宋体" w:hAnsi="宋体" w:cs="宋体"/>
          <w:snapToGrid w:val="0"/>
          <w:spacing w:val="4"/>
          <w:kern w:val="0"/>
          <w:sz w:val="24"/>
          <w:szCs w:val="24"/>
        </w:rPr>
        <w:t>致：</w:t>
      </w:r>
      <w:r>
        <w:rPr>
          <w:rFonts w:hint="eastAsia" w:ascii="宋体" w:hAnsi="宋体" w:cs="宋体"/>
          <w:bCs/>
          <w:sz w:val="24"/>
          <w:u w:val="single"/>
        </w:rPr>
        <w:t>广东中烟工业有限责任公司</w:t>
      </w:r>
    </w:p>
    <w:p w14:paraId="62BCCB54">
      <w:pPr>
        <w:topLinePunct/>
        <w:adjustRightInd w:val="0"/>
        <w:snapToGrid w:val="0"/>
        <w:spacing w:line="400" w:lineRule="exact"/>
        <w:ind w:firstLine="496" w:firstLineChars="200"/>
        <w:rPr>
          <w:rFonts w:ascii="宋体" w:hAnsi="宋体" w:cs="宋体"/>
          <w:snapToGrid w:val="0"/>
          <w:spacing w:val="4"/>
          <w:kern w:val="0"/>
          <w:sz w:val="24"/>
          <w:szCs w:val="24"/>
        </w:rPr>
      </w:pPr>
      <w:r>
        <w:rPr>
          <w:rFonts w:hint="eastAsia" w:ascii="宋体" w:hAnsi="宋体" w:cs="宋体"/>
          <w:snapToGrid w:val="0"/>
          <w:spacing w:val="4"/>
          <w:kern w:val="0"/>
          <w:sz w:val="24"/>
          <w:szCs w:val="24"/>
        </w:rPr>
        <w:t>一旦我方中标，我方愿意做出如下承诺：</w:t>
      </w:r>
    </w:p>
    <w:p w14:paraId="28383637">
      <w:pPr>
        <w:topLinePunct/>
        <w:adjustRightInd w:val="0"/>
        <w:snapToGrid w:val="0"/>
        <w:spacing w:line="400" w:lineRule="exact"/>
        <w:ind w:firstLine="496" w:firstLineChars="200"/>
        <w:rPr>
          <w:rFonts w:ascii="宋体" w:hAnsi="宋体" w:cs="宋体"/>
          <w:snapToGrid w:val="0"/>
          <w:spacing w:val="4"/>
          <w:kern w:val="0"/>
          <w:sz w:val="24"/>
          <w:szCs w:val="24"/>
        </w:rPr>
      </w:pPr>
      <w:r>
        <w:rPr>
          <w:rFonts w:hint="eastAsia" w:ascii="宋体" w:hAnsi="宋体" w:cs="宋体"/>
          <w:snapToGrid w:val="0"/>
          <w:spacing w:val="4"/>
          <w:kern w:val="0"/>
          <w:sz w:val="24"/>
          <w:szCs w:val="24"/>
        </w:rPr>
        <w:t>一、我方承诺按本项目投标时拟投入人员在合同签订前提供原件核对，作为合同签订条件之一。中标后，我方将在中标通知书发出7个工作日内提供投标文件拟投入的全部人员的相关资料原件（包括但不限于社保证明、执业证、职称证等）供贵单位审核。</w:t>
      </w:r>
    </w:p>
    <w:p w14:paraId="2B296A3D">
      <w:pPr>
        <w:topLinePunct/>
        <w:adjustRightInd w:val="0"/>
        <w:snapToGrid w:val="0"/>
        <w:spacing w:line="400" w:lineRule="exact"/>
        <w:ind w:firstLine="496" w:firstLineChars="200"/>
        <w:rPr>
          <w:rFonts w:ascii="宋体" w:hAnsi="宋体" w:cs="宋体"/>
          <w:snapToGrid w:val="0"/>
          <w:spacing w:val="4"/>
          <w:kern w:val="0"/>
          <w:sz w:val="24"/>
          <w:szCs w:val="24"/>
        </w:rPr>
      </w:pPr>
      <w:r>
        <w:rPr>
          <w:rFonts w:hint="eastAsia" w:ascii="宋体" w:hAnsi="宋体" w:cs="宋体"/>
          <w:snapToGrid w:val="0"/>
          <w:spacing w:val="4"/>
          <w:kern w:val="0"/>
          <w:sz w:val="24"/>
          <w:szCs w:val="24"/>
        </w:rPr>
        <w:t>如因我方逾期提供原件核对导致未按期签订合同的，贵单位有权取消我方中标资格。</w:t>
      </w:r>
    </w:p>
    <w:p w14:paraId="0BA8CE42">
      <w:pPr>
        <w:topLinePunct/>
        <w:adjustRightInd w:val="0"/>
        <w:snapToGrid w:val="0"/>
        <w:spacing w:line="400" w:lineRule="exact"/>
        <w:ind w:firstLine="496" w:firstLineChars="200"/>
        <w:rPr>
          <w:rFonts w:ascii="宋体" w:hAnsi="宋体" w:cs="宋体"/>
          <w:bCs/>
          <w:snapToGrid w:val="0"/>
          <w:spacing w:val="4"/>
          <w:kern w:val="0"/>
          <w:sz w:val="24"/>
          <w:szCs w:val="24"/>
        </w:rPr>
      </w:pPr>
      <w:r>
        <w:rPr>
          <w:rFonts w:hint="eastAsia" w:ascii="宋体" w:hAnsi="宋体" w:cs="宋体"/>
          <w:snapToGrid w:val="0"/>
          <w:spacing w:val="4"/>
          <w:kern w:val="0"/>
          <w:sz w:val="24"/>
          <w:szCs w:val="24"/>
        </w:rPr>
        <w:t>二、如果我司中标，我司保证实际投入本项目的人员与我司投标时一致，且不低于本项目招标文件的要求。否则，我司承诺无条件按招标人的要求进行更换，直至招标人满意为止。</w:t>
      </w:r>
      <w:r>
        <w:rPr>
          <w:rFonts w:hint="eastAsia" w:ascii="宋体" w:hAnsi="宋体" w:cs="宋体"/>
          <w:bCs/>
          <w:snapToGrid w:val="0"/>
          <w:spacing w:val="4"/>
          <w:kern w:val="0"/>
          <w:sz w:val="24"/>
          <w:szCs w:val="24"/>
        </w:rPr>
        <w:t>经总监理工程师考核，我司未按投标文件投入主要人员或经过更换后的人员不能满足本项目要求的，</w:t>
      </w:r>
      <w:r>
        <w:rPr>
          <w:rFonts w:hint="eastAsia" w:ascii="宋体" w:hAnsi="宋体" w:cs="宋体"/>
          <w:snapToGrid w:val="0"/>
          <w:spacing w:val="4"/>
          <w:kern w:val="0"/>
          <w:sz w:val="24"/>
          <w:szCs w:val="24"/>
        </w:rPr>
        <w:t>我司承诺</w:t>
      </w:r>
      <w:r>
        <w:rPr>
          <w:rFonts w:hint="eastAsia" w:ascii="宋体" w:hAnsi="宋体" w:cs="宋体"/>
          <w:bCs/>
          <w:snapToGrid w:val="0"/>
          <w:spacing w:val="4"/>
          <w:kern w:val="0"/>
          <w:sz w:val="24"/>
          <w:szCs w:val="24"/>
        </w:rPr>
        <w:t>除无条件按招标人的要求更换外，还应按合同约定的金额向招标人支付违约金。</w:t>
      </w:r>
    </w:p>
    <w:p w14:paraId="3C1F0842">
      <w:pPr>
        <w:topLinePunct/>
        <w:adjustRightInd w:val="0"/>
        <w:snapToGrid w:val="0"/>
        <w:spacing w:line="400" w:lineRule="exact"/>
        <w:ind w:firstLine="496" w:firstLineChars="200"/>
        <w:rPr>
          <w:rFonts w:ascii="宋体" w:hAnsi="宋体" w:cs="宋体"/>
          <w:snapToGrid w:val="0"/>
          <w:spacing w:val="4"/>
          <w:kern w:val="0"/>
          <w:sz w:val="24"/>
          <w:szCs w:val="24"/>
        </w:rPr>
      </w:pPr>
      <w:r>
        <w:rPr>
          <w:rFonts w:hint="eastAsia" w:ascii="宋体" w:hAnsi="宋体" w:cs="宋体"/>
          <w:bCs/>
          <w:snapToGrid w:val="0"/>
          <w:spacing w:val="4"/>
          <w:kern w:val="0"/>
          <w:sz w:val="24"/>
          <w:szCs w:val="24"/>
        </w:rPr>
        <w:t>三、</w:t>
      </w:r>
      <w:r>
        <w:rPr>
          <w:rFonts w:hint="eastAsia" w:ascii="宋体" w:hAnsi="宋体" w:cs="宋体"/>
          <w:snapToGrid w:val="0"/>
          <w:spacing w:val="4"/>
          <w:kern w:val="0"/>
          <w:sz w:val="24"/>
          <w:szCs w:val="24"/>
        </w:rPr>
        <w:t>如果我司中标，我司保证投标时拟派的人员均能在本项目中任职。</w:t>
      </w:r>
    </w:p>
    <w:p w14:paraId="3D30D900">
      <w:pPr>
        <w:topLinePunct/>
        <w:adjustRightInd w:val="0"/>
        <w:snapToGrid w:val="0"/>
        <w:spacing w:line="400" w:lineRule="exact"/>
        <w:ind w:firstLine="496" w:firstLineChars="200"/>
        <w:rPr>
          <w:rFonts w:ascii="宋体" w:hAnsi="宋体" w:cs="宋体"/>
          <w:snapToGrid w:val="0"/>
          <w:spacing w:val="4"/>
          <w:kern w:val="0"/>
          <w:sz w:val="24"/>
          <w:szCs w:val="24"/>
        </w:rPr>
      </w:pPr>
      <w:r>
        <w:rPr>
          <w:rFonts w:hint="eastAsia" w:ascii="宋体" w:hAnsi="宋体" w:cs="宋体"/>
          <w:snapToGrid w:val="0"/>
          <w:spacing w:val="4"/>
          <w:kern w:val="0"/>
          <w:sz w:val="24"/>
          <w:szCs w:val="24"/>
        </w:rPr>
        <w:t>若项目负责人、技术负责人及专职安全员中有两人或以上未在本项目中任职或其他人员（不含项目负责人、技术负责人及专职安全员）中有三人或以上未在本项目中任职，我方自愿放弃中标资格，予以赔偿给建设单位造成的损失，我方将不提出任何异议。</w:t>
      </w:r>
    </w:p>
    <w:p w14:paraId="26F3AD92">
      <w:pPr>
        <w:topLinePunct/>
        <w:adjustRightInd w:val="0"/>
        <w:snapToGrid w:val="0"/>
        <w:spacing w:line="400" w:lineRule="exact"/>
        <w:ind w:firstLine="3472" w:firstLineChars="1400"/>
        <w:rPr>
          <w:rFonts w:ascii="宋体" w:hAnsi="宋体" w:cs="宋体"/>
          <w:snapToGrid w:val="0"/>
          <w:spacing w:val="4"/>
          <w:kern w:val="0"/>
          <w:sz w:val="24"/>
          <w:szCs w:val="24"/>
        </w:rPr>
      </w:pPr>
    </w:p>
    <w:p w14:paraId="45C17D1B">
      <w:pPr>
        <w:topLinePunct/>
        <w:adjustRightInd w:val="0"/>
        <w:snapToGrid w:val="0"/>
        <w:spacing w:line="400" w:lineRule="exact"/>
        <w:ind w:firstLine="3472" w:firstLineChars="1400"/>
        <w:rPr>
          <w:rFonts w:ascii="宋体" w:hAnsi="宋体" w:cs="宋体"/>
          <w:snapToGrid w:val="0"/>
          <w:spacing w:val="4"/>
          <w:kern w:val="0"/>
          <w:sz w:val="24"/>
          <w:szCs w:val="24"/>
        </w:rPr>
      </w:pPr>
    </w:p>
    <w:p w14:paraId="59C17909">
      <w:pPr>
        <w:topLinePunct/>
        <w:adjustRightInd w:val="0"/>
        <w:snapToGrid w:val="0"/>
        <w:spacing w:line="400" w:lineRule="exact"/>
        <w:ind w:firstLine="3472" w:firstLineChars="1400"/>
        <w:rPr>
          <w:rFonts w:ascii="宋体" w:hAnsi="宋体" w:cs="宋体"/>
          <w:snapToGrid w:val="0"/>
          <w:spacing w:val="4"/>
          <w:kern w:val="0"/>
          <w:sz w:val="24"/>
          <w:szCs w:val="24"/>
        </w:rPr>
      </w:pPr>
      <w:r>
        <w:rPr>
          <w:rFonts w:hint="eastAsia" w:ascii="宋体" w:hAnsi="宋体" w:cs="宋体"/>
          <w:snapToGrid w:val="0"/>
          <w:spacing w:val="4"/>
          <w:kern w:val="0"/>
          <w:sz w:val="24"/>
          <w:szCs w:val="24"/>
        </w:rPr>
        <w:t>投标人：　　（盖章）</w:t>
      </w:r>
    </w:p>
    <w:p w14:paraId="5374C60B">
      <w:pPr>
        <w:topLinePunct/>
        <w:adjustRightInd w:val="0"/>
        <w:snapToGrid w:val="0"/>
        <w:spacing w:line="400" w:lineRule="exact"/>
        <w:ind w:firstLine="3472" w:firstLineChars="1400"/>
        <w:rPr>
          <w:rFonts w:ascii="宋体" w:hAnsi="宋体" w:cs="宋体"/>
          <w:snapToGrid w:val="0"/>
          <w:spacing w:val="4"/>
          <w:kern w:val="0"/>
          <w:sz w:val="24"/>
          <w:szCs w:val="24"/>
        </w:rPr>
      </w:pPr>
      <w:r>
        <w:rPr>
          <w:rFonts w:hint="eastAsia" w:ascii="宋体" w:hAnsi="宋体" w:cs="宋体"/>
          <w:snapToGrid w:val="0"/>
          <w:spacing w:val="4"/>
          <w:kern w:val="0"/>
          <w:sz w:val="24"/>
          <w:szCs w:val="24"/>
        </w:rPr>
        <w:t>法定代表人或授权代理人(签字或盖章)：</w:t>
      </w:r>
    </w:p>
    <w:p w14:paraId="2B032BC4">
      <w:pPr>
        <w:topLinePunct/>
        <w:adjustRightInd w:val="0"/>
        <w:snapToGrid w:val="0"/>
        <w:spacing w:line="400" w:lineRule="exact"/>
        <w:ind w:firstLine="3472" w:firstLineChars="1400"/>
        <w:rPr>
          <w:rFonts w:ascii="宋体" w:hAnsi="宋体" w:cs="宋体"/>
          <w:snapToGrid w:val="0"/>
          <w:spacing w:val="4"/>
          <w:kern w:val="0"/>
          <w:sz w:val="24"/>
          <w:szCs w:val="24"/>
        </w:rPr>
      </w:pPr>
      <w:r>
        <w:rPr>
          <w:rFonts w:hint="eastAsia" w:ascii="宋体" w:hAnsi="宋体" w:cs="宋体"/>
          <w:snapToGrid w:val="0"/>
          <w:spacing w:val="4"/>
          <w:kern w:val="0"/>
          <w:sz w:val="24"/>
          <w:szCs w:val="24"/>
        </w:rPr>
        <w:t>技术负责人(签字或盖章)：</w:t>
      </w:r>
    </w:p>
    <w:p w14:paraId="1828413A">
      <w:pPr>
        <w:topLinePunct/>
        <w:adjustRightInd w:val="0"/>
        <w:snapToGrid w:val="0"/>
        <w:spacing w:line="400" w:lineRule="exact"/>
        <w:ind w:firstLine="3472" w:firstLineChars="1400"/>
        <w:rPr>
          <w:rFonts w:ascii="宋体" w:hAnsi="宋体" w:cs="宋体"/>
          <w:snapToGrid w:val="0"/>
          <w:spacing w:val="4"/>
          <w:kern w:val="0"/>
          <w:sz w:val="24"/>
          <w:szCs w:val="24"/>
        </w:rPr>
      </w:pPr>
      <w:r>
        <w:rPr>
          <w:rFonts w:hint="eastAsia" w:ascii="宋体" w:hAnsi="宋体" w:cs="宋体"/>
          <w:snapToGrid w:val="0"/>
          <w:spacing w:val="4"/>
          <w:kern w:val="0"/>
          <w:sz w:val="24"/>
          <w:szCs w:val="24"/>
        </w:rPr>
        <w:t>项目负责人(签字或盖章)：</w:t>
      </w:r>
    </w:p>
    <w:p w14:paraId="5A10FACD">
      <w:pPr>
        <w:topLinePunct/>
        <w:adjustRightInd w:val="0"/>
        <w:snapToGrid w:val="0"/>
        <w:spacing w:line="400" w:lineRule="exact"/>
        <w:ind w:firstLine="3472" w:firstLineChars="1400"/>
        <w:rPr>
          <w:rFonts w:ascii="宋体" w:hAnsi="宋体" w:cs="宋体"/>
          <w:snapToGrid w:val="0"/>
          <w:spacing w:val="4"/>
          <w:kern w:val="0"/>
          <w:sz w:val="24"/>
          <w:szCs w:val="24"/>
        </w:rPr>
      </w:pPr>
      <w:r>
        <w:rPr>
          <w:rFonts w:hint="eastAsia" w:ascii="宋体" w:hAnsi="宋体" w:cs="宋体"/>
          <w:snapToGrid w:val="0"/>
          <w:spacing w:val="4"/>
          <w:kern w:val="0"/>
          <w:sz w:val="24"/>
          <w:szCs w:val="24"/>
        </w:rPr>
        <w:t>日期：   年   月    日</w:t>
      </w:r>
    </w:p>
    <w:p w14:paraId="6933A2CD">
      <w:pPr>
        <w:widowControl/>
        <w:jc w:val="left"/>
        <w:rPr>
          <w:rFonts w:ascii="宋体" w:hAnsi="宋体" w:cs="宋体"/>
          <w:snapToGrid w:val="0"/>
          <w:spacing w:val="4"/>
          <w:kern w:val="0"/>
          <w:sz w:val="24"/>
          <w:szCs w:val="24"/>
        </w:rPr>
      </w:pPr>
    </w:p>
    <w:p w14:paraId="18F6D573">
      <w:pPr>
        <w:widowControl/>
        <w:jc w:val="left"/>
        <w:rPr>
          <w:rFonts w:ascii="宋体" w:hAnsi="宋体" w:cs="宋体"/>
          <w:snapToGrid w:val="0"/>
          <w:spacing w:val="4"/>
          <w:kern w:val="0"/>
          <w:sz w:val="24"/>
          <w:szCs w:val="24"/>
        </w:rPr>
      </w:pPr>
      <w:r>
        <w:rPr>
          <w:rFonts w:ascii="宋体" w:hAnsi="宋体" w:cs="宋体"/>
          <w:snapToGrid w:val="0"/>
          <w:spacing w:val="4"/>
          <w:kern w:val="0"/>
          <w:sz w:val="24"/>
          <w:szCs w:val="24"/>
        </w:rPr>
        <w:br w:type="page"/>
      </w:r>
    </w:p>
    <w:p w14:paraId="5828375D">
      <w:pPr>
        <w:pStyle w:val="6"/>
      </w:pPr>
      <w:r>
        <w:rPr>
          <w:rFonts w:hint="eastAsia" w:ascii="宋体" w:hAnsi="宋体" w:cs="宋体"/>
          <w:sz w:val="24"/>
        </w:rPr>
        <w:t>技术标投标文件格式六：</w:t>
      </w:r>
    </w:p>
    <w:p w14:paraId="1E5502B7">
      <w:pPr>
        <w:pStyle w:val="6"/>
        <w:jc w:val="center"/>
        <w:rPr>
          <w:rFonts w:ascii="宋体" w:hAnsi="宋体" w:cs="宋体"/>
          <w:b/>
          <w:bCs/>
          <w:sz w:val="30"/>
          <w:szCs w:val="30"/>
        </w:rPr>
      </w:pPr>
    </w:p>
    <w:p w14:paraId="6B2D4773">
      <w:pPr>
        <w:pStyle w:val="6"/>
        <w:jc w:val="center"/>
        <w:rPr>
          <w:rFonts w:ascii="宋体" w:hAnsi="宋体" w:cs="宋体"/>
          <w:b/>
          <w:bCs/>
          <w:sz w:val="30"/>
          <w:szCs w:val="30"/>
        </w:rPr>
      </w:pPr>
      <w:r>
        <w:rPr>
          <w:rFonts w:hint="eastAsia" w:ascii="宋体" w:hAnsi="宋体" w:cs="宋体"/>
          <w:b/>
          <w:bCs/>
          <w:sz w:val="30"/>
          <w:szCs w:val="30"/>
        </w:rPr>
        <w:t>投标人廉洁承诺书</w:t>
      </w:r>
    </w:p>
    <w:p w14:paraId="6B242963">
      <w:pPr>
        <w:widowControl/>
        <w:spacing w:after="135" w:line="400" w:lineRule="exact"/>
        <w:ind w:right="-197" w:rightChars="-94"/>
        <w:jc w:val="left"/>
        <w:rPr>
          <w:rFonts w:ascii="宋体" w:hAnsi="宋体" w:cs="宋体"/>
          <w:sz w:val="24"/>
          <w:szCs w:val="24"/>
        </w:rPr>
      </w:pPr>
      <w:r>
        <w:rPr>
          <w:rFonts w:hint="eastAsia" w:ascii="宋体" w:hAnsi="宋体" w:cs="宋体"/>
          <w:sz w:val="24"/>
          <w:szCs w:val="24"/>
        </w:rPr>
        <w:t>广东中烟工业有限责任公司：</w:t>
      </w:r>
    </w:p>
    <w:p w14:paraId="10CBEE54">
      <w:pPr>
        <w:widowControl/>
        <w:spacing w:line="400" w:lineRule="exact"/>
        <w:ind w:right="-340" w:firstLine="645"/>
        <w:jc w:val="left"/>
        <w:rPr>
          <w:rFonts w:ascii="宋体" w:hAnsi="宋体" w:cs="宋体"/>
          <w:sz w:val="24"/>
          <w:szCs w:val="24"/>
        </w:rPr>
      </w:pPr>
      <w:r>
        <w:rPr>
          <w:rFonts w:hint="eastAsia" w:ascii="宋体" w:hAnsi="宋体" w:cs="宋体"/>
          <w:sz w:val="24"/>
          <w:szCs w:val="24"/>
        </w:rPr>
        <w:t>本公司参加了</w:t>
      </w:r>
      <w:r>
        <w:rPr>
          <w:rFonts w:hint="eastAsia" w:ascii="宋体" w:hAnsi="宋体" w:cs="宋体"/>
          <w:sz w:val="24"/>
          <w:szCs w:val="24"/>
          <w:u w:val="single"/>
        </w:rPr>
        <w:t>（项目名称/标段名称）</w:t>
      </w:r>
      <w:r>
        <w:rPr>
          <w:rFonts w:hint="eastAsia" w:ascii="宋体" w:hAnsi="宋体" w:cs="宋体"/>
          <w:sz w:val="24"/>
          <w:szCs w:val="24"/>
        </w:rPr>
        <w:t>投标，为确保招标工作的公平、公正、公开、有序进行，我们保证遵守《中华人民共和国招标投标法》、《中华人民共和国招标投标法实施条例》、《广东省实施&lt;中华人民共和国招标投标法&gt;办法》等法律法规，特承诺如下事项：</w:t>
      </w:r>
    </w:p>
    <w:p w14:paraId="711DCCDD">
      <w:pPr>
        <w:widowControl/>
        <w:spacing w:line="400" w:lineRule="exact"/>
        <w:ind w:right="-340" w:firstLine="645"/>
        <w:jc w:val="left"/>
        <w:rPr>
          <w:rFonts w:ascii="宋体" w:hAnsi="宋体" w:cs="宋体"/>
          <w:sz w:val="24"/>
          <w:szCs w:val="24"/>
        </w:rPr>
      </w:pPr>
      <w:r>
        <w:rPr>
          <w:rFonts w:hint="eastAsia" w:ascii="宋体" w:hAnsi="宋体" w:cs="宋体"/>
          <w:sz w:val="24"/>
          <w:szCs w:val="24"/>
        </w:rPr>
        <w:t>一、自觉遵守国家有关法律法规及廉洁规定。</w:t>
      </w:r>
    </w:p>
    <w:p w14:paraId="699397EF">
      <w:pPr>
        <w:widowControl/>
        <w:spacing w:line="400" w:lineRule="exact"/>
        <w:ind w:right="-340" w:firstLine="645"/>
        <w:jc w:val="left"/>
        <w:rPr>
          <w:rFonts w:ascii="宋体" w:hAnsi="宋体" w:cs="宋体"/>
          <w:sz w:val="24"/>
          <w:szCs w:val="24"/>
        </w:rPr>
      </w:pPr>
      <w:r>
        <w:rPr>
          <w:rFonts w:hint="eastAsia" w:ascii="宋体" w:hAnsi="宋体" w:cs="宋体"/>
          <w:sz w:val="24"/>
          <w:szCs w:val="24"/>
        </w:rPr>
        <w:t>二、不与招标单位工作人员串通投标，损害国家利益、企业利益以及他人的合法利益；</w:t>
      </w:r>
    </w:p>
    <w:p w14:paraId="2A5EAE7A">
      <w:pPr>
        <w:widowControl/>
        <w:spacing w:line="400" w:lineRule="exact"/>
        <w:ind w:right="-340" w:firstLine="645"/>
        <w:jc w:val="left"/>
        <w:rPr>
          <w:rFonts w:ascii="宋体" w:hAnsi="宋体" w:cs="宋体"/>
          <w:sz w:val="24"/>
          <w:szCs w:val="24"/>
        </w:rPr>
      </w:pPr>
      <w:r>
        <w:rPr>
          <w:rFonts w:hint="eastAsia" w:ascii="宋体" w:hAnsi="宋体" w:cs="宋体"/>
          <w:sz w:val="24"/>
          <w:szCs w:val="24"/>
        </w:rPr>
        <w:t>三、不与其他单位围标、串标，不出让投标资格，不向招标人或评标委员会成员行贿。</w:t>
      </w:r>
    </w:p>
    <w:p w14:paraId="2446EFFC">
      <w:pPr>
        <w:widowControl/>
        <w:spacing w:line="400" w:lineRule="exact"/>
        <w:ind w:right="-340" w:firstLine="645"/>
        <w:jc w:val="left"/>
        <w:rPr>
          <w:rFonts w:ascii="宋体" w:hAnsi="宋体" w:cs="宋体"/>
          <w:sz w:val="24"/>
          <w:szCs w:val="24"/>
        </w:rPr>
      </w:pPr>
      <w:r>
        <w:rPr>
          <w:rFonts w:hint="eastAsia" w:ascii="宋体" w:hAnsi="宋体" w:cs="宋体"/>
          <w:sz w:val="24"/>
          <w:szCs w:val="24"/>
        </w:rPr>
        <w:t>四、不以任何名义向参与招标、评标工作的有关人员提供高消费宴请及娱乐活动和赠送回扣、红包、礼金、购物卡、有价证券、贵重物品和好处费、感谢费等；</w:t>
      </w:r>
    </w:p>
    <w:p w14:paraId="6DEAD8C5">
      <w:pPr>
        <w:widowControl/>
        <w:spacing w:line="400" w:lineRule="exact"/>
        <w:ind w:right="-340" w:firstLine="645"/>
        <w:jc w:val="left"/>
        <w:rPr>
          <w:rFonts w:ascii="宋体" w:hAnsi="宋体" w:cs="宋体"/>
          <w:sz w:val="24"/>
          <w:szCs w:val="24"/>
        </w:rPr>
      </w:pPr>
      <w:r>
        <w:rPr>
          <w:rFonts w:hint="eastAsia" w:ascii="宋体" w:hAnsi="宋体" w:cs="宋体"/>
          <w:sz w:val="24"/>
          <w:szCs w:val="24"/>
        </w:rPr>
        <w:t>五、不以任何名义为参与招标、评标工作的有关人员装修住房、婚丧嫁取、配偶子女的工作安排以及境内外旅游等提供方便；</w:t>
      </w:r>
    </w:p>
    <w:p w14:paraId="6B7DFBB6">
      <w:pPr>
        <w:widowControl/>
        <w:spacing w:line="400" w:lineRule="exact"/>
        <w:ind w:right="-340" w:firstLine="645"/>
        <w:jc w:val="left"/>
        <w:rPr>
          <w:rFonts w:ascii="宋体" w:hAnsi="宋体" w:cs="宋体"/>
          <w:sz w:val="24"/>
          <w:szCs w:val="24"/>
        </w:rPr>
      </w:pPr>
      <w:r>
        <w:rPr>
          <w:rFonts w:hint="eastAsia" w:ascii="宋体" w:hAnsi="宋体" w:cs="宋体"/>
          <w:sz w:val="24"/>
          <w:szCs w:val="24"/>
        </w:rPr>
        <w:t>六、不以谋取非正当利益为目的，擅自与参与招标、评标工作的有关人员就业务问题进行私下商谈或者达成利益默契；</w:t>
      </w:r>
    </w:p>
    <w:p w14:paraId="0686DD01">
      <w:pPr>
        <w:widowControl/>
        <w:spacing w:line="400" w:lineRule="exact"/>
        <w:ind w:right="-340" w:firstLine="645"/>
        <w:jc w:val="left"/>
        <w:rPr>
          <w:rFonts w:ascii="宋体" w:hAnsi="宋体" w:cs="宋体"/>
          <w:sz w:val="24"/>
          <w:szCs w:val="24"/>
        </w:rPr>
      </w:pPr>
      <w:r>
        <w:rPr>
          <w:rFonts w:hint="eastAsia" w:ascii="宋体" w:hAnsi="宋体" w:cs="宋体"/>
          <w:sz w:val="24"/>
          <w:szCs w:val="24"/>
        </w:rPr>
        <w:t>七、按法律规定及合同约定保修合同工程，履行本合同所约定的全部义务。</w:t>
      </w:r>
    </w:p>
    <w:p w14:paraId="4198ABB3">
      <w:pPr>
        <w:widowControl/>
        <w:spacing w:line="400" w:lineRule="exact"/>
        <w:ind w:right="-340" w:firstLine="645"/>
        <w:jc w:val="left"/>
        <w:rPr>
          <w:rFonts w:ascii="宋体" w:hAnsi="宋体" w:cs="宋体"/>
          <w:sz w:val="24"/>
          <w:szCs w:val="24"/>
        </w:rPr>
      </w:pPr>
      <w:r>
        <w:rPr>
          <w:rFonts w:hint="eastAsia" w:ascii="宋体" w:hAnsi="宋体" w:cs="宋体"/>
          <w:sz w:val="24"/>
          <w:szCs w:val="24"/>
        </w:rPr>
        <w:t>八、坚决杜绝转包、违法分包、挂靠等违法违规行为，保证发包人免于承担因本公司违反法律或相关规定而引起的任何责任。未经发包人同意，不将工程的任何部分或任何工作分包给第三方；依法分包工程的承包人应具有相应承包资质。</w:t>
      </w:r>
    </w:p>
    <w:p w14:paraId="3843F1C3">
      <w:pPr>
        <w:widowControl/>
        <w:spacing w:line="400" w:lineRule="exact"/>
        <w:ind w:right="-340" w:firstLine="645"/>
        <w:jc w:val="left"/>
        <w:rPr>
          <w:rFonts w:ascii="宋体" w:hAnsi="宋体" w:cs="宋体"/>
          <w:sz w:val="24"/>
          <w:szCs w:val="24"/>
        </w:rPr>
      </w:pPr>
      <w:r>
        <w:rPr>
          <w:rFonts w:hint="eastAsia" w:ascii="宋体" w:hAnsi="宋体" w:cs="宋体"/>
          <w:sz w:val="24"/>
          <w:szCs w:val="24"/>
        </w:rPr>
        <w:t>九、自觉接受政府有关部门、发包人或其上级主管部门和监理单位等对本工程的监督，并无条件配合政府有关部门、发包人或其上级主管部门指定审计机构开展审计工作。</w:t>
      </w:r>
    </w:p>
    <w:p w14:paraId="46F62D55">
      <w:pPr>
        <w:widowControl/>
        <w:spacing w:line="400" w:lineRule="exact"/>
        <w:ind w:right="-340" w:firstLine="645"/>
        <w:jc w:val="left"/>
        <w:rPr>
          <w:rFonts w:ascii="宋体" w:hAnsi="宋体" w:cs="宋体"/>
          <w:sz w:val="24"/>
          <w:szCs w:val="24"/>
        </w:rPr>
      </w:pPr>
      <w:r>
        <w:rPr>
          <w:rFonts w:hint="eastAsia" w:ascii="宋体" w:hAnsi="宋体" w:cs="宋体"/>
          <w:sz w:val="24"/>
          <w:szCs w:val="24"/>
        </w:rPr>
        <w:t>十、本公司理解并接受工程实施过程即可同步进行审计或监督工作，接受对工程实施全过程审计，包括且不限于工程计量、设计变更、资金支付、分包管理、结算等。若政府有关部门、发包人或其上级主管部门、监理单位经核查或审计认定本公司有挂靠或转包或违法分包行为之一的，发包人有权单方解除部分合同或解除合同，由此造成的经济损失由本公司承担。本公司自觉接受行政监督部门的行政处罚。</w:t>
      </w:r>
    </w:p>
    <w:p w14:paraId="312E56CF">
      <w:pPr>
        <w:widowControl/>
        <w:spacing w:line="400" w:lineRule="exact"/>
        <w:ind w:right="-340" w:firstLine="645"/>
        <w:jc w:val="left"/>
        <w:rPr>
          <w:rFonts w:ascii="宋体" w:hAnsi="宋体" w:cs="宋体"/>
          <w:sz w:val="24"/>
          <w:szCs w:val="24"/>
        </w:rPr>
      </w:pPr>
      <w:r>
        <w:rPr>
          <w:rFonts w:hint="eastAsia" w:ascii="宋体" w:hAnsi="宋体" w:cs="宋体"/>
          <w:sz w:val="24"/>
          <w:szCs w:val="24"/>
        </w:rPr>
        <w:t>十一、如因转包、违法分包（含现场施工作业或管理人员被发现不属于总承包单位或已经备案的依法分包单位人员的情形）、挂靠、项目管理不到位、民工工资纠纷等违反合同的行为，发包人或其上级主管部门有权立即开展调查，本公司无条件配合，相关费用由本公司负责。经核查属实，本公司自觉接受相应处罚。</w:t>
      </w:r>
    </w:p>
    <w:p w14:paraId="51FE5D1F">
      <w:pPr>
        <w:widowControl/>
        <w:spacing w:after="135" w:line="400" w:lineRule="exact"/>
        <w:ind w:right="-340" w:firstLine="645"/>
        <w:jc w:val="left"/>
        <w:rPr>
          <w:rFonts w:ascii="宋体" w:hAnsi="宋体" w:cs="宋体"/>
          <w:sz w:val="24"/>
          <w:szCs w:val="24"/>
        </w:rPr>
      </w:pPr>
      <w:r>
        <w:rPr>
          <w:rFonts w:hint="eastAsia" w:ascii="宋体" w:hAnsi="宋体" w:cs="宋体"/>
          <w:sz w:val="24"/>
          <w:szCs w:val="24"/>
        </w:rPr>
        <w:t>本公司违反上述承诺，或本承诺陈述与事实不符，经查实，本公司愿意接受公开通报，承担由此带来的法律后果，并自愿停止参加广州市行政辖区内的招标投标活动三个月。</w:t>
      </w:r>
    </w:p>
    <w:p w14:paraId="5EFA1139">
      <w:pPr>
        <w:widowControl/>
        <w:spacing w:after="135" w:line="400" w:lineRule="exact"/>
        <w:ind w:firstLine="645"/>
        <w:jc w:val="left"/>
        <w:rPr>
          <w:rFonts w:ascii="宋体" w:hAnsi="宋体" w:cs="宋体"/>
          <w:sz w:val="24"/>
          <w:szCs w:val="24"/>
        </w:rPr>
      </w:pPr>
      <w:r>
        <w:rPr>
          <w:rFonts w:hint="eastAsia" w:ascii="宋体" w:hAnsi="宋体" w:cs="宋体"/>
          <w:sz w:val="24"/>
          <w:szCs w:val="24"/>
        </w:rPr>
        <w:t>特此承诺</w:t>
      </w:r>
    </w:p>
    <w:p w14:paraId="228ABABB">
      <w:pPr>
        <w:widowControl/>
        <w:spacing w:line="400" w:lineRule="exact"/>
        <w:ind w:right="-58" w:firstLine="2880"/>
        <w:jc w:val="right"/>
        <w:rPr>
          <w:rFonts w:ascii="宋体" w:hAnsi="宋体" w:cs="宋体"/>
          <w:sz w:val="24"/>
          <w:szCs w:val="24"/>
        </w:rPr>
      </w:pPr>
    </w:p>
    <w:p w14:paraId="64F44CA2">
      <w:pPr>
        <w:widowControl/>
        <w:spacing w:line="400" w:lineRule="exact"/>
        <w:ind w:right="-58" w:firstLine="2880"/>
        <w:jc w:val="right"/>
        <w:rPr>
          <w:rFonts w:ascii="宋体" w:hAnsi="宋体" w:cs="宋体"/>
          <w:sz w:val="24"/>
          <w:szCs w:val="24"/>
        </w:rPr>
      </w:pPr>
    </w:p>
    <w:p w14:paraId="731D21CA">
      <w:pPr>
        <w:widowControl/>
        <w:spacing w:line="400" w:lineRule="exact"/>
        <w:ind w:right="-58" w:firstLine="2880"/>
        <w:jc w:val="right"/>
        <w:rPr>
          <w:rFonts w:ascii="宋体" w:hAnsi="宋体" w:cs="宋体"/>
          <w:sz w:val="24"/>
          <w:szCs w:val="24"/>
          <w:u w:val="single"/>
        </w:rPr>
      </w:pPr>
      <w:r>
        <w:rPr>
          <w:rFonts w:hint="eastAsia" w:ascii="宋体" w:hAnsi="宋体" w:cs="宋体"/>
          <w:sz w:val="24"/>
          <w:szCs w:val="24"/>
        </w:rPr>
        <w:t>承诺企业：</w:t>
      </w:r>
      <w:r>
        <w:rPr>
          <w:rFonts w:hint="eastAsia" w:ascii="宋体" w:hAnsi="宋体" w:cs="宋体"/>
          <w:sz w:val="24"/>
          <w:szCs w:val="24"/>
          <w:u w:val="single"/>
        </w:rPr>
        <w:t xml:space="preserve">              (企业公章)</w:t>
      </w:r>
    </w:p>
    <w:p w14:paraId="33E5451A">
      <w:pPr>
        <w:widowControl/>
        <w:wordWrap w:val="0"/>
        <w:spacing w:line="400" w:lineRule="exact"/>
        <w:ind w:right="165"/>
        <w:jc w:val="right"/>
        <w:rPr>
          <w:rFonts w:ascii="宋体" w:hAnsi="宋体" w:cs="宋体"/>
          <w:sz w:val="24"/>
          <w:szCs w:val="24"/>
        </w:rPr>
      </w:pPr>
      <w:r>
        <w:rPr>
          <w:rFonts w:hint="eastAsia" w:ascii="宋体" w:hAnsi="宋体" w:cs="宋体"/>
          <w:sz w:val="24"/>
          <w:szCs w:val="24"/>
        </w:rPr>
        <w:t xml:space="preserve">  法定代表人（签字或盖章）：</w:t>
      </w:r>
      <w:r>
        <w:rPr>
          <w:rFonts w:hint="eastAsia" w:ascii="宋体" w:hAnsi="宋体" w:cs="宋体"/>
          <w:sz w:val="24"/>
          <w:szCs w:val="24"/>
          <w:u w:val="single"/>
        </w:rPr>
        <w:t xml:space="preserve">                     </w:t>
      </w:r>
    </w:p>
    <w:p w14:paraId="762264E3">
      <w:pPr>
        <w:widowControl/>
        <w:ind w:firstLine="6480" w:firstLineChars="2700"/>
        <w:jc w:val="left"/>
        <w:rPr>
          <w:rFonts w:ascii="宋体" w:hAnsi="宋体" w:cs="宋体"/>
          <w:snapToGrid w:val="0"/>
          <w:spacing w:val="4"/>
          <w:kern w:val="0"/>
          <w:sz w:val="24"/>
          <w:szCs w:val="24"/>
        </w:rPr>
      </w:pPr>
      <w:r>
        <w:rPr>
          <w:rFonts w:hint="eastAsia" w:ascii="宋体" w:hAnsi="宋体" w:cs="宋体"/>
          <w:sz w:val="24"/>
          <w:szCs w:val="24"/>
        </w:rPr>
        <w:t>年   月    日</w:t>
      </w:r>
    </w:p>
    <w:p w14:paraId="5D3B27B5">
      <w:pPr>
        <w:widowControl/>
        <w:tabs>
          <w:tab w:val="center" w:pos="4153"/>
        </w:tabs>
        <w:jc w:val="center"/>
        <w:rPr>
          <w:rFonts w:ascii="宋体" w:hAnsi="宋体" w:cs="宋体"/>
          <w:sz w:val="24"/>
          <w:szCs w:val="24"/>
        </w:rPr>
      </w:pPr>
    </w:p>
    <w:p w14:paraId="58C45D1D">
      <w:pPr>
        <w:widowControl/>
        <w:jc w:val="left"/>
        <w:rPr>
          <w:rFonts w:ascii="宋体" w:hAnsi="宋体" w:cs="宋体"/>
          <w:sz w:val="24"/>
          <w:szCs w:val="24"/>
        </w:rPr>
      </w:pPr>
      <w:r>
        <w:rPr>
          <w:rFonts w:ascii="宋体" w:hAnsi="宋体" w:cs="宋体"/>
          <w:sz w:val="24"/>
          <w:szCs w:val="24"/>
        </w:rPr>
        <w:br w:type="page"/>
      </w:r>
    </w:p>
    <w:p w14:paraId="31046697">
      <w:pPr>
        <w:spacing w:line="360" w:lineRule="auto"/>
        <w:rPr>
          <w:rFonts w:ascii="宋体" w:hAnsi="宋体" w:cs="宋体"/>
          <w:sz w:val="24"/>
        </w:rPr>
      </w:pPr>
      <w:r>
        <w:rPr>
          <w:rFonts w:hint="eastAsia" w:ascii="宋体" w:hAnsi="宋体" w:cs="宋体"/>
          <w:sz w:val="24"/>
        </w:rPr>
        <w:t>技术标投标文件格式七：</w:t>
      </w:r>
    </w:p>
    <w:p w14:paraId="51D76A25">
      <w:pPr>
        <w:pStyle w:val="6"/>
        <w:rPr>
          <w:rFonts w:ascii="宋体" w:hAnsi="宋体" w:cs="宋体"/>
        </w:rPr>
      </w:pPr>
    </w:p>
    <w:p w14:paraId="6D4CE4D1">
      <w:pPr>
        <w:pStyle w:val="140"/>
        <w:rPr>
          <w:rFonts w:ascii="宋体" w:hAnsi="宋体" w:eastAsia="宋体" w:cs="宋体"/>
          <w:sz w:val="32"/>
          <w:szCs w:val="32"/>
        </w:rPr>
      </w:pPr>
      <w:r>
        <w:rPr>
          <w:rFonts w:hint="eastAsia" w:ascii="宋体" w:hAnsi="宋体" w:eastAsia="宋体" w:cs="宋体"/>
          <w:sz w:val="32"/>
          <w:szCs w:val="32"/>
        </w:rPr>
        <w:t>承  诺  书</w:t>
      </w:r>
    </w:p>
    <w:p w14:paraId="7E44524A">
      <w:pPr>
        <w:pStyle w:val="136"/>
        <w:spacing w:line="400" w:lineRule="exact"/>
        <w:ind w:firstLine="0" w:firstLineChars="0"/>
        <w:rPr>
          <w:rFonts w:ascii="宋体" w:hAnsi="宋体" w:cs="宋体"/>
        </w:rPr>
      </w:pPr>
      <w:r>
        <w:rPr>
          <w:rFonts w:hint="eastAsia" w:ascii="宋体" w:hAnsi="宋体" w:cs="宋体"/>
        </w:rPr>
        <w:t>致：</w:t>
      </w:r>
      <w:r>
        <w:rPr>
          <w:rFonts w:hint="eastAsia" w:ascii="宋体" w:hAnsi="宋体" w:cs="宋体"/>
          <w:bCs/>
          <w:u w:val="single"/>
        </w:rPr>
        <w:t>广东中烟工业有限责任公司</w:t>
      </w:r>
    </w:p>
    <w:p w14:paraId="389AB521">
      <w:pPr>
        <w:pStyle w:val="136"/>
        <w:spacing w:line="400" w:lineRule="exact"/>
        <w:ind w:firstLine="496"/>
        <w:rPr>
          <w:rFonts w:ascii="宋体" w:hAnsi="宋体" w:cs="宋体"/>
        </w:rPr>
      </w:pPr>
      <w:r>
        <w:rPr>
          <w:rFonts w:hint="eastAsia" w:ascii="宋体" w:hAnsi="宋体" w:cs="宋体"/>
        </w:rPr>
        <w:t>经详细阅读本工程招标文件、招标答疑纪要和踏勘现场，我司已理解招标人对本招标项目工程管理的高标准及严格要求，在此，我司郑重作出以下承诺：</w:t>
      </w:r>
    </w:p>
    <w:p w14:paraId="6D51A4A8">
      <w:pPr>
        <w:pStyle w:val="136"/>
        <w:spacing w:line="400" w:lineRule="exact"/>
        <w:ind w:firstLine="496"/>
        <w:rPr>
          <w:rFonts w:ascii="宋体" w:hAnsi="宋体" w:cs="宋体"/>
        </w:rPr>
      </w:pPr>
      <w:r>
        <w:rPr>
          <w:rFonts w:hint="eastAsia" w:ascii="宋体" w:hAnsi="宋体" w:cs="宋体"/>
        </w:rPr>
        <w:t>一、我司已按投标须知第5条的要求完成了对现场的踏勘工作，已充分了解施工现场的条件。如若中标，我司理解招标人向投标人提供的有关现场的数据和资料，是招标人现有的能被投标人利用的资料。招标人对投标人做出的任何推论、理解和结论均不需负任何的责任。我司承诺不会因施工期间现场条件发生的任何阻碍而向招标人索赔工期或费用，并保证不因施工期间现场条件发生的任何阻碍而影响投标承诺的竣工日期。</w:t>
      </w:r>
    </w:p>
    <w:p w14:paraId="1A352060">
      <w:pPr>
        <w:pStyle w:val="136"/>
        <w:spacing w:line="400" w:lineRule="exact"/>
        <w:ind w:firstLine="496"/>
        <w:rPr>
          <w:rFonts w:ascii="宋体" w:hAnsi="宋体" w:cs="宋体"/>
        </w:rPr>
      </w:pPr>
      <w:r>
        <w:rPr>
          <w:rFonts w:hint="eastAsia" w:ascii="宋体" w:hAnsi="宋体" w:cs="宋体"/>
        </w:rPr>
        <w:t>二、我司已全面细致熟悉、复核和理解本招标项目招标时的所有图纸、资料和设计文件，已完全理解本工程的特点和设计意图。经认真审查，我司认为本招标项目图纸、资料和设计文件完整，不存在错项、漏项的情况，满足和符合施工要求；如工程实施过程中发生因上述图纸、资料和设计文件不完整而导致的变更，我司承诺在不影响工程顺利推进的前提下，及时主动报招标人审批同意，其中因我司原因而发生的，我司承诺不要求增加任何费用。</w:t>
      </w:r>
    </w:p>
    <w:p w14:paraId="67A94DC4">
      <w:pPr>
        <w:pStyle w:val="136"/>
        <w:spacing w:line="400" w:lineRule="exact"/>
        <w:ind w:firstLine="496"/>
        <w:rPr>
          <w:rFonts w:ascii="宋体" w:hAnsi="宋体" w:cs="宋体"/>
        </w:rPr>
      </w:pPr>
      <w:r>
        <w:rPr>
          <w:rFonts w:hint="eastAsia" w:ascii="宋体" w:hAnsi="宋体" w:cs="宋体"/>
        </w:rPr>
        <w:t>三、经认真审查，我司认为本招标项目图纸、资料和设计文件中不存在不能施工、不便于施工的技术问题；施工期间如仍需发生施工工艺、重大技术方案的调整，我司承诺在不影响工程顺利推进的前提下，及时主动报招标人审批同意，其中因我司原因而发生的，我司承诺不要求增加任何费用。</w:t>
      </w:r>
    </w:p>
    <w:p w14:paraId="5010E2C2">
      <w:pPr>
        <w:pStyle w:val="136"/>
        <w:spacing w:line="400" w:lineRule="exact"/>
        <w:ind w:firstLine="496"/>
        <w:rPr>
          <w:rFonts w:ascii="宋体" w:hAnsi="宋体" w:cs="宋体"/>
        </w:rPr>
      </w:pPr>
      <w:r>
        <w:rPr>
          <w:rFonts w:hint="eastAsia" w:ascii="宋体" w:hAnsi="宋体" w:cs="宋体"/>
        </w:rPr>
        <w:t>四、经认真进行市场调查，我司承诺本招标项目材料、设备来源有保证，可按投标承诺及时组织到货，无需代换，图纸、资料和设计文件中所要求的条件我司全部能够满足。</w:t>
      </w:r>
    </w:p>
    <w:p w14:paraId="041D6EA6">
      <w:pPr>
        <w:pStyle w:val="136"/>
        <w:spacing w:line="400" w:lineRule="exact"/>
        <w:ind w:firstLine="496"/>
        <w:rPr>
          <w:rFonts w:ascii="宋体" w:hAnsi="宋体" w:cs="宋体"/>
          <w:spacing w:val="2"/>
          <w:position w:val="2"/>
        </w:rPr>
      </w:pPr>
      <w:r>
        <w:rPr>
          <w:rFonts w:hint="eastAsia" w:ascii="宋体" w:hAnsi="宋体" w:cs="宋体"/>
        </w:rPr>
        <w:t>五、</w:t>
      </w:r>
      <w:r>
        <w:rPr>
          <w:rFonts w:hint="eastAsia" w:ascii="宋体" w:hAnsi="宋体" w:cs="宋体"/>
          <w:spacing w:val="2"/>
          <w:position w:val="2"/>
        </w:rPr>
        <w:t>鉴于本工程的重要性、复杂性和工期的紧迫性，为确保按时、按质完成本工程的施工任务，我司经慎重考虑，承诺按招标文件的要求投入人员。否则，按合同规定处理，并承担违约责任。</w:t>
      </w:r>
    </w:p>
    <w:p w14:paraId="414319FA">
      <w:pPr>
        <w:pStyle w:val="136"/>
        <w:spacing w:line="400" w:lineRule="exact"/>
        <w:ind w:firstLine="488"/>
        <w:rPr>
          <w:rFonts w:ascii="宋体" w:hAnsi="宋体" w:cs="宋体"/>
        </w:rPr>
      </w:pPr>
      <w:r>
        <w:rPr>
          <w:rFonts w:hint="eastAsia" w:ascii="宋体" w:hAnsi="宋体" w:cs="宋体"/>
          <w:spacing w:val="2"/>
          <w:position w:val="2"/>
        </w:rPr>
        <w:t>六、我方同意所递交的投标文件在投标须知规定的投标有效期内有效，在此期间内我方的投标有可能中标，我方将受此约束。如果在投标有效期内撤回投标或放弃中标资格，给贵方造成的损失，贵方有权要求我方进行赔偿。</w:t>
      </w:r>
    </w:p>
    <w:p w14:paraId="0CF9A1E5">
      <w:pPr>
        <w:pStyle w:val="136"/>
        <w:spacing w:line="400" w:lineRule="exact"/>
        <w:ind w:firstLine="488"/>
        <w:rPr>
          <w:rFonts w:ascii="宋体" w:hAnsi="宋体" w:cs="宋体"/>
        </w:rPr>
      </w:pPr>
      <w:r>
        <w:rPr>
          <w:rFonts w:hint="eastAsia" w:ascii="宋体" w:hAnsi="宋体" w:cs="宋体"/>
          <w:spacing w:val="2"/>
          <w:position w:val="2"/>
        </w:rPr>
        <w:t>七、</w:t>
      </w:r>
      <w:r>
        <w:rPr>
          <w:rFonts w:hint="eastAsia" w:ascii="宋体" w:hAnsi="宋体" w:cs="宋体"/>
        </w:rPr>
        <w:t>如果我司中标，我司承诺自中标通知书发出之日起至本项目工程结算经有权审核部门审定之日止确保建设管理相关单位驻现场办公的交通和办公设备设施等满足招标人的要求，服从招标人统一调配，相关费用已包含在我司中标总价中。</w:t>
      </w:r>
    </w:p>
    <w:p w14:paraId="619D2AEB">
      <w:pPr>
        <w:pStyle w:val="136"/>
        <w:spacing w:line="400" w:lineRule="exact"/>
        <w:ind w:firstLine="496"/>
        <w:rPr>
          <w:rFonts w:ascii="宋体" w:hAnsi="宋体" w:cs="宋体"/>
        </w:rPr>
      </w:pPr>
      <w:r>
        <w:rPr>
          <w:rFonts w:hint="eastAsia" w:ascii="宋体" w:hAnsi="宋体" w:cs="宋体"/>
        </w:rPr>
        <w:t>八、我司已充分阅读并结合我司实际全面理解招标文件第三章合同格式的所有内容，经慎重考虑，我司承诺全面响应招标人提出合同条款的全部内容，并已在投标报价中充分考虑招标人合同管理各项要求可能带来的我司成本增加和我司现场施工与相关管理要求的困难。如果我司的投标被接受，将保证按招标文件规定的时间及合同条款与贵司签订合同，且在办理合同签订手续时积极主动配合招标人，不提出任何违反招标文件合同条款精神的任何书面要求和疑问，否则，同意被视为自动放弃中标，对由此造成的后果由我司承担相应的法律责任。</w:t>
      </w:r>
    </w:p>
    <w:p w14:paraId="091C0C16">
      <w:pPr>
        <w:pStyle w:val="136"/>
        <w:spacing w:line="400" w:lineRule="exact"/>
        <w:ind w:firstLine="496"/>
        <w:rPr>
          <w:rFonts w:ascii="宋体" w:hAnsi="宋体" w:cs="宋体"/>
          <w:bCs/>
        </w:rPr>
      </w:pPr>
      <w:r>
        <w:rPr>
          <w:rFonts w:hint="eastAsia" w:ascii="宋体" w:hAnsi="宋体" w:cs="宋体"/>
        </w:rPr>
        <w:t>九、我司保证本工程文明施工和职业健康安全管理方案完全满足国家、省、市政府、主管部门颁布的安全生产规程与规定，完全满足《建筑施工安全检查标准》（JGJ59-2011）、《广州市建设工程现场文明施工管理办法》（穗建质[2008]937号）、《关于进一步规范建设工程施工现场围蔽的通知》（穗建质[2008]1008号）、《广州市城乡建设委员会关于印发广州市加强建筑工地环保管理工作方案的通知(穗建质〔2014〕754号)》、《广州市住房和城乡建设局等9部门关于印发广州市建设工程绿色施工围蔽指导图集（V2.0版）的通知》（穗建质〔2020〕1号）和《广州市建筑工程安全生产措施费管理办法》（穗建筑[2003]106号）各项规定和招标文件要求。否则，愿意无条件接受招标人的任何处罚，直至被清退出场，并为此承担相应的法律责任。</w:t>
      </w:r>
    </w:p>
    <w:p w14:paraId="2DB60947">
      <w:pPr>
        <w:pStyle w:val="136"/>
        <w:spacing w:line="400" w:lineRule="exact"/>
        <w:ind w:firstLine="472"/>
        <w:rPr>
          <w:rFonts w:ascii="宋体" w:hAnsi="宋体" w:cs="宋体"/>
          <w:bCs/>
          <w:spacing w:val="-2"/>
        </w:rPr>
      </w:pPr>
      <w:r>
        <w:rPr>
          <w:rFonts w:hint="eastAsia" w:ascii="宋体" w:hAnsi="宋体" w:cs="宋体"/>
          <w:bCs/>
          <w:spacing w:val="-2"/>
        </w:rPr>
        <w:t>十、</w:t>
      </w:r>
      <w:r>
        <w:rPr>
          <w:rFonts w:hint="eastAsia" w:ascii="宋体" w:hAnsi="宋体" w:cs="宋体"/>
          <w:spacing w:val="-2"/>
        </w:rPr>
        <w:t>我司保证本工程竣工验收、竣工资料和竣工备案管理完全符合国家、省、市政府、主管部门颁布的竣工验收和档案管理各项规定及招标文件中提出的各项管理要求。</w:t>
      </w:r>
    </w:p>
    <w:p w14:paraId="10DC0F2E">
      <w:pPr>
        <w:pStyle w:val="136"/>
        <w:spacing w:line="400" w:lineRule="exact"/>
        <w:ind w:firstLine="496"/>
        <w:rPr>
          <w:rFonts w:ascii="宋体" w:hAnsi="宋体" w:cs="宋体"/>
        </w:rPr>
      </w:pPr>
      <w:r>
        <w:rPr>
          <w:rFonts w:hint="eastAsia" w:ascii="宋体" w:hAnsi="宋体" w:cs="宋体"/>
        </w:rPr>
        <w:t>十一、我司保证在本项目投标中不存在围标、串标等违法、违规行为，如经招标监管部门查实存在上述行为，我司同意对由此造成的后果承担相应的法律责任。</w:t>
      </w:r>
    </w:p>
    <w:p w14:paraId="0FA3F801">
      <w:pPr>
        <w:pStyle w:val="136"/>
        <w:spacing w:line="400" w:lineRule="exact"/>
        <w:ind w:firstLine="496"/>
        <w:rPr>
          <w:rFonts w:ascii="宋体" w:hAnsi="宋体" w:cs="宋体"/>
        </w:rPr>
      </w:pPr>
      <w:r>
        <w:rPr>
          <w:rFonts w:hint="eastAsia" w:ascii="宋体" w:hAnsi="宋体" w:cs="宋体"/>
        </w:rPr>
        <w:t>十二、如果我司中标，我司保证实际投入本项目的人员、材料、机械、设备与我司递交的投标文件一致，且不低于本项目招标文件的要求。若不满足招标文件要求，我司承诺无条件按招标人的要求进行更换，直至招标人满意为止。</w:t>
      </w:r>
    </w:p>
    <w:p w14:paraId="26BAD4F7">
      <w:pPr>
        <w:pStyle w:val="136"/>
        <w:spacing w:line="400" w:lineRule="exact"/>
        <w:ind w:firstLine="496"/>
        <w:rPr>
          <w:rFonts w:ascii="宋体" w:hAnsi="宋体" w:cs="宋体"/>
        </w:rPr>
      </w:pPr>
      <w:r>
        <w:rPr>
          <w:rFonts w:hint="eastAsia" w:ascii="宋体" w:hAnsi="宋体" w:cs="宋体"/>
        </w:rPr>
        <w:t>十三、如果我司中标，我司委派的项目负责人将尽职尽责，按合同约定履行项目负责人的各项职责。如项目负责人出现违约行为，招标人对其出具书面《处罚通知书》的，招标人有权拒绝该项目负责人二年内以项目负责人身份参与招标人其他项目的投标。</w:t>
      </w:r>
    </w:p>
    <w:p w14:paraId="5CB56F86">
      <w:pPr>
        <w:pStyle w:val="136"/>
        <w:spacing w:line="400" w:lineRule="exact"/>
        <w:ind w:firstLine="496"/>
        <w:rPr>
          <w:rFonts w:ascii="宋体" w:hAnsi="宋体" w:cs="宋体"/>
        </w:rPr>
      </w:pPr>
      <w:r>
        <w:rPr>
          <w:rFonts w:hint="eastAsia" w:ascii="宋体" w:hAnsi="宋体" w:cs="宋体"/>
        </w:rPr>
        <w:t>十四、如果我司中标，我司按招标文件要求及投标文件依法实施工程分包。如我司投标阶段选择的分包工程或分包单位不满足招标文件要求的，签订合同前将按招标文件要求重新提交分包工程或分包单位报招标人、监理人审核，审批合格方可分包。如出现以下任一情形，我司承诺可分包工程也自行施工，不再分包：</w:t>
      </w:r>
    </w:p>
    <w:p w14:paraId="4B7FBAC1">
      <w:pPr>
        <w:pStyle w:val="136"/>
        <w:spacing w:line="400" w:lineRule="exact"/>
        <w:ind w:firstLine="496"/>
        <w:rPr>
          <w:rFonts w:ascii="宋体" w:hAnsi="宋体" w:cs="宋体"/>
        </w:rPr>
      </w:pPr>
      <w:r>
        <w:rPr>
          <w:rFonts w:hint="eastAsia" w:ascii="宋体" w:hAnsi="宋体" w:cs="宋体"/>
        </w:rPr>
        <w:t>1、投标阶段已明确所有工程均自行施工，不再分包的；</w:t>
      </w:r>
    </w:p>
    <w:p w14:paraId="7E7DD855">
      <w:pPr>
        <w:pStyle w:val="136"/>
        <w:spacing w:line="400" w:lineRule="exact"/>
        <w:ind w:firstLine="496"/>
        <w:rPr>
          <w:rFonts w:ascii="宋体" w:hAnsi="宋体" w:cs="宋体"/>
        </w:rPr>
      </w:pPr>
      <w:r>
        <w:rPr>
          <w:rFonts w:hint="eastAsia" w:ascii="宋体" w:hAnsi="宋体" w:cs="宋体"/>
        </w:rPr>
        <w:t>2、合同签订前未按招标文件选择资质合格的分包单位的；</w:t>
      </w:r>
    </w:p>
    <w:p w14:paraId="18F12E4D">
      <w:pPr>
        <w:pStyle w:val="136"/>
        <w:spacing w:line="400" w:lineRule="exact"/>
        <w:ind w:firstLine="496"/>
        <w:rPr>
          <w:rFonts w:ascii="宋体" w:hAnsi="宋体" w:cs="宋体"/>
        </w:rPr>
      </w:pPr>
      <w:r>
        <w:rPr>
          <w:rFonts w:hint="eastAsia" w:ascii="宋体" w:hAnsi="宋体" w:cs="宋体"/>
        </w:rPr>
        <w:t>3、投标阶段或合同签订时有选择工程分包及分包单位，但分包工程实施之前，我单位放弃工程分包的；</w:t>
      </w:r>
    </w:p>
    <w:p w14:paraId="4C2DCF17">
      <w:pPr>
        <w:pStyle w:val="136"/>
        <w:spacing w:line="400" w:lineRule="exact"/>
        <w:ind w:firstLine="496"/>
        <w:rPr>
          <w:rFonts w:ascii="宋体" w:hAnsi="宋体" w:cs="宋体"/>
        </w:rPr>
      </w:pPr>
      <w:r>
        <w:rPr>
          <w:rFonts w:hint="eastAsia" w:ascii="宋体" w:hAnsi="宋体" w:cs="宋体"/>
        </w:rPr>
        <w:t>4、我司与分包单位解除合同的。</w:t>
      </w:r>
    </w:p>
    <w:p w14:paraId="701B234C">
      <w:pPr>
        <w:pStyle w:val="136"/>
        <w:spacing w:line="400" w:lineRule="exact"/>
        <w:ind w:firstLine="496"/>
        <w:rPr>
          <w:rFonts w:ascii="宋体" w:hAnsi="宋体" w:cs="宋体"/>
        </w:rPr>
      </w:pPr>
      <w:r>
        <w:rPr>
          <w:rFonts w:hint="eastAsia" w:ascii="宋体" w:hAnsi="宋体" w:cs="宋体"/>
        </w:rPr>
        <w:t>十五、如果我司中标，对招标人、监理人为确保工程质量管理和工程进度而下达的调整项目经理部组成人员的指令、通知，我司承诺无条件地在限期内执行并调整到位。</w:t>
      </w:r>
    </w:p>
    <w:p w14:paraId="0071058B">
      <w:pPr>
        <w:autoSpaceDE w:val="0"/>
        <w:autoSpaceDN w:val="0"/>
        <w:adjustRightInd w:val="0"/>
        <w:spacing w:line="400" w:lineRule="exact"/>
        <w:ind w:firstLine="480" w:firstLineChars="200"/>
        <w:rPr>
          <w:rFonts w:ascii="宋体" w:hAnsi="宋体" w:cs="宋体"/>
          <w:sz w:val="24"/>
        </w:rPr>
      </w:pPr>
      <w:r>
        <w:rPr>
          <w:rFonts w:hint="eastAsia" w:ascii="宋体" w:hAnsi="宋体" w:cs="宋体"/>
          <w:sz w:val="24"/>
        </w:rPr>
        <w:t>十六、如果我司的投标被接受，我司保证将按国家的有关规定制订保证民工工资支付的方案及保证措施，并在资金使用计划表中按月单列需支付的民工工资计划，并保证发包人不因任何由于我司在发放民工工资事宜上而受到任何处罚、诉讼和罚款。</w:t>
      </w:r>
    </w:p>
    <w:p w14:paraId="6689463F">
      <w:pPr>
        <w:pStyle w:val="136"/>
        <w:spacing w:line="400" w:lineRule="exact"/>
        <w:ind w:firstLine="3472" w:firstLineChars="1400"/>
        <w:rPr>
          <w:rFonts w:ascii="宋体" w:hAnsi="宋体" w:cs="宋体"/>
        </w:rPr>
      </w:pPr>
    </w:p>
    <w:p w14:paraId="5CECAA4A">
      <w:pPr>
        <w:pStyle w:val="136"/>
        <w:spacing w:line="400" w:lineRule="exact"/>
        <w:ind w:firstLine="3472" w:firstLineChars="1400"/>
        <w:rPr>
          <w:rFonts w:ascii="宋体" w:hAnsi="宋体" w:cs="宋体"/>
        </w:rPr>
      </w:pPr>
    </w:p>
    <w:p w14:paraId="5EAF2A2B">
      <w:pPr>
        <w:pStyle w:val="136"/>
        <w:spacing w:line="400" w:lineRule="exact"/>
        <w:ind w:firstLine="3472" w:firstLineChars="1400"/>
        <w:rPr>
          <w:rFonts w:ascii="宋体" w:hAnsi="宋体" w:cs="宋体"/>
        </w:rPr>
      </w:pPr>
      <w:r>
        <w:rPr>
          <w:rFonts w:hint="eastAsia" w:ascii="宋体" w:hAnsi="宋体" w:cs="宋体"/>
        </w:rPr>
        <w:t>投标人：　　（盖章）</w:t>
      </w:r>
    </w:p>
    <w:p w14:paraId="002ACDE9">
      <w:pPr>
        <w:pStyle w:val="136"/>
        <w:spacing w:line="400" w:lineRule="exact"/>
        <w:ind w:firstLine="3472" w:firstLineChars="1400"/>
        <w:rPr>
          <w:rFonts w:ascii="宋体" w:hAnsi="宋体" w:cs="宋体"/>
        </w:rPr>
      </w:pPr>
      <w:r>
        <w:rPr>
          <w:rFonts w:hint="eastAsia" w:ascii="宋体" w:hAnsi="宋体" w:cs="宋体"/>
        </w:rPr>
        <w:t>法定代表人或授权代理人（签字或盖章）：</w:t>
      </w:r>
    </w:p>
    <w:p w14:paraId="26762D52">
      <w:pPr>
        <w:topLinePunct/>
        <w:adjustRightInd w:val="0"/>
        <w:snapToGrid w:val="0"/>
        <w:spacing w:line="400" w:lineRule="exact"/>
        <w:ind w:firstLine="3472" w:firstLineChars="1400"/>
        <w:rPr>
          <w:rFonts w:ascii="宋体" w:hAnsi="宋体" w:cs="宋体"/>
          <w:snapToGrid w:val="0"/>
          <w:spacing w:val="4"/>
          <w:kern w:val="0"/>
          <w:sz w:val="24"/>
          <w:szCs w:val="24"/>
        </w:rPr>
      </w:pPr>
      <w:r>
        <w:rPr>
          <w:rFonts w:hint="eastAsia" w:ascii="宋体" w:hAnsi="宋体" w:cs="宋体"/>
          <w:snapToGrid w:val="0"/>
          <w:spacing w:val="4"/>
          <w:kern w:val="0"/>
          <w:sz w:val="24"/>
          <w:szCs w:val="24"/>
        </w:rPr>
        <w:t>技术负责人(签字或盖章)：</w:t>
      </w:r>
    </w:p>
    <w:p w14:paraId="47247F5B">
      <w:pPr>
        <w:topLinePunct/>
        <w:adjustRightInd w:val="0"/>
        <w:snapToGrid w:val="0"/>
        <w:spacing w:line="400" w:lineRule="exact"/>
        <w:ind w:firstLine="3472" w:firstLineChars="1400"/>
        <w:rPr>
          <w:rFonts w:ascii="宋体" w:hAnsi="宋体" w:cs="宋体"/>
          <w:snapToGrid w:val="0"/>
          <w:spacing w:val="4"/>
          <w:kern w:val="0"/>
          <w:sz w:val="24"/>
          <w:szCs w:val="24"/>
        </w:rPr>
      </w:pPr>
      <w:r>
        <w:rPr>
          <w:rFonts w:hint="eastAsia" w:ascii="宋体" w:hAnsi="宋体" w:cs="宋体"/>
          <w:snapToGrid w:val="0"/>
          <w:spacing w:val="4"/>
          <w:kern w:val="0"/>
          <w:sz w:val="24"/>
          <w:szCs w:val="24"/>
        </w:rPr>
        <w:t>项目负责人(签字或盖章)：</w:t>
      </w:r>
    </w:p>
    <w:p w14:paraId="5AE4BD61">
      <w:pPr>
        <w:pStyle w:val="136"/>
        <w:spacing w:line="400" w:lineRule="exact"/>
        <w:ind w:firstLine="3472" w:firstLineChars="1400"/>
        <w:rPr>
          <w:rFonts w:ascii="宋体" w:hAnsi="宋体" w:cs="宋体"/>
          <w:kern w:val="0"/>
        </w:rPr>
      </w:pPr>
    </w:p>
    <w:p w14:paraId="1015F5DF">
      <w:pPr>
        <w:widowControl/>
        <w:tabs>
          <w:tab w:val="center" w:pos="4153"/>
        </w:tabs>
        <w:ind w:firstLine="3570" w:firstLineChars="1700"/>
        <w:rPr>
          <w:rFonts w:ascii="宋体" w:hAnsi="宋体" w:cs="宋体"/>
          <w:sz w:val="24"/>
          <w:szCs w:val="24"/>
        </w:rPr>
      </w:pPr>
      <w:r>
        <w:rPr>
          <w:rFonts w:hint="eastAsia" w:ascii="宋体" w:hAnsi="宋体" w:cs="宋体"/>
        </w:rPr>
        <w:t>日期：     年   月   日</w:t>
      </w:r>
    </w:p>
    <w:p w14:paraId="2C1E10E0">
      <w:pPr>
        <w:widowControl/>
        <w:tabs>
          <w:tab w:val="center" w:pos="4153"/>
        </w:tabs>
        <w:jc w:val="left"/>
        <w:rPr>
          <w:rFonts w:ascii="宋体" w:hAnsi="宋体" w:cs="宋体"/>
          <w:snapToGrid w:val="0"/>
          <w:spacing w:val="4"/>
          <w:kern w:val="0"/>
          <w:sz w:val="24"/>
          <w:szCs w:val="24"/>
        </w:rPr>
      </w:pPr>
      <w:r>
        <w:rPr>
          <w:rFonts w:ascii="宋体" w:hAnsi="宋体" w:cs="宋体"/>
          <w:sz w:val="24"/>
          <w:szCs w:val="24"/>
        </w:rPr>
        <w:br w:type="page"/>
      </w:r>
    </w:p>
    <w:p w14:paraId="07C30F91">
      <w:pPr>
        <w:spacing w:line="360" w:lineRule="auto"/>
        <w:rPr>
          <w:rFonts w:ascii="宋体" w:hAnsi="宋体" w:cs="宋体"/>
          <w:sz w:val="24"/>
        </w:rPr>
      </w:pPr>
      <w:r>
        <w:rPr>
          <w:rFonts w:ascii="宋体" w:hAnsi="宋体" w:cs="宋体"/>
          <w:snapToGrid w:val="0"/>
          <w:spacing w:val="4"/>
          <w:kern w:val="0"/>
          <w:sz w:val="24"/>
          <w:szCs w:val="24"/>
        </w:rPr>
        <w:tab/>
      </w:r>
      <w:r>
        <w:rPr>
          <w:rFonts w:hint="eastAsia" w:ascii="宋体" w:hAnsi="宋体" w:cs="宋体"/>
          <w:sz w:val="24"/>
        </w:rPr>
        <w:t>技术标投标文件格式八：</w:t>
      </w:r>
    </w:p>
    <w:p w14:paraId="09175EA8">
      <w:pPr>
        <w:spacing w:line="360" w:lineRule="auto"/>
        <w:ind w:firstLine="3235" w:firstLineChars="895"/>
        <w:rPr>
          <w:rFonts w:ascii="宋体" w:hAnsi="宋体" w:cs="宋体"/>
          <w:b/>
          <w:sz w:val="36"/>
          <w:szCs w:val="36"/>
        </w:rPr>
      </w:pPr>
      <w:r>
        <w:rPr>
          <w:rFonts w:hint="eastAsia" w:ascii="宋体" w:hAnsi="宋体" w:cs="宋体"/>
          <w:b/>
          <w:sz w:val="36"/>
          <w:szCs w:val="36"/>
        </w:rPr>
        <w:t>投  标  函</w:t>
      </w:r>
    </w:p>
    <w:p w14:paraId="23E1ADA9">
      <w:pPr>
        <w:spacing w:line="400" w:lineRule="exact"/>
        <w:rPr>
          <w:rFonts w:ascii="宋体" w:hAnsi="宋体" w:cs="宋体"/>
          <w:b/>
          <w:sz w:val="24"/>
          <w:szCs w:val="24"/>
        </w:rPr>
      </w:pPr>
      <w:r>
        <w:rPr>
          <w:rFonts w:hint="eastAsia" w:ascii="宋体" w:hAnsi="宋体" w:cs="宋体"/>
          <w:b/>
          <w:sz w:val="24"/>
          <w:szCs w:val="24"/>
        </w:rPr>
        <w:t>致：</w:t>
      </w:r>
      <w:r>
        <w:rPr>
          <w:rFonts w:hint="eastAsia" w:ascii="宋体" w:hAnsi="宋体" w:cs="宋体"/>
          <w:b/>
          <w:sz w:val="24"/>
          <w:szCs w:val="24"/>
          <w:u w:val="single"/>
        </w:rPr>
        <w:t>广东中烟工业有限责任公司</w:t>
      </w:r>
    </w:p>
    <w:p w14:paraId="0A892375">
      <w:pPr>
        <w:spacing w:line="400" w:lineRule="exact"/>
        <w:ind w:firstLine="480" w:firstLineChars="200"/>
        <w:rPr>
          <w:rFonts w:ascii="宋体" w:hAnsi="宋体" w:cs="宋体"/>
          <w:sz w:val="24"/>
          <w:szCs w:val="24"/>
        </w:rPr>
      </w:pPr>
      <w:r>
        <w:rPr>
          <w:rFonts w:hint="eastAsia" w:ascii="宋体" w:hAnsi="宋体" w:cs="宋体"/>
          <w:sz w:val="24"/>
          <w:szCs w:val="24"/>
        </w:rPr>
        <w:t>1.根据已收到贵方的项目编号为</w:t>
      </w:r>
      <w:r>
        <w:rPr>
          <w:rFonts w:hint="eastAsia" w:ascii="宋体" w:hAnsi="宋体" w:cs="宋体"/>
          <w:sz w:val="24"/>
          <w:szCs w:val="24"/>
          <w:u w:val="single"/>
        </w:rPr>
        <w:t xml:space="preserve">           </w:t>
      </w:r>
      <w:r>
        <w:rPr>
          <w:rFonts w:hint="eastAsia" w:ascii="宋体" w:hAnsi="宋体" w:cs="宋体"/>
          <w:sz w:val="24"/>
          <w:szCs w:val="24"/>
        </w:rPr>
        <w:t>的</w:t>
      </w:r>
      <w:r>
        <w:rPr>
          <w:rFonts w:hint="eastAsia" w:ascii="宋体" w:hAnsi="宋体" w:cs="宋体"/>
          <w:sz w:val="24"/>
          <w:szCs w:val="24"/>
          <w:u w:val="single"/>
        </w:rPr>
        <w:t xml:space="preserve">          </w:t>
      </w:r>
      <w:r>
        <w:rPr>
          <w:rFonts w:hint="eastAsia" w:ascii="宋体" w:hAnsi="宋体" w:cs="宋体"/>
          <w:sz w:val="24"/>
          <w:szCs w:val="24"/>
        </w:rPr>
        <w:t>工程的招标文件，并已详细审核了全部招标文件及有关附件。</w:t>
      </w:r>
    </w:p>
    <w:p w14:paraId="3E4F6F0F">
      <w:pPr>
        <w:snapToGrid w:val="0"/>
        <w:spacing w:line="400" w:lineRule="exact"/>
        <w:ind w:firstLine="523" w:firstLineChars="218"/>
        <w:rPr>
          <w:rFonts w:ascii="宋体" w:hAnsi="宋体" w:cs="宋体"/>
          <w:sz w:val="24"/>
          <w:szCs w:val="24"/>
        </w:rPr>
      </w:pPr>
      <w:r>
        <w:rPr>
          <w:rFonts w:hint="eastAsia" w:ascii="宋体" w:hAnsi="宋体" w:cs="宋体"/>
          <w:sz w:val="24"/>
          <w:szCs w:val="24"/>
        </w:rPr>
        <w:t>2.遵照《中华人民共和国招标投标法》、《中华人民共和国招标投标法实施条例》、《广东省实施〈中华人民共和国招标投标法〉办法》、等有关规定，经考察现场和研究上述招标文件的投标须知、合同条款、标准和技术规范、图纸、工程量清单及其他有关文件后，我方承诺：</w:t>
      </w:r>
    </w:p>
    <w:p w14:paraId="1EB4E9BD">
      <w:pPr>
        <w:spacing w:line="400" w:lineRule="exact"/>
        <w:ind w:firstLine="480" w:firstLineChars="200"/>
        <w:rPr>
          <w:rFonts w:ascii="宋体" w:hAnsi="宋体" w:cs="宋体"/>
          <w:sz w:val="24"/>
          <w:szCs w:val="24"/>
        </w:rPr>
      </w:pPr>
      <w:r>
        <w:rPr>
          <w:rFonts w:hint="eastAsia" w:ascii="宋体" w:hAnsi="宋体" w:cs="宋体"/>
          <w:sz w:val="24"/>
          <w:szCs w:val="24"/>
        </w:rPr>
        <w:t>愿以经济标中的投标报价并按上述合同条款、标准和技术规范、图纸、工程量清单等的要求承包上述工程的施工、竣工并修补其任何缺陷。</w:t>
      </w:r>
    </w:p>
    <w:p w14:paraId="2831945A">
      <w:pPr>
        <w:spacing w:line="400" w:lineRule="exact"/>
        <w:rPr>
          <w:rFonts w:ascii="宋体" w:hAnsi="宋体" w:cs="宋体"/>
          <w:sz w:val="24"/>
          <w:szCs w:val="24"/>
        </w:rPr>
      </w:pPr>
      <w:r>
        <w:rPr>
          <w:rFonts w:hint="eastAsia" w:ascii="宋体" w:hAnsi="宋体" w:cs="宋体"/>
          <w:sz w:val="24"/>
          <w:szCs w:val="24"/>
        </w:rPr>
        <w:t xml:space="preserve">    3.我方同意所递交的投标文件在投标须知规定的投标有效期内有效，在此期间内我方的投标有可能中标，我方将受此约束。如果在投标有效期内撤销投标文件或放弃中标资格，给贵方造成的损失，贵方有权要求我方进行赔偿。</w:t>
      </w:r>
    </w:p>
    <w:p w14:paraId="47DAE05A">
      <w:pPr>
        <w:spacing w:line="400" w:lineRule="exact"/>
        <w:rPr>
          <w:rFonts w:ascii="宋体" w:hAnsi="宋体" w:cs="宋体"/>
          <w:sz w:val="24"/>
          <w:szCs w:val="24"/>
        </w:rPr>
      </w:pPr>
      <w:r>
        <w:rPr>
          <w:rFonts w:hint="eastAsia" w:ascii="宋体" w:hAnsi="宋体" w:cs="宋体"/>
          <w:sz w:val="24"/>
          <w:szCs w:val="24"/>
        </w:rPr>
        <w:t xml:space="preserve">    4.我方理解贵方将不受必须接受你们所收到的最低标价或其它任何投标文件的约束。</w:t>
      </w:r>
    </w:p>
    <w:p w14:paraId="7946B7C7">
      <w:pPr>
        <w:spacing w:line="400" w:lineRule="exact"/>
        <w:ind w:firstLine="480" w:firstLineChars="200"/>
        <w:rPr>
          <w:rFonts w:ascii="宋体" w:hAnsi="宋体" w:cs="宋体"/>
          <w:sz w:val="24"/>
          <w:szCs w:val="24"/>
        </w:rPr>
      </w:pPr>
      <w:r>
        <w:rPr>
          <w:rFonts w:hint="eastAsia" w:ascii="宋体" w:hAnsi="宋体" w:cs="宋体"/>
          <w:sz w:val="24"/>
          <w:szCs w:val="24"/>
        </w:rPr>
        <w:t>5.如果我方中标，我方保证按招标文件中规定的工期，在</w:t>
      </w:r>
      <w:r>
        <w:rPr>
          <w:rFonts w:hint="eastAsia" w:ascii="宋体" w:hAnsi="宋体" w:cs="宋体"/>
          <w:sz w:val="24"/>
          <w:szCs w:val="24"/>
          <w:u w:val="single"/>
        </w:rPr>
        <w:t xml:space="preserve">     </w:t>
      </w:r>
      <w:r>
        <w:rPr>
          <w:rFonts w:hint="eastAsia" w:ascii="宋体" w:hAnsi="宋体" w:cs="宋体"/>
          <w:sz w:val="24"/>
          <w:szCs w:val="24"/>
        </w:rPr>
        <w:t>日历天内完成并移交本工程，质量标准达到招标文件中的要求。</w:t>
      </w:r>
    </w:p>
    <w:p w14:paraId="270FA6DA">
      <w:pPr>
        <w:spacing w:line="400" w:lineRule="exact"/>
        <w:ind w:firstLine="480" w:firstLineChars="200"/>
        <w:rPr>
          <w:rFonts w:ascii="宋体" w:hAnsi="宋体" w:cs="宋体"/>
          <w:sz w:val="24"/>
          <w:szCs w:val="24"/>
        </w:rPr>
      </w:pPr>
      <w:r>
        <w:rPr>
          <w:rFonts w:hint="eastAsia" w:ascii="宋体" w:hAnsi="宋体" w:cs="宋体"/>
          <w:sz w:val="24"/>
          <w:szCs w:val="24"/>
        </w:rPr>
        <w:t>6.如果我方中标，我方将按照规定递交由招标人认可，并在招标文件中规定金额的履约保函。</w:t>
      </w:r>
    </w:p>
    <w:p w14:paraId="54307B89">
      <w:pPr>
        <w:spacing w:line="400" w:lineRule="exact"/>
        <w:ind w:firstLine="480"/>
        <w:rPr>
          <w:rFonts w:ascii="宋体" w:hAnsi="宋体" w:cs="宋体"/>
          <w:sz w:val="24"/>
          <w:szCs w:val="24"/>
        </w:rPr>
      </w:pPr>
      <w:r>
        <w:rPr>
          <w:rFonts w:hint="eastAsia" w:ascii="宋体" w:hAnsi="宋体" w:cs="宋体"/>
          <w:sz w:val="24"/>
          <w:szCs w:val="24"/>
        </w:rPr>
        <w:t>7.除非另外达成协议并生效，贵方的中标通知书和本投标文件将成为约束双方的合同文件的组成部分。</w:t>
      </w:r>
    </w:p>
    <w:p w14:paraId="7ED3458D">
      <w:pPr>
        <w:spacing w:line="400" w:lineRule="exact"/>
        <w:ind w:firstLine="480"/>
        <w:rPr>
          <w:rFonts w:ascii="宋体" w:hAnsi="宋体" w:cs="宋体"/>
          <w:sz w:val="24"/>
          <w:szCs w:val="24"/>
        </w:rPr>
      </w:pPr>
      <w:r>
        <w:rPr>
          <w:rFonts w:hint="eastAsia" w:ascii="宋体" w:hAnsi="宋体" w:cs="宋体"/>
          <w:sz w:val="24"/>
          <w:szCs w:val="24"/>
        </w:rPr>
        <w:t>8、如果我方中标，我方将实行项目经理负责制，并按投标文件配备项目管理班子。如未经招标人同意更换项目班子成员，招标人有权取消我公司的中标资格或单方面终止合同，由此造成的违约责任由我公司承担。</w:t>
      </w:r>
    </w:p>
    <w:p w14:paraId="0335F6BE">
      <w:pPr>
        <w:spacing w:line="400" w:lineRule="exact"/>
        <w:ind w:firstLine="480"/>
        <w:rPr>
          <w:rFonts w:ascii="宋体" w:hAnsi="宋体" w:cs="宋体"/>
          <w:sz w:val="24"/>
          <w:szCs w:val="24"/>
        </w:rPr>
      </w:pPr>
    </w:p>
    <w:p w14:paraId="4711CDB0"/>
    <w:p w14:paraId="56F2FC0A">
      <w:pPr>
        <w:spacing w:line="400" w:lineRule="exact"/>
        <w:rPr>
          <w:rFonts w:ascii="宋体" w:hAnsi="宋体" w:cs="宋体"/>
          <w:sz w:val="24"/>
          <w:szCs w:val="24"/>
        </w:rPr>
      </w:pPr>
      <w:r>
        <w:rPr>
          <w:rFonts w:hint="eastAsia" w:ascii="宋体" w:hAnsi="宋体" w:cs="宋体"/>
          <w:sz w:val="24"/>
          <w:szCs w:val="24"/>
        </w:rPr>
        <w:t xml:space="preserve">                                  法定代表人：             签名或盖章</w:t>
      </w:r>
    </w:p>
    <w:p w14:paraId="5614AAE6">
      <w:pPr>
        <w:spacing w:line="400" w:lineRule="exact"/>
        <w:rPr>
          <w:rFonts w:ascii="宋体" w:hAnsi="宋体" w:cs="宋体"/>
          <w:sz w:val="24"/>
          <w:szCs w:val="24"/>
        </w:rPr>
      </w:pPr>
      <w:r>
        <w:rPr>
          <w:rFonts w:hint="eastAsia" w:ascii="宋体" w:hAnsi="宋体" w:cs="宋体"/>
          <w:sz w:val="24"/>
          <w:szCs w:val="24"/>
        </w:rPr>
        <w:t xml:space="preserve">                              投标人企业公章：                         </w:t>
      </w:r>
    </w:p>
    <w:p w14:paraId="6785E1EF">
      <w:pPr>
        <w:spacing w:line="400" w:lineRule="exact"/>
        <w:rPr>
          <w:rFonts w:ascii="宋体" w:hAnsi="宋体" w:cs="宋体"/>
          <w:sz w:val="24"/>
          <w:szCs w:val="24"/>
          <w:u w:val="single"/>
        </w:rPr>
      </w:pPr>
      <w:r>
        <w:rPr>
          <w:rFonts w:hint="eastAsia" w:ascii="宋体" w:hAnsi="宋体" w:cs="宋体"/>
          <w:sz w:val="24"/>
          <w:szCs w:val="24"/>
        </w:rPr>
        <w:t xml:space="preserve">                                        日期：  </w:t>
      </w:r>
      <w:r>
        <w:rPr>
          <w:rFonts w:hint="eastAsia" w:ascii="宋体" w:hAnsi="宋体" w:cs="宋体"/>
          <w:sz w:val="24"/>
          <w:szCs w:val="24"/>
          <w:u w:val="single"/>
        </w:rPr>
        <w:t xml:space="preserve">  </w:t>
      </w:r>
      <w:r>
        <w:rPr>
          <w:rFonts w:hint="eastAsia" w:ascii="宋体" w:hAnsi="宋体" w:cs="宋体"/>
          <w:sz w:val="24"/>
          <w:szCs w:val="24"/>
        </w:rPr>
        <w:t>年</w:t>
      </w:r>
      <w:r>
        <w:rPr>
          <w:rFonts w:hint="eastAsia" w:ascii="宋体" w:hAnsi="宋体" w:cs="宋体"/>
          <w:sz w:val="24"/>
          <w:szCs w:val="24"/>
          <w:u w:val="single"/>
        </w:rPr>
        <w:t xml:space="preserve">  </w:t>
      </w:r>
      <w:r>
        <w:rPr>
          <w:rFonts w:hint="eastAsia" w:ascii="宋体" w:hAnsi="宋体" w:cs="宋体"/>
          <w:sz w:val="24"/>
          <w:szCs w:val="24"/>
        </w:rPr>
        <w:t>月</w:t>
      </w:r>
      <w:r>
        <w:rPr>
          <w:rFonts w:hint="eastAsia" w:ascii="宋体" w:hAnsi="宋体" w:cs="宋体"/>
          <w:sz w:val="24"/>
          <w:szCs w:val="24"/>
          <w:u w:val="single"/>
        </w:rPr>
        <w:t xml:space="preserve">  日</w:t>
      </w:r>
    </w:p>
    <w:p w14:paraId="58F6CF55">
      <w:pPr>
        <w:pStyle w:val="136"/>
        <w:spacing w:line="400" w:lineRule="exact"/>
        <w:ind w:firstLine="496"/>
        <w:rPr>
          <w:rFonts w:ascii="宋体" w:hAnsi="宋体" w:cs="宋体"/>
        </w:rPr>
      </w:pPr>
    </w:p>
    <w:p w14:paraId="1C9324AD">
      <w:pPr>
        <w:pStyle w:val="136"/>
        <w:ind w:firstLine="496"/>
        <w:rPr>
          <w:rFonts w:ascii="宋体" w:hAnsi="宋体" w:cs="宋体"/>
        </w:rPr>
      </w:pPr>
    </w:p>
    <w:p w14:paraId="3DC66D2B">
      <w:pPr>
        <w:pStyle w:val="136"/>
        <w:ind w:firstLine="496"/>
        <w:rPr>
          <w:rFonts w:ascii="宋体" w:hAnsi="宋体" w:cs="宋体"/>
        </w:rPr>
      </w:pPr>
    </w:p>
    <w:p w14:paraId="4B37D4B7">
      <w:pPr>
        <w:rPr>
          <w:rFonts w:ascii="宋体" w:hAnsi="宋体" w:cs="宋体"/>
          <w:sz w:val="24"/>
        </w:rPr>
      </w:pPr>
      <w:r>
        <w:rPr>
          <w:rFonts w:hint="eastAsia" w:ascii="宋体" w:hAnsi="宋体" w:cs="宋体"/>
          <w:sz w:val="24"/>
        </w:rPr>
        <w:br w:type="page"/>
      </w:r>
    </w:p>
    <w:p w14:paraId="3281FD65">
      <w:pPr>
        <w:pStyle w:val="6"/>
        <w:rPr>
          <w:rFonts w:ascii="宋体" w:hAnsi="宋体" w:cs="宋体"/>
          <w:sz w:val="24"/>
        </w:rPr>
      </w:pPr>
      <w:r>
        <w:rPr>
          <w:rFonts w:hint="eastAsia" w:ascii="宋体" w:hAnsi="宋体" w:cs="宋体"/>
          <w:sz w:val="24"/>
        </w:rPr>
        <w:t>技术标投标文件格式九：</w:t>
      </w:r>
    </w:p>
    <w:tbl>
      <w:tblPr>
        <w:tblStyle w:val="34"/>
        <w:tblW w:w="8523" w:type="dxa"/>
        <w:tblInd w:w="0" w:type="dxa"/>
        <w:tblLayout w:type="fixed"/>
        <w:tblCellMar>
          <w:top w:w="0" w:type="dxa"/>
          <w:left w:w="108" w:type="dxa"/>
          <w:bottom w:w="0" w:type="dxa"/>
          <w:right w:w="108" w:type="dxa"/>
        </w:tblCellMar>
      </w:tblPr>
      <w:tblGrid>
        <w:gridCol w:w="798"/>
        <w:gridCol w:w="1454"/>
        <w:gridCol w:w="1795"/>
        <w:gridCol w:w="1795"/>
        <w:gridCol w:w="2681"/>
      </w:tblGrid>
      <w:tr w14:paraId="1D9A92B8">
        <w:tblPrEx>
          <w:tblCellMar>
            <w:top w:w="0" w:type="dxa"/>
            <w:left w:w="108" w:type="dxa"/>
            <w:bottom w:w="0" w:type="dxa"/>
            <w:right w:w="108" w:type="dxa"/>
          </w:tblCellMar>
        </w:tblPrEx>
        <w:trPr>
          <w:trHeight w:val="1159" w:hRule="atLeast"/>
        </w:trPr>
        <w:tc>
          <w:tcPr>
            <w:tcW w:w="8523" w:type="dxa"/>
            <w:gridSpan w:val="5"/>
            <w:tcBorders>
              <w:top w:val="nil"/>
              <w:left w:val="nil"/>
              <w:bottom w:val="single" w:color="auto" w:sz="4" w:space="0"/>
              <w:right w:val="nil"/>
            </w:tcBorders>
            <w:vAlign w:val="center"/>
          </w:tcPr>
          <w:p w14:paraId="08A6767A">
            <w:pPr>
              <w:widowControl/>
              <w:jc w:val="center"/>
              <w:rPr>
                <w:rFonts w:ascii="方正大标宋简体" w:hAnsi="等线" w:cs="宋体"/>
                <w:b/>
                <w:bCs/>
                <w:kern w:val="0"/>
                <w:sz w:val="32"/>
                <w:szCs w:val="32"/>
              </w:rPr>
            </w:pPr>
            <w:bookmarkStart w:id="26" w:name="_Hlk61439518"/>
            <w:r>
              <w:rPr>
                <w:rFonts w:ascii="方正大标宋简体" w:hAnsi="等线" w:cs="宋体"/>
                <w:b/>
                <w:bCs/>
                <w:kern w:val="0"/>
                <w:sz w:val="32"/>
                <w:szCs w:val="32"/>
              </w:rPr>
              <w:t>施工项目管理团队人员信息表</w:t>
            </w:r>
            <w:bookmarkEnd w:id="26"/>
          </w:p>
        </w:tc>
      </w:tr>
      <w:tr w14:paraId="481B783E">
        <w:tblPrEx>
          <w:tblCellMar>
            <w:top w:w="0" w:type="dxa"/>
            <w:left w:w="108" w:type="dxa"/>
            <w:bottom w:w="0" w:type="dxa"/>
            <w:right w:w="108" w:type="dxa"/>
          </w:tblCellMar>
        </w:tblPrEx>
        <w:trPr>
          <w:trHeight w:val="975" w:hRule="atLeast"/>
        </w:trPr>
        <w:tc>
          <w:tcPr>
            <w:tcW w:w="798" w:type="dxa"/>
            <w:tcBorders>
              <w:top w:val="nil"/>
              <w:left w:val="single" w:color="auto" w:sz="4" w:space="0"/>
              <w:bottom w:val="single" w:color="auto" w:sz="4" w:space="0"/>
              <w:right w:val="single" w:color="auto" w:sz="4" w:space="0"/>
            </w:tcBorders>
            <w:vAlign w:val="center"/>
          </w:tcPr>
          <w:p w14:paraId="0B645B13">
            <w:pPr>
              <w:widowControl/>
              <w:jc w:val="center"/>
              <w:rPr>
                <w:rFonts w:ascii="仿宋" w:hAnsi="仿宋" w:eastAsia="仿宋" w:cs="宋体"/>
                <w:b/>
                <w:bCs/>
                <w:kern w:val="0"/>
                <w:sz w:val="28"/>
                <w:szCs w:val="28"/>
              </w:rPr>
            </w:pPr>
            <w:r>
              <w:rPr>
                <w:rFonts w:hint="eastAsia" w:ascii="仿宋" w:hAnsi="仿宋" w:eastAsia="仿宋" w:cs="宋体"/>
                <w:b/>
                <w:bCs/>
                <w:kern w:val="0"/>
                <w:sz w:val="28"/>
                <w:szCs w:val="28"/>
              </w:rPr>
              <w:t>序号</w:t>
            </w:r>
          </w:p>
        </w:tc>
        <w:tc>
          <w:tcPr>
            <w:tcW w:w="1454" w:type="dxa"/>
            <w:tcBorders>
              <w:top w:val="nil"/>
              <w:left w:val="nil"/>
              <w:bottom w:val="single" w:color="auto" w:sz="4" w:space="0"/>
              <w:right w:val="single" w:color="auto" w:sz="4" w:space="0"/>
            </w:tcBorders>
            <w:vAlign w:val="center"/>
          </w:tcPr>
          <w:p w14:paraId="15BA0C1B">
            <w:pPr>
              <w:widowControl/>
              <w:jc w:val="center"/>
              <w:rPr>
                <w:rFonts w:ascii="仿宋" w:hAnsi="仿宋" w:eastAsia="仿宋" w:cs="宋体"/>
                <w:b/>
                <w:bCs/>
                <w:kern w:val="0"/>
                <w:sz w:val="28"/>
                <w:szCs w:val="28"/>
              </w:rPr>
            </w:pPr>
            <w:r>
              <w:rPr>
                <w:rFonts w:hint="eastAsia" w:ascii="仿宋" w:hAnsi="仿宋" w:eastAsia="仿宋" w:cs="宋体"/>
                <w:b/>
                <w:bCs/>
                <w:kern w:val="0"/>
                <w:sz w:val="28"/>
                <w:szCs w:val="28"/>
              </w:rPr>
              <w:t>姓名</w:t>
            </w:r>
          </w:p>
        </w:tc>
        <w:tc>
          <w:tcPr>
            <w:tcW w:w="1795" w:type="dxa"/>
            <w:tcBorders>
              <w:top w:val="nil"/>
              <w:left w:val="nil"/>
              <w:bottom w:val="single" w:color="auto" w:sz="4" w:space="0"/>
              <w:right w:val="single" w:color="auto" w:sz="4" w:space="0"/>
            </w:tcBorders>
            <w:vAlign w:val="center"/>
          </w:tcPr>
          <w:p w14:paraId="16286536">
            <w:pPr>
              <w:widowControl/>
              <w:jc w:val="center"/>
              <w:rPr>
                <w:rFonts w:ascii="仿宋" w:hAnsi="仿宋" w:eastAsia="仿宋" w:cs="宋体"/>
                <w:b/>
                <w:bCs/>
                <w:kern w:val="0"/>
                <w:sz w:val="28"/>
                <w:szCs w:val="28"/>
              </w:rPr>
            </w:pPr>
            <w:r>
              <w:rPr>
                <w:rFonts w:hint="eastAsia" w:ascii="仿宋" w:hAnsi="仿宋" w:eastAsia="仿宋" w:cs="宋体"/>
                <w:b/>
                <w:bCs/>
                <w:kern w:val="0"/>
                <w:sz w:val="28"/>
                <w:szCs w:val="28"/>
              </w:rPr>
              <w:t>岗位</w:t>
            </w:r>
          </w:p>
        </w:tc>
        <w:tc>
          <w:tcPr>
            <w:tcW w:w="1795" w:type="dxa"/>
            <w:tcBorders>
              <w:top w:val="nil"/>
              <w:left w:val="nil"/>
              <w:bottom w:val="single" w:color="auto" w:sz="4" w:space="0"/>
              <w:right w:val="single" w:color="auto" w:sz="4" w:space="0"/>
            </w:tcBorders>
            <w:vAlign w:val="center"/>
          </w:tcPr>
          <w:p w14:paraId="21166796">
            <w:pPr>
              <w:widowControl/>
              <w:jc w:val="center"/>
              <w:rPr>
                <w:rFonts w:ascii="仿宋" w:hAnsi="仿宋" w:eastAsia="仿宋" w:cs="宋体"/>
                <w:b/>
                <w:bCs/>
                <w:kern w:val="0"/>
                <w:sz w:val="28"/>
                <w:szCs w:val="28"/>
              </w:rPr>
            </w:pPr>
            <w:r>
              <w:rPr>
                <w:rFonts w:hint="eastAsia" w:ascii="仿宋" w:hAnsi="仿宋" w:eastAsia="仿宋" w:cs="宋体"/>
                <w:b/>
                <w:bCs/>
                <w:kern w:val="0"/>
                <w:sz w:val="28"/>
                <w:szCs w:val="28"/>
              </w:rPr>
              <w:t>职称</w:t>
            </w:r>
          </w:p>
        </w:tc>
        <w:tc>
          <w:tcPr>
            <w:tcW w:w="2681" w:type="dxa"/>
            <w:tcBorders>
              <w:top w:val="nil"/>
              <w:left w:val="nil"/>
              <w:bottom w:val="single" w:color="auto" w:sz="4" w:space="0"/>
              <w:right w:val="single" w:color="auto" w:sz="4" w:space="0"/>
            </w:tcBorders>
            <w:vAlign w:val="center"/>
          </w:tcPr>
          <w:p w14:paraId="22C13E25">
            <w:pPr>
              <w:widowControl/>
              <w:jc w:val="center"/>
              <w:rPr>
                <w:rFonts w:ascii="仿宋" w:hAnsi="仿宋" w:eastAsia="仿宋" w:cs="宋体"/>
                <w:b/>
                <w:bCs/>
                <w:kern w:val="0"/>
                <w:sz w:val="28"/>
                <w:szCs w:val="28"/>
              </w:rPr>
            </w:pPr>
            <w:r>
              <w:rPr>
                <w:rFonts w:hint="eastAsia" w:ascii="仿宋" w:hAnsi="仿宋" w:eastAsia="仿宋" w:cs="宋体"/>
                <w:b/>
                <w:bCs/>
                <w:kern w:val="0"/>
                <w:sz w:val="28"/>
                <w:szCs w:val="28"/>
              </w:rPr>
              <w:t>职称证书或资格证书编号</w:t>
            </w:r>
          </w:p>
        </w:tc>
      </w:tr>
      <w:tr w14:paraId="62B61C19">
        <w:tblPrEx>
          <w:tblCellMar>
            <w:top w:w="0" w:type="dxa"/>
            <w:left w:w="108" w:type="dxa"/>
            <w:bottom w:w="0" w:type="dxa"/>
            <w:right w:w="108" w:type="dxa"/>
          </w:tblCellMar>
        </w:tblPrEx>
        <w:trPr>
          <w:trHeight w:val="399" w:hRule="atLeast"/>
        </w:trPr>
        <w:tc>
          <w:tcPr>
            <w:tcW w:w="798" w:type="dxa"/>
            <w:tcBorders>
              <w:top w:val="nil"/>
              <w:left w:val="single" w:color="auto" w:sz="4" w:space="0"/>
              <w:bottom w:val="single" w:color="auto" w:sz="4" w:space="0"/>
              <w:right w:val="single" w:color="auto" w:sz="4" w:space="0"/>
            </w:tcBorders>
            <w:vAlign w:val="center"/>
          </w:tcPr>
          <w:p w14:paraId="23C13FE1">
            <w:pPr>
              <w:widowControl/>
              <w:jc w:val="center"/>
              <w:rPr>
                <w:rFonts w:ascii="仿宋" w:hAnsi="仿宋" w:eastAsia="仿宋" w:cs="宋体"/>
                <w:kern w:val="0"/>
                <w:sz w:val="28"/>
                <w:szCs w:val="28"/>
              </w:rPr>
            </w:pPr>
            <w:r>
              <w:rPr>
                <w:rFonts w:hint="eastAsia" w:ascii="仿宋" w:hAnsi="仿宋" w:eastAsia="仿宋" w:cs="宋体"/>
                <w:kern w:val="0"/>
                <w:sz w:val="28"/>
                <w:szCs w:val="28"/>
              </w:rPr>
              <w:t>1</w:t>
            </w:r>
          </w:p>
        </w:tc>
        <w:tc>
          <w:tcPr>
            <w:tcW w:w="1454" w:type="dxa"/>
            <w:tcBorders>
              <w:top w:val="nil"/>
              <w:left w:val="nil"/>
              <w:bottom w:val="single" w:color="auto" w:sz="4" w:space="0"/>
              <w:right w:val="single" w:color="auto" w:sz="4" w:space="0"/>
            </w:tcBorders>
            <w:vAlign w:val="center"/>
          </w:tcPr>
          <w:p w14:paraId="238C0FF4">
            <w:pPr>
              <w:widowControl/>
              <w:jc w:val="center"/>
              <w:rPr>
                <w:rFonts w:ascii="仿宋" w:hAnsi="仿宋" w:eastAsia="仿宋" w:cs="宋体"/>
                <w:kern w:val="0"/>
                <w:sz w:val="28"/>
                <w:szCs w:val="28"/>
              </w:rPr>
            </w:pPr>
            <w:r>
              <w:rPr>
                <w:rFonts w:hint="eastAsia" w:ascii="仿宋" w:hAnsi="仿宋" w:eastAsia="仿宋" w:cs="宋体"/>
                <w:kern w:val="0"/>
                <w:sz w:val="28"/>
                <w:szCs w:val="28"/>
              </w:rPr>
              <w:t>　</w:t>
            </w:r>
          </w:p>
        </w:tc>
        <w:tc>
          <w:tcPr>
            <w:tcW w:w="1795" w:type="dxa"/>
            <w:tcBorders>
              <w:top w:val="nil"/>
              <w:left w:val="nil"/>
              <w:bottom w:val="single" w:color="auto" w:sz="4" w:space="0"/>
              <w:right w:val="single" w:color="auto" w:sz="4" w:space="0"/>
            </w:tcBorders>
            <w:vAlign w:val="center"/>
          </w:tcPr>
          <w:p w14:paraId="2F4F918A">
            <w:pPr>
              <w:widowControl/>
              <w:jc w:val="center"/>
              <w:rPr>
                <w:rFonts w:ascii="仿宋" w:hAnsi="仿宋" w:eastAsia="仿宋" w:cs="宋体"/>
                <w:kern w:val="0"/>
                <w:sz w:val="28"/>
                <w:szCs w:val="28"/>
              </w:rPr>
            </w:pPr>
            <w:r>
              <w:rPr>
                <w:rFonts w:hint="eastAsia" w:ascii="仿宋" w:hAnsi="仿宋" w:eastAsia="仿宋" w:cs="宋体"/>
                <w:kern w:val="0"/>
                <w:sz w:val="28"/>
                <w:szCs w:val="28"/>
              </w:rPr>
              <w:t>技术负责人</w:t>
            </w:r>
          </w:p>
        </w:tc>
        <w:tc>
          <w:tcPr>
            <w:tcW w:w="1795" w:type="dxa"/>
            <w:tcBorders>
              <w:top w:val="nil"/>
              <w:left w:val="nil"/>
              <w:bottom w:val="single" w:color="auto" w:sz="4" w:space="0"/>
              <w:right w:val="single" w:color="auto" w:sz="4" w:space="0"/>
            </w:tcBorders>
            <w:vAlign w:val="center"/>
          </w:tcPr>
          <w:p w14:paraId="54D97A7B">
            <w:pPr>
              <w:widowControl/>
              <w:jc w:val="center"/>
              <w:rPr>
                <w:rFonts w:ascii="仿宋" w:hAnsi="仿宋" w:eastAsia="仿宋" w:cs="宋体"/>
                <w:kern w:val="0"/>
                <w:sz w:val="28"/>
                <w:szCs w:val="28"/>
              </w:rPr>
            </w:pPr>
            <w:r>
              <w:rPr>
                <w:rFonts w:hint="eastAsia" w:ascii="仿宋" w:hAnsi="仿宋" w:eastAsia="仿宋" w:cs="宋体"/>
                <w:kern w:val="0"/>
                <w:sz w:val="28"/>
                <w:szCs w:val="28"/>
              </w:rPr>
              <w:t>　</w:t>
            </w:r>
          </w:p>
        </w:tc>
        <w:tc>
          <w:tcPr>
            <w:tcW w:w="2681" w:type="dxa"/>
            <w:tcBorders>
              <w:top w:val="nil"/>
              <w:left w:val="nil"/>
              <w:bottom w:val="single" w:color="auto" w:sz="4" w:space="0"/>
              <w:right w:val="single" w:color="auto" w:sz="4" w:space="0"/>
            </w:tcBorders>
            <w:vAlign w:val="center"/>
          </w:tcPr>
          <w:p w14:paraId="3ADC2FBC">
            <w:pPr>
              <w:widowControl/>
              <w:jc w:val="center"/>
              <w:rPr>
                <w:rFonts w:ascii="仿宋" w:hAnsi="仿宋" w:eastAsia="仿宋" w:cs="宋体"/>
                <w:kern w:val="0"/>
                <w:sz w:val="28"/>
                <w:szCs w:val="28"/>
              </w:rPr>
            </w:pPr>
            <w:r>
              <w:rPr>
                <w:rFonts w:hint="eastAsia" w:ascii="仿宋" w:hAnsi="仿宋" w:eastAsia="仿宋" w:cs="宋体"/>
                <w:kern w:val="0"/>
                <w:sz w:val="28"/>
                <w:szCs w:val="28"/>
              </w:rPr>
              <w:t>　</w:t>
            </w:r>
          </w:p>
        </w:tc>
      </w:tr>
      <w:tr w14:paraId="291177AA">
        <w:tblPrEx>
          <w:tblCellMar>
            <w:top w:w="0" w:type="dxa"/>
            <w:left w:w="108" w:type="dxa"/>
            <w:bottom w:w="0" w:type="dxa"/>
            <w:right w:w="108" w:type="dxa"/>
          </w:tblCellMar>
        </w:tblPrEx>
        <w:trPr>
          <w:trHeight w:val="555" w:hRule="atLeast"/>
        </w:trPr>
        <w:tc>
          <w:tcPr>
            <w:tcW w:w="798" w:type="dxa"/>
            <w:tcBorders>
              <w:top w:val="nil"/>
              <w:left w:val="single" w:color="auto" w:sz="4" w:space="0"/>
              <w:bottom w:val="single" w:color="auto" w:sz="4" w:space="0"/>
              <w:right w:val="single" w:color="auto" w:sz="4" w:space="0"/>
            </w:tcBorders>
            <w:vAlign w:val="center"/>
          </w:tcPr>
          <w:p w14:paraId="38FC3950">
            <w:pPr>
              <w:widowControl/>
              <w:jc w:val="center"/>
              <w:rPr>
                <w:rFonts w:ascii="仿宋" w:hAnsi="仿宋" w:eastAsia="仿宋" w:cs="宋体"/>
                <w:kern w:val="0"/>
                <w:sz w:val="28"/>
                <w:szCs w:val="28"/>
              </w:rPr>
            </w:pPr>
            <w:r>
              <w:rPr>
                <w:rFonts w:hint="eastAsia" w:ascii="仿宋" w:hAnsi="仿宋" w:eastAsia="仿宋" w:cs="宋体"/>
                <w:kern w:val="0"/>
                <w:sz w:val="28"/>
                <w:szCs w:val="28"/>
              </w:rPr>
              <w:t>2</w:t>
            </w:r>
          </w:p>
        </w:tc>
        <w:tc>
          <w:tcPr>
            <w:tcW w:w="1454" w:type="dxa"/>
            <w:tcBorders>
              <w:top w:val="nil"/>
              <w:left w:val="nil"/>
              <w:bottom w:val="single" w:color="auto" w:sz="4" w:space="0"/>
              <w:right w:val="single" w:color="auto" w:sz="4" w:space="0"/>
            </w:tcBorders>
            <w:vAlign w:val="center"/>
          </w:tcPr>
          <w:p w14:paraId="44EB7D71">
            <w:pPr>
              <w:widowControl/>
              <w:jc w:val="center"/>
              <w:rPr>
                <w:rFonts w:ascii="仿宋" w:hAnsi="仿宋" w:eastAsia="仿宋" w:cs="宋体"/>
                <w:kern w:val="0"/>
                <w:sz w:val="28"/>
                <w:szCs w:val="28"/>
              </w:rPr>
            </w:pPr>
            <w:r>
              <w:rPr>
                <w:rFonts w:hint="eastAsia" w:ascii="仿宋" w:hAnsi="仿宋" w:eastAsia="仿宋" w:cs="宋体"/>
                <w:kern w:val="0"/>
                <w:sz w:val="28"/>
                <w:szCs w:val="28"/>
              </w:rPr>
              <w:t>　</w:t>
            </w:r>
          </w:p>
        </w:tc>
        <w:tc>
          <w:tcPr>
            <w:tcW w:w="1795" w:type="dxa"/>
            <w:tcBorders>
              <w:top w:val="nil"/>
              <w:left w:val="nil"/>
              <w:bottom w:val="single" w:color="auto" w:sz="4" w:space="0"/>
              <w:right w:val="single" w:color="auto" w:sz="4" w:space="0"/>
            </w:tcBorders>
            <w:vAlign w:val="center"/>
          </w:tcPr>
          <w:p w14:paraId="44796620">
            <w:pPr>
              <w:widowControl/>
              <w:jc w:val="center"/>
              <w:rPr>
                <w:rFonts w:ascii="仿宋" w:hAnsi="仿宋" w:eastAsia="仿宋" w:cs="宋体"/>
                <w:kern w:val="0"/>
                <w:sz w:val="28"/>
                <w:szCs w:val="28"/>
              </w:rPr>
            </w:pPr>
            <w:r>
              <w:rPr>
                <w:rFonts w:hint="eastAsia" w:ascii="仿宋" w:hAnsi="仿宋" w:eastAsia="仿宋" w:cs="宋体"/>
                <w:kern w:val="0"/>
                <w:sz w:val="28"/>
                <w:szCs w:val="28"/>
              </w:rPr>
              <w:t>质量负责人</w:t>
            </w:r>
          </w:p>
        </w:tc>
        <w:tc>
          <w:tcPr>
            <w:tcW w:w="1795" w:type="dxa"/>
            <w:tcBorders>
              <w:top w:val="nil"/>
              <w:left w:val="nil"/>
              <w:bottom w:val="single" w:color="auto" w:sz="4" w:space="0"/>
              <w:right w:val="single" w:color="auto" w:sz="4" w:space="0"/>
            </w:tcBorders>
            <w:vAlign w:val="center"/>
          </w:tcPr>
          <w:p w14:paraId="1446DD35">
            <w:pPr>
              <w:widowControl/>
              <w:jc w:val="center"/>
              <w:rPr>
                <w:rFonts w:ascii="仿宋" w:hAnsi="仿宋" w:eastAsia="仿宋" w:cs="宋体"/>
                <w:kern w:val="0"/>
                <w:sz w:val="28"/>
                <w:szCs w:val="28"/>
              </w:rPr>
            </w:pPr>
            <w:r>
              <w:rPr>
                <w:rFonts w:hint="eastAsia" w:ascii="仿宋" w:hAnsi="仿宋" w:eastAsia="仿宋" w:cs="宋体"/>
                <w:kern w:val="0"/>
                <w:sz w:val="28"/>
                <w:szCs w:val="28"/>
              </w:rPr>
              <w:t>　</w:t>
            </w:r>
          </w:p>
        </w:tc>
        <w:tc>
          <w:tcPr>
            <w:tcW w:w="2681" w:type="dxa"/>
            <w:tcBorders>
              <w:top w:val="nil"/>
              <w:left w:val="nil"/>
              <w:bottom w:val="single" w:color="auto" w:sz="4" w:space="0"/>
              <w:right w:val="single" w:color="auto" w:sz="4" w:space="0"/>
            </w:tcBorders>
            <w:vAlign w:val="center"/>
          </w:tcPr>
          <w:p w14:paraId="0800DAA0">
            <w:pPr>
              <w:widowControl/>
              <w:jc w:val="center"/>
              <w:rPr>
                <w:rFonts w:ascii="仿宋" w:hAnsi="仿宋" w:eastAsia="仿宋" w:cs="宋体"/>
                <w:kern w:val="0"/>
                <w:sz w:val="28"/>
                <w:szCs w:val="28"/>
              </w:rPr>
            </w:pPr>
            <w:r>
              <w:rPr>
                <w:rFonts w:hint="eastAsia" w:ascii="仿宋" w:hAnsi="仿宋" w:eastAsia="仿宋" w:cs="宋体"/>
                <w:kern w:val="0"/>
                <w:sz w:val="28"/>
                <w:szCs w:val="28"/>
              </w:rPr>
              <w:t>　</w:t>
            </w:r>
          </w:p>
        </w:tc>
      </w:tr>
      <w:tr w14:paraId="540EAD77">
        <w:tblPrEx>
          <w:tblCellMar>
            <w:top w:w="0" w:type="dxa"/>
            <w:left w:w="108" w:type="dxa"/>
            <w:bottom w:w="0" w:type="dxa"/>
            <w:right w:w="108" w:type="dxa"/>
          </w:tblCellMar>
        </w:tblPrEx>
        <w:trPr>
          <w:trHeight w:val="555" w:hRule="atLeast"/>
        </w:trPr>
        <w:tc>
          <w:tcPr>
            <w:tcW w:w="798" w:type="dxa"/>
            <w:tcBorders>
              <w:top w:val="nil"/>
              <w:left w:val="single" w:color="auto" w:sz="4" w:space="0"/>
              <w:bottom w:val="single" w:color="auto" w:sz="4" w:space="0"/>
              <w:right w:val="single" w:color="auto" w:sz="4" w:space="0"/>
            </w:tcBorders>
            <w:vAlign w:val="center"/>
          </w:tcPr>
          <w:p w14:paraId="4A223BB0">
            <w:pPr>
              <w:widowControl/>
              <w:jc w:val="center"/>
              <w:rPr>
                <w:rFonts w:ascii="仿宋" w:hAnsi="仿宋" w:eastAsia="仿宋" w:cs="宋体"/>
                <w:kern w:val="0"/>
                <w:sz w:val="28"/>
                <w:szCs w:val="28"/>
              </w:rPr>
            </w:pPr>
            <w:r>
              <w:rPr>
                <w:rFonts w:hint="eastAsia" w:ascii="仿宋" w:hAnsi="仿宋" w:eastAsia="仿宋" w:cs="宋体"/>
                <w:kern w:val="0"/>
                <w:sz w:val="28"/>
                <w:szCs w:val="28"/>
              </w:rPr>
              <w:t>3</w:t>
            </w:r>
          </w:p>
        </w:tc>
        <w:tc>
          <w:tcPr>
            <w:tcW w:w="1454" w:type="dxa"/>
            <w:tcBorders>
              <w:top w:val="nil"/>
              <w:left w:val="nil"/>
              <w:bottom w:val="single" w:color="auto" w:sz="4" w:space="0"/>
              <w:right w:val="single" w:color="auto" w:sz="4" w:space="0"/>
            </w:tcBorders>
            <w:vAlign w:val="center"/>
          </w:tcPr>
          <w:p w14:paraId="324BCB00">
            <w:pPr>
              <w:widowControl/>
              <w:jc w:val="center"/>
              <w:rPr>
                <w:rFonts w:ascii="仿宋" w:hAnsi="仿宋" w:eastAsia="仿宋" w:cs="宋体"/>
                <w:kern w:val="0"/>
                <w:sz w:val="28"/>
                <w:szCs w:val="28"/>
              </w:rPr>
            </w:pPr>
            <w:r>
              <w:rPr>
                <w:rFonts w:hint="eastAsia" w:ascii="仿宋" w:hAnsi="仿宋" w:eastAsia="仿宋" w:cs="宋体"/>
                <w:kern w:val="0"/>
                <w:sz w:val="28"/>
                <w:szCs w:val="28"/>
              </w:rPr>
              <w:t>　</w:t>
            </w:r>
          </w:p>
        </w:tc>
        <w:tc>
          <w:tcPr>
            <w:tcW w:w="1795" w:type="dxa"/>
            <w:tcBorders>
              <w:top w:val="nil"/>
              <w:left w:val="nil"/>
              <w:bottom w:val="single" w:color="auto" w:sz="4" w:space="0"/>
              <w:right w:val="single" w:color="auto" w:sz="4" w:space="0"/>
            </w:tcBorders>
            <w:vAlign w:val="center"/>
          </w:tcPr>
          <w:p w14:paraId="06BC4F19">
            <w:pPr>
              <w:widowControl/>
              <w:jc w:val="center"/>
              <w:rPr>
                <w:rFonts w:ascii="仿宋" w:hAnsi="仿宋" w:eastAsia="仿宋" w:cs="宋体"/>
                <w:kern w:val="0"/>
                <w:sz w:val="28"/>
                <w:szCs w:val="28"/>
              </w:rPr>
            </w:pPr>
            <w:r>
              <w:rPr>
                <w:rFonts w:hint="eastAsia" w:ascii="仿宋" w:hAnsi="仿宋" w:eastAsia="仿宋" w:cs="宋体"/>
                <w:kern w:val="0"/>
                <w:sz w:val="28"/>
                <w:szCs w:val="28"/>
              </w:rPr>
              <w:t>安全负责人</w:t>
            </w:r>
          </w:p>
        </w:tc>
        <w:tc>
          <w:tcPr>
            <w:tcW w:w="1795" w:type="dxa"/>
            <w:tcBorders>
              <w:top w:val="nil"/>
              <w:left w:val="nil"/>
              <w:bottom w:val="single" w:color="auto" w:sz="4" w:space="0"/>
              <w:right w:val="single" w:color="auto" w:sz="4" w:space="0"/>
            </w:tcBorders>
            <w:vAlign w:val="center"/>
          </w:tcPr>
          <w:p w14:paraId="12E2C398">
            <w:pPr>
              <w:widowControl/>
              <w:jc w:val="center"/>
              <w:rPr>
                <w:rFonts w:ascii="仿宋" w:hAnsi="仿宋" w:eastAsia="仿宋" w:cs="宋体"/>
                <w:kern w:val="0"/>
                <w:sz w:val="28"/>
                <w:szCs w:val="28"/>
              </w:rPr>
            </w:pPr>
            <w:r>
              <w:rPr>
                <w:rFonts w:hint="eastAsia" w:ascii="仿宋" w:hAnsi="仿宋" w:eastAsia="仿宋" w:cs="宋体"/>
                <w:kern w:val="0"/>
                <w:sz w:val="28"/>
                <w:szCs w:val="28"/>
              </w:rPr>
              <w:t>　</w:t>
            </w:r>
          </w:p>
        </w:tc>
        <w:tc>
          <w:tcPr>
            <w:tcW w:w="2681" w:type="dxa"/>
            <w:tcBorders>
              <w:top w:val="nil"/>
              <w:left w:val="nil"/>
              <w:bottom w:val="single" w:color="auto" w:sz="4" w:space="0"/>
              <w:right w:val="single" w:color="auto" w:sz="4" w:space="0"/>
            </w:tcBorders>
            <w:vAlign w:val="center"/>
          </w:tcPr>
          <w:p w14:paraId="46353879">
            <w:pPr>
              <w:widowControl/>
              <w:jc w:val="center"/>
              <w:rPr>
                <w:rFonts w:ascii="仿宋" w:hAnsi="仿宋" w:eastAsia="仿宋" w:cs="宋体"/>
                <w:kern w:val="0"/>
                <w:sz w:val="28"/>
                <w:szCs w:val="28"/>
              </w:rPr>
            </w:pPr>
            <w:r>
              <w:rPr>
                <w:rFonts w:hint="eastAsia" w:ascii="仿宋" w:hAnsi="仿宋" w:eastAsia="仿宋" w:cs="宋体"/>
                <w:kern w:val="0"/>
                <w:sz w:val="28"/>
                <w:szCs w:val="28"/>
              </w:rPr>
              <w:t>　</w:t>
            </w:r>
          </w:p>
        </w:tc>
      </w:tr>
      <w:tr w14:paraId="53A48DAC">
        <w:tblPrEx>
          <w:tblCellMar>
            <w:top w:w="0" w:type="dxa"/>
            <w:left w:w="108" w:type="dxa"/>
            <w:bottom w:w="0" w:type="dxa"/>
            <w:right w:w="108" w:type="dxa"/>
          </w:tblCellMar>
        </w:tblPrEx>
        <w:trPr>
          <w:trHeight w:val="555" w:hRule="atLeast"/>
        </w:trPr>
        <w:tc>
          <w:tcPr>
            <w:tcW w:w="798" w:type="dxa"/>
            <w:tcBorders>
              <w:top w:val="nil"/>
              <w:left w:val="single" w:color="auto" w:sz="4" w:space="0"/>
              <w:bottom w:val="single" w:color="auto" w:sz="4" w:space="0"/>
              <w:right w:val="single" w:color="auto" w:sz="4" w:space="0"/>
            </w:tcBorders>
            <w:vAlign w:val="center"/>
          </w:tcPr>
          <w:p w14:paraId="3BD44ECC">
            <w:pPr>
              <w:widowControl/>
              <w:jc w:val="center"/>
              <w:rPr>
                <w:rFonts w:ascii="仿宋" w:hAnsi="仿宋" w:eastAsia="仿宋" w:cs="宋体"/>
                <w:kern w:val="0"/>
                <w:sz w:val="28"/>
                <w:szCs w:val="28"/>
              </w:rPr>
            </w:pPr>
            <w:r>
              <w:rPr>
                <w:rFonts w:hint="eastAsia" w:ascii="仿宋" w:hAnsi="仿宋" w:eastAsia="仿宋" w:cs="宋体"/>
                <w:kern w:val="0"/>
                <w:sz w:val="28"/>
                <w:szCs w:val="28"/>
              </w:rPr>
              <w:t>4</w:t>
            </w:r>
          </w:p>
        </w:tc>
        <w:tc>
          <w:tcPr>
            <w:tcW w:w="1454" w:type="dxa"/>
            <w:tcBorders>
              <w:top w:val="nil"/>
              <w:left w:val="nil"/>
              <w:bottom w:val="single" w:color="auto" w:sz="4" w:space="0"/>
              <w:right w:val="single" w:color="auto" w:sz="4" w:space="0"/>
            </w:tcBorders>
            <w:vAlign w:val="center"/>
          </w:tcPr>
          <w:p w14:paraId="19A75F4D">
            <w:pPr>
              <w:widowControl/>
              <w:jc w:val="center"/>
              <w:rPr>
                <w:rFonts w:ascii="仿宋" w:hAnsi="仿宋" w:eastAsia="仿宋" w:cs="宋体"/>
                <w:kern w:val="0"/>
                <w:sz w:val="28"/>
                <w:szCs w:val="28"/>
              </w:rPr>
            </w:pPr>
            <w:r>
              <w:rPr>
                <w:rFonts w:hint="eastAsia" w:ascii="仿宋" w:hAnsi="仿宋" w:eastAsia="仿宋" w:cs="宋体"/>
                <w:kern w:val="0"/>
                <w:sz w:val="28"/>
                <w:szCs w:val="28"/>
              </w:rPr>
              <w:t>　</w:t>
            </w:r>
          </w:p>
        </w:tc>
        <w:tc>
          <w:tcPr>
            <w:tcW w:w="1795" w:type="dxa"/>
            <w:tcBorders>
              <w:top w:val="nil"/>
              <w:left w:val="nil"/>
              <w:bottom w:val="single" w:color="auto" w:sz="4" w:space="0"/>
              <w:right w:val="single" w:color="auto" w:sz="4" w:space="0"/>
            </w:tcBorders>
            <w:vAlign w:val="center"/>
          </w:tcPr>
          <w:p w14:paraId="603B304C">
            <w:pPr>
              <w:widowControl/>
              <w:jc w:val="center"/>
              <w:rPr>
                <w:rFonts w:ascii="仿宋" w:hAnsi="仿宋" w:eastAsia="仿宋" w:cs="宋体"/>
                <w:kern w:val="0"/>
                <w:sz w:val="28"/>
                <w:szCs w:val="28"/>
              </w:rPr>
            </w:pPr>
            <w:r>
              <w:rPr>
                <w:rFonts w:hint="eastAsia" w:ascii="仿宋" w:hAnsi="仿宋" w:eastAsia="仿宋" w:cs="宋体"/>
                <w:kern w:val="0"/>
                <w:sz w:val="28"/>
                <w:szCs w:val="28"/>
              </w:rPr>
              <w:t>造价负责人</w:t>
            </w:r>
          </w:p>
        </w:tc>
        <w:tc>
          <w:tcPr>
            <w:tcW w:w="1795" w:type="dxa"/>
            <w:tcBorders>
              <w:top w:val="nil"/>
              <w:left w:val="nil"/>
              <w:bottom w:val="single" w:color="auto" w:sz="4" w:space="0"/>
              <w:right w:val="single" w:color="auto" w:sz="4" w:space="0"/>
            </w:tcBorders>
            <w:vAlign w:val="center"/>
          </w:tcPr>
          <w:p w14:paraId="12B210E9">
            <w:pPr>
              <w:widowControl/>
              <w:jc w:val="center"/>
              <w:rPr>
                <w:rFonts w:ascii="仿宋" w:hAnsi="仿宋" w:eastAsia="仿宋" w:cs="宋体"/>
                <w:kern w:val="0"/>
                <w:sz w:val="28"/>
                <w:szCs w:val="28"/>
              </w:rPr>
            </w:pPr>
            <w:r>
              <w:rPr>
                <w:rFonts w:hint="eastAsia" w:ascii="仿宋" w:hAnsi="仿宋" w:eastAsia="仿宋" w:cs="宋体"/>
                <w:kern w:val="0"/>
                <w:sz w:val="28"/>
                <w:szCs w:val="28"/>
              </w:rPr>
              <w:t>　</w:t>
            </w:r>
          </w:p>
        </w:tc>
        <w:tc>
          <w:tcPr>
            <w:tcW w:w="2681" w:type="dxa"/>
            <w:tcBorders>
              <w:top w:val="nil"/>
              <w:left w:val="nil"/>
              <w:bottom w:val="single" w:color="auto" w:sz="4" w:space="0"/>
              <w:right w:val="single" w:color="auto" w:sz="4" w:space="0"/>
            </w:tcBorders>
            <w:vAlign w:val="center"/>
          </w:tcPr>
          <w:p w14:paraId="21F652C5">
            <w:pPr>
              <w:widowControl/>
              <w:jc w:val="center"/>
              <w:rPr>
                <w:rFonts w:ascii="仿宋" w:hAnsi="仿宋" w:eastAsia="仿宋" w:cs="宋体"/>
                <w:kern w:val="0"/>
                <w:sz w:val="28"/>
                <w:szCs w:val="28"/>
              </w:rPr>
            </w:pPr>
            <w:r>
              <w:rPr>
                <w:rFonts w:hint="eastAsia" w:ascii="仿宋" w:hAnsi="仿宋" w:eastAsia="仿宋" w:cs="宋体"/>
                <w:kern w:val="0"/>
                <w:sz w:val="28"/>
                <w:szCs w:val="28"/>
              </w:rPr>
              <w:t>　</w:t>
            </w:r>
          </w:p>
        </w:tc>
      </w:tr>
      <w:tr w14:paraId="170DBD13">
        <w:tblPrEx>
          <w:tblCellMar>
            <w:top w:w="0" w:type="dxa"/>
            <w:left w:w="108" w:type="dxa"/>
            <w:bottom w:w="0" w:type="dxa"/>
            <w:right w:w="108" w:type="dxa"/>
          </w:tblCellMar>
        </w:tblPrEx>
        <w:trPr>
          <w:trHeight w:val="555" w:hRule="atLeast"/>
        </w:trPr>
        <w:tc>
          <w:tcPr>
            <w:tcW w:w="798" w:type="dxa"/>
            <w:tcBorders>
              <w:top w:val="nil"/>
              <w:left w:val="single" w:color="auto" w:sz="4" w:space="0"/>
              <w:bottom w:val="single" w:color="auto" w:sz="4" w:space="0"/>
              <w:right w:val="single" w:color="auto" w:sz="4" w:space="0"/>
            </w:tcBorders>
            <w:vAlign w:val="center"/>
          </w:tcPr>
          <w:p w14:paraId="396AA677">
            <w:pPr>
              <w:widowControl/>
              <w:jc w:val="center"/>
              <w:rPr>
                <w:rFonts w:ascii="仿宋" w:hAnsi="仿宋" w:eastAsia="仿宋" w:cs="宋体"/>
                <w:kern w:val="0"/>
                <w:sz w:val="28"/>
                <w:szCs w:val="28"/>
              </w:rPr>
            </w:pPr>
            <w:r>
              <w:rPr>
                <w:rFonts w:hint="eastAsia" w:ascii="仿宋" w:hAnsi="仿宋" w:eastAsia="仿宋" w:cs="宋体"/>
                <w:kern w:val="0"/>
                <w:sz w:val="28"/>
                <w:szCs w:val="28"/>
              </w:rPr>
              <w:t>5</w:t>
            </w:r>
          </w:p>
        </w:tc>
        <w:tc>
          <w:tcPr>
            <w:tcW w:w="1454" w:type="dxa"/>
            <w:tcBorders>
              <w:top w:val="nil"/>
              <w:left w:val="nil"/>
              <w:bottom w:val="single" w:color="auto" w:sz="4" w:space="0"/>
              <w:right w:val="single" w:color="auto" w:sz="4" w:space="0"/>
            </w:tcBorders>
            <w:vAlign w:val="center"/>
          </w:tcPr>
          <w:p w14:paraId="46B1E724">
            <w:pPr>
              <w:widowControl/>
              <w:jc w:val="center"/>
              <w:rPr>
                <w:rFonts w:ascii="仿宋" w:hAnsi="仿宋" w:eastAsia="仿宋" w:cs="宋体"/>
                <w:kern w:val="0"/>
                <w:sz w:val="28"/>
                <w:szCs w:val="28"/>
              </w:rPr>
            </w:pPr>
            <w:r>
              <w:rPr>
                <w:rFonts w:hint="eastAsia" w:ascii="仿宋" w:hAnsi="仿宋" w:eastAsia="仿宋" w:cs="宋体"/>
                <w:kern w:val="0"/>
                <w:sz w:val="28"/>
                <w:szCs w:val="28"/>
              </w:rPr>
              <w:t>　</w:t>
            </w:r>
          </w:p>
        </w:tc>
        <w:tc>
          <w:tcPr>
            <w:tcW w:w="1795" w:type="dxa"/>
            <w:tcBorders>
              <w:top w:val="nil"/>
              <w:left w:val="nil"/>
              <w:bottom w:val="single" w:color="auto" w:sz="4" w:space="0"/>
              <w:right w:val="single" w:color="auto" w:sz="4" w:space="0"/>
            </w:tcBorders>
            <w:vAlign w:val="center"/>
          </w:tcPr>
          <w:p w14:paraId="0CAA2E6D">
            <w:pPr>
              <w:widowControl/>
              <w:jc w:val="center"/>
              <w:rPr>
                <w:rFonts w:ascii="仿宋" w:hAnsi="仿宋" w:eastAsia="仿宋" w:cs="宋体"/>
                <w:kern w:val="0"/>
                <w:sz w:val="28"/>
                <w:szCs w:val="28"/>
              </w:rPr>
            </w:pPr>
            <w:r>
              <w:rPr>
                <w:rFonts w:hint="eastAsia" w:ascii="仿宋" w:hAnsi="仿宋" w:eastAsia="仿宋" w:cs="宋体"/>
                <w:kern w:val="0"/>
                <w:sz w:val="28"/>
                <w:szCs w:val="28"/>
              </w:rPr>
              <w:t>施工员</w:t>
            </w:r>
          </w:p>
        </w:tc>
        <w:tc>
          <w:tcPr>
            <w:tcW w:w="1795" w:type="dxa"/>
            <w:tcBorders>
              <w:top w:val="nil"/>
              <w:left w:val="nil"/>
              <w:bottom w:val="single" w:color="auto" w:sz="4" w:space="0"/>
              <w:right w:val="single" w:color="auto" w:sz="4" w:space="0"/>
            </w:tcBorders>
            <w:vAlign w:val="center"/>
          </w:tcPr>
          <w:p w14:paraId="48D0CD4B">
            <w:pPr>
              <w:widowControl/>
              <w:jc w:val="center"/>
              <w:rPr>
                <w:rFonts w:ascii="仿宋" w:hAnsi="仿宋" w:eastAsia="仿宋" w:cs="宋体"/>
                <w:kern w:val="0"/>
                <w:sz w:val="28"/>
                <w:szCs w:val="28"/>
              </w:rPr>
            </w:pPr>
            <w:r>
              <w:rPr>
                <w:rFonts w:hint="eastAsia" w:ascii="仿宋" w:hAnsi="仿宋" w:eastAsia="仿宋" w:cs="宋体"/>
                <w:kern w:val="0"/>
                <w:sz w:val="28"/>
                <w:szCs w:val="28"/>
              </w:rPr>
              <w:t>　</w:t>
            </w:r>
          </w:p>
        </w:tc>
        <w:tc>
          <w:tcPr>
            <w:tcW w:w="2681" w:type="dxa"/>
            <w:tcBorders>
              <w:top w:val="nil"/>
              <w:left w:val="nil"/>
              <w:bottom w:val="single" w:color="auto" w:sz="4" w:space="0"/>
              <w:right w:val="single" w:color="auto" w:sz="4" w:space="0"/>
            </w:tcBorders>
            <w:vAlign w:val="center"/>
          </w:tcPr>
          <w:p w14:paraId="3E2AE8F5">
            <w:pPr>
              <w:widowControl/>
              <w:jc w:val="center"/>
              <w:rPr>
                <w:rFonts w:ascii="仿宋" w:hAnsi="仿宋" w:eastAsia="仿宋" w:cs="宋体"/>
                <w:kern w:val="0"/>
                <w:sz w:val="28"/>
                <w:szCs w:val="28"/>
              </w:rPr>
            </w:pPr>
            <w:r>
              <w:rPr>
                <w:rFonts w:hint="eastAsia" w:ascii="仿宋" w:hAnsi="仿宋" w:eastAsia="仿宋" w:cs="宋体"/>
                <w:kern w:val="0"/>
                <w:sz w:val="28"/>
                <w:szCs w:val="28"/>
              </w:rPr>
              <w:t>　</w:t>
            </w:r>
          </w:p>
        </w:tc>
      </w:tr>
      <w:tr w14:paraId="13D54FF6">
        <w:tblPrEx>
          <w:tblCellMar>
            <w:top w:w="0" w:type="dxa"/>
            <w:left w:w="108" w:type="dxa"/>
            <w:bottom w:w="0" w:type="dxa"/>
            <w:right w:w="108" w:type="dxa"/>
          </w:tblCellMar>
        </w:tblPrEx>
        <w:trPr>
          <w:trHeight w:val="555" w:hRule="atLeast"/>
        </w:trPr>
        <w:tc>
          <w:tcPr>
            <w:tcW w:w="798" w:type="dxa"/>
            <w:tcBorders>
              <w:top w:val="nil"/>
              <w:left w:val="single" w:color="auto" w:sz="4" w:space="0"/>
              <w:bottom w:val="single" w:color="auto" w:sz="4" w:space="0"/>
              <w:right w:val="single" w:color="auto" w:sz="4" w:space="0"/>
            </w:tcBorders>
            <w:vAlign w:val="center"/>
          </w:tcPr>
          <w:p w14:paraId="63187C9F">
            <w:pPr>
              <w:widowControl/>
              <w:jc w:val="center"/>
              <w:rPr>
                <w:rFonts w:ascii="仿宋" w:hAnsi="仿宋" w:eastAsia="仿宋" w:cs="宋体"/>
                <w:kern w:val="0"/>
                <w:sz w:val="28"/>
                <w:szCs w:val="28"/>
              </w:rPr>
            </w:pPr>
            <w:r>
              <w:rPr>
                <w:rFonts w:hint="eastAsia" w:ascii="仿宋" w:hAnsi="仿宋" w:eastAsia="仿宋" w:cs="宋体"/>
                <w:kern w:val="0"/>
                <w:sz w:val="28"/>
                <w:szCs w:val="28"/>
              </w:rPr>
              <w:t>6</w:t>
            </w:r>
          </w:p>
        </w:tc>
        <w:tc>
          <w:tcPr>
            <w:tcW w:w="1454" w:type="dxa"/>
            <w:tcBorders>
              <w:top w:val="nil"/>
              <w:left w:val="nil"/>
              <w:bottom w:val="single" w:color="auto" w:sz="4" w:space="0"/>
              <w:right w:val="single" w:color="auto" w:sz="4" w:space="0"/>
            </w:tcBorders>
            <w:vAlign w:val="center"/>
          </w:tcPr>
          <w:p w14:paraId="2244300E">
            <w:pPr>
              <w:widowControl/>
              <w:jc w:val="center"/>
              <w:rPr>
                <w:rFonts w:ascii="仿宋" w:hAnsi="仿宋" w:eastAsia="仿宋" w:cs="宋体"/>
                <w:kern w:val="0"/>
                <w:sz w:val="28"/>
                <w:szCs w:val="28"/>
              </w:rPr>
            </w:pPr>
            <w:r>
              <w:rPr>
                <w:rFonts w:hint="eastAsia" w:ascii="仿宋" w:hAnsi="仿宋" w:eastAsia="仿宋" w:cs="宋体"/>
                <w:kern w:val="0"/>
                <w:sz w:val="28"/>
                <w:szCs w:val="28"/>
              </w:rPr>
              <w:t>　</w:t>
            </w:r>
          </w:p>
        </w:tc>
        <w:tc>
          <w:tcPr>
            <w:tcW w:w="1795" w:type="dxa"/>
            <w:tcBorders>
              <w:top w:val="nil"/>
              <w:left w:val="nil"/>
              <w:bottom w:val="single" w:color="auto" w:sz="4" w:space="0"/>
              <w:right w:val="single" w:color="auto" w:sz="4" w:space="0"/>
            </w:tcBorders>
            <w:vAlign w:val="center"/>
          </w:tcPr>
          <w:p w14:paraId="286FE3FF">
            <w:pPr>
              <w:widowControl/>
              <w:jc w:val="center"/>
              <w:rPr>
                <w:rFonts w:ascii="仿宋" w:hAnsi="仿宋" w:eastAsia="仿宋" w:cs="宋体"/>
                <w:kern w:val="0"/>
                <w:sz w:val="28"/>
                <w:szCs w:val="28"/>
              </w:rPr>
            </w:pPr>
            <w:r>
              <w:rPr>
                <w:rFonts w:hint="eastAsia" w:ascii="仿宋" w:hAnsi="仿宋" w:eastAsia="仿宋" w:cs="宋体"/>
                <w:kern w:val="0"/>
                <w:sz w:val="28"/>
                <w:szCs w:val="28"/>
              </w:rPr>
              <w:t>质量员</w:t>
            </w:r>
          </w:p>
        </w:tc>
        <w:tc>
          <w:tcPr>
            <w:tcW w:w="1795" w:type="dxa"/>
            <w:tcBorders>
              <w:top w:val="nil"/>
              <w:left w:val="nil"/>
              <w:bottom w:val="single" w:color="auto" w:sz="4" w:space="0"/>
              <w:right w:val="single" w:color="auto" w:sz="4" w:space="0"/>
            </w:tcBorders>
            <w:vAlign w:val="center"/>
          </w:tcPr>
          <w:p w14:paraId="73928ED7">
            <w:pPr>
              <w:widowControl/>
              <w:jc w:val="center"/>
              <w:rPr>
                <w:rFonts w:ascii="仿宋" w:hAnsi="仿宋" w:eastAsia="仿宋" w:cs="宋体"/>
                <w:kern w:val="0"/>
                <w:sz w:val="28"/>
                <w:szCs w:val="28"/>
              </w:rPr>
            </w:pPr>
            <w:r>
              <w:rPr>
                <w:rFonts w:hint="eastAsia" w:ascii="仿宋" w:hAnsi="仿宋" w:eastAsia="仿宋" w:cs="宋体"/>
                <w:kern w:val="0"/>
                <w:sz w:val="28"/>
                <w:szCs w:val="28"/>
              </w:rPr>
              <w:t>　</w:t>
            </w:r>
          </w:p>
        </w:tc>
        <w:tc>
          <w:tcPr>
            <w:tcW w:w="2681" w:type="dxa"/>
            <w:tcBorders>
              <w:top w:val="nil"/>
              <w:left w:val="nil"/>
              <w:bottom w:val="single" w:color="auto" w:sz="4" w:space="0"/>
              <w:right w:val="single" w:color="auto" w:sz="4" w:space="0"/>
            </w:tcBorders>
            <w:vAlign w:val="center"/>
          </w:tcPr>
          <w:p w14:paraId="71181EA8">
            <w:pPr>
              <w:widowControl/>
              <w:jc w:val="center"/>
              <w:rPr>
                <w:rFonts w:ascii="仿宋" w:hAnsi="仿宋" w:eastAsia="仿宋" w:cs="宋体"/>
                <w:kern w:val="0"/>
                <w:sz w:val="28"/>
                <w:szCs w:val="28"/>
              </w:rPr>
            </w:pPr>
            <w:r>
              <w:rPr>
                <w:rFonts w:hint="eastAsia" w:ascii="仿宋" w:hAnsi="仿宋" w:eastAsia="仿宋" w:cs="宋体"/>
                <w:kern w:val="0"/>
                <w:sz w:val="28"/>
                <w:szCs w:val="28"/>
              </w:rPr>
              <w:t>　</w:t>
            </w:r>
          </w:p>
        </w:tc>
      </w:tr>
      <w:tr w14:paraId="4493C4FE">
        <w:tblPrEx>
          <w:tblCellMar>
            <w:top w:w="0" w:type="dxa"/>
            <w:left w:w="108" w:type="dxa"/>
            <w:bottom w:w="0" w:type="dxa"/>
            <w:right w:w="108" w:type="dxa"/>
          </w:tblCellMar>
        </w:tblPrEx>
        <w:trPr>
          <w:trHeight w:val="555" w:hRule="atLeast"/>
        </w:trPr>
        <w:tc>
          <w:tcPr>
            <w:tcW w:w="798" w:type="dxa"/>
            <w:tcBorders>
              <w:top w:val="nil"/>
              <w:left w:val="single" w:color="auto" w:sz="4" w:space="0"/>
              <w:bottom w:val="single" w:color="auto" w:sz="4" w:space="0"/>
              <w:right w:val="single" w:color="auto" w:sz="4" w:space="0"/>
            </w:tcBorders>
            <w:vAlign w:val="center"/>
          </w:tcPr>
          <w:p w14:paraId="5D8733A1">
            <w:pPr>
              <w:widowControl/>
              <w:jc w:val="center"/>
              <w:rPr>
                <w:rFonts w:ascii="仿宋" w:hAnsi="仿宋" w:eastAsia="仿宋" w:cs="宋体"/>
                <w:kern w:val="0"/>
                <w:sz w:val="28"/>
                <w:szCs w:val="28"/>
              </w:rPr>
            </w:pPr>
            <w:r>
              <w:rPr>
                <w:rFonts w:hint="eastAsia" w:ascii="仿宋" w:hAnsi="仿宋" w:eastAsia="仿宋" w:cs="宋体"/>
                <w:kern w:val="0"/>
                <w:sz w:val="28"/>
                <w:szCs w:val="28"/>
              </w:rPr>
              <w:t>7</w:t>
            </w:r>
          </w:p>
        </w:tc>
        <w:tc>
          <w:tcPr>
            <w:tcW w:w="1454" w:type="dxa"/>
            <w:tcBorders>
              <w:top w:val="nil"/>
              <w:left w:val="nil"/>
              <w:bottom w:val="single" w:color="auto" w:sz="4" w:space="0"/>
              <w:right w:val="single" w:color="auto" w:sz="4" w:space="0"/>
            </w:tcBorders>
            <w:vAlign w:val="center"/>
          </w:tcPr>
          <w:p w14:paraId="6A10ACF2">
            <w:pPr>
              <w:widowControl/>
              <w:jc w:val="center"/>
              <w:rPr>
                <w:rFonts w:ascii="仿宋" w:hAnsi="仿宋" w:eastAsia="仿宋" w:cs="宋体"/>
                <w:kern w:val="0"/>
                <w:sz w:val="28"/>
                <w:szCs w:val="28"/>
              </w:rPr>
            </w:pPr>
            <w:r>
              <w:rPr>
                <w:rFonts w:hint="eastAsia" w:ascii="仿宋" w:hAnsi="仿宋" w:eastAsia="仿宋" w:cs="宋体"/>
                <w:kern w:val="0"/>
                <w:sz w:val="28"/>
                <w:szCs w:val="28"/>
              </w:rPr>
              <w:t>　</w:t>
            </w:r>
          </w:p>
        </w:tc>
        <w:tc>
          <w:tcPr>
            <w:tcW w:w="1795" w:type="dxa"/>
            <w:tcBorders>
              <w:top w:val="nil"/>
              <w:left w:val="nil"/>
              <w:bottom w:val="single" w:color="auto" w:sz="4" w:space="0"/>
              <w:right w:val="single" w:color="auto" w:sz="4" w:space="0"/>
            </w:tcBorders>
            <w:vAlign w:val="center"/>
          </w:tcPr>
          <w:p w14:paraId="383FDCB4">
            <w:pPr>
              <w:widowControl/>
              <w:jc w:val="center"/>
              <w:rPr>
                <w:rFonts w:ascii="仿宋" w:hAnsi="仿宋" w:eastAsia="仿宋" w:cs="宋体"/>
                <w:kern w:val="0"/>
                <w:sz w:val="28"/>
                <w:szCs w:val="28"/>
              </w:rPr>
            </w:pPr>
            <w:r>
              <w:rPr>
                <w:rFonts w:hint="eastAsia" w:ascii="仿宋" w:hAnsi="仿宋" w:eastAsia="仿宋" w:cs="宋体"/>
                <w:kern w:val="0"/>
                <w:sz w:val="28"/>
                <w:szCs w:val="28"/>
              </w:rPr>
              <w:t>资料员</w:t>
            </w:r>
          </w:p>
        </w:tc>
        <w:tc>
          <w:tcPr>
            <w:tcW w:w="1795" w:type="dxa"/>
            <w:tcBorders>
              <w:top w:val="nil"/>
              <w:left w:val="nil"/>
              <w:bottom w:val="single" w:color="auto" w:sz="4" w:space="0"/>
              <w:right w:val="single" w:color="auto" w:sz="4" w:space="0"/>
            </w:tcBorders>
            <w:vAlign w:val="center"/>
          </w:tcPr>
          <w:p w14:paraId="79853C13">
            <w:pPr>
              <w:widowControl/>
              <w:jc w:val="center"/>
              <w:rPr>
                <w:rFonts w:ascii="仿宋" w:hAnsi="仿宋" w:eastAsia="仿宋" w:cs="宋体"/>
                <w:kern w:val="0"/>
                <w:sz w:val="28"/>
                <w:szCs w:val="28"/>
              </w:rPr>
            </w:pPr>
            <w:r>
              <w:rPr>
                <w:rFonts w:hint="eastAsia" w:ascii="仿宋" w:hAnsi="仿宋" w:eastAsia="仿宋" w:cs="宋体"/>
                <w:kern w:val="0"/>
                <w:sz w:val="28"/>
                <w:szCs w:val="28"/>
              </w:rPr>
              <w:t>　</w:t>
            </w:r>
          </w:p>
        </w:tc>
        <w:tc>
          <w:tcPr>
            <w:tcW w:w="2681" w:type="dxa"/>
            <w:tcBorders>
              <w:top w:val="nil"/>
              <w:left w:val="nil"/>
              <w:bottom w:val="single" w:color="auto" w:sz="4" w:space="0"/>
              <w:right w:val="single" w:color="auto" w:sz="4" w:space="0"/>
            </w:tcBorders>
            <w:vAlign w:val="center"/>
          </w:tcPr>
          <w:p w14:paraId="1B7818B9">
            <w:pPr>
              <w:widowControl/>
              <w:jc w:val="center"/>
              <w:rPr>
                <w:rFonts w:ascii="仿宋" w:hAnsi="仿宋" w:eastAsia="仿宋" w:cs="宋体"/>
                <w:kern w:val="0"/>
                <w:sz w:val="28"/>
                <w:szCs w:val="28"/>
              </w:rPr>
            </w:pPr>
            <w:r>
              <w:rPr>
                <w:rFonts w:hint="eastAsia" w:ascii="仿宋" w:hAnsi="仿宋" w:eastAsia="仿宋" w:cs="宋体"/>
                <w:kern w:val="0"/>
                <w:sz w:val="28"/>
                <w:szCs w:val="28"/>
              </w:rPr>
              <w:t>　</w:t>
            </w:r>
          </w:p>
        </w:tc>
      </w:tr>
      <w:tr w14:paraId="023C8F44">
        <w:tblPrEx>
          <w:tblCellMar>
            <w:top w:w="0" w:type="dxa"/>
            <w:left w:w="108" w:type="dxa"/>
            <w:bottom w:w="0" w:type="dxa"/>
            <w:right w:w="108" w:type="dxa"/>
          </w:tblCellMar>
        </w:tblPrEx>
        <w:trPr>
          <w:trHeight w:val="555" w:hRule="atLeast"/>
        </w:trPr>
        <w:tc>
          <w:tcPr>
            <w:tcW w:w="798" w:type="dxa"/>
            <w:tcBorders>
              <w:top w:val="nil"/>
              <w:left w:val="single" w:color="auto" w:sz="4" w:space="0"/>
              <w:bottom w:val="single" w:color="auto" w:sz="4" w:space="0"/>
              <w:right w:val="single" w:color="auto" w:sz="4" w:space="0"/>
            </w:tcBorders>
            <w:vAlign w:val="center"/>
          </w:tcPr>
          <w:p w14:paraId="7D505153">
            <w:pPr>
              <w:widowControl/>
              <w:jc w:val="center"/>
              <w:rPr>
                <w:rFonts w:ascii="仿宋" w:hAnsi="仿宋" w:eastAsia="仿宋" w:cs="宋体"/>
                <w:kern w:val="0"/>
                <w:sz w:val="28"/>
                <w:szCs w:val="28"/>
              </w:rPr>
            </w:pPr>
            <w:r>
              <w:rPr>
                <w:rFonts w:hint="eastAsia" w:ascii="仿宋" w:hAnsi="仿宋" w:eastAsia="仿宋" w:cs="宋体"/>
                <w:kern w:val="0"/>
                <w:sz w:val="28"/>
                <w:szCs w:val="28"/>
              </w:rPr>
              <w:t>……　</w:t>
            </w:r>
          </w:p>
        </w:tc>
        <w:tc>
          <w:tcPr>
            <w:tcW w:w="1454" w:type="dxa"/>
            <w:tcBorders>
              <w:top w:val="nil"/>
              <w:left w:val="nil"/>
              <w:bottom w:val="single" w:color="auto" w:sz="4" w:space="0"/>
              <w:right w:val="single" w:color="auto" w:sz="4" w:space="0"/>
            </w:tcBorders>
            <w:vAlign w:val="center"/>
          </w:tcPr>
          <w:p w14:paraId="490F52ED">
            <w:pPr>
              <w:widowControl/>
              <w:jc w:val="center"/>
              <w:rPr>
                <w:rFonts w:ascii="仿宋" w:hAnsi="仿宋" w:eastAsia="仿宋" w:cs="宋体"/>
                <w:kern w:val="0"/>
                <w:sz w:val="28"/>
                <w:szCs w:val="28"/>
              </w:rPr>
            </w:pPr>
            <w:r>
              <w:rPr>
                <w:rFonts w:hint="eastAsia" w:ascii="仿宋" w:hAnsi="仿宋" w:eastAsia="仿宋" w:cs="宋体"/>
                <w:kern w:val="0"/>
                <w:sz w:val="28"/>
                <w:szCs w:val="28"/>
              </w:rPr>
              <w:t>　</w:t>
            </w:r>
          </w:p>
        </w:tc>
        <w:tc>
          <w:tcPr>
            <w:tcW w:w="1795" w:type="dxa"/>
            <w:tcBorders>
              <w:top w:val="nil"/>
              <w:left w:val="nil"/>
              <w:bottom w:val="single" w:color="auto" w:sz="4" w:space="0"/>
              <w:right w:val="single" w:color="auto" w:sz="4" w:space="0"/>
            </w:tcBorders>
            <w:vAlign w:val="center"/>
          </w:tcPr>
          <w:p w14:paraId="2FD8304E">
            <w:pPr>
              <w:widowControl/>
              <w:jc w:val="center"/>
              <w:rPr>
                <w:rFonts w:ascii="仿宋" w:hAnsi="仿宋" w:eastAsia="仿宋" w:cs="宋体"/>
                <w:kern w:val="0"/>
                <w:sz w:val="28"/>
                <w:szCs w:val="28"/>
              </w:rPr>
            </w:pPr>
            <w:r>
              <w:rPr>
                <w:rFonts w:hint="eastAsia" w:ascii="仿宋" w:hAnsi="仿宋" w:eastAsia="仿宋" w:cs="宋体"/>
                <w:kern w:val="0"/>
                <w:sz w:val="28"/>
                <w:szCs w:val="28"/>
              </w:rPr>
              <w:t>　</w:t>
            </w:r>
          </w:p>
        </w:tc>
        <w:tc>
          <w:tcPr>
            <w:tcW w:w="1795" w:type="dxa"/>
            <w:tcBorders>
              <w:top w:val="nil"/>
              <w:left w:val="nil"/>
              <w:bottom w:val="single" w:color="auto" w:sz="4" w:space="0"/>
              <w:right w:val="single" w:color="auto" w:sz="4" w:space="0"/>
            </w:tcBorders>
            <w:vAlign w:val="center"/>
          </w:tcPr>
          <w:p w14:paraId="28F4B27A">
            <w:pPr>
              <w:widowControl/>
              <w:jc w:val="center"/>
              <w:rPr>
                <w:rFonts w:ascii="仿宋" w:hAnsi="仿宋" w:eastAsia="仿宋" w:cs="宋体"/>
                <w:kern w:val="0"/>
                <w:sz w:val="28"/>
                <w:szCs w:val="28"/>
              </w:rPr>
            </w:pPr>
            <w:r>
              <w:rPr>
                <w:rFonts w:hint="eastAsia" w:ascii="仿宋" w:hAnsi="仿宋" w:eastAsia="仿宋" w:cs="宋体"/>
                <w:kern w:val="0"/>
                <w:sz w:val="28"/>
                <w:szCs w:val="28"/>
              </w:rPr>
              <w:t>　</w:t>
            </w:r>
          </w:p>
        </w:tc>
        <w:tc>
          <w:tcPr>
            <w:tcW w:w="2681" w:type="dxa"/>
            <w:tcBorders>
              <w:top w:val="nil"/>
              <w:left w:val="nil"/>
              <w:bottom w:val="single" w:color="auto" w:sz="4" w:space="0"/>
              <w:right w:val="single" w:color="auto" w:sz="4" w:space="0"/>
            </w:tcBorders>
            <w:vAlign w:val="center"/>
          </w:tcPr>
          <w:p w14:paraId="33B805C6">
            <w:pPr>
              <w:widowControl/>
              <w:jc w:val="center"/>
              <w:rPr>
                <w:rFonts w:ascii="仿宋" w:hAnsi="仿宋" w:eastAsia="仿宋" w:cs="宋体"/>
                <w:kern w:val="0"/>
                <w:sz w:val="28"/>
                <w:szCs w:val="28"/>
              </w:rPr>
            </w:pPr>
            <w:r>
              <w:rPr>
                <w:rFonts w:hint="eastAsia" w:ascii="仿宋" w:hAnsi="仿宋" w:eastAsia="仿宋" w:cs="宋体"/>
                <w:kern w:val="0"/>
                <w:sz w:val="28"/>
                <w:szCs w:val="28"/>
              </w:rPr>
              <w:t>　</w:t>
            </w:r>
          </w:p>
        </w:tc>
      </w:tr>
      <w:tr w14:paraId="5E3EF48B">
        <w:tblPrEx>
          <w:tblCellMar>
            <w:top w:w="0" w:type="dxa"/>
            <w:left w:w="108" w:type="dxa"/>
            <w:bottom w:w="0" w:type="dxa"/>
            <w:right w:w="108" w:type="dxa"/>
          </w:tblCellMar>
        </w:tblPrEx>
        <w:trPr>
          <w:trHeight w:val="4952" w:hRule="atLeast"/>
        </w:trPr>
        <w:tc>
          <w:tcPr>
            <w:tcW w:w="8523" w:type="dxa"/>
            <w:gridSpan w:val="5"/>
            <w:tcBorders>
              <w:top w:val="single" w:color="auto" w:sz="4" w:space="0"/>
              <w:left w:val="single" w:color="auto" w:sz="4" w:space="0"/>
              <w:bottom w:val="single" w:color="auto" w:sz="4" w:space="0"/>
              <w:right w:val="single" w:color="auto" w:sz="4" w:space="0"/>
            </w:tcBorders>
            <w:vAlign w:val="center"/>
          </w:tcPr>
          <w:p w14:paraId="12927620">
            <w:pPr>
              <w:widowControl/>
              <w:jc w:val="left"/>
              <w:rPr>
                <w:rFonts w:ascii="仿宋" w:hAnsi="仿宋" w:eastAsia="仿宋" w:cs="宋体"/>
                <w:kern w:val="0"/>
                <w:sz w:val="28"/>
                <w:szCs w:val="28"/>
              </w:rPr>
            </w:pPr>
            <w:r>
              <w:rPr>
                <w:rFonts w:hint="eastAsia" w:ascii="仿宋" w:hAnsi="仿宋" w:eastAsia="仿宋" w:cs="宋体"/>
                <w:kern w:val="0"/>
                <w:sz w:val="24"/>
                <w:szCs w:val="24"/>
              </w:rPr>
              <w:t>备注：</w:t>
            </w:r>
            <w:r>
              <w:rPr>
                <w:rFonts w:hint="eastAsia" w:ascii="仿宋" w:hAnsi="仿宋" w:eastAsia="仿宋" w:cs="宋体"/>
                <w:kern w:val="0"/>
                <w:sz w:val="24"/>
                <w:szCs w:val="24"/>
              </w:rPr>
              <w:br w:type="textWrapping"/>
            </w:r>
            <w:r>
              <w:rPr>
                <w:rFonts w:hint="eastAsia" w:ascii="仿宋" w:hAnsi="仿宋" w:eastAsia="仿宋" w:cs="宋体"/>
                <w:kern w:val="0"/>
                <w:sz w:val="24"/>
                <w:szCs w:val="24"/>
              </w:rPr>
              <w:t>1、“岗位”要求</w:t>
            </w:r>
            <w:r>
              <w:rPr>
                <w:rFonts w:hint="eastAsia" w:ascii="仿宋" w:hAnsi="仿宋" w:eastAsia="仿宋" w:cs="宋体"/>
                <w:b/>
                <w:bCs/>
                <w:kern w:val="0"/>
                <w:sz w:val="24"/>
                <w:szCs w:val="24"/>
              </w:rPr>
              <w:t>（除项目负责人和专职安全员外）：</w:t>
            </w:r>
            <w:r>
              <w:rPr>
                <w:rFonts w:hint="eastAsia" w:ascii="仿宋" w:hAnsi="仿宋" w:eastAsia="仿宋" w:cs="宋体"/>
                <w:kern w:val="0"/>
                <w:sz w:val="24"/>
                <w:szCs w:val="24"/>
              </w:rPr>
              <w:t>拟派技术负责人、质量负责人、安全负责人、造价负责人、施工员、质量员、资料员等。投标登记时，投标人应按本表内容在交易系统中填写《施工项目管理团队人员信息表》，表中的项目管理团队人员信息作为投标文件的一部分，将由交易系统提取后供各相关单位在履约时比对、查核。</w:t>
            </w:r>
            <w:r>
              <w:rPr>
                <w:rFonts w:hint="eastAsia" w:ascii="仿宋" w:hAnsi="仿宋" w:eastAsia="仿宋" w:cs="宋体"/>
                <w:kern w:val="0"/>
                <w:sz w:val="24"/>
                <w:szCs w:val="24"/>
              </w:rPr>
              <w:br w:type="textWrapping"/>
            </w:r>
            <w:r>
              <w:rPr>
                <w:rFonts w:hint="eastAsia" w:ascii="仿宋" w:hAnsi="仿宋" w:eastAsia="仿宋" w:cs="宋体"/>
                <w:kern w:val="0"/>
                <w:sz w:val="24"/>
                <w:szCs w:val="24"/>
              </w:rPr>
              <w:t>2、投标人应根据本表备注中的“岗位”要求，填写本表“岗位”栏和相关人员“姓名”、“职称”和“职称证书编号”栏。“职称”栏填“高级”、“中级”、“初级”或“无”；无职称证书或资格证书的，“职称证书或资格证书编号”栏填“无”；同时具备职称证书和资格证书的，“职称证书或资格证书编号”栏填职称证书编号。投标人完整填写相关表格内容后，投标登记方能成功(投标截止时间前可以补充、修改、替代)。</w:t>
            </w:r>
            <w:r>
              <w:rPr>
                <w:rFonts w:hint="eastAsia" w:ascii="仿宋" w:hAnsi="仿宋" w:eastAsia="仿宋" w:cs="宋体"/>
                <w:kern w:val="0"/>
                <w:sz w:val="24"/>
                <w:szCs w:val="24"/>
              </w:rPr>
              <w:br w:type="textWrapping"/>
            </w:r>
            <w:r>
              <w:rPr>
                <w:rFonts w:hint="eastAsia" w:ascii="仿宋" w:hAnsi="仿宋" w:eastAsia="仿宋" w:cs="宋体"/>
                <w:kern w:val="0"/>
                <w:sz w:val="24"/>
                <w:szCs w:val="24"/>
              </w:rPr>
              <w:t>3、如评标办法对投标人拟投入的项目管理团队进行评审的，</w:t>
            </w:r>
            <w:bookmarkStart w:id="27" w:name="_Hlk61439507"/>
            <w:r>
              <w:rPr>
                <w:rFonts w:hint="eastAsia" w:ascii="仿宋" w:hAnsi="仿宋" w:eastAsia="仿宋" w:cs="宋体"/>
                <w:kern w:val="0"/>
                <w:sz w:val="24"/>
                <w:szCs w:val="24"/>
              </w:rPr>
              <w:t>如相同岗位投入人员姓名与本表不一致的，以本表中姓名为准；投标人提供的团队人员职称或资格（含证书编号）情况与本表不一致的，以投标人提供的相关证明材料为准。</w:t>
            </w:r>
            <w:bookmarkEnd w:id="27"/>
          </w:p>
        </w:tc>
      </w:tr>
    </w:tbl>
    <w:p w14:paraId="7887202B">
      <w:pPr>
        <w:widowControl/>
        <w:tabs>
          <w:tab w:val="center" w:pos="4153"/>
        </w:tabs>
        <w:jc w:val="left"/>
        <w:rPr>
          <w:rFonts w:ascii="宋体" w:hAnsi="宋体" w:cs="宋体"/>
          <w:snapToGrid w:val="0"/>
          <w:spacing w:val="4"/>
          <w:kern w:val="0"/>
          <w:sz w:val="24"/>
          <w:szCs w:val="24"/>
        </w:rPr>
        <w:sectPr>
          <w:pgSz w:w="11907" w:h="16839"/>
          <w:pgMar w:top="1440" w:right="1800" w:bottom="1440" w:left="1800" w:header="851" w:footer="595" w:gutter="0"/>
          <w:cols w:space="720" w:num="1"/>
          <w:docGrid w:type="lines" w:linePitch="312" w:charSpace="0"/>
        </w:sectPr>
      </w:pPr>
    </w:p>
    <w:p w14:paraId="600D3426">
      <w:pPr>
        <w:tabs>
          <w:tab w:val="left" w:pos="720"/>
        </w:tabs>
        <w:snapToGrid w:val="0"/>
        <w:spacing w:line="360" w:lineRule="auto"/>
        <w:rPr>
          <w:b/>
          <w:sz w:val="32"/>
          <w:szCs w:val="32"/>
        </w:rPr>
      </w:pPr>
      <w:r>
        <w:rPr>
          <w:rFonts w:hint="eastAsia" w:ascii="宋体" w:hAnsi="宋体" w:cs="宋体"/>
          <w:sz w:val="24"/>
        </w:rPr>
        <w:t>技术标投标文件格式十：</w:t>
      </w:r>
    </w:p>
    <w:p w14:paraId="52EBA4E7">
      <w:pPr>
        <w:tabs>
          <w:tab w:val="left" w:pos="720"/>
        </w:tabs>
        <w:snapToGrid w:val="0"/>
        <w:spacing w:line="360" w:lineRule="auto"/>
        <w:jc w:val="center"/>
        <w:rPr>
          <w:szCs w:val="21"/>
        </w:rPr>
      </w:pPr>
      <w:r>
        <w:rPr>
          <w:rFonts w:hint="eastAsia"/>
          <w:b/>
          <w:sz w:val="32"/>
          <w:szCs w:val="32"/>
        </w:rPr>
        <w:t>参与编制技术标投标文件人员名单</w:t>
      </w:r>
    </w:p>
    <w:tbl>
      <w:tblPr>
        <w:tblStyle w:val="34"/>
        <w:tblW w:w="8296"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5"/>
        <w:gridCol w:w="1347"/>
        <w:gridCol w:w="2274"/>
        <w:gridCol w:w="2182"/>
        <w:gridCol w:w="1328"/>
      </w:tblGrid>
      <w:tr w14:paraId="57C8C3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8296" w:type="dxa"/>
            <w:gridSpan w:val="5"/>
            <w:tcBorders>
              <w:top w:val="single" w:color="auto" w:sz="4" w:space="0"/>
              <w:left w:val="single" w:color="auto" w:sz="4" w:space="0"/>
              <w:bottom w:val="single" w:color="auto" w:sz="4" w:space="0"/>
              <w:right w:val="single" w:color="auto" w:sz="4" w:space="0"/>
            </w:tcBorders>
            <w:vAlign w:val="center"/>
          </w:tcPr>
          <w:p w14:paraId="65317CC2">
            <w:pPr>
              <w:tabs>
                <w:tab w:val="left" w:pos="720"/>
              </w:tabs>
              <w:snapToGrid w:val="0"/>
              <w:spacing w:line="360" w:lineRule="auto"/>
              <w:jc w:val="center"/>
              <w:rPr>
                <w:rFonts w:ascii="宋体" w:hAnsi="宋体"/>
                <w:szCs w:val="21"/>
              </w:rPr>
            </w:pPr>
            <w:r>
              <w:rPr>
                <w:rFonts w:hint="eastAsia" w:ascii="宋体" w:hAnsi="宋体"/>
                <w:szCs w:val="21"/>
              </w:rPr>
              <w:t>投标人名称</w:t>
            </w:r>
          </w:p>
        </w:tc>
      </w:tr>
      <w:tr w14:paraId="212FC0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1165" w:type="dxa"/>
            <w:tcBorders>
              <w:top w:val="single" w:color="auto" w:sz="4" w:space="0"/>
              <w:left w:val="single" w:color="auto" w:sz="4" w:space="0"/>
              <w:bottom w:val="single" w:color="auto" w:sz="4" w:space="0"/>
              <w:right w:val="single" w:color="auto" w:sz="4" w:space="0"/>
            </w:tcBorders>
            <w:vAlign w:val="center"/>
          </w:tcPr>
          <w:p w14:paraId="5B3DCA90">
            <w:pPr>
              <w:tabs>
                <w:tab w:val="left" w:pos="720"/>
              </w:tabs>
              <w:snapToGrid w:val="0"/>
              <w:spacing w:line="360" w:lineRule="auto"/>
              <w:jc w:val="center"/>
              <w:rPr>
                <w:rFonts w:ascii="宋体" w:hAnsi="宋体"/>
                <w:szCs w:val="21"/>
              </w:rPr>
            </w:pPr>
            <w:r>
              <w:rPr>
                <w:rFonts w:hint="eastAsia" w:ascii="宋体" w:hAnsi="宋体"/>
                <w:szCs w:val="21"/>
              </w:rPr>
              <w:t>姓名</w:t>
            </w:r>
          </w:p>
        </w:tc>
        <w:tc>
          <w:tcPr>
            <w:tcW w:w="1347" w:type="dxa"/>
            <w:tcBorders>
              <w:top w:val="single" w:color="auto" w:sz="4" w:space="0"/>
              <w:left w:val="single" w:color="auto" w:sz="4" w:space="0"/>
              <w:bottom w:val="single" w:color="auto" w:sz="4" w:space="0"/>
              <w:right w:val="single" w:color="auto" w:sz="4" w:space="0"/>
            </w:tcBorders>
            <w:vAlign w:val="center"/>
          </w:tcPr>
          <w:p w14:paraId="0FD81C55">
            <w:pPr>
              <w:tabs>
                <w:tab w:val="left" w:pos="720"/>
              </w:tabs>
              <w:snapToGrid w:val="0"/>
              <w:spacing w:line="360" w:lineRule="auto"/>
              <w:jc w:val="center"/>
              <w:rPr>
                <w:rFonts w:ascii="宋体" w:hAnsi="宋体"/>
                <w:szCs w:val="21"/>
              </w:rPr>
            </w:pPr>
            <w:r>
              <w:rPr>
                <w:rFonts w:hint="eastAsia" w:ascii="宋体" w:hAnsi="宋体"/>
                <w:szCs w:val="21"/>
              </w:rPr>
              <w:t>职务</w:t>
            </w:r>
          </w:p>
        </w:tc>
        <w:tc>
          <w:tcPr>
            <w:tcW w:w="2274" w:type="dxa"/>
            <w:tcBorders>
              <w:top w:val="single" w:color="auto" w:sz="4" w:space="0"/>
              <w:left w:val="single" w:color="auto" w:sz="4" w:space="0"/>
              <w:bottom w:val="single" w:color="auto" w:sz="4" w:space="0"/>
              <w:right w:val="single" w:color="auto" w:sz="4" w:space="0"/>
            </w:tcBorders>
            <w:vAlign w:val="center"/>
          </w:tcPr>
          <w:p w14:paraId="4AD1856C">
            <w:pPr>
              <w:tabs>
                <w:tab w:val="left" w:pos="720"/>
              </w:tabs>
              <w:snapToGrid w:val="0"/>
              <w:spacing w:line="360" w:lineRule="auto"/>
              <w:jc w:val="center"/>
              <w:rPr>
                <w:rFonts w:ascii="宋体" w:hAnsi="宋体"/>
                <w:szCs w:val="21"/>
              </w:rPr>
            </w:pPr>
            <w:r>
              <w:rPr>
                <w:rFonts w:hint="eastAsia" w:ascii="宋体" w:hAnsi="宋体"/>
                <w:szCs w:val="21"/>
              </w:rPr>
              <w:t>所承担工作</w:t>
            </w:r>
          </w:p>
        </w:tc>
        <w:tc>
          <w:tcPr>
            <w:tcW w:w="2182" w:type="dxa"/>
            <w:tcBorders>
              <w:top w:val="single" w:color="auto" w:sz="4" w:space="0"/>
              <w:left w:val="single" w:color="auto" w:sz="4" w:space="0"/>
              <w:bottom w:val="single" w:color="auto" w:sz="4" w:space="0"/>
              <w:right w:val="single" w:color="auto" w:sz="4" w:space="0"/>
            </w:tcBorders>
            <w:vAlign w:val="center"/>
          </w:tcPr>
          <w:p w14:paraId="5162A110">
            <w:pPr>
              <w:tabs>
                <w:tab w:val="left" w:pos="720"/>
              </w:tabs>
              <w:snapToGrid w:val="0"/>
              <w:spacing w:line="360" w:lineRule="auto"/>
              <w:jc w:val="center"/>
              <w:rPr>
                <w:rFonts w:ascii="宋体" w:hAnsi="宋体"/>
                <w:szCs w:val="21"/>
              </w:rPr>
            </w:pPr>
            <w:r>
              <w:rPr>
                <w:rFonts w:hint="eastAsia" w:ascii="宋体" w:hAnsi="宋体"/>
                <w:szCs w:val="21"/>
              </w:rPr>
              <w:t>身份证号码</w:t>
            </w:r>
          </w:p>
        </w:tc>
        <w:tc>
          <w:tcPr>
            <w:tcW w:w="1328" w:type="dxa"/>
            <w:tcBorders>
              <w:top w:val="single" w:color="auto" w:sz="4" w:space="0"/>
              <w:left w:val="single" w:color="auto" w:sz="4" w:space="0"/>
              <w:bottom w:val="single" w:color="auto" w:sz="4" w:space="0"/>
              <w:right w:val="single" w:color="auto" w:sz="4" w:space="0"/>
            </w:tcBorders>
            <w:vAlign w:val="center"/>
          </w:tcPr>
          <w:p w14:paraId="78E3D325">
            <w:pPr>
              <w:tabs>
                <w:tab w:val="left" w:pos="720"/>
              </w:tabs>
              <w:snapToGrid w:val="0"/>
              <w:spacing w:line="360" w:lineRule="auto"/>
              <w:jc w:val="center"/>
              <w:rPr>
                <w:rFonts w:ascii="宋体" w:hAnsi="宋体"/>
                <w:szCs w:val="21"/>
              </w:rPr>
            </w:pPr>
            <w:r>
              <w:rPr>
                <w:rFonts w:hint="eastAsia" w:ascii="宋体" w:hAnsi="宋体"/>
                <w:szCs w:val="21"/>
              </w:rPr>
              <w:t>本人签名栏</w:t>
            </w:r>
          </w:p>
        </w:tc>
      </w:tr>
      <w:tr w14:paraId="1DCA0A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165" w:type="dxa"/>
            <w:tcBorders>
              <w:top w:val="single" w:color="auto" w:sz="4" w:space="0"/>
              <w:left w:val="single" w:color="auto" w:sz="4" w:space="0"/>
              <w:bottom w:val="single" w:color="auto" w:sz="4" w:space="0"/>
              <w:right w:val="single" w:color="auto" w:sz="4" w:space="0"/>
            </w:tcBorders>
            <w:vAlign w:val="center"/>
          </w:tcPr>
          <w:p w14:paraId="7CCE2784">
            <w:pPr>
              <w:tabs>
                <w:tab w:val="left" w:pos="720"/>
              </w:tabs>
              <w:snapToGrid w:val="0"/>
              <w:spacing w:line="360" w:lineRule="auto"/>
              <w:jc w:val="center"/>
              <w:rPr>
                <w:rFonts w:ascii="宋体" w:hAnsi="宋体"/>
                <w:szCs w:val="21"/>
              </w:rPr>
            </w:pPr>
          </w:p>
        </w:tc>
        <w:tc>
          <w:tcPr>
            <w:tcW w:w="1347" w:type="dxa"/>
            <w:tcBorders>
              <w:top w:val="single" w:color="auto" w:sz="4" w:space="0"/>
              <w:left w:val="single" w:color="auto" w:sz="4" w:space="0"/>
              <w:bottom w:val="single" w:color="auto" w:sz="4" w:space="0"/>
              <w:right w:val="single" w:color="auto" w:sz="4" w:space="0"/>
            </w:tcBorders>
            <w:vAlign w:val="center"/>
          </w:tcPr>
          <w:p w14:paraId="76C540E6">
            <w:pPr>
              <w:tabs>
                <w:tab w:val="left" w:pos="720"/>
              </w:tabs>
              <w:snapToGrid w:val="0"/>
              <w:spacing w:line="360" w:lineRule="auto"/>
              <w:jc w:val="center"/>
              <w:rPr>
                <w:rFonts w:ascii="宋体" w:hAnsi="宋体"/>
                <w:szCs w:val="21"/>
              </w:rPr>
            </w:pPr>
          </w:p>
        </w:tc>
        <w:tc>
          <w:tcPr>
            <w:tcW w:w="2274" w:type="dxa"/>
            <w:tcBorders>
              <w:top w:val="single" w:color="auto" w:sz="4" w:space="0"/>
              <w:left w:val="single" w:color="auto" w:sz="4" w:space="0"/>
              <w:bottom w:val="single" w:color="auto" w:sz="4" w:space="0"/>
              <w:right w:val="single" w:color="auto" w:sz="4" w:space="0"/>
            </w:tcBorders>
            <w:vAlign w:val="center"/>
          </w:tcPr>
          <w:p w14:paraId="0DD94442">
            <w:pPr>
              <w:tabs>
                <w:tab w:val="left" w:pos="720"/>
              </w:tabs>
              <w:snapToGrid w:val="0"/>
              <w:spacing w:line="360" w:lineRule="auto"/>
              <w:jc w:val="center"/>
              <w:rPr>
                <w:rFonts w:ascii="宋体" w:hAnsi="宋体"/>
                <w:szCs w:val="21"/>
              </w:rPr>
            </w:pPr>
          </w:p>
        </w:tc>
        <w:tc>
          <w:tcPr>
            <w:tcW w:w="2182" w:type="dxa"/>
            <w:tcBorders>
              <w:top w:val="single" w:color="auto" w:sz="4" w:space="0"/>
              <w:left w:val="single" w:color="auto" w:sz="4" w:space="0"/>
              <w:bottom w:val="single" w:color="auto" w:sz="4" w:space="0"/>
              <w:right w:val="single" w:color="auto" w:sz="4" w:space="0"/>
            </w:tcBorders>
            <w:vAlign w:val="center"/>
          </w:tcPr>
          <w:p w14:paraId="1923F810">
            <w:pPr>
              <w:tabs>
                <w:tab w:val="left" w:pos="720"/>
              </w:tabs>
              <w:snapToGrid w:val="0"/>
              <w:spacing w:line="360" w:lineRule="auto"/>
              <w:jc w:val="center"/>
              <w:rPr>
                <w:rFonts w:ascii="宋体" w:hAnsi="宋体"/>
                <w:szCs w:val="21"/>
              </w:rPr>
            </w:pPr>
          </w:p>
        </w:tc>
        <w:tc>
          <w:tcPr>
            <w:tcW w:w="1328" w:type="dxa"/>
            <w:tcBorders>
              <w:top w:val="single" w:color="auto" w:sz="4" w:space="0"/>
              <w:left w:val="single" w:color="auto" w:sz="4" w:space="0"/>
              <w:bottom w:val="single" w:color="auto" w:sz="4" w:space="0"/>
              <w:right w:val="single" w:color="auto" w:sz="4" w:space="0"/>
            </w:tcBorders>
            <w:vAlign w:val="center"/>
          </w:tcPr>
          <w:p w14:paraId="7044C111">
            <w:pPr>
              <w:tabs>
                <w:tab w:val="left" w:pos="720"/>
              </w:tabs>
              <w:snapToGrid w:val="0"/>
              <w:spacing w:line="360" w:lineRule="auto"/>
              <w:jc w:val="center"/>
              <w:rPr>
                <w:rFonts w:ascii="宋体" w:hAnsi="宋体"/>
                <w:szCs w:val="21"/>
              </w:rPr>
            </w:pPr>
          </w:p>
        </w:tc>
      </w:tr>
      <w:tr w14:paraId="6CB958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165" w:type="dxa"/>
            <w:tcBorders>
              <w:top w:val="single" w:color="auto" w:sz="4" w:space="0"/>
              <w:left w:val="single" w:color="auto" w:sz="4" w:space="0"/>
              <w:bottom w:val="single" w:color="auto" w:sz="4" w:space="0"/>
              <w:right w:val="single" w:color="auto" w:sz="4" w:space="0"/>
            </w:tcBorders>
            <w:vAlign w:val="center"/>
          </w:tcPr>
          <w:p w14:paraId="01FE86A0">
            <w:pPr>
              <w:tabs>
                <w:tab w:val="left" w:pos="720"/>
              </w:tabs>
              <w:snapToGrid w:val="0"/>
              <w:spacing w:line="360" w:lineRule="auto"/>
              <w:jc w:val="center"/>
              <w:rPr>
                <w:rFonts w:ascii="宋体" w:hAnsi="宋体"/>
                <w:szCs w:val="21"/>
              </w:rPr>
            </w:pPr>
          </w:p>
        </w:tc>
        <w:tc>
          <w:tcPr>
            <w:tcW w:w="1347" w:type="dxa"/>
            <w:tcBorders>
              <w:top w:val="single" w:color="auto" w:sz="4" w:space="0"/>
              <w:left w:val="single" w:color="auto" w:sz="4" w:space="0"/>
              <w:bottom w:val="single" w:color="auto" w:sz="4" w:space="0"/>
              <w:right w:val="single" w:color="auto" w:sz="4" w:space="0"/>
            </w:tcBorders>
            <w:vAlign w:val="center"/>
          </w:tcPr>
          <w:p w14:paraId="1A2C0ED6">
            <w:pPr>
              <w:tabs>
                <w:tab w:val="left" w:pos="720"/>
              </w:tabs>
              <w:snapToGrid w:val="0"/>
              <w:spacing w:line="360" w:lineRule="auto"/>
              <w:jc w:val="center"/>
              <w:rPr>
                <w:rFonts w:ascii="宋体" w:hAnsi="宋体"/>
                <w:szCs w:val="21"/>
              </w:rPr>
            </w:pPr>
          </w:p>
        </w:tc>
        <w:tc>
          <w:tcPr>
            <w:tcW w:w="2274" w:type="dxa"/>
            <w:tcBorders>
              <w:top w:val="single" w:color="auto" w:sz="4" w:space="0"/>
              <w:left w:val="single" w:color="auto" w:sz="4" w:space="0"/>
              <w:bottom w:val="single" w:color="auto" w:sz="4" w:space="0"/>
              <w:right w:val="single" w:color="auto" w:sz="4" w:space="0"/>
            </w:tcBorders>
            <w:vAlign w:val="center"/>
          </w:tcPr>
          <w:p w14:paraId="46B6AA80">
            <w:pPr>
              <w:tabs>
                <w:tab w:val="left" w:pos="720"/>
              </w:tabs>
              <w:snapToGrid w:val="0"/>
              <w:spacing w:line="360" w:lineRule="auto"/>
              <w:jc w:val="center"/>
              <w:rPr>
                <w:rFonts w:ascii="宋体" w:hAnsi="宋体"/>
                <w:szCs w:val="21"/>
              </w:rPr>
            </w:pPr>
          </w:p>
        </w:tc>
        <w:tc>
          <w:tcPr>
            <w:tcW w:w="2182" w:type="dxa"/>
            <w:tcBorders>
              <w:top w:val="single" w:color="auto" w:sz="4" w:space="0"/>
              <w:left w:val="single" w:color="auto" w:sz="4" w:space="0"/>
              <w:bottom w:val="single" w:color="auto" w:sz="4" w:space="0"/>
              <w:right w:val="single" w:color="auto" w:sz="4" w:space="0"/>
            </w:tcBorders>
            <w:vAlign w:val="center"/>
          </w:tcPr>
          <w:p w14:paraId="49F79C20">
            <w:pPr>
              <w:tabs>
                <w:tab w:val="left" w:pos="720"/>
              </w:tabs>
              <w:snapToGrid w:val="0"/>
              <w:spacing w:line="360" w:lineRule="auto"/>
              <w:jc w:val="center"/>
              <w:rPr>
                <w:rFonts w:ascii="宋体" w:hAnsi="宋体"/>
                <w:szCs w:val="21"/>
              </w:rPr>
            </w:pPr>
          </w:p>
        </w:tc>
        <w:tc>
          <w:tcPr>
            <w:tcW w:w="1328" w:type="dxa"/>
            <w:tcBorders>
              <w:top w:val="single" w:color="auto" w:sz="4" w:space="0"/>
              <w:left w:val="single" w:color="auto" w:sz="4" w:space="0"/>
              <w:bottom w:val="single" w:color="auto" w:sz="4" w:space="0"/>
              <w:right w:val="single" w:color="auto" w:sz="4" w:space="0"/>
            </w:tcBorders>
            <w:vAlign w:val="center"/>
          </w:tcPr>
          <w:p w14:paraId="5944DB3A">
            <w:pPr>
              <w:tabs>
                <w:tab w:val="left" w:pos="720"/>
              </w:tabs>
              <w:snapToGrid w:val="0"/>
              <w:spacing w:line="360" w:lineRule="auto"/>
              <w:jc w:val="center"/>
              <w:rPr>
                <w:rFonts w:ascii="宋体" w:hAnsi="宋体"/>
                <w:szCs w:val="21"/>
              </w:rPr>
            </w:pPr>
          </w:p>
        </w:tc>
      </w:tr>
      <w:tr w14:paraId="28F898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165" w:type="dxa"/>
            <w:tcBorders>
              <w:top w:val="single" w:color="auto" w:sz="4" w:space="0"/>
              <w:left w:val="single" w:color="auto" w:sz="4" w:space="0"/>
              <w:bottom w:val="single" w:color="auto" w:sz="4" w:space="0"/>
              <w:right w:val="single" w:color="auto" w:sz="4" w:space="0"/>
            </w:tcBorders>
            <w:vAlign w:val="center"/>
          </w:tcPr>
          <w:p w14:paraId="17274B4C">
            <w:pPr>
              <w:tabs>
                <w:tab w:val="left" w:pos="720"/>
              </w:tabs>
              <w:snapToGrid w:val="0"/>
              <w:spacing w:line="360" w:lineRule="auto"/>
              <w:jc w:val="center"/>
              <w:rPr>
                <w:rFonts w:ascii="宋体" w:hAnsi="宋体"/>
                <w:szCs w:val="21"/>
              </w:rPr>
            </w:pPr>
          </w:p>
        </w:tc>
        <w:tc>
          <w:tcPr>
            <w:tcW w:w="1347" w:type="dxa"/>
            <w:tcBorders>
              <w:top w:val="single" w:color="auto" w:sz="4" w:space="0"/>
              <w:left w:val="single" w:color="auto" w:sz="4" w:space="0"/>
              <w:bottom w:val="single" w:color="auto" w:sz="4" w:space="0"/>
              <w:right w:val="single" w:color="auto" w:sz="4" w:space="0"/>
            </w:tcBorders>
            <w:vAlign w:val="center"/>
          </w:tcPr>
          <w:p w14:paraId="67038A4B">
            <w:pPr>
              <w:tabs>
                <w:tab w:val="left" w:pos="720"/>
              </w:tabs>
              <w:snapToGrid w:val="0"/>
              <w:spacing w:line="360" w:lineRule="auto"/>
              <w:jc w:val="center"/>
              <w:rPr>
                <w:rFonts w:ascii="宋体" w:hAnsi="宋体"/>
                <w:szCs w:val="21"/>
              </w:rPr>
            </w:pPr>
          </w:p>
        </w:tc>
        <w:tc>
          <w:tcPr>
            <w:tcW w:w="2274" w:type="dxa"/>
            <w:tcBorders>
              <w:top w:val="single" w:color="auto" w:sz="4" w:space="0"/>
              <w:left w:val="single" w:color="auto" w:sz="4" w:space="0"/>
              <w:bottom w:val="single" w:color="auto" w:sz="4" w:space="0"/>
              <w:right w:val="single" w:color="auto" w:sz="4" w:space="0"/>
            </w:tcBorders>
            <w:vAlign w:val="center"/>
          </w:tcPr>
          <w:p w14:paraId="2BC5858E">
            <w:pPr>
              <w:tabs>
                <w:tab w:val="left" w:pos="720"/>
              </w:tabs>
              <w:snapToGrid w:val="0"/>
              <w:spacing w:line="360" w:lineRule="auto"/>
              <w:jc w:val="center"/>
              <w:rPr>
                <w:rFonts w:ascii="宋体" w:hAnsi="宋体"/>
                <w:szCs w:val="21"/>
              </w:rPr>
            </w:pPr>
          </w:p>
        </w:tc>
        <w:tc>
          <w:tcPr>
            <w:tcW w:w="2182" w:type="dxa"/>
            <w:tcBorders>
              <w:top w:val="single" w:color="auto" w:sz="4" w:space="0"/>
              <w:left w:val="single" w:color="auto" w:sz="4" w:space="0"/>
              <w:bottom w:val="single" w:color="auto" w:sz="4" w:space="0"/>
              <w:right w:val="single" w:color="auto" w:sz="4" w:space="0"/>
            </w:tcBorders>
            <w:vAlign w:val="center"/>
          </w:tcPr>
          <w:p w14:paraId="54DF0090">
            <w:pPr>
              <w:tabs>
                <w:tab w:val="left" w:pos="720"/>
              </w:tabs>
              <w:snapToGrid w:val="0"/>
              <w:spacing w:line="360" w:lineRule="auto"/>
              <w:jc w:val="center"/>
              <w:rPr>
                <w:rFonts w:ascii="宋体" w:hAnsi="宋体"/>
                <w:szCs w:val="21"/>
              </w:rPr>
            </w:pPr>
          </w:p>
        </w:tc>
        <w:tc>
          <w:tcPr>
            <w:tcW w:w="1328" w:type="dxa"/>
            <w:tcBorders>
              <w:top w:val="single" w:color="auto" w:sz="4" w:space="0"/>
              <w:left w:val="single" w:color="auto" w:sz="4" w:space="0"/>
              <w:bottom w:val="single" w:color="auto" w:sz="4" w:space="0"/>
              <w:right w:val="single" w:color="auto" w:sz="4" w:space="0"/>
            </w:tcBorders>
            <w:vAlign w:val="center"/>
          </w:tcPr>
          <w:p w14:paraId="39475E36">
            <w:pPr>
              <w:tabs>
                <w:tab w:val="left" w:pos="720"/>
              </w:tabs>
              <w:snapToGrid w:val="0"/>
              <w:spacing w:line="360" w:lineRule="auto"/>
              <w:jc w:val="center"/>
              <w:rPr>
                <w:rFonts w:ascii="宋体" w:hAnsi="宋体"/>
                <w:szCs w:val="21"/>
              </w:rPr>
            </w:pPr>
          </w:p>
        </w:tc>
      </w:tr>
      <w:tr w14:paraId="01DFA6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165" w:type="dxa"/>
            <w:tcBorders>
              <w:top w:val="single" w:color="auto" w:sz="4" w:space="0"/>
              <w:left w:val="single" w:color="auto" w:sz="4" w:space="0"/>
              <w:bottom w:val="single" w:color="auto" w:sz="4" w:space="0"/>
              <w:right w:val="single" w:color="auto" w:sz="4" w:space="0"/>
            </w:tcBorders>
            <w:vAlign w:val="center"/>
          </w:tcPr>
          <w:p w14:paraId="34DDE029">
            <w:pPr>
              <w:tabs>
                <w:tab w:val="left" w:pos="720"/>
              </w:tabs>
              <w:snapToGrid w:val="0"/>
              <w:spacing w:line="360" w:lineRule="auto"/>
              <w:jc w:val="center"/>
              <w:rPr>
                <w:rFonts w:ascii="宋体" w:hAnsi="宋体"/>
                <w:szCs w:val="21"/>
              </w:rPr>
            </w:pPr>
          </w:p>
        </w:tc>
        <w:tc>
          <w:tcPr>
            <w:tcW w:w="1347" w:type="dxa"/>
            <w:tcBorders>
              <w:top w:val="single" w:color="auto" w:sz="4" w:space="0"/>
              <w:left w:val="single" w:color="auto" w:sz="4" w:space="0"/>
              <w:bottom w:val="single" w:color="auto" w:sz="4" w:space="0"/>
              <w:right w:val="single" w:color="auto" w:sz="4" w:space="0"/>
            </w:tcBorders>
            <w:vAlign w:val="center"/>
          </w:tcPr>
          <w:p w14:paraId="16DA9B0F">
            <w:pPr>
              <w:tabs>
                <w:tab w:val="left" w:pos="720"/>
              </w:tabs>
              <w:snapToGrid w:val="0"/>
              <w:spacing w:line="360" w:lineRule="auto"/>
              <w:jc w:val="center"/>
              <w:rPr>
                <w:rFonts w:ascii="宋体" w:hAnsi="宋体"/>
                <w:szCs w:val="21"/>
              </w:rPr>
            </w:pPr>
          </w:p>
        </w:tc>
        <w:tc>
          <w:tcPr>
            <w:tcW w:w="2274" w:type="dxa"/>
            <w:tcBorders>
              <w:top w:val="single" w:color="auto" w:sz="4" w:space="0"/>
              <w:left w:val="single" w:color="auto" w:sz="4" w:space="0"/>
              <w:bottom w:val="single" w:color="auto" w:sz="4" w:space="0"/>
              <w:right w:val="single" w:color="auto" w:sz="4" w:space="0"/>
            </w:tcBorders>
            <w:vAlign w:val="center"/>
          </w:tcPr>
          <w:p w14:paraId="28FEB77A">
            <w:pPr>
              <w:tabs>
                <w:tab w:val="left" w:pos="720"/>
              </w:tabs>
              <w:snapToGrid w:val="0"/>
              <w:spacing w:line="360" w:lineRule="auto"/>
              <w:jc w:val="center"/>
              <w:rPr>
                <w:rFonts w:ascii="宋体" w:hAnsi="宋体"/>
                <w:szCs w:val="21"/>
              </w:rPr>
            </w:pPr>
          </w:p>
        </w:tc>
        <w:tc>
          <w:tcPr>
            <w:tcW w:w="2182" w:type="dxa"/>
            <w:tcBorders>
              <w:top w:val="single" w:color="auto" w:sz="4" w:space="0"/>
              <w:left w:val="single" w:color="auto" w:sz="4" w:space="0"/>
              <w:bottom w:val="single" w:color="auto" w:sz="4" w:space="0"/>
              <w:right w:val="single" w:color="auto" w:sz="4" w:space="0"/>
            </w:tcBorders>
            <w:vAlign w:val="center"/>
          </w:tcPr>
          <w:p w14:paraId="6ABB25A6">
            <w:pPr>
              <w:tabs>
                <w:tab w:val="left" w:pos="720"/>
              </w:tabs>
              <w:snapToGrid w:val="0"/>
              <w:spacing w:line="360" w:lineRule="auto"/>
              <w:jc w:val="center"/>
              <w:rPr>
                <w:rFonts w:ascii="宋体" w:hAnsi="宋体"/>
                <w:szCs w:val="21"/>
              </w:rPr>
            </w:pPr>
          </w:p>
        </w:tc>
        <w:tc>
          <w:tcPr>
            <w:tcW w:w="1328" w:type="dxa"/>
            <w:tcBorders>
              <w:top w:val="single" w:color="auto" w:sz="4" w:space="0"/>
              <w:left w:val="single" w:color="auto" w:sz="4" w:space="0"/>
              <w:bottom w:val="single" w:color="auto" w:sz="4" w:space="0"/>
              <w:right w:val="single" w:color="auto" w:sz="4" w:space="0"/>
            </w:tcBorders>
            <w:vAlign w:val="center"/>
          </w:tcPr>
          <w:p w14:paraId="49B1A5AB">
            <w:pPr>
              <w:tabs>
                <w:tab w:val="left" w:pos="720"/>
              </w:tabs>
              <w:snapToGrid w:val="0"/>
              <w:spacing w:line="360" w:lineRule="auto"/>
              <w:jc w:val="center"/>
              <w:rPr>
                <w:rFonts w:ascii="宋体" w:hAnsi="宋体"/>
                <w:szCs w:val="21"/>
              </w:rPr>
            </w:pPr>
          </w:p>
        </w:tc>
      </w:tr>
      <w:tr w14:paraId="3DDCEF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165" w:type="dxa"/>
            <w:tcBorders>
              <w:top w:val="single" w:color="auto" w:sz="4" w:space="0"/>
              <w:left w:val="single" w:color="auto" w:sz="4" w:space="0"/>
              <w:bottom w:val="single" w:color="auto" w:sz="4" w:space="0"/>
              <w:right w:val="single" w:color="auto" w:sz="4" w:space="0"/>
            </w:tcBorders>
            <w:vAlign w:val="center"/>
          </w:tcPr>
          <w:p w14:paraId="4156E78F">
            <w:pPr>
              <w:tabs>
                <w:tab w:val="left" w:pos="720"/>
              </w:tabs>
              <w:snapToGrid w:val="0"/>
              <w:spacing w:line="360" w:lineRule="auto"/>
              <w:jc w:val="center"/>
              <w:rPr>
                <w:rFonts w:ascii="宋体" w:hAnsi="宋体"/>
                <w:szCs w:val="21"/>
              </w:rPr>
            </w:pPr>
          </w:p>
        </w:tc>
        <w:tc>
          <w:tcPr>
            <w:tcW w:w="1347" w:type="dxa"/>
            <w:tcBorders>
              <w:top w:val="single" w:color="auto" w:sz="4" w:space="0"/>
              <w:left w:val="single" w:color="auto" w:sz="4" w:space="0"/>
              <w:bottom w:val="single" w:color="auto" w:sz="4" w:space="0"/>
              <w:right w:val="single" w:color="auto" w:sz="4" w:space="0"/>
            </w:tcBorders>
            <w:vAlign w:val="center"/>
          </w:tcPr>
          <w:p w14:paraId="69821AF5">
            <w:pPr>
              <w:tabs>
                <w:tab w:val="left" w:pos="720"/>
              </w:tabs>
              <w:snapToGrid w:val="0"/>
              <w:spacing w:line="360" w:lineRule="auto"/>
              <w:jc w:val="center"/>
              <w:rPr>
                <w:rFonts w:ascii="宋体" w:hAnsi="宋体"/>
                <w:szCs w:val="21"/>
              </w:rPr>
            </w:pPr>
          </w:p>
        </w:tc>
        <w:tc>
          <w:tcPr>
            <w:tcW w:w="2274" w:type="dxa"/>
            <w:tcBorders>
              <w:top w:val="single" w:color="auto" w:sz="4" w:space="0"/>
              <w:left w:val="single" w:color="auto" w:sz="4" w:space="0"/>
              <w:bottom w:val="single" w:color="auto" w:sz="4" w:space="0"/>
              <w:right w:val="single" w:color="auto" w:sz="4" w:space="0"/>
            </w:tcBorders>
            <w:vAlign w:val="center"/>
          </w:tcPr>
          <w:p w14:paraId="4CB10998">
            <w:pPr>
              <w:tabs>
                <w:tab w:val="left" w:pos="720"/>
              </w:tabs>
              <w:snapToGrid w:val="0"/>
              <w:spacing w:line="360" w:lineRule="auto"/>
              <w:jc w:val="center"/>
              <w:rPr>
                <w:rFonts w:ascii="宋体" w:hAnsi="宋体"/>
                <w:szCs w:val="21"/>
              </w:rPr>
            </w:pPr>
          </w:p>
        </w:tc>
        <w:tc>
          <w:tcPr>
            <w:tcW w:w="2182" w:type="dxa"/>
            <w:tcBorders>
              <w:top w:val="single" w:color="auto" w:sz="4" w:space="0"/>
              <w:left w:val="single" w:color="auto" w:sz="4" w:space="0"/>
              <w:bottom w:val="single" w:color="auto" w:sz="4" w:space="0"/>
              <w:right w:val="single" w:color="auto" w:sz="4" w:space="0"/>
            </w:tcBorders>
            <w:vAlign w:val="center"/>
          </w:tcPr>
          <w:p w14:paraId="72AB569C">
            <w:pPr>
              <w:tabs>
                <w:tab w:val="left" w:pos="720"/>
              </w:tabs>
              <w:snapToGrid w:val="0"/>
              <w:spacing w:line="360" w:lineRule="auto"/>
              <w:jc w:val="center"/>
              <w:rPr>
                <w:rFonts w:ascii="宋体" w:hAnsi="宋体"/>
                <w:szCs w:val="21"/>
              </w:rPr>
            </w:pPr>
          </w:p>
        </w:tc>
        <w:tc>
          <w:tcPr>
            <w:tcW w:w="1328" w:type="dxa"/>
            <w:tcBorders>
              <w:top w:val="single" w:color="auto" w:sz="4" w:space="0"/>
              <w:left w:val="single" w:color="auto" w:sz="4" w:space="0"/>
              <w:bottom w:val="single" w:color="auto" w:sz="4" w:space="0"/>
              <w:right w:val="single" w:color="auto" w:sz="4" w:space="0"/>
            </w:tcBorders>
            <w:vAlign w:val="center"/>
          </w:tcPr>
          <w:p w14:paraId="6ABCE964">
            <w:pPr>
              <w:tabs>
                <w:tab w:val="left" w:pos="720"/>
              </w:tabs>
              <w:snapToGrid w:val="0"/>
              <w:spacing w:line="360" w:lineRule="auto"/>
              <w:jc w:val="center"/>
              <w:rPr>
                <w:rFonts w:ascii="宋体" w:hAnsi="宋体"/>
                <w:szCs w:val="21"/>
              </w:rPr>
            </w:pPr>
          </w:p>
        </w:tc>
      </w:tr>
      <w:tr w14:paraId="373534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165" w:type="dxa"/>
            <w:tcBorders>
              <w:top w:val="single" w:color="auto" w:sz="4" w:space="0"/>
              <w:left w:val="single" w:color="auto" w:sz="4" w:space="0"/>
              <w:bottom w:val="single" w:color="auto" w:sz="4" w:space="0"/>
              <w:right w:val="single" w:color="auto" w:sz="4" w:space="0"/>
            </w:tcBorders>
            <w:vAlign w:val="center"/>
          </w:tcPr>
          <w:p w14:paraId="4B2D3A3B">
            <w:pPr>
              <w:tabs>
                <w:tab w:val="left" w:pos="720"/>
              </w:tabs>
              <w:snapToGrid w:val="0"/>
              <w:spacing w:line="360" w:lineRule="auto"/>
              <w:jc w:val="center"/>
              <w:rPr>
                <w:rFonts w:ascii="宋体" w:hAnsi="宋体"/>
                <w:szCs w:val="21"/>
              </w:rPr>
            </w:pPr>
          </w:p>
        </w:tc>
        <w:tc>
          <w:tcPr>
            <w:tcW w:w="1347" w:type="dxa"/>
            <w:tcBorders>
              <w:top w:val="single" w:color="auto" w:sz="4" w:space="0"/>
              <w:left w:val="single" w:color="auto" w:sz="4" w:space="0"/>
              <w:bottom w:val="single" w:color="auto" w:sz="4" w:space="0"/>
              <w:right w:val="single" w:color="auto" w:sz="4" w:space="0"/>
            </w:tcBorders>
            <w:vAlign w:val="center"/>
          </w:tcPr>
          <w:p w14:paraId="42E4EC80">
            <w:pPr>
              <w:tabs>
                <w:tab w:val="left" w:pos="720"/>
              </w:tabs>
              <w:snapToGrid w:val="0"/>
              <w:spacing w:line="360" w:lineRule="auto"/>
              <w:jc w:val="center"/>
              <w:rPr>
                <w:rFonts w:ascii="宋体" w:hAnsi="宋体"/>
                <w:szCs w:val="21"/>
              </w:rPr>
            </w:pPr>
          </w:p>
        </w:tc>
        <w:tc>
          <w:tcPr>
            <w:tcW w:w="2274" w:type="dxa"/>
            <w:tcBorders>
              <w:top w:val="single" w:color="auto" w:sz="4" w:space="0"/>
              <w:left w:val="single" w:color="auto" w:sz="4" w:space="0"/>
              <w:bottom w:val="single" w:color="auto" w:sz="4" w:space="0"/>
              <w:right w:val="single" w:color="auto" w:sz="4" w:space="0"/>
            </w:tcBorders>
            <w:vAlign w:val="center"/>
          </w:tcPr>
          <w:p w14:paraId="0FEBD2F3">
            <w:pPr>
              <w:tabs>
                <w:tab w:val="left" w:pos="720"/>
              </w:tabs>
              <w:snapToGrid w:val="0"/>
              <w:spacing w:line="360" w:lineRule="auto"/>
              <w:jc w:val="center"/>
              <w:rPr>
                <w:rFonts w:ascii="宋体" w:hAnsi="宋体"/>
                <w:szCs w:val="21"/>
              </w:rPr>
            </w:pPr>
          </w:p>
        </w:tc>
        <w:tc>
          <w:tcPr>
            <w:tcW w:w="2182" w:type="dxa"/>
            <w:tcBorders>
              <w:top w:val="single" w:color="auto" w:sz="4" w:space="0"/>
              <w:left w:val="single" w:color="auto" w:sz="4" w:space="0"/>
              <w:bottom w:val="single" w:color="auto" w:sz="4" w:space="0"/>
              <w:right w:val="single" w:color="auto" w:sz="4" w:space="0"/>
            </w:tcBorders>
            <w:vAlign w:val="center"/>
          </w:tcPr>
          <w:p w14:paraId="72FDB195">
            <w:pPr>
              <w:tabs>
                <w:tab w:val="left" w:pos="720"/>
              </w:tabs>
              <w:snapToGrid w:val="0"/>
              <w:spacing w:line="360" w:lineRule="auto"/>
              <w:jc w:val="center"/>
              <w:rPr>
                <w:rFonts w:ascii="宋体" w:hAnsi="宋体"/>
                <w:szCs w:val="21"/>
              </w:rPr>
            </w:pPr>
          </w:p>
        </w:tc>
        <w:tc>
          <w:tcPr>
            <w:tcW w:w="1328" w:type="dxa"/>
            <w:tcBorders>
              <w:top w:val="single" w:color="auto" w:sz="4" w:space="0"/>
              <w:left w:val="single" w:color="auto" w:sz="4" w:space="0"/>
              <w:bottom w:val="single" w:color="auto" w:sz="4" w:space="0"/>
              <w:right w:val="single" w:color="auto" w:sz="4" w:space="0"/>
            </w:tcBorders>
            <w:vAlign w:val="center"/>
          </w:tcPr>
          <w:p w14:paraId="1C53605F">
            <w:pPr>
              <w:tabs>
                <w:tab w:val="left" w:pos="720"/>
              </w:tabs>
              <w:snapToGrid w:val="0"/>
              <w:spacing w:line="360" w:lineRule="auto"/>
              <w:jc w:val="center"/>
              <w:rPr>
                <w:rFonts w:ascii="宋体" w:hAnsi="宋体"/>
                <w:szCs w:val="21"/>
              </w:rPr>
            </w:pPr>
          </w:p>
        </w:tc>
      </w:tr>
      <w:tr w14:paraId="7047D4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165" w:type="dxa"/>
            <w:tcBorders>
              <w:top w:val="single" w:color="auto" w:sz="4" w:space="0"/>
              <w:left w:val="single" w:color="auto" w:sz="4" w:space="0"/>
              <w:bottom w:val="single" w:color="auto" w:sz="4" w:space="0"/>
              <w:right w:val="single" w:color="auto" w:sz="4" w:space="0"/>
            </w:tcBorders>
            <w:vAlign w:val="center"/>
          </w:tcPr>
          <w:p w14:paraId="10171340">
            <w:pPr>
              <w:tabs>
                <w:tab w:val="left" w:pos="720"/>
              </w:tabs>
              <w:snapToGrid w:val="0"/>
              <w:spacing w:line="360" w:lineRule="auto"/>
              <w:jc w:val="center"/>
              <w:rPr>
                <w:rFonts w:ascii="宋体" w:hAnsi="宋体"/>
                <w:szCs w:val="21"/>
              </w:rPr>
            </w:pPr>
          </w:p>
        </w:tc>
        <w:tc>
          <w:tcPr>
            <w:tcW w:w="1347" w:type="dxa"/>
            <w:tcBorders>
              <w:top w:val="single" w:color="auto" w:sz="4" w:space="0"/>
              <w:left w:val="single" w:color="auto" w:sz="4" w:space="0"/>
              <w:bottom w:val="single" w:color="auto" w:sz="4" w:space="0"/>
              <w:right w:val="single" w:color="auto" w:sz="4" w:space="0"/>
            </w:tcBorders>
            <w:vAlign w:val="center"/>
          </w:tcPr>
          <w:p w14:paraId="4C4C3B61">
            <w:pPr>
              <w:tabs>
                <w:tab w:val="left" w:pos="720"/>
              </w:tabs>
              <w:snapToGrid w:val="0"/>
              <w:spacing w:line="360" w:lineRule="auto"/>
              <w:jc w:val="center"/>
              <w:rPr>
                <w:rFonts w:ascii="宋体" w:hAnsi="宋体"/>
                <w:szCs w:val="21"/>
              </w:rPr>
            </w:pPr>
          </w:p>
        </w:tc>
        <w:tc>
          <w:tcPr>
            <w:tcW w:w="2274" w:type="dxa"/>
            <w:tcBorders>
              <w:top w:val="single" w:color="auto" w:sz="4" w:space="0"/>
              <w:left w:val="single" w:color="auto" w:sz="4" w:space="0"/>
              <w:bottom w:val="single" w:color="auto" w:sz="4" w:space="0"/>
              <w:right w:val="single" w:color="auto" w:sz="4" w:space="0"/>
            </w:tcBorders>
            <w:vAlign w:val="center"/>
          </w:tcPr>
          <w:p w14:paraId="7542871C">
            <w:pPr>
              <w:tabs>
                <w:tab w:val="left" w:pos="720"/>
              </w:tabs>
              <w:snapToGrid w:val="0"/>
              <w:spacing w:line="360" w:lineRule="auto"/>
              <w:jc w:val="center"/>
              <w:rPr>
                <w:rFonts w:ascii="宋体" w:hAnsi="宋体"/>
                <w:szCs w:val="21"/>
              </w:rPr>
            </w:pPr>
          </w:p>
        </w:tc>
        <w:tc>
          <w:tcPr>
            <w:tcW w:w="2182" w:type="dxa"/>
            <w:tcBorders>
              <w:top w:val="single" w:color="auto" w:sz="4" w:space="0"/>
              <w:left w:val="single" w:color="auto" w:sz="4" w:space="0"/>
              <w:bottom w:val="single" w:color="auto" w:sz="4" w:space="0"/>
              <w:right w:val="single" w:color="auto" w:sz="4" w:space="0"/>
            </w:tcBorders>
            <w:vAlign w:val="center"/>
          </w:tcPr>
          <w:p w14:paraId="1E37F6DA">
            <w:pPr>
              <w:tabs>
                <w:tab w:val="left" w:pos="720"/>
              </w:tabs>
              <w:snapToGrid w:val="0"/>
              <w:spacing w:line="360" w:lineRule="auto"/>
              <w:jc w:val="center"/>
              <w:rPr>
                <w:rFonts w:ascii="宋体" w:hAnsi="宋体"/>
                <w:szCs w:val="21"/>
              </w:rPr>
            </w:pPr>
          </w:p>
        </w:tc>
        <w:tc>
          <w:tcPr>
            <w:tcW w:w="1328" w:type="dxa"/>
            <w:tcBorders>
              <w:top w:val="single" w:color="auto" w:sz="4" w:space="0"/>
              <w:left w:val="single" w:color="auto" w:sz="4" w:space="0"/>
              <w:bottom w:val="single" w:color="auto" w:sz="4" w:space="0"/>
              <w:right w:val="single" w:color="auto" w:sz="4" w:space="0"/>
            </w:tcBorders>
            <w:vAlign w:val="center"/>
          </w:tcPr>
          <w:p w14:paraId="5D0F834D">
            <w:pPr>
              <w:tabs>
                <w:tab w:val="left" w:pos="720"/>
              </w:tabs>
              <w:snapToGrid w:val="0"/>
              <w:spacing w:line="360" w:lineRule="auto"/>
              <w:jc w:val="center"/>
              <w:rPr>
                <w:rFonts w:ascii="宋体" w:hAnsi="宋体"/>
                <w:szCs w:val="21"/>
              </w:rPr>
            </w:pPr>
          </w:p>
        </w:tc>
      </w:tr>
      <w:tr w14:paraId="467B40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1165" w:type="dxa"/>
            <w:tcBorders>
              <w:top w:val="single" w:color="auto" w:sz="4" w:space="0"/>
              <w:left w:val="single" w:color="auto" w:sz="4" w:space="0"/>
              <w:bottom w:val="single" w:color="auto" w:sz="4" w:space="0"/>
              <w:right w:val="single" w:color="auto" w:sz="4" w:space="0"/>
            </w:tcBorders>
            <w:vAlign w:val="center"/>
          </w:tcPr>
          <w:p w14:paraId="3ACEF864">
            <w:pPr>
              <w:tabs>
                <w:tab w:val="left" w:pos="720"/>
              </w:tabs>
              <w:snapToGrid w:val="0"/>
              <w:spacing w:line="360" w:lineRule="auto"/>
              <w:jc w:val="center"/>
              <w:rPr>
                <w:rFonts w:ascii="宋体" w:hAnsi="宋体"/>
                <w:szCs w:val="21"/>
              </w:rPr>
            </w:pPr>
          </w:p>
        </w:tc>
        <w:tc>
          <w:tcPr>
            <w:tcW w:w="1347" w:type="dxa"/>
            <w:tcBorders>
              <w:top w:val="single" w:color="auto" w:sz="4" w:space="0"/>
              <w:left w:val="single" w:color="auto" w:sz="4" w:space="0"/>
              <w:bottom w:val="single" w:color="auto" w:sz="4" w:space="0"/>
              <w:right w:val="single" w:color="auto" w:sz="4" w:space="0"/>
            </w:tcBorders>
            <w:vAlign w:val="center"/>
          </w:tcPr>
          <w:p w14:paraId="7F269EE8">
            <w:pPr>
              <w:tabs>
                <w:tab w:val="left" w:pos="720"/>
              </w:tabs>
              <w:snapToGrid w:val="0"/>
              <w:spacing w:line="360" w:lineRule="auto"/>
              <w:jc w:val="center"/>
              <w:rPr>
                <w:rFonts w:ascii="宋体" w:hAnsi="宋体"/>
                <w:szCs w:val="21"/>
              </w:rPr>
            </w:pPr>
          </w:p>
        </w:tc>
        <w:tc>
          <w:tcPr>
            <w:tcW w:w="2274" w:type="dxa"/>
            <w:tcBorders>
              <w:top w:val="single" w:color="auto" w:sz="4" w:space="0"/>
              <w:left w:val="single" w:color="auto" w:sz="4" w:space="0"/>
              <w:bottom w:val="single" w:color="auto" w:sz="4" w:space="0"/>
              <w:right w:val="single" w:color="auto" w:sz="4" w:space="0"/>
            </w:tcBorders>
            <w:vAlign w:val="center"/>
          </w:tcPr>
          <w:p w14:paraId="37F4EB05">
            <w:pPr>
              <w:tabs>
                <w:tab w:val="left" w:pos="720"/>
              </w:tabs>
              <w:snapToGrid w:val="0"/>
              <w:spacing w:line="360" w:lineRule="auto"/>
              <w:jc w:val="center"/>
              <w:rPr>
                <w:rFonts w:ascii="宋体" w:hAnsi="宋体"/>
                <w:szCs w:val="21"/>
              </w:rPr>
            </w:pPr>
          </w:p>
        </w:tc>
        <w:tc>
          <w:tcPr>
            <w:tcW w:w="2182" w:type="dxa"/>
            <w:tcBorders>
              <w:top w:val="single" w:color="auto" w:sz="4" w:space="0"/>
              <w:left w:val="single" w:color="auto" w:sz="4" w:space="0"/>
              <w:bottom w:val="single" w:color="auto" w:sz="4" w:space="0"/>
              <w:right w:val="single" w:color="auto" w:sz="4" w:space="0"/>
            </w:tcBorders>
            <w:vAlign w:val="center"/>
          </w:tcPr>
          <w:p w14:paraId="6D7FA8C9">
            <w:pPr>
              <w:tabs>
                <w:tab w:val="left" w:pos="720"/>
              </w:tabs>
              <w:snapToGrid w:val="0"/>
              <w:spacing w:line="360" w:lineRule="auto"/>
              <w:jc w:val="center"/>
              <w:rPr>
                <w:rFonts w:ascii="宋体" w:hAnsi="宋体"/>
                <w:szCs w:val="21"/>
              </w:rPr>
            </w:pPr>
          </w:p>
        </w:tc>
        <w:tc>
          <w:tcPr>
            <w:tcW w:w="1328" w:type="dxa"/>
            <w:tcBorders>
              <w:top w:val="single" w:color="auto" w:sz="4" w:space="0"/>
              <w:left w:val="single" w:color="auto" w:sz="4" w:space="0"/>
              <w:bottom w:val="single" w:color="auto" w:sz="4" w:space="0"/>
              <w:right w:val="single" w:color="auto" w:sz="4" w:space="0"/>
            </w:tcBorders>
            <w:vAlign w:val="center"/>
          </w:tcPr>
          <w:p w14:paraId="0ECC4C74">
            <w:pPr>
              <w:tabs>
                <w:tab w:val="left" w:pos="720"/>
              </w:tabs>
              <w:snapToGrid w:val="0"/>
              <w:spacing w:line="360" w:lineRule="auto"/>
              <w:jc w:val="center"/>
              <w:rPr>
                <w:rFonts w:ascii="宋体" w:hAnsi="宋体"/>
                <w:szCs w:val="21"/>
              </w:rPr>
            </w:pPr>
          </w:p>
        </w:tc>
      </w:tr>
    </w:tbl>
    <w:p w14:paraId="36ABD43D">
      <w:pPr>
        <w:tabs>
          <w:tab w:val="left" w:pos="720"/>
        </w:tabs>
        <w:snapToGrid w:val="0"/>
        <w:spacing w:line="360" w:lineRule="auto"/>
        <w:rPr>
          <w:sz w:val="24"/>
          <w:szCs w:val="24"/>
        </w:rPr>
      </w:pPr>
    </w:p>
    <w:p w14:paraId="0B821DCD">
      <w:pPr>
        <w:pStyle w:val="5"/>
        <w:spacing w:after="0" w:line="360" w:lineRule="auto"/>
        <w:ind w:left="-2" w:leftChars="-1" w:firstLine="367" w:firstLineChars="175"/>
        <w:jc w:val="left"/>
        <w:rPr>
          <w:rFonts w:ascii="宋体" w:hAnsi="宋体" w:eastAsia="宋体"/>
          <w:szCs w:val="21"/>
        </w:rPr>
      </w:pPr>
      <w:r>
        <w:rPr>
          <w:rFonts w:hint="eastAsia" w:ascii="宋体" w:hAnsi="宋体" w:eastAsia="宋体"/>
          <w:szCs w:val="21"/>
        </w:rPr>
        <w:t>注：参与编制投标文件所有人员名单应包括如编制技术投标方案、负责清样校对、负责打印及复印等所有人员在内的人员名单。</w:t>
      </w:r>
    </w:p>
    <w:p w14:paraId="18BE2082">
      <w:pPr>
        <w:pStyle w:val="5"/>
        <w:spacing w:after="0" w:line="360" w:lineRule="auto"/>
        <w:ind w:left="-2" w:leftChars="-1" w:firstLine="420" w:firstLineChars="175"/>
        <w:jc w:val="center"/>
        <w:rPr>
          <w:sz w:val="24"/>
          <w:szCs w:val="24"/>
        </w:rPr>
      </w:pPr>
    </w:p>
    <w:p w14:paraId="5A72739D">
      <w:pPr>
        <w:autoSpaceDE w:val="0"/>
        <w:autoSpaceDN w:val="0"/>
        <w:adjustRightInd w:val="0"/>
        <w:rPr>
          <w:sz w:val="24"/>
          <w:szCs w:val="24"/>
        </w:rPr>
      </w:pPr>
    </w:p>
    <w:p w14:paraId="745E7489">
      <w:pPr>
        <w:spacing w:line="320" w:lineRule="exact"/>
        <w:rPr>
          <w:rFonts w:ascii="仿宋_GB2312" w:hAnsi="楷体" w:eastAsia="仿宋_GB2312"/>
          <w:szCs w:val="21"/>
        </w:rPr>
      </w:pPr>
    </w:p>
    <w:p w14:paraId="16284EDA">
      <w:pPr>
        <w:widowControl/>
        <w:jc w:val="left"/>
        <w:rPr>
          <w:rFonts w:ascii="仿宋_GB2312" w:hAnsi="楷体" w:eastAsia="仿宋_GB2312"/>
          <w:szCs w:val="21"/>
        </w:rPr>
      </w:pPr>
      <w:r>
        <w:rPr>
          <w:rFonts w:ascii="仿宋_GB2312" w:hAnsi="楷体" w:eastAsia="仿宋_GB2312"/>
          <w:szCs w:val="21"/>
        </w:rPr>
        <w:br w:type="page"/>
      </w:r>
    </w:p>
    <w:p w14:paraId="42CDB6A4">
      <w:pPr>
        <w:spacing w:line="320" w:lineRule="exact"/>
        <w:rPr>
          <w:rFonts w:ascii="仿宋_GB2312" w:hAnsi="楷体" w:eastAsia="仿宋_GB2312"/>
          <w:szCs w:val="21"/>
        </w:rPr>
      </w:pPr>
    </w:p>
    <w:p w14:paraId="5C028762">
      <w:pPr>
        <w:widowControl/>
        <w:jc w:val="left"/>
        <w:rPr>
          <w:rFonts w:ascii="仿宋_GB2312" w:hAnsi="楷体" w:eastAsia="仿宋_GB2312"/>
          <w:szCs w:val="21"/>
        </w:rPr>
      </w:pPr>
    </w:p>
    <w:p w14:paraId="7E34DF4F">
      <w:pPr>
        <w:widowControl/>
        <w:jc w:val="left"/>
        <w:rPr>
          <w:rFonts w:ascii="仿宋_GB2312" w:hAnsi="楷体" w:eastAsia="仿宋_GB2312"/>
          <w:szCs w:val="21"/>
        </w:rPr>
      </w:pPr>
    </w:p>
    <w:p w14:paraId="7AFC5388">
      <w:pPr>
        <w:widowControl/>
        <w:jc w:val="left"/>
        <w:rPr>
          <w:rFonts w:ascii="仿宋_GB2312" w:hAnsi="楷体" w:eastAsia="仿宋_GB2312"/>
          <w:szCs w:val="21"/>
        </w:rPr>
      </w:pPr>
    </w:p>
    <w:p w14:paraId="65A91B87">
      <w:pPr>
        <w:widowControl/>
        <w:jc w:val="left"/>
        <w:rPr>
          <w:rFonts w:ascii="仿宋_GB2312" w:hAnsi="楷体" w:eastAsia="仿宋_GB2312"/>
          <w:szCs w:val="21"/>
        </w:rPr>
      </w:pPr>
    </w:p>
    <w:p w14:paraId="598C1BF7">
      <w:pPr>
        <w:widowControl/>
        <w:jc w:val="left"/>
        <w:rPr>
          <w:rFonts w:ascii="仿宋_GB2312" w:hAnsi="楷体" w:eastAsia="仿宋_GB2312"/>
          <w:szCs w:val="21"/>
        </w:rPr>
      </w:pPr>
    </w:p>
    <w:p w14:paraId="64AD5D37">
      <w:pPr>
        <w:widowControl/>
        <w:jc w:val="left"/>
        <w:rPr>
          <w:rFonts w:ascii="仿宋_GB2312" w:hAnsi="楷体" w:eastAsia="仿宋_GB2312"/>
          <w:szCs w:val="21"/>
        </w:rPr>
      </w:pPr>
    </w:p>
    <w:p w14:paraId="1ED65E74">
      <w:pPr>
        <w:widowControl/>
        <w:jc w:val="left"/>
        <w:rPr>
          <w:rFonts w:ascii="仿宋_GB2312" w:hAnsi="楷体" w:eastAsia="仿宋_GB2312"/>
          <w:szCs w:val="21"/>
        </w:rPr>
      </w:pPr>
    </w:p>
    <w:p w14:paraId="4FDE7352">
      <w:pPr>
        <w:widowControl/>
        <w:jc w:val="left"/>
        <w:rPr>
          <w:rFonts w:ascii="仿宋_GB2312" w:hAnsi="楷体" w:eastAsia="仿宋_GB2312"/>
          <w:szCs w:val="21"/>
        </w:rPr>
      </w:pPr>
    </w:p>
    <w:p w14:paraId="4DD845DA">
      <w:pPr>
        <w:widowControl/>
        <w:jc w:val="left"/>
        <w:rPr>
          <w:rFonts w:ascii="仿宋_GB2312" w:hAnsi="楷体" w:eastAsia="仿宋_GB2312"/>
          <w:szCs w:val="21"/>
        </w:rPr>
      </w:pPr>
    </w:p>
    <w:p w14:paraId="7E93B4F9">
      <w:pPr>
        <w:widowControl/>
        <w:jc w:val="left"/>
        <w:rPr>
          <w:rFonts w:ascii="仿宋_GB2312" w:hAnsi="楷体" w:eastAsia="仿宋_GB2312"/>
          <w:szCs w:val="21"/>
        </w:rPr>
      </w:pPr>
    </w:p>
    <w:p w14:paraId="2F8FBB87">
      <w:pPr>
        <w:widowControl/>
        <w:jc w:val="left"/>
        <w:rPr>
          <w:rFonts w:ascii="仿宋_GB2312" w:hAnsi="楷体" w:eastAsia="仿宋_GB2312"/>
          <w:szCs w:val="21"/>
        </w:rPr>
      </w:pPr>
    </w:p>
    <w:p w14:paraId="49794313">
      <w:pPr>
        <w:widowControl/>
        <w:jc w:val="left"/>
        <w:rPr>
          <w:rFonts w:ascii="仿宋_GB2312" w:hAnsi="楷体" w:eastAsia="仿宋_GB2312"/>
          <w:szCs w:val="21"/>
        </w:rPr>
      </w:pPr>
    </w:p>
    <w:p w14:paraId="16579276">
      <w:pPr>
        <w:widowControl/>
        <w:jc w:val="left"/>
        <w:rPr>
          <w:rFonts w:ascii="仿宋_GB2312" w:hAnsi="楷体" w:eastAsia="仿宋_GB2312"/>
          <w:szCs w:val="21"/>
        </w:rPr>
      </w:pPr>
    </w:p>
    <w:p w14:paraId="60C90AB8">
      <w:pPr>
        <w:widowControl/>
        <w:jc w:val="left"/>
        <w:rPr>
          <w:rFonts w:ascii="仿宋_GB2312" w:hAnsi="楷体" w:eastAsia="仿宋_GB2312"/>
          <w:szCs w:val="21"/>
        </w:rPr>
      </w:pPr>
    </w:p>
    <w:p w14:paraId="6F74D60D">
      <w:pPr>
        <w:spacing w:line="320" w:lineRule="exact"/>
        <w:rPr>
          <w:rFonts w:ascii="仿宋_GB2312" w:hAnsi="楷体" w:eastAsia="仿宋_GB2312"/>
          <w:szCs w:val="21"/>
        </w:rPr>
      </w:pPr>
    </w:p>
    <w:p w14:paraId="0DE2D4E8">
      <w:pPr>
        <w:spacing w:line="360" w:lineRule="auto"/>
        <w:jc w:val="center"/>
        <w:rPr>
          <w:rFonts w:ascii="宋体" w:hAnsi="宋体" w:cs="宋体"/>
          <w:sz w:val="24"/>
        </w:rPr>
      </w:pPr>
      <w:r>
        <w:rPr>
          <w:rFonts w:hint="eastAsia" w:ascii="宋体" w:hAnsi="宋体" w:cs="宋体"/>
          <w:b/>
          <w:sz w:val="32"/>
          <w:szCs w:val="32"/>
        </w:rPr>
        <w:t>第二部分 经济标投标文件</w:t>
      </w:r>
      <w:r>
        <w:rPr>
          <w:sz w:val="24"/>
          <w:szCs w:val="24"/>
        </w:rPr>
        <w:br w:type="page"/>
      </w:r>
      <w:bookmarkStart w:id="28" w:name="_Toc2272568"/>
      <w:r>
        <w:rPr>
          <w:rFonts w:hint="eastAsia" w:ascii="宋体" w:hAnsi="宋体" w:cs="宋体"/>
          <w:sz w:val="24"/>
        </w:rPr>
        <w:t xml:space="preserve"> </w:t>
      </w:r>
    </w:p>
    <w:p w14:paraId="3F645EFA">
      <w:pPr>
        <w:pStyle w:val="136"/>
        <w:ind w:firstLine="496"/>
        <w:rPr>
          <w:rFonts w:ascii="宋体" w:hAnsi="宋体" w:cs="宋体"/>
        </w:rPr>
      </w:pPr>
      <w:r>
        <w:rPr>
          <w:rFonts w:hint="eastAsia" w:ascii="宋体" w:hAnsi="宋体" w:cs="宋体"/>
        </w:rPr>
        <w:t>经济标投标文件格式一：经济标投标文件封面</w:t>
      </w:r>
    </w:p>
    <w:p w14:paraId="61D4E01C">
      <w:pPr>
        <w:pStyle w:val="136"/>
        <w:ind w:firstLine="496"/>
        <w:rPr>
          <w:rFonts w:ascii="宋体" w:hAnsi="宋体" w:cs="宋体"/>
        </w:rPr>
      </w:pPr>
    </w:p>
    <w:p w14:paraId="674D14B4">
      <w:pPr>
        <w:pStyle w:val="136"/>
        <w:ind w:firstLine="496"/>
        <w:rPr>
          <w:rFonts w:ascii="宋体" w:hAnsi="宋体" w:cs="宋体"/>
        </w:rPr>
      </w:pPr>
    </w:p>
    <w:p w14:paraId="093E4369">
      <w:pPr>
        <w:pStyle w:val="136"/>
        <w:ind w:firstLine="496"/>
        <w:rPr>
          <w:rFonts w:ascii="宋体" w:hAnsi="宋体" w:cs="宋体"/>
        </w:rPr>
      </w:pPr>
    </w:p>
    <w:p w14:paraId="5403B11E">
      <w:pPr>
        <w:pStyle w:val="139"/>
        <w:rPr>
          <w:rFonts w:ascii="宋体" w:hAnsi="宋体" w:eastAsia="宋体" w:cs="宋体"/>
          <w:u w:val="single"/>
        </w:rPr>
      </w:pPr>
      <w:r>
        <w:rPr>
          <w:rFonts w:hint="eastAsia" w:ascii="宋体" w:hAnsi="宋体" w:eastAsia="宋体" w:cs="宋体"/>
          <w:u w:val="single"/>
        </w:rPr>
        <w:t xml:space="preserve">[工程名称] </w:t>
      </w:r>
    </w:p>
    <w:p w14:paraId="0C89F926">
      <w:pPr>
        <w:pStyle w:val="136"/>
        <w:ind w:firstLine="496"/>
        <w:rPr>
          <w:rFonts w:ascii="宋体" w:hAnsi="宋体" w:cs="宋体"/>
        </w:rPr>
      </w:pPr>
    </w:p>
    <w:p w14:paraId="0ED323EB">
      <w:pPr>
        <w:pStyle w:val="136"/>
        <w:ind w:firstLine="496"/>
        <w:rPr>
          <w:rFonts w:ascii="宋体" w:hAnsi="宋体" w:cs="宋体"/>
        </w:rPr>
      </w:pPr>
    </w:p>
    <w:p w14:paraId="5DA73937">
      <w:pPr>
        <w:pStyle w:val="136"/>
        <w:ind w:firstLine="496"/>
        <w:rPr>
          <w:rFonts w:ascii="宋体" w:hAnsi="宋体" w:cs="宋体"/>
        </w:rPr>
      </w:pPr>
    </w:p>
    <w:p w14:paraId="25DB23A8">
      <w:pPr>
        <w:pStyle w:val="136"/>
        <w:ind w:firstLine="496"/>
        <w:rPr>
          <w:rFonts w:ascii="宋体" w:hAnsi="宋体" w:cs="宋体"/>
        </w:rPr>
      </w:pPr>
    </w:p>
    <w:p w14:paraId="6FC3E91A">
      <w:pPr>
        <w:pStyle w:val="137"/>
        <w:rPr>
          <w:rFonts w:ascii="宋体" w:hAnsi="宋体" w:eastAsia="宋体" w:cs="宋体"/>
        </w:rPr>
      </w:pPr>
      <w:r>
        <w:rPr>
          <w:rFonts w:hint="eastAsia" w:ascii="宋体" w:hAnsi="宋体" w:eastAsia="宋体" w:cs="宋体"/>
        </w:rPr>
        <w:t>投标文件</w:t>
      </w:r>
    </w:p>
    <w:p w14:paraId="7F204533">
      <w:pPr>
        <w:pStyle w:val="139"/>
        <w:rPr>
          <w:rFonts w:ascii="宋体" w:hAnsi="宋体" w:eastAsia="宋体" w:cs="宋体"/>
        </w:rPr>
      </w:pPr>
      <w:r>
        <w:rPr>
          <w:rFonts w:hint="eastAsia" w:ascii="宋体" w:hAnsi="宋体" w:eastAsia="宋体" w:cs="宋体"/>
        </w:rPr>
        <w:t>第二部分（经济标）</w:t>
      </w:r>
    </w:p>
    <w:p w14:paraId="09FE6486">
      <w:pPr>
        <w:pStyle w:val="136"/>
        <w:ind w:firstLine="496"/>
        <w:rPr>
          <w:rFonts w:ascii="宋体" w:hAnsi="宋体" w:cs="宋体"/>
        </w:rPr>
      </w:pPr>
    </w:p>
    <w:p w14:paraId="5AA0115B">
      <w:pPr>
        <w:pStyle w:val="136"/>
        <w:ind w:firstLine="496"/>
        <w:rPr>
          <w:rFonts w:ascii="宋体" w:hAnsi="宋体" w:cs="宋体"/>
        </w:rPr>
      </w:pPr>
    </w:p>
    <w:p w14:paraId="7FAD1EF4">
      <w:pPr>
        <w:pStyle w:val="136"/>
        <w:ind w:firstLine="496"/>
        <w:rPr>
          <w:rFonts w:ascii="宋体" w:hAnsi="宋体" w:cs="宋体"/>
        </w:rPr>
      </w:pPr>
    </w:p>
    <w:p w14:paraId="4C2C07C7">
      <w:pPr>
        <w:pStyle w:val="136"/>
        <w:ind w:firstLine="496"/>
        <w:rPr>
          <w:rFonts w:ascii="宋体" w:hAnsi="宋体" w:cs="宋体"/>
        </w:rPr>
      </w:pPr>
    </w:p>
    <w:p w14:paraId="6E622B74">
      <w:pPr>
        <w:pStyle w:val="136"/>
        <w:ind w:firstLine="496"/>
        <w:rPr>
          <w:rFonts w:ascii="宋体" w:hAnsi="宋体" w:cs="宋体"/>
        </w:rPr>
      </w:pPr>
    </w:p>
    <w:p w14:paraId="23AA2E5E">
      <w:pPr>
        <w:pStyle w:val="136"/>
        <w:ind w:firstLine="496"/>
        <w:rPr>
          <w:rFonts w:ascii="宋体" w:hAnsi="宋体" w:cs="宋体"/>
        </w:rPr>
      </w:pPr>
    </w:p>
    <w:p w14:paraId="5CFAE31D">
      <w:pPr>
        <w:pStyle w:val="136"/>
        <w:ind w:firstLine="496"/>
        <w:rPr>
          <w:rFonts w:ascii="宋体" w:hAnsi="宋体" w:cs="宋体"/>
        </w:rPr>
      </w:pPr>
    </w:p>
    <w:p w14:paraId="1E351517">
      <w:pPr>
        <w:pStyle w:val="138"/>
        <w:ind w:firstLine="2038" w:firstLineChars="662"/>
        <w:rPr>
          <w:rFonts w:ascii="宋体" w:hAnsi="宋体" w:cs="宋体"/>
          <w:u w:val="single"/>
        </w:rPr>
      </w:pPr>
      <w:r>
        <w:rPr>
          <w:rFonts w:hint="eastAsia" w:ascii="宋体" w:hAnsi="宋体" w:cs="宋体"/>
        </w:rPr>
        <w:t>投标人：</w:t>
      </w:r>
      <w:r>
        <w:rPr>
          <w:rFonts w:hint="eastAsia" w:ascii="宋体" w:hAnsi="宋体" w:cs="宋体"/>
          <w:u w:val="single"/>
        </w:rPr>
        <w:t xml:space="preserve">                 </w:t>
      </w:r>
    </w:p>
    <w:p w14:paraId="4BC801AF">
      <w:pPr>
        <w:pStyle w:val="138"/>
        <w:ind w:firstLine="2038" w:firstLineChars="662"/>
        <w:rPr>
          <w:rFonts w:ascii="宋体" w:hAnsi="宋体" w:cs="宋体"/>
          <w:u w:val="single"/>
        </w:rPr>
      </w:pPr>
      <w:r>
        <w:rPr>
          <w:rFonts w:hint="eastAsia" w:ascii="宋体" w:hAnsi="宋体" w:cs="宋体"/>
        </w:rPr>
        <w:t>日  期：</w:t>
      </w:r>
      <w:r>
        <w:rPr>
          <w:rFonts w:hint="eastAsia" w:ascii="宋体" w:hAnsi="宋体" w:cs="宋体"/>
          <w:u w:val="single"/>
        </w:rPr>
        <w:t xml:space="preserve">                 </w:t>
      </w:r>
    </w:p>
    <w:p w14:paraId="4BE75190">
      <w:pPr>
        <w:tabs>
          <w:tab w:val="left" w:pos="720"/>
        </w:tabs>
        <w:snapToGrid w:val="0"/>
        <w:spacing w:line="360" w:lineRule="auto"/>
        <w:rPr>
          <w:sz w:val="24"/>
          <w:szCs w:val="24"/>
        </w:rPr>
      </w:pPr>
    </w:p>
    <w:p w14:paraId="4136FAFE">
      <w:pPr>
        <w:widowControl/>
        <w:jc w:val="left"/>
        <w:rPr>
          <w:sz w:val="24"/>
          <w:szCs w:val="24"/>
        </w:rPr>
      </w:pPr>
      <w:r>
        <w:rPr>
          <w:sz w:val="24"/>
          <w:szCs w:val="24"/>
        </w:rPr>
        <w:br w:type="page"/>
      </w:r>
    </w:p>
    <w:p w14:paraId="47F7E098">
      <w:pPr>
        <w:spacing w:line="360" w:lineRule="auto"/>
        <w:rPr>
          <w:rFonts w:ascii="宋体" w:hAnsi="宋体" w:cs="宋体"/>
          <w:sz w:val="24"/>
        </w:rPr>
      </w:pPr>
      <w:r>
        <w:rPr>
          <w:rFonts w:hint="eastAsia" w:ascii="宋体" w:hAnsi="宋体" w:cs="宋体"/>
          <w:sz w:val="24"/>
        </w:rPr>
        <w:t>经济标投标文件格式二：</w:t>
      </w:r>
    </w:p>
    <w:p w14:paraId="28C1CA42">
      <w:pPr>
        <w:spacing w:line="360" w:lineRule="auto"/>
        <w:rPr>
          <w:rFonts w:ascii="宋体" w:hAnsi="宋体" w:cs="宋体"/>
          <w:sz w:val="24"/>
        </w:rPr>
      </w:pPr>
    </w:p>
    <w:p w14:paraId="7557ED5A">
      <w:pPr>
        <w:pStyle w:val="140"/>
        <w:rPr>
          <w:rFonts w:ascii="宋体" w:hAnsi="宋体" w:eastAsia="宋体" w:cs="宋体"/>
        </w:rPr>
      </w:pPr>
      <w:r>
        <w:rPr>
          <w:rFonts w:hint="eastAsia" w:ascii="宋体" w:hAnsi="宋体" w:eastAsia="宋体" w:cs="宋体"/>
        </w:rPr>
        <w:t>工程量清单计价表</w:t>
      </w:r>
    </w:p>
    <w:p w14:paraId="150B10B8">
      <w:pPr>
        <w:pStyle w:val="136"/>
        <w:ind w:firstLine="496"/>
        <w:rPr>
          <w:rFonts w:ascii="宋体" w:hAnsi="宋体" w:cs="宋体"/>
        </w:rPr>
      </w:pPr>
    </w:p>
    <w:p w14:paraId="236CC715">
      <w:pPr>
        <w:pStyle w:val="136"/>
        <w:ind w:firstLine="496"/>
        <w:rPr>
          <w:rFonts w:ascii="宋体" w:hAnsi="宋体" w:cs="宋体"/>
        </w:rPr>
      </w:pPr>
      <w:r>
        <w:rPr>
          <w:rFonts w:hint="eastAsia" w:ascii="宋体" w:hAnsi="宋体" w:cs="宋体"/>
        </w:rPr>
        <w:t>注：</w:t>
      </w:r>
      <w:r>
        <w:rPr>
          <w:rFonts w:hint="eastAsia" w:ascii="宋体" w:hAnsi="宋体" w:cs="宋体"/>
          <w:snapToGrid w:val="0"/>
          <w:szCs w:val="20"/>
        </w:rPr>
        <w:t>按投标须知修改表11.3.2条款要求，</w:t>
      </w:r>
      <w:r>
        <w:rPr>
          <w:rFonts w:hint="eastAsia" w:ascii="宋体" w:hAnsi="宋体" w:cs="宋体"/>
        </w:rPr>
        <w:t>详见工程量清单。</w:t>
      </w:r>
    </w:p>
    <w:p w14:paraId="0F814DFD">
      <w:pPr>
        <w:widowControl/>
        <w:jc w:val="left"/>
        <w:rPr>
          <w:rFonts w:ascii="宋体" w:hAnsi="宋体" w:cs="宋体"/>
          <w:sz w:val="24"/>
        </w:rPr>
      </w:pPr>
      <w:r>
        <w:rPr>
          <w:rFonts w:ascii="宋体" w:hAnsi="宋体" w:cs="宋体"/>
          <w:sz w:val="24"/>
        </w:rPr>
        <w:br w:type="page"/>
      </w:r>
    </w:p>
    <w:p w14:paraId="344A9B6F">
      <w:pPr>
        <w:spacing w:line="360" w:lineRule="auto"/>
        <w:rPr>
          <w:rFonts w:ascii="宋体" w:hAnsi="宋体" w:cs="宋体"/>
          <w:sz w:val="24"/>
        </w:rPr>
      </w:pPr>
      <w:r>
        <w:rPr>
          <w:rFonts w:hint="eastAsia" w:ascii="宋体" w:hAnsi="宋体" w:cs="宋体"/>
          <w:sz w:val="24"/>
        </w:rPr>
        <w:t>经济标投标文件格式三：</w:t>
      </w:r>
    </w:p>
    <w:p w14:paraId="12B8800A">
      <w:pPr>
        <w:jc w:val="center"/>
        <w:rPr>
          <w:rFonts w:ascii="仿宋_GB2312" w:eastAsia="仿宋_GB2312" w:hAnsiTheme="minorHAnsi" w:cstheme="minorBidi"/>
          <w:bCs/>
          <w:sz w:val="28"/>
          <w:szCs w:val="32"/>
        </w:rPr>
      </w:pPr>
      <w:r>
        <w:rPr>
          <w:rFonts w:hint="eastAsia" w:ascii="仿宋_GB2312" w:eastAsia="仿宋_GB2312" w:hAnsiTheme="minorHAnsi" w:cstheme="minorBidi"/>
          <w:bCs/>
          <w:sz w:val="28"/>
          <w:szCs w:val="32"/>
        </w:rPr>
        <w:t>拟采用材料品牌表（或相当于）</w:t>
      </w:r>
    </w:p>
    <w:tbl>
      <w:tblPr>
        <w:tblStyle w:val="34"/>
        <w:tblW w:w="5126" w:type="pct"/>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82"/>
        <w:gridCol w:w="1020"/>
        <w:gridCol w:w="2766"/>
        <w:gridCol w:w="1749"/>
        <w:gridCol w:w="1456"/>
        <w:gridCol w:w="1164"/>
      </w:tblGrid>
      <w:tr w14:paraId="7BA5CE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333" w:type="pct"/>
            <w:vMerge w:val="restart"/>
            <w:shd w:val="clear" w:color="auto" w:fill="auto"/>
            <w:vAlign w:val="center"/>
          </w:tcPr>
          <w:p w14:paraId="45CC60D4">
            <w:pPr>
              <w:jc w:val="center"/>
              <w:rPr>
                <w:rFonts w:ascii="仿宋" w:hAnsi="仿宋" w:eastAsia="仿宋" w:cstheme="minorBidi"/>
                <w:sz w:val="24"/>
                <w:szCs w:val="24"/>
              </w:rPr>
            </w:pPr>
            <w:r>
              <w:rPr>
                <w:rFonts w:hint="eastAsia" w:ascii="仿宋" w:hAnsi="仿宋" w:eastAsia="仿宋" w:cstheme="minorBidi"/>
                <w:sz w:val="24"/>
                <w:szCs w:val="24"/>
              </w:rPr>
              <w:t>序号</w:t>
            </w:r>
          </w:p>
        </w:tc>
        <w:tc>
          <w:tcPr>
            <w:tcW w:w="584" w:type="pct"/>
            <w:vMerge w:val="restart"/>
            <w:shd w:val="clear" w:color="auto" w:fill="auto"/>
            <w:vAlign w:val="center"/>
          </w:tcPr>
          <w:p w14:paraId="5FC53948">
            <w:pPr>
              <w:jc w:val="center"/>
              <w:rPr>
                <w:rFonts w:ascii="仿宋" w:hAnsi="仿宋" w:eastAsia="仿宋" w:cstheme="minorBidi"/>
                <w:sz w:val="24"/>
                <w:szCs w:val="24"/>
              </w:rPr>
            </w:pPr>
            <w:r>
              <w:rPr>
                <w:rFonts w:hint="eastAsia" w:ascii="仿宋" w:hAnsi="仿宋" w:eastAsia="仿宋" w:cstheme="minorBidi"/>
                <w:sz w:val="24"/>
                <w:szCs w:val="24"/>
              </w:rPr>
              <w:t>类别</w:t>
            </w:r>
          </w:p>
        </w:tc>
        <w:tc>
          <w:tcPr>
            <w:tcW w:w="1583" w:type="pct"/>
            <w:vMerge w:val="restart"/>
            <w:shd w:val="clear" w:color="auto" w:fill="auto"/>
            <w:vAlign w:val="center"/>
          </w:tcPr>
          <w:p w14:paraId="7124E6EC">
            <w:pPr>
              <w:jc w:val="center"/>
              <w:rPr>
                <w:rFonts w:ascii="仿宋" w:hAnsi="仿宋" w:eastAsia="仿宋" w:cstheme="minorBidi"/>
                <w:sz w:val="24"/>
                <w:szCs w:val="24"/>
              </w:rPr>
            </w:pPr>
            <w:r>
              <w:rPr>
                <w:rFonts w:hint="eastAsia" w:ascii="仿宋" w:hAnsi="仿宋" w:eastAsia="仿宋" w:cstheme="minorBidi"/>
                <w:sz w:val="24"/>
                <w:szCs w:val="24"/>
              </w:rPr>
              <w:t>材料、设备系统类别</w:t>
            </w:r>
          </w:p>
        </w:tc>
        <w:tc>
          <w:tcPr>
            <w:tcW w:w="2500" w:type="pct"/>
            <w:gridSpan w:val="3"/>
            <w:vAlign w:val="center"/>
          </w:tcPr>
          <w:p w14:paraId="7390AA9E">
            <w:pPr>
              <w:jc w:val="center"/>
              <w:rPr>
                <w:rFonts w:ascii="仿宋" w:hAnsi="仿宋" w:eastAsia="仿宋" w:cstheme="minorBidi"/>
                <w:sz w:val="24"/>
                <w:szCs w:val="24"/>
              </w:rPr>
            </w:pPr>
            <w:r>
              <w:rPr>
                <w:rFonts w:hint="eastAsia" w:ascii="仿宋" w:hAnsi="仿宋" w:eastAsia="仿宋" w:cstheme="minorBidi"/>
                <w:sz w:val="24"/>
                <w:szCs w:val="24"/>
              </w:rPr>
              <w:t>可</w:t>
            </w:r>
            <w:r>
              <w:rPr>
                <w:rFonts w:ascii="仿宋" w:hAnsi="仿宋" w:eastAsia="仿宋" w:cstheme="minorBidi"/>
                <w:sz w:val="24"/>
                <w:szCs w:val="24"/>
              </w:rPr>
              <w:t>选用品牌</w:t>
            </w:r>
            <w:r>
              <w:rPr>
                <w:rFonts w:hint="eastAsia" w:ascii="仿宋" w:hAnsi="仿宋" w:eastAsia="仿宋" w:cstheme="minorBidi"/>
                <w:sz w:val="24"/>
                <w:szCs w:val="24"/>
              </w:rPr>
              <w:t>（或相当于）</w:t>
            </w:r>
          </w:p>
        </w:tc>
      </w:tr>
      <w:tr w14:paraId="18F2AF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333" w:type="pct"/>
            <w:vMerge w:val="continue"/>
            <w:shd w:val="clear" w:color="auto" w:fill="auto"/>
            <w:vAlign w:val="center"/>
          </w:tcPr>
          <w:p w14:paraId="4ADB5E10">
            <w:pPr>
              <w:jc w:val="center"/>
              <w:rPr>
                <w:rFonts w:ascii="仿宋" w:hAnsi="仿宋" w:eastAsia="仿宋" w:cstheme="minorBidi"/>
                <w:sz w:val="24"/>
                <w:szCs w:val="24"/>
              </w:rPr>
            </w:pPr>
          </w:p>
        </w:tc>
        <w:tc>
          <w:tcPr>
            <w:tcW w:w="584" w:type="pct"/>
            <w:vMerge w:val="continue"/>
            <w:shd w:val="clear" w:color="auto" w:fill="auto"/>
            <w:vAlign w:val="center"/>
          </w:tcPr>
          <w:p w14:paraId="1FD4E9B9">
            <w:pPr>
              <w:jc w:val="center"/>
              <w:rPr>
                <w:rFonts w:ascii="仿宋" w:hAnsi="仿宋" w:eastAsia="仿宋"/>
                <w:sz w:val="24"/>
                <w:szCs w:val="24"/>
              </w:rPr>
            </w:pPr>
          </w:p>
        </w:tc>
        <w:tc>
          <w:tcPr>
            <w:tcW w:w="1583" w:type="pct"/>
            <w:vMerge w:val="continue"/>
            <w:shd w:val="clear" w:color="auto" w:fill="auto"/>
            <w:vAlign w:val="center"/>
          </w:tcPr>
          <w:p w14:paraId="6EC22178">
            <w:pPr>
              <w:jc w:val="center"/>
              <w:rPr>
                <w:rFonts w:ascii="仿宋" w:hAnsi="仿宋" w:eastAsia="仿宋" w:cstheme="minorBidi"/>
                <w:sz w:val="24"/>
                <w:szCs w:val="24"/>
              </w:rPr>
            </w:pPr>
          </w:p>
        </w:tc>
        <w:tc>
          <w:tcPr>
            <w:tcW w:w="1001" w:type="pct"/>
            <w:vAlign w:val="center"/>
          </w:tcPr>
          <w:p w14:paraId="0A1203B4">
            <w:pPr>
              <w:jc w:val="center"/>
              <w:rPr>
                <w:rFonts w:ascii="仿宋" w:hAnsi="仿宋" w:eastAsia="仿宋"/>
                <w:sz w:val="24"/>
                <w:szCs w:val="24"/>
              </w:rPr>
            </w:pPr>
            <w:bookmarkStart w:id="29" w:name="OLE_LINK4"/>
            <w:bookmarkStart w:id="30" w:name="OLE_LINK3"/>
            <w:r>
              <w:rPr>
                <w:rFonts w:ascii="仿宋" w:hAnsi="仿宋" w:eastAsia="仿宋"/>
                <w:sz w:val="24"/>
                <w:szCs w:val="24"/>
              </w:rPr>
              <w:t>品牌</w:t>
            </w:r>
            <w:r>
              <w:rPr>
                <w:rFonts w:hint="eastAsia" w:ascii="仿宋" w:hAnsi="仿宋" w:eastAsia="仿宋"/>
                <w:sz w:val="24"/>
                <w:szCs w:val="24"/>
              </w:rPr>
              <w:t>1</w:t>
            </w:r>
            <w:bookmarkEnd w:id="29"/>
            <w:bookmarkEnd w:id="30"/>
          </w:p>
        </w:tc>
        <w:tc>
          <w:tcPr>
            <w:tcW w:w="833" w:type="pct"/>
            <w:vAlign w:val="center"/>
          </w:tcPr>
          <w:p w14:paraId="79F7785B">
            <w:pPr>
              <w:jc w:val="center"/>
              <w:rPr>
                <w:rFonts w:ascii="仿宋" w:hAnsi="仿宋" w:eastAsia="仿宋"/>
                <w:sz w:val="24"/>
                <w:szCs w:val="24"/>
              </w:rPr>
            </w:pPr>
            <w:r>
              <w:rPr>
                <w:rFonts w:ascii="仿宋" w:hAnsi="仿宋" w:eastAsia="仿宋"/>
                <w:sz w:val="24"/>
                <w:szCs w:val="24"/>
              </w:rPr>
              <w:t>品牌2</w:t>
            </w:r>
          </w:p>
        </w:tc>
        <w:tc>
          <w:tcPr>
            <w:tcW w:w="666" w:type="pct"/>
            <w:shd w:val="clear" w:color="auto" w:fill="auto"/>
            <w:vAlign w:val="center"/>
          </w:tcPr>
          <w:p w14:paraId="65DCEC32">
            <w:pPr>
              <w:jc w:val="center"/>
              <w:rPr>
                <w:rFonts w:ascii="仿宋" w:hAnsi="仿宋" w:eastAsia="仿宋" w:cstheme="minorBidi"/>
                <w:sz w:val="24"/>
                <w:szCs w:val="24"/>
              </w:rPr>
            </w:pPr>
            <w:r>
              <w:rPr>
                <w:rFonts w:ascii="仿宋" w:hAnsi="仿宋" w:eastAsia="仿宋"/>
                <w:sz w:val="24"/>
                <w:szCs w:val="24"/>
              </w:rPr>
              <w:t>品牌3</w:t>
            </w:r>
          </w:p>
        </w:tc>
      </w:tr>
      <w:tr w14:paraId="14AE89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333" w:type="pct"/>
            <w:shd w:val="clear" w:color="auto" w:fill="auto"/>
            <w:vAlign w:val="center"/>
          </w:tcPr>
          <w:p w14:paraId="068E6AB9">
            <w:pPr>
              <w:jc w:val="center"/>
              <w:rPr>
                <w:rFonts w:ascii="仿宋" w:hAnsi="仿宋" w:eastAsia="仿宋" w:cstheme="minorBidi"/>
                <w:sz w:val="24"/>
                <w:szCs w:val="24"/>
              </w:rPr>
            </w:pPr>
            <w:r>
              <w:rPr>
                <w:rFonts w:ascii="仿宋" w:hAnsi="仿宋" w:eastAsia="仿宋" w:cstheme="minorBidi"/>
                <w:sz w:val="24"/>
                <w:szCs w:val="24"/>
              </w:rPr>
              <w:t>1</w:t>
            </w:r>
          </w:p>
        </w:tc>
        <w:tc>
          <w:tcPr>
            <w:tcW w:w="584" w:type="pct"/>
            <w:vMerge w:val="restart"/>
            <w:shd w:val="clear" w:color="auto" w:fill="auto"/>
            <w:vAlign w:val="center"/>
          </w:tcPr>
          <w:p w14:paraId="08655951">
            <w:pPr>
              <w:jc w:val="center"/>
              <w:rPr>
                <w:rFonts w:ascii="仿宋" w:hAnsi="仿宋" w:eastAsia="仿宋"/>
                <w:sz w:val="24"/>
                <w:szCs w:val="24"/>
              </w:rPr>
            </w:pPr>
            <w:r>
              <w:rPr>
                <w:rFonts w:ascii="仿宋" w:hAnsi="仿宋" w:eastAsia="仿宋"/>
                <w:sz w:val="24"/>
                <w:szCs w:val="24"/>
              </w:rPr>
              <w:t>建筑</w:t>
            </w:r>
          </w:p>
        </w:tc>
        <w:tc>
          <w:tcPr>
            <w:tcW w:w="1583" w:type="pct"/>
            <w:shd w:val="clear" w:color="auto" w:fill="auto"/>
            <w:vAlign w:val="center"/>
          </w:tcPr>
          <w:p w14:paraId="3D58BE1A">
            <w:pPr>
              <w:jc w:val="center"/>
              <w:rPr>
                <w:rFonts w:ascii="仿宋" w:hAnsi="仿宋" w:eastAsia="仿宋" w:cstheme="minorBidi"/>
                <w:sz w:val="24"/>
                <w:szCs w:val="24"/>
              </w:rPr>
            </w:pPr>
            <w:r>
              <w:rPr>
                <w:rFonts w:ascii="仿宋" w:hAnsi="仿宋" w:eastAsia="仿宋" w:cstheme="minorBidi"/>
                <w:sz w:val="24"/>
                <w:szCs w:val="24"/>
              </w:rPr>
              <w:t>防水卷</w:t>
            </w:r>
            <w:r>
              <w:rPr>
                <w:rFonts w:hint="eastAsia" w:ascii="仿宋" w:hAnsi="仿宋" w:eastAsia="仿宋" w:cstheme="minorBidi"/>
                <w:sz w:val="24"/>
                <w:szCs w:val="24"/>
              </w:rPr>
              <w:t>材</w:t>
            </w:r>
          </w:p>
        </w:tc>
        <w:tc>
          <w:tcPr>
            <w:tcW w:w="1001" w:type="pct"/>
            <w:vAlign w:val="center"/>
          </w:tcPr>
          <w:p w14:paraId="02A7BFD8">
            <w:pPr>
              <w:jc w:val="center"/>
              <w:rPr>
                <w:rFonts w:ascii="仿宋" w:hAnsi="仿宋" w:eastAsia="仿宋"/>
                <w:sz w:val="24"/>
                <w:szCs w:val="24"/>
              </w:rPr>
            </w:pPr>
            <w:r>
              <w:rPr>
                <w:rFonts w:ascii="仿宋" w:hAnsi="仿宋" w:eastAsia="仿宋"/>
                <w:sz w:val="24"/>
                <w:szCs w:val="24"/>
              </w:rPr>
              <w:t>科顺</w:t>
            </w:r>
          </w:p>
        </w:tc>
        <w:tc>
          <w:tcPr>
            <w:tcW w:w="833" w:type="pct"/>
            <w:vAlign w:val="center"/>
          </w:tcPr>
          <w:p w14:paraId="31B2426C">
            <w:pPr>
              <w:jc w:val="center"/>
              <w:rPr>
                <w:rFonts w:ascii="仿宋" w:hAnsi="仿宋" w:eastAsia="仿宋"/>
                <w:sz w:val="24"/>
                <w:szCs w:val="24"/>
              </w:rPr>
            </w:pPr>
            <w:r>
              <w:rPr>
                <w:rFonts w:ascii="仿宋" w:hAnsi="仿宋" w:eastAsia="仿宋"/>
                <w:sz w:val="24"/>
                <w:szCs w:val="24"/>
              </w:rPr>
              <w:t>东方雨虹</w:t>
            </w:r>
          </w:p>
        </w:tc>
        <w:tc>
          <w:tcPr>
            <w:tcW w:w="666" w:type="pct"/>
            <w:shd w:val="clear" w:color="auto" w:fill="auto"/>
            <w:vAlign w:val="center"/>
          </w:tcPr>
          <w:p w14:paraId="780E69CD">
            <w:pPr>
              <w:jc w:val="center"/>
              <w:rPr>
                <w:rFonts w:ascii="仿宋" w:hAnsi="仿宋" w:eastAsia="仿宋" w:cstheme="minorBidi"/>
                <w:sz w:val="24"/>
                <w:szCs w:val="24"/>
              </w:rPr>
            </w:pPr>
            <w:r>
              <w:rPr>
                <w:rFonts w:ascii="仿宋" w:hAnsi="仿宋" w:eastAsia="仿宋" w:cstheme="minorBidi"/>
                <w:sz w:val="24"/>
                <w:szCs w:val="24"/>
              </w:rPr>
              <w:t>台实</w:t>
            </w:r>
          </w:p>
        </w:tc>
      </w:tr>
      <w:tr w14:paraId="3E0692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333" w:type="pct"/>
            <w:shd w:val="clear" w:color="auto" w:fill="auto"/>
            <w:vAlign w:val="center"/>
          </w:tcPr>
          <w:p w14:paraId="07EC82E3">
            <w:pPr>
              <w:jc w:val="center"/>
              <w:rPr>
                <w:rFonts w:ascii="仿宋" w:hAnsi="仿宋" w:eastAsia="仿宋" w:cstheme="minorBidi"/>
                <w:sz w:val="24"/>
                <w:szCs w:val="24"/>
              </w:rPr>
            </w:pPr>
            <w:r>
              <w:rPr>
                <w:rFonts w:ascii="仿宋" w:hAnsi="仿宋" w:eastAsia="仿宋" w:cstheme="minorBidi"/>
                <w:sz w:val="24"/>
                <w:szCs w:val="24"/>
              </w:rPr>
              <w:t>2</w:t>
            </w:r>
          </w:p>
        </w:tc>
        <w:tc>
          <w:tcPr>
            <w:tcW w:w="584" w:type="pct"/>
            <w:vMerge w:val="continue"/>
            <w:shd w:val="clear" w:color="auto" w:fill="auto"/>
            <w:vAlign w:val="center"/>
          </w:tcPr>
          <w:p w14:paraId="7B360F18">
            <w:pPr>
              <w:jc w:val="center"/>
              <w:rPr>
                <w:rFonts w:ascii="仿宋" w:hAnsi="仿宋" w:eastAsia="仿宋" w:cstheme="minorBidi"/>
                <w:sz w:val="24"/>
                <w:szCs w:val="24"/>
              </w:rPr>
            </w:pPr>
          </w:p>
        </w:tc>
        <w:tc>
          <w:tcPr>
            <w:tcW w:w="1583" w:type="pct"/>
            <w:shd w:val="clear" w:color="auto" w:fill="auto"/>
            <w:vAlign w:val="center"/>
          </w:tcPr>
          <w:p w14:paraId="183A1F30">
            <w:pPr>
              <w:jc w:val="center"/>
              <w:rPr>
                <w:rFonts w:ascii="仿宋" w:hAnsi="仿宋" w:eastAsia="仿宋" w:cstheme="minorBidi"/>
                <w:sz w:val="24"/>
                <w:szCs w:val="24"/>
              </w:rPr>
            </w:pPr>
            <w:r>
              <w:rPr>
                <w:rFonts w:ascii="仿宋" w:hAnsi="仿宋" w:eastAsia="仿宋" w:cstheme="minorBidi"/>
                <w:sz w:val="24"/>
                <w:szCs w:val="24"/>
              </w:rPr>
              <w:t>聚氨酯防水涂料</w:t>
            </w:r>
          </w:p>
        </w:tc>
        <w:tc>
          <w:tcPr>
            <w:tcW w:w="1001" w:type="pct"/>
            <w:vAlign w:val="center"/>
          </w:tcPr>
          <w:p w14:paraId="61B8FAAD">
            <w:pPr>
              <w:jc w:val="center"/>
              <w:rPr>
                <w:rFonts w:ascii="仿宋" w:hAnsi="仿宋" w:eastAsia="仿宋"/>
                <w:sz w:val="24"/>
                <w:szCs w:val="24"/>
              </w:rPr>
            </w:pPr>
            <w:r>
              <w:rPr>
                <w:rFonts w:ascii="仿宋" w:hAnsi="仿宋" w:eastAsia="仿宋"/>
                <w:sz w:val="24"/>
                <w:szCs w:val="24"/>
              </w:rPr>
              <w:t>科顺</w:t>
            </w:r>
          </w:p>
        </w:tc>
        <w:tc>
          <w:tcPr>
            <w:tcW w:w="833" w:type="pct"/>
            <w:vAlign w:val="center"/>
          </w:tcPr>
          <w:p w14:paraId="351F639F">
            <w:pPr>
              <w:jc w:val="center"/>
              <w:rPr>
                <w:rFonts w:ascii="仿宋" w:hAnsi="仿宋" w:eastAsia="仿宋"/>
                <w:sz w:val="24"/>
                <w:szCs w:val="24"/>
              </w:rPr>
            </w:pPr>
            <w:r>
              <w:rPr>
                <w:rFonts w:ascii="仿宋" w:hAnsi="仿宋" w:eastAsia="仿宋"/>
                <w:sz w:val="24"/>
                <w:szCs w:val="24"/>
              </w:rPr>
              <w:t>东方雨虹</w:t>
            </w:r>
          </w:p>
        </w:tc>
        <w:tc>
          <w:tcPr>
            <w:tcW w:w="666" w:type="pct"/>
            <w:shd w:val="clear" w:color="auto" w:fill="auto"/>
            <w:vAlign w:val="center"/>
          </w:tcPr>
          <w:p w14:paraId="20B56BE4">
            <w:pPr>
              <w:jc w:val="center"/>
              <w:rPr>
                <w:rFonts w:ascii="仿宋" w:hAnsi="仿宋" w:eastAsia="仿宋" w:cstheme="minorBidi"/>
                <w:sz w:val="24"/>
                <w:szCs w:val="24"/>
              </w:rPr>
            </w:pPr>
            <w:r>
              <w:rPr>
                <w:rFonts w:ascii="仿宋" w:hAnsi="仿宋" w:eastAsia="仿宋" w:cstheme="minorBidi"/>
                <w:sz w:val="24"/>
                <w:szCs w:val="24"/>
              </w:rPr>
              <w:t>台实</w:t>
            </w:r>
          </w:p>
        </w:tc>
      </w:tr>
      <w:tr w14:paraId="37F9AD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333" w:type="pct"/>
            <w:shd w:val="clear" w:color="auto" w:fill="auto"/>
            <w:vAlign w:val="center"/>
          </w:tcPr>
          <w:p w14:paraId="7BDBCE06">
            <w:pPr>
              <w:jc w:val="center"/>
              <w:rPr>
                <w:rFonts w:ascii="仿宋" w:hAnsi="仿宋" w:eastAsia="仿宋" w:cstheme="minorBidi"/>
                <w:sz w:val="24"/>
                <w:szCs w:val="24"/>
              </w:rPr>
            </w:pPr>
            <w:r>
              <w:rPr>
                <w:rFonts w:ascii="仿宋" w:hAnsi="仿宋" w:eastAsia="仿宋" w:cstheme="minorBidi"/>
                <w:sz w:val="24"/>
                <w:szCs w:val="24"/>
              </w:rPr>
              <w:t>3</w:t>
            </w:r>
          </w:p>
        </w:tc>
        <w:tc>
          <w:tcPr>
            <w:tcW w:w="584" w:type="pct"/>
            <w:vMerge w:val="continue"/>
            <w:shd w:val="clear" w:color="auto" w:fill="auto"/>
            <w:vAlign w:val="center"/>
          </w:tcPr>
          <w:p w14:paraId="1A8BEF7B">
            <w:pPr>
              <w:jc w:val="center"/>
              <w:rPr>
                <w:rFonts w:ascii="仿宋" w:hAnsi="仿宋" w:eastAsia="仿宋" w:cstheme="minorBidi"/>
                <w:sz w:val="24"/>
                <w:szCs w:val="24"/>
              </w:rPr>
            </w:pPr>
          </w:p>
        </w:tc>
        <w:tc>
          <w:tcPr>
            <w:tcW w:w="1583" w:type="pct"/>
            <w:shd w:val="clear" w:color="auto" w:fill="auto"/>
            <w:vAlign w:val="center"/>
          </w:tcPr>
          <w:p w14:paraId="0A252F3C">
            <w:pPr>
              <w:jc w:val="center"/>
              <w:rPr>
                <w:rFonts w:ascii="仿宋" w:hAnsi="仿宋" w:eastAsia="仿宋" w:cstheme="minorBidi"/>
                <w:sz w:val="24"/>
                <w:szCs w:val="24"/>
              </w:rPr>
            </w:pPr>
            <w:r>
              <w:rPr>
                <w:rFonts w:ascii="仿宋" w:hAnsi="仿宋" w:eastAsia="仿宋" w:cstheme="minorBidi"/>
                <w:sz w:val="24"/>
                <w:szCs w:val="24"/>
              </w:rPr>
              <w:t>外墙涂料</w:t>
            </w:r>
          </w:p>
        </w:tc>
        <w:tc>
          <w:tcPr>
            <w:tcW w:w="1001" w:type="pct"/>
            <w:vAlign w:val="center"/>
          </w:tcPr>
          <w:p w14:paraId="2B0D42CB">
            <w:pPr>
              <w:jc w:val="center"/>
              <w:rPr>
                <w:rFonts w:ascii="仿宋" w:hAnsi="仿宋" w:eastAsia="仿宋"/>
                <w:sz w:val="24"/>
                <w:szCs w:val="24"/>
              </w:rPr>
            </w:pPr>
            <w:r>
              <w:rPr>
                <w:rFonts w:ascii="仿宋" w:hAnsi="仿宋" w:eastAsia="仿宋"/>
                <w:sz w:val="24"/>
                <w:szCs w:val="24"/>
              </w:rPr>
              <w:t>立邦</w:t>
            </w:r>
          </w:p>
        </w:tc>
        <w:tc>
          <w:tcPr>
            <w:tcW w:w="833" w:type="pct"/>
            <w:vAlign w:val="center"/>
          </w:tcPr>
          <w:p w14:paraId="672C380E">
            <w:pPr>
              <w:jc w:val="center"/>
              <w:rPr>
                <w:rFonts w:ascii="仿宋" w:hAnsi="仿宋" w:eastAsia="仿宋"/>
                <w:sz w:val="24"/>
                <w:szCs w:val="24"/>
              </w:rPr>
            </w:pPr>
            <w:r>
              <w:rPr>
                <w:rFonts w:ascii="仿宋" w:hAnsi="仿宋" w:eastAsia="仿宋"/>
                <w:sz w:val="24"/>
                <w:szCs w:val="24"/>
              </w:rPr>
              <w:t>多乐士</w:t>
            </w:r>
          </w:p>
        </w:tc>
        <w:tc>
          <w:tcPr>
            <w:tcW w:w="666" w:type="pct"/>
            <w:shd w:val="clear" w:color="auto" w:fill="auto"/>
            <w:vAlign w:val="center"/>
          </w:tcPr>
          <w:p w14:paraId="23B1ED94">
            <w:pPr>
              <w:jc w:val="center"/>
              <w:rPr>
                <w:rFonts w:ascii="仿宋" w:hAnsi="仿宋" w:eastAsia="仿宋" w:cstheme="minorBidi"/>
                <w:sz w:val="24"/>
                <w:szCs w:val="24"/>
              </w:rPr>
            </w:pPr>
            <w:r>
              <w:rPr>
                <w:rFonts w:hint="eastAsia" w:ascii="仿宋" w:hAnsi="仿宋" w:eastAsia="仿宋" w:cstheme="minorBidi"/>
                <w:sz w:val="24"/>
                <w:szCs w:val="24"/>
              </w:rPr>
              <w:t>P</w:t>
            </w:r>
            <w:r>
              <w:rPr>
                <w:rFonts w:ascii="仿宋" w:hAnsi="仿宋" w:eastAsia="仿宋" w:cstheme="minorBidi"/>
                <w:sz w:val="24"/>
                <w:szCs w:val="24"/>
              </w:rPr>
              <w:t>PG</w:t>
            </w:r>
          </w:p>
        </w:tc>
      </w:tr>
      <w:tr w14:paraId="1B38BA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333" w:type="pct"/>
            <w:shd w:val="clear" w:color="auto" w:fill="auto"/>
            <w:vAlign w:val="center"/>
          </w:tcPr>
          <w:p w14:paraId="26319143">
            <w:pPr>
              <w:jc w:val="center"/>
              <w:rPr>
                <w:rFonts w:ascii="仿宋" w:hAnsi="仿宋" w:eastAsia="仿宋" w:cstheme="minorBidi"/>
                <w:sz w:val="24"/>
                <w:szCs w:val="24"/>
              </w:rPr>
            </w:pPr>
            <w:r>
              <w:rPr>
                <w:rFonts w:ascii="仿宋" w:hAnsi="仿宋" w:eastAsia="仿宋" w:cstheme="minorBidi"/>
                <w:sz w:val="24"/>
                <w:szCs w:val="24"/>
              </w:rPr>
              <w:t>4</w:t>
            </w:r>
          </w:p>
        </w:tc>
        <w:tc>
          <w:tcPr>
            <w:tcW w:w="584" w:type="pct"/>
            <w:vMerge w:val="continue"/>
            <w:shd w:val="clear" w:color="auto" w:fill="auto"/>
            <w:vAlign w:val="center"/>
          </w:tcPr>
          <w:p w14:paraId="24B0DE14">
            <w:pPr>
              <w:jc w:val="center"/>
              <w:rPr>
                <w:rFonts w:ascii="仿宋" w:hAnsi="仿宋" w:eastAsia="仿宋" w:cstheme="minorBidi"/>
                <w:sz w:val="24"/>
                <w:szCs w:val="24"/>
              </w:rPr>
            </w:pPr>
          </w:p>
        </w:tc>
        <w:tc>
          <w:tcPr>
            <w:tcW w:w="1583" w:type="pct"/>
            <w:shd w:val="clear" w:color="auto" w:fill="auto"/>
            <w:vAlign w:val="center"/>
          </w:tcPr>
          <w:p w14:paraId="4D0325CB">
            <w:pPr>
              <w:jc w:val="center"/>
              <w:rPr>
                <w:rFonts w:ascii="仿宋" w:hAnsi="仿宋" w:eastAsia="仿宋" w:cstheme="minorBidi"/>
                <w:sz w:val="24"/>
                <w:szCs w:val="24"/>
              </w:rPr>
            </w:pPr>
            <w:r>
              <w:rPr>
                <w:rFonts w:ascii="仿宋" w:hAnsi="仿宋" w:eastAsia="仿宋" w:cstheme="minorBidi"/>
                <w:sz w:val="24"/>
                <w:szCs w:val="24"/>
              </w:rPr>
              <w:t>无溶剂环氧</w:t>
            </w:r>
          </w:p>
        </w:tc>
        <w:tc>
          <w:tcPr>
            <w:tcW w:w="1001" w:type="pct"/>
            <w:vAlign w:val="center"/>
          </w:tcPr>
          <w:p w14:paraId="74DCAA6B">
            <w:pPr>
              <w:jc w:val="center"/>
              <w:rPr>
                <w:rFonts w:ascii="仿宋" w:hAnsi="仿宋" w:eastAsia="仿宋"/>
                <w:sz w:val="24"/>
                <w:szCs w:val="24"/>
              </w:rPr>
            </w:pPr>
            <w:r>
              <w:rPr>
                <w:rFonts w:hint="eastAsia" w:ascii="仿宋" w:hAnsi="仿宋" w:eastAsia="仿宋"/>
                <w:sz w:val="24"/>
                <w:szCs w:val="24"/>
              </w:rPr>
              <w:t>中科隆</w:t>
            </w:r>
          </w:p>
        </w:tc>
        <w:tc>
          <w:tcPr>
            <w:tcW w:w="833" w:type="pct"/>
            <w:vAlign w:val="center"/>
          </w:tcPr>
          <w:p w14:paraId="7524232E">
            <w:pPr>
              <w:jc w:val="center"/>
              <w:rPr>
                <w:rFonts w:ascii="仿宋" w:hAnsi="仿宋" w:eastAsia="仿宋"/>
                <w:sz w:val="24"/>
                <w:szCs w:val="24"/>
              </w:rPr>
            </w:pPr>
            <w:r>
              <w:rPr>
                <w:rFonts w:ascii="仿宋" w:hAnsi="仿宋" w:eastAsia="仿宋"/>
                <w:sz w:val="24"/>
                <w:szCs w:val="24"/>
              </w:rPr>
              <w:t>施贝</w:t>
            </w:r>
          </w:p>
        </w:tc>
        <w:tc>
          <w:tcPr>
            <w:tcW w:w="666" w:type="pct"/>
            <w:shd w:val="clear" w:color="auto" w:fill="auto"/>
            <w:vAlign w:val="center"/>
          </w:tcPr>
          <w:p w14:paraId="00C8042B">
            <w:pPr>
              <w:jc w:val="center"/>
              <w:rPr>
                <w:rFonts w:ascii="仿宋" w:hAnsi="仿宋" w:eastAsia="仿宋" w:cstheme="minorBidi"/>
                <w:sz w:val="24"/>
                <w:szCs w:val="24"/>
              </w:rPr>
            </w:pPr>
            <w:r>
              <w:rPr>
                <w:rFonts w:ascii="仿宋" w:hAnsi="仿宋" w:eastAsia="仿宋" w:cstheme="minorBidi"/>
                <w:sz w:val="24"/>
                <w:szCs w:val="24"/>
              </w:rPr>
              <w:t>耐迪斯</w:t>
            </w:r>
          </w:p>
        </w:tc>
      </w:tr>
    </w:tbl>
    <w:p w14:paraId="5FDE3033"/>
    <w:p w14:paraId="0D4653BC"/>
    <w:p w14:paraId="591F0E4E"/>
    <w:p w14:paraId="56A2B659"/>
    <w:p w14:paraId="0A73D3F3"/>
    <w:p w14:paraId="33A027F7"/>
    <w:p w14:paraId="53B40F75"/>
    <w:p w14:paraId="5D515983"/>
    <w:p w14:paraId="47DC04E7"/>
    <w:p w14:paraId="4BBC20E4"/>
    <w:p w14:paraId="076292B6"/>
    <w:p w14:paraId="470786B9"/>
    <w:p w14:paraId="24A4FC6A"/>
    <w:p w14:paraId="596CE68C"/>
    <w:p w14:paraId="46B4FD9E"/>
    <w:p w14:paraId="060A7CAC"/>
    <w:p w14:paraId="0C74F34B"/>
    <w:p w14:paraId="4FC0360A"/>
    <w:p w14:paraId="5CC08906"/>
    <w:p w14:paraId="357CD11B"/>
    <w:p w14:paraId="409814C4"/>
    <w:p w14:paraId="1D177FB5"/>
    <w:p w14:paraId="20A64D2C"/>
    <w:p w14:paraId="25B5FFEC"/>
    <w:p w14:paraId="5281E95A">
      <w:pPr>
        <w:rPr>
          <w:rFonts w:hint="eastAsia"/>
        </w:rPr>
      </w:pPr>
    </w:p>
    <w:p w14:paraId="24287D0C">
      <w:pPr>
        <w:spacing w:line="360" w:lineRule="auto"/>
        <w:rPr>
          <w:rFonts w:ascii="宋体" w:hAnsi="宋体" w:cs="宋体"/>
          <w:sz w:val="24"/>
        </w:rPr>
      </w:pPr>
      <w:r>
        <w:rPr>
          <w:rFonts w:hint="eastAsia" w:ascii="宋体" w:hAnsi="宋体" w:cs="宋体"/>
          <w:sz w:val="24"/>
        </w:rPr>
        <w:t>经济标投标文件格式四：</w:t>
      </w:r>
    </w:p>
    <w:p w14:paraId="74B73FF7">
      <w:pPr>
        <w:spacing w:line="360" w:lineRule="auto"/>
        <w:jc w:val="center"/>
        <w:rPr>
          <w:b/>
          <w:sz w:val="32"/>
          <w:szCs w:val="32"/>
        </w:rPr>
      </w:pPr>
      <w:r>
        <w:rPr>
          <w:rFonts w:hint="eastAsia"/>
          <w:b/>
          <w:sz w:val="32"/>
          <w:szCs w:val="32"/>
        </w:rPr>
        <w:t>参与编制经济标投标文件人员名单</w:t>
      </w:r>
    </w:p>
    <w:tbl>
      <w:tblPr>
        <w:tblStyle w:val="34"/>
        <w:tblW w:w="8296"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5"/>
        <w:gridCol w:w="1347"/>
        <w:gridCol w:w="2274"/>
        <w:gridCol w:w="2182"/>
        <w:gridCol w:w="1328"/>
      </w:tblGrid>
      <w:tr w14:paraId="706CA2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8296" w:type="dxa"/>
            <w:gridSpan w:val="5"/>
            <w:tcBorders>
              <w:top w:val="single" w:color="auto" w:sz="4" w:space="0"/>
              <w:left w:val="single" w:color="auto" w:sz="4" w:space="0"/>
              <w:bottom w:val="single" w:color="auto" w:sz="4" w:space="0"/>
              <w:right w:val="single" w:color="auto" w:sz="4" w:space="0"/>
            </w:tcBorders>
            <w:vAlign w:val="center"/>
          </w:tcPr>
          <w:p w14:paraId="2A2F05DF">
            <w:pPr>
              <w:tabs>
                <w:tab w:val="left" w:pos="720"/>
              </w:tabs>
              <w:snapToGrid w:val="0"/>
              <w:spacing w:line="360" w:lineRule="auto"/>
              <w:jc w:val="center"/>
              <w:rPr>
                <w:rFonts w:ascii="宋体" w:hAnsi="宋体"/>
                <w:szCs w:val="21"/>
              </w:rPr>
            </w:pPr>
            <w:r>
              <w:rPr>
                <w:rFonts w:hint="eastAsia" w:ascii="宋体" w:hAnsi="宋体"/>
                <w:szCs w:val="21"/>
              </w:rPr>
              <w:t>投标人名称</w:t>
            </w:r>
          </w:p>
        </w:tc>
      </w:tr>
      <w:tr w14:paraId="785ADF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1165" w:type="dxa"/>
            <w:tcBorders>
              <w:top w:val="single" w:color="auto" w:sz="4" w:space="0"/>
              <w:left w:val="single" w:color="auto" w:sz="4" w:space="0"/>
              <w:bottom w:val="single" w:color="auto" w:sz="4" w:space="0"/>
              <w:right w:val="single" w:color="auto" w:sz="4" w:space="0"/>
            </w:tcBorders>
            <w:vAlign w:val="center"/>
          </w:tcPr>
          <w:p w14:paraId="471B6E51">
            <w:pPr>
              <w:tabs>
                <w:tab w:val="left" w:pos="720"/>
              </w:tabs>
              <w:snapToGrid w:val="0"/>
              <w:spacing w:line="360" w:lineRule="auto"/>
              <w:jc w:val="center"/>
              <w:rPr>
                <w:rFonts w:ascii="宋体" w:hAnsi="宋体"/>
                <w:szCs w:val="21"/>
              </w:rPr>
            </w:pPr>
            <w:r>
              <w:rPr>
                <w:rFonts w:hint="eastAsia" w:ascii="宋体" w:hAnsi="宋体"/>
                <w:szCs w:val="21"/>
              </w:rPr>
              <w:t>姓名</w:t>
            </w:r>
          </w:p>
        </w:tc>
        <w:tc>
          <w:tcPr>
            <w:tcW w:w="1347" w:type="dxa"/>
            <w:tcBorders>
              <w:top w:val="single" w:color="auto" w:sz="4" w:space="0"/>
              <w:left w:val="single" w:color="auto" w:sz="4" w:space="0"/>
              <w:bottom w:val="single" w:color="auto" w:sz="4" w:space="0"/>
              <w:right w:val="single" w:color="auto" w:sz="4" w:space="0"/>
            </w:tcBorders>
            <w:vAlign w:val="center"/>
          </w:tcPr>
          <w:p w14:paraId="2C187FE5">
            <w:pPr>
              <w:tabs>
                <w:tab w:val="left" w:pos="720"/>
              </w:tabs>
              <w:snapToGrid w:val="0"/>
              <w:spacing w:line="360" w:lineRule="auto"/>
              <w:jc w:val="center"/>
              <w:rPr>
                <w:rFonts w:ascii="宋体" w:hAnsi="宋体"/>
                <w:szCs w:val="21"/>
              </w:rPr>
            </w:pPr>
            <w:r>
              <w:rPr>
                <w:rFonts w:hint="eastAsia" w:ascii="宋体" w:hAnsi="宋体"/>
                <w:szCs w:val="21"/>
              </w:rPr>
              <w:t>职务</w:t>
            </w:r>
          </w:p>
        </w:tc>
        <w:tc>
          <w:tcPr>
            <w:tcW w:w="2274" w:type="dxa"/>
            <w:tcBorders>
              <w:top w:val="single" w:color="auto" w:sz="4" w:space="0"/>
              <w:left w:val="single" w:color="auto" w:sz="4" w:space="0"/>
              <w:bottom w:val="single" w:color="auto" w:sz="4" w:space="0"/>
              <w:right w:val="single" w:color="auto" w:sz="4" w:space="0"/>
            </w:tcBorders>
            <w:vAlign w:val="center"/>
          </w:tcPr>
          <w:p w14:paraId="1C5C6872">
            <w:pPr>
              <w:tabs>
                <w:tab w:val="left" w:pos="720"/>
              </w:tabs>
              <w:snapToGrid w:val="0"/>
              <w:spacing w:line="360" w:lineRule="auto"/>
              <w:jc w:val="center"/>
              <w:rPr>
                <w:rFonts w:ascii="宋体" w:hAnsi="宋体"/>
                <w:szCs w:val="21"/>
              </w:rPr>
            </w:pPr>
            <w:r>
              <w:rPr>
                <w:rFonts w:hint="eastAsia" w:ascii="宋体" w:hAnsi="宋体"/>
                <w:szCs w:val="21"/>
              </w:rPr>
              <w:t>所承担工作</w:t>
            </w:r>
          </w:p>
        </w:tc>
        <w:tc>
          <w:tcPr>
            <w:tcW w:w="2182" w:type="dxa"/>
            <w:tcBorders>
              <w:top w:val="single" w:color="auto" w:sz="4" w:space="0"/>
              <w:left w:val="single" w:color="auto" w:sz="4" w:space="0"/>
              <w:bottom w:val="single" w:color="auto" w:sz="4" w:space="0"/>
              <w:right w:val="single" w:color="auto" w:sz="4" w:space="0"/>
            </w:tcBorders>
            <w:vAlign w:val="center"/>
          </w:tcPr>
          <w:p w14:paraId="479A842C">
            <w:pPr>
              <w:tabs>
                <w:tab w:val="left" w:pos="720"/>
              </w:tabs>
              <w:snapToGrid w:val="0"/>
              <w:spacing w:line="360" w:lineRule="auto"/>
              <w:jc w:val="center"/>
              <w:rPr>
                <w:rFonts w:ascii="宋体" w:hAnsi="宋体"/>
                <w:szCs w:val="21"/>
              </w:rPr>
            </w:pPr>
            <w:r>
              <w:rPr>
                <w:rFonts w:hint="eastAsia" w:ascii="宋体" w:hAnsi="宋体"/>
                <w:szCs w:val="21"/>
              </w:rPr>
              <w:t>身份证号码</w:t>
            </w:r>
          </w:p>
        </w:tc>
        <w:tc>
          <w:tcPr>
            <w:tcW w:w="1328" w:type="dxa"/>
            <w:tcBorders>
              <w:top w:val="single" w:color="auto" w:sz="4" w:space="0"/>
              <w:left w:val="single" w:color="auto" w:sz="4" w:space="0"/>
              <w:bottom w:val="single" w:color="auto" w:sz="4" w:space="0"/>
              <w:right w:val="single" w:color="auto" w:sz="4" w:space="0"/>
            </w:tcBorders>
            <w:vAlign w:val="center"/>
          </w:tcPr>
          <w:p w14:paraId="7922B8D8">
            <w:pPr>
              <w:tabs>
                <w:tab w:val="left" w:pos="720"/>
              </w:tabs>
              <w:snapToGrid w:val="0"/>
              <w:spacing w:line="360" w:lineRule="auto"/>
              <w:jc w:val="center"/>
              <w:rPr>
                <w:rFonts w:ascii="宋体" w:hAnsi="宋体"/>
                <w:szCs w:val="21"/>
              </w:rPr>
            </w:pPr>
            <w:r>
              <w:rPr>
                <w:rFonts w:hint="eastAsia" w:ascii="宋体" w:hAnsi="宋体"/>
                <w:szCs w:val="21"/>
              </w:rPr>
              <w:t>本人签名栏</w:t>
            </w:r>
          </w:p>
        </w:tc>
      </w:tr>
      <w:tr w14:paraId="4AED75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165" w:type="dxa"/>
            <w:tcBorders>
              <w:top w:val="single" w:color="auto" w:sz="4" w:space="0"/>
              <w:left w:val="single" w:color="auto" w:sz="4" w:space="0"/>
              <w:bottom w:val="single" w:color="auto" w:sz="4" w:space="0"/>
              <w:right w:val="single" w:color="auto" w:sz="4" w:space="0"/>
            </w:tcBorders>
            <w:vAlign w:val="center"/>
          </w:tcPr>
          <w:p w14:paraId="70B0DE1B">
            <w:pPr>
              <w:tabs>
                <w:tab w:val="left" w:pos="720"/>
              </w:tabs>
              <w:snapToGrid w:val="0"/>
              <w:spacing w:line="360" w:lineRule="auto"/>
              <w:jc w:val="center"/>
              <w:rPr>
                <w:rFonts w:ascii="宋体" w:hAnsi="宋体"/>
                <w:szCs w:val="21"/>
              </w:rPr>
            </w:pPr>
          </w:p>
        </w:tc>
        <w:tc>
          <w:tcPr>
            <w:tcW w:w="1347" w:type="dxa"/>
            <w:tcBorders>
              <w:top w:val="single" w:color="auto" w:sz="4" w:space="0"/>
              <w:left w:val="single" w:color="auto" w:sz="4" w:space="0"/>
              <w:bottom w:val="single" w:color="auto" w:sz="4" w:space="0"/>
              <w:right w:val="single" w:color="auto" w:sz="4" w:space="0"/>
            </w:tcBorders>
            <w:vAlign w:val="center"/>
          </w:tcPr>
          <w:p w14:paraId="43F3AFF9">
            <w:pPr>
              <w:tabs>
                <w:tab w:val="left" w:pos="720"/>
              </w:tabs>
              <w:snapToGrid w:val="0"/>
              <w:spacing w:line="360" w:lineRule="auto"/>
              <w:jc w:val="center"/>
              <w:rPr>
                <w:rFonts w:ascii="宋体" w:hAnsi="宋体"/>
                <w:szCs w:val="21"/>
              </w:rPr>
            </w:pPr>
          </w:p>
        </w:tc>
        <w:tc>
          <w:tcPr>
            <w:tcW w:w="2274" w:type="dxa"/>
            <w:tcBorders>
              <w:top w:val="single" w:color="auto" w:sz="4" w:space="0"/>
              <w:left w:val="single" w:color="auto" w:sz="4" w:space="0"/>
              <w:bottom w:val="single" w:color="auto" w:sz="4" w:space="0"/>
              <w:right w:val="single" w:color="auto" w:sz="4" w:space="0"/>
            </w:tcBorders>
            <w:vAlign w:val="center"/>
          </w:tcPr>
          <w:p w14:paraId="0F98AD42">
            <w:pPr>
              <w:tabs>
                <w:tab w:val="left" w:pos="720"/>
              </w:tabs>
              <w:snapToGrid w:val="0"/>
              <w:spacing w:line="360" w:lineRule="auto"/>
              <w:jc w:val="center"/>
              <w:rPr>
                <w:rFonts w:ascii="宋体" w:hAnsi="宋体"/>
                <w:szCs w:val="21"/>
              </w:rPr>
            </w:pPr>
          </w:p>
        </w:tc>
        <w:tc>
          <w:tcPr>
            <w:tcW w:w="2182" w:type="dxa"/>
            <w:tcBorders>
              <w:top w:val="single" w:color="auto" w:sz="4" w:space="0"/>
              <w:left w:val="single" w:color="auto" w:sz="4" w:space="0"/>
              <w:bottom w:val="single" w:color="auto" w:sz="4" w:space="0"/>
              <w:right w:val="single" w:color="auto" w:sz="4" w:space="0"/>
            </w:tcBorders>
            <w:vAlign w:val="center"/>
          </w:tcPr>
          <w:p w14:paraId="78FE781A">
            <w:pPr>
              <w:tabs>
                <w:tab w:val="left" w:pos="720"/>
              </w:tabs>
              <w:snapToGrid w:val="0"/>
              <w:spacing w:line="360" w:lineRule="auto"/>
              <w:jc w:val="center"/>
              <w:rPr>
                <w:rFonts w:ascii="宋体" w:hAnsi="宋体"/>
                <w:szCs w:val="21"/>
              </w:rPr>
            </w:pPr>
          </w:p>
        </w:tc>
        <w:tc>
          <w:tcPr>
            <w:tcW w:w="1328" w:type="dxa"/>
            <w:tcBorders>
              <w:top w:val="single" w:color="auto" w:sz="4" w:space="0"/>
              <w:left w:val="single" w:color="auto" w:sz="4" w:space="0"/>
              <w:bottom w:val="single" w:color="auto" w:sz="4" w:space="0"/>
              <w:right w:val="single" w:color="auto" w:sz="4" w:space="0"/>
            </w:tcBorders>
            <w:vAlign w:val="center"/>
          </w:tcPr>
          <w:p w14:paraId="2EDE0FAA">
            <w:pPr>
              <w:tabs>
                <w:tab w:val="left" w:pos="720"/>
              </w:tabs>
              <w:snapToGrid w:val="0"/>
              <w:spacing w:line="360" w:lineRule="auto"/>
              <w:jc w:val="center"/>
              <w:rPr>
                <w:rFonts w:ascii="宋体" w:hAnsi="宋体"/>
                <w:szCs w:val="21"/>
              </w:rPr>
            </w:pPr>
          </w:p>
        </w:tc>
      </w:tr>
      <w:tr w14:paraId="2664E8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165" w:type="dxa"/>
            <w:tcBorders>
              <w:top w:val="single" w:color="auto" w:sz="4" w:space="0"/>
              <w:left w:val="single" w:color="auto" w:sz="4" w:space="0"/>
              <w:bottom w:val="single" w:color="auto" w:sz="4" w:space="0"/>
              <w:right w:val="single" w:color="auto" w:sz="4" w:space="0"/>
            </w:tcBorders>
            <w:vAlign w:val="center"/>
          </w:tcPr>
          <w:p w14:paraId="637679C5">
            <w:pPr>
              <w:tabs>
                <w:tab w:val="left" w:pos="720"/>
              </w:tabs>
              <w:snapToGrid w:val="0"/>
              <w:spacing w:line="360" w:lineRule="auto"/>
              <w:jc w:val="center"/>
              <w:rPr>
                <w:rFonts w:ascii="宋体" w:hAnsi="宋体"/>
                <w:szCs w:val="21"/>
              </w:rPr>
            </w:pPr>
          </w:p>
        </w:tc>
        <w:tc>
          <w:tcPr>
            <w:tcW w:w="1347" w:type="dxa"/>
            <w:tcBorders>
              <w:top w:val="single" w:color="auto" w:sz="4" w:space="0"/>
              <w:left w:val="single" w:color="auto" w:sz="4" w:space="0"/>
              <w:bottom w:val="single" w:color="auto" w:sz="4" w:space="0"/>
              <w:right w:val="single" w:color="auto" w:sz="4" w:space="0"/>
            </w:tcBorders>
            <w:vAlign w:val="center"/>
          </w:tcPr>
          <w:p w14:paraId="56CDDBFD">
            <w:pPr>
              <w:tabs>
                <w:tab w:val="left" w:pos="720"/>
              </w:tabs>
              <w:snapToGrid w:val="0"/>
              <w:spacing w:line="360" w:lineRule="auto"/>
              <w:jc w:val="center"/>
              <w:rPr>
                <w:rFonts w:ascii="宋体" w:hAnsi="宋体"/>
                <w:szCs w:val="21"/>
              </w:rPr>
            </w:pPr>
          </w:p>
        </w:tc>
        <w:tc>
          <w:tcPr>
            <w:tcW w:w="2274" w:type="dxa"/>
            <w:tcBorders>
              <w:top w:val="single" w:color="auto" w:sz="4" w:space="0"/>
              <w:left w:val="single" w:color="auto" w:sz="4" w:space="0"/>
              <w:bottom w:val="single" w:color="auto" w:sz="4" w:space="0"/>
              <w:right w:val="single" w:color="auto" w:sz="4" w:space="0"/>
            </w:tcBorders>
            <w:vAlign w:val="center"/>
          </w:tcPr>
          <w:p w14:paraId="26F8C84C">
            <w:pPr>
              <w:tabs>
                <w:tab w:val="left" w:pos="720"/>
              </w:tabs>
              <w:snapToGrid w:val="0"/>
              <w:spacing w:line="360" w:lineRule="auto"/>
              <w:jc w:val="center"/>
              <w:rPr>
                <w:rFonts w:ascii="宋体" w:hAnsi="宋体"/>
                <w:szCs w:val="21"/>
              </w:rPr>
            </w:pPr>
          </w:p>
        </w:tc>
        <w:tc>
          <w:tcPr>
            <w:tcW w:w="2182" w:type="dxa"/>
            <w:tcBorders>
              <w:top w:val="single" w:color="auto" w:sz="4" w:space="0"/>
              <w:left w:val="single" w:color="auto" w:sz="4" w:space="0"/>
              <w:bottom w:val="single" w:color="auto" w:sz="4" w:space="0"/>
              <w:right w:val="single" w:color="auto" w:sz="4" w:space="0"/>
            </w:tcBorders>
            <w:vAlign w:val="center"/>
          </w:tcPr>
          <w:p w14:paraId="3AE57E47">
            <w:pPr>
              <w:tabs>
                <w:tab w:val="left" w:pos="720"/>
              </w:tabs>
              <w:snapToGrid w:val="0"/>
              <w:spacing w:line="360" w:lineRule="auto"/>
              <w:jc w:val="center"/>
              <w:rPr>
                <w:rFonts w:ascii="宋体" w:hAnsi="宋体"/>
                <w:szCs w:val="21"/>
              </w:rPr>
            </w:pPr>
          </w:p>
        </w:tc>
        <w:tc>
          <w:tcPr>
            <w:tcW w:w="1328" w:type="dxa"/>
            <w:tcBorders>
              <w:top w:val="single" w:color="auto" w:sz="4" w:space="0"/>
              <w:left w:val="single" w:color="auto" w:sz="4" w:space="0"/>
              <w:bottom w:val="single" w:color="auto" w:sz="4" w:space="0"/>
              <w:right w:val="single" w:color="auto" w:sz="4" w:space="0"/>
            </w:tcBorders>
            <w:vAlign w:val="center"/>
          </w:tcPr>
          <w:p w14:paraId="1400085E">
            <w:pPr>
              <w:tabs>
                <w:tab w:val="left" w:pos="720"/>
              </w:tabs>
              <w:snapToGrid w:val="0"/>
              <w:spacing w:line="360" w:lineRule="auto"/>
              <w:jc w:val="center"/>
              <w:rPr>
                <w:rFonts w:ascii="宋体" w:hAnsi="宋体"/>
                <w:szCs w:val="21"/>
              </w:rPr>
            </w:pPr>
          </w:p>
        </w:tc>
      </w:tr>
      <w:tr w14:paraId="618EC6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165" w:type="dxa"/>
            <w:tcBorders>
              <w:top w:val="single" w:color="auto" w:sz="4" w:space="0"/>
              <w:left w:val="single" w:color="auto" w:sz="4" w:space="0"/>
              <w:bottom w:val="single" w:color="auto" w:sz="4" w:space="0"/>
              <w:right w:val="single" w:color="auto" w:sz="4" w:space="0"/>
            </w:tcBorders>
            <w:vAlign w:val="center"/>
          </w:tcPr>
          <w:p w14:paraId="5CF2664D">
            <w:pPr>
              <w:tabs>
                <w:tab w:val="left" w:pos="720"/>
              </w:tabs>
              <w:snapToGrid w:val="0"/>
              <w:spacing w:line="360" w:lineRule="auto"/>
              <w:jc w:val="center"/>
              <w:rPr>
                <w:rFonts w:ascii="宋体" w:hAnsi="宋体"/>
                <w:szCs w:val="21"/>
              </w:rPr>
            </w:pPr>
          </w:p>
        </w:tc>
        <w:tc>
          <w:tcPr>
            <w:tcW w:w="1347" w:type="dxa"/>
            <w:tcBorders>
              <w:top w:val="single" w:color="auto" w:sz="4" w:space="0"/>
              <w:left w:val="single" w:color="auto" w:sz="4" w:space="0"/>
              <w:bottom w:val="single" w:color="auto" w:sz="4" w:space="0"/>
              <w:right w:val="single" w:color="auto" w:sz="4" w:space="0"/>
            </w:tcBorders>
            <w:vAlign w:val="center"/>
          </w:tcPr>
          <w:p w14:paraId="354CDDD1">
            <w:pPr>
              <w:tabs>
                <w:tab w:val="left" w:pos="720"/>
              </w:tabs>
              <w:snapToGrid w:val="0"/>
              <w:spacing w:line="360" w:lineRule="auto"/>
              <w:jc w:val="center"/>
              <w:rPr>
                <w:rFonts w:ascii="宋体" w:hAnsi="宋体"/>
                <w:szCs w:val="21"/>
              </w:rPr>
            </w:pPr>
          </w:p>
        </w:tc>
        <w:tc>
          <w:tcPr>
            <w:tcW w:w="2274" w:type="dxa"/>
            <w:tcBorders>
              <w:top w:val="single" w:color="auto" w:sz="4" w:space="0"/>
              <w:left w:val="single" w:color="auto" w:sz="4" w:space="0"/>
              <w:bottom w:val="single" w:color="auto" w:sz="4" w:space="0"/>
              <w:right w:val="single" w:color="auto" w:sz="4" w:space="0"/>
            </w:tcBorders>
            <w:vAlign w:val="center"/>
          </w:tcPr>
          <w:p w14:paraId="32E5F124">
            <w:pPr>
              <w:tabs>
                <w:tab w:val="left" w:pos="720"/>
              </w:tabs>
              <w:snapToGrid w:val="0"/>
              <w:spacing w:line="360" w:lineRule="auto"/>
              <w:jc w:val="center"/>
              <w:rPr>
                <w:rFonts w:ascii="宋体" w:hAnsi="宋体"/>
                <w:szCs w:val="21"/>
              </w:rPr>
            </w:pPr>
          </w:p>
        </w:tc>
        <w:tc>
          <w:tcPr>
            <w:tcW w:w="2182" w:type="dxa"/>
            <w:tcBorders>
              <w:top w:val="single" w:color="auto" w:sz="4" w:space="0"/>
              <w:left w:val="single" w:color="auto" w:sz="4" w:space="0"/>
              <w:bottom w:val="single" w:color="auto" w:sz="4" w:space="0"/>
              <w:right w:val="single" w:color="auto" w:sz="4" w:space="0"/>
            </w:tcBorders>
            <w:vAlign w:val="center"/>
          </w:tcPr>
          <w:p w14:paraId="53AB33C2">
            <w:pPr>
              <w:tabs>
                <w:tab w:val="left" w:pos="720"/>
              </w:tabs>
              <w:snapToGrid w:val="0"/>
              <w:spacing w:line="360" w:lineRule="auto"/>
              <w:jc w:val="center"/>
              <w:rPr>
                <w:rFonts w:ascii="宋体" w:hAnsi="宋体"/>
                <w:szCs w:val="21"/>
              </w:rPr>
            </w:pPr>
          </w:p>
        </w:tc>
        <w:tc>
          <w:tcPr>
            <w:tcW w:w="1328" w:type="dxa"/>
            <w:tcBorders>
              <w:top w:val="single" w:color="auto" w:sz="4" w:space="0"/>
              <w:left w:val="single" w:color="auto" w:sz="4" w:space="0"/>
              <w:bottom w:val="single" w:color="auto" w:sz="4" w:space="0"/>
              <w:right w:val="single" w:color="auto" w:sz="4" w:space="0"/>
            </w:tcBorders>
            <w:vAlign w:val="center"/>
          </w:tcPr>
          <w:p w14:paraId="383B5646">
            <w:pPr>
              <w:tabs>
                <w:tab w:val="left" w:pos="720"/>
              </w:tabs>
              <w:snapToGrid w:val="0"/>
              <w:spacing w:line="360" w:lineRule="auto"/>
              <w:jc w:val="center"/>
              <w:rPr>
                <w:rFonts w:ascii="宋体" w:hAnsi="宋体"/>
                <w:szCs w:val="21"/>
              </w:rPr>
            </w:pPr>
          </w:p>
        </w:tc>
      </w:tr>
      <w:tr w14:paraId="063B73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165" w:type="dxa"/>
            <w:tcBorders>
              <w:top w:val="single" w:color="auto" w:sz="4" w:space="0"/>
              <w:left w:val="single" w:color="auto" w:sz="4" w:space="0"/>
              <w:bottom w:val="single" w:color="auto" w:sz="4" w:space="0"/>
              <w:right w:val="single" w:color="auto" w:sz="4" w:space="0"/>
            </w:tcBorders>
            <w:vAlign w:val="center"/>
          </w:tcPr>
          <w:p w14:paraId="211DB6DD">
            <w:pPr>
              <w:tabs>
                <w:tab w:val="left" w:pos="720"/>
              </w:tabs>
              <w:snapToGrid w:val="0"/>
              <w:spacing w:line="360" w:lineRule="auto"/>
              <w:jc w:val="center"/>
              <w:rPr>
                <w:rFonts w:ascii="宋体" w:hAnsi="宋体"/>
                <w:szCs w:val="21"/>
              </w:rPr>
            </w:pPr>
          </w:p>
        </w:tc>
        <w:tc>
          <w:tcPr>
            <w:tcW w:w="1347" w:type="dxa"/>
            <w:tcBorders>
              <w:top w:val="single" w:color="auto" w:sz="4" w:space="0"/>
              <w:left w:val="single" w:color="auto" w:sz="4" w:space="0"/>
              <w:bottom w:val="single" w:color="auto" w:sz="4" w:space="0"/>
              <w:right w:val="single" w:color="auto" w:sz="4" w:space="0"/>
            </w:tcBorders>
            <w:vAlign w:val="center"/>
          </w:tcPr>
          <w:p w14:paraId="1EB6817B">
            <w:pPr>
              <w:tabs>
                <w:tab w:val="left" w:pos="720"/>
              </w:tabs>
              <w:snapToGrid w:val="0"/>
              <w:spacing w:line="360" w:lineRule="auto"/>
              <w:jc w:val="center"/>
              <w:rPr>
                <w:rFonts w:ascii="宋体" w:hAnsi="宋体"/>
                <w:szCs w:val="21"/>
              </w:rPr>
            </w:pPr>
          </w:p>
        </w:tc>
        <w:tc>
          <w:tcPr>
            <w:tcW w:w="2274" w:type="dxa"/>
            <w:tcBorders>
              <w:top w:val="single" w:color="auto" w:sz="4" w:space="0"/>
              <w:left w:val="single" w:color="auto" w:sz="4" w:space="0"/>
              <w:bottom w:val="single" w:color="auto" w:sz="4" w:space="0"/>
              <w:right w:val="single" w:color="auto" w:sz="4" w:space="0"/>
            </w:tcBorders>
            <w:vAlign w:val="center"/>
          </w:tcPr>
          <w:p w14:paraId="293A1D88">
            <w:pPr>
              <w:tabs>
                <w:tab w:val="left" w:pos="720"/>
              </w:tabs>
              <w:snapToGrid w:val="0"/>
              <w:spacing w:line="360" w:lineRule="auto"/>
              <w:jc w:val="center"/>
              <w:rPr>
                <w:rFonts w:ascii="宋体" w:hAnsi="宋体"/>
                <w:szCs w:val="21"/>
              </w:rPr>
            </w:pPr>
          </w:p>
        </w:tc>
        <w:tc>
          <w:tcPr>
            <w:tcW w:w="2182" w:type="dxa"/>
            <w:tcBorders>
              <w:top w:val="single" w:color="auto" w:sz="4" w:space="0"/>
              <w:left w:val="single" w:color="auto" w:sz="4" w:space="0"/>
              <w:bottom w:val="single" w:color="auto" w:sz="4" w:space="0"/>
              <w:right w:val="single" w:color="auto" w:sz="4" w:space="0"/>
            </w:tcBorders>
            <w:vAlign w:val="center"/>
          </w:tcPr>
          <w:p w14:paraId="06E17790">
            <w:pPr>
              <w:tabs>
                <w:tab w:val="left" w:pos="720"/>
              </w:tabs>
              <w:snapToGrid w:val="0"/>
              <w:spacing w:line="360" w:lineRule="auto"/>
              <w:jc w:val="center"/>
              <w:rPr>
                <w:rFonts w:ascii="宋体" w:hAnsi="宋体"/>
                <w:szCs w:val="21"/>
              </w:rPr>
            </w:pPr>
          </w:p>
        </w:tc>
        <w:tc>
          <w:tcPr>
            <w:tcW w:w="1328" w:type="dxa"/>
            <w:tcBorders>
              <w:top w:val="single" w:color="auto" w:sz="4" w:space="0"/>
              <w:left w:val="single" w:color="auto" w:sz="4" w:space="0"/>
              <w:bottom w:val="single" w:color="auto" w:sz="4" w:space="0"/>
              <w:right w:val="single" w:color="auto" w:sz="4" w:space="0"/>
            </w:tcBorders>
            <w:vAlign w:val="center"/>
          </w:tcPr>
          <w:p w14:paraId="2B47AC6D">
            <w:pPr>
              <w:tabs>
                <w:tab w:val="left" w:pos="720"/>
              </w:tabs>
              <w:snapToGrid w:val="0"/>
              <w:spacing w:line="360" w:lineRule="auto"/>
              <w:jc w:val="center"/>
              <w:rPr>
                <w:rFonts w:ascii="宋体" w:hAnsi="宋体"/>
                <w:szCs w:val="21"/>
              </w:rPr>
            </w:pPr>
          </w:p>
        </w:tc>
      </w:tr>
      <w:tr w14:paraId="6E02D4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165" w:type="dxa"/>
            <w:tcBorders>
              <w:top w:val="single" w:color="auto" w:sz="4" w:space="0"/>
              <w:left w:val="single" w:color="auto" w:sz="4" w:space="0"/>
              <w:bottom w:val="single" w:color="auto" w:sz="4" w:space="0"/>
              <w:right w:val="single" w:color="auto" w:sz="4" w:space="0"/>
            </w:tcBorders>
            <w:vAlign w:val="center"/>
          </w:tcPr>
          <w:p w14:paraId="6F07F241">
            <w:pPr>
              <w:tabs>
                <w:tab w:val="left" w:pos="720"/>
              </w:tabs>
              <w:snapToGrid w:val="0"/>
              <w:spacing w:line="360" w:lineRule="auto"/>
              <w:jc w:val="center"/>
              <w:rPr>
                <w:rFonts w:ascii="宋体" w:hAnsi="宋体"/>
                <w:szCs w:val="21"/>
              </w:rPr>
            </w:pPr>
          </w:p>
        </w:tc>
        <w:tc>
          <w:tcPr>
            <w:tcW w:w="1347" w:type="dxa"/>
            <w:tcBorders>
              <w:top w:val="single" w:color="auto" w:sz="4" w:space="0"/>
              <w:left w:val="single" w:color="auto" w:sz="4" w:space="0"/>
              <w:bottom w:val="single" w:color="auto" w:sz="4" w:space="0"/>
              <w:right w:val="single" w:color="auto" w:sz="4" w:space="0"/>
            </w:tcBorders>
            <w:vAlign w:val="center"/>
          </w:tcPr>
          <w:p w14:paraId="19EF30B9">
            <w:pPr>
              <w:tabs>
                <w:tab w:val="left" w:pos="720"/>
              </w:tabs>
              <w:snapToGrid w:val="0"/>
              <w:spacing w:line="360" w:lineRule="auto"/>
              <w:jc w:val="center"/>
              <w:rPr>
                <w:rFonts w:ascii="宋体" w:hAnsi="宋体"/>
                <w:szCs w:val="21"/>
              </w:rPr>
            </w:pPr>
          </w:p>
        </w:tc>
        <w:tc>
          <w:tcPr>
            <w:tcW w:w="2274" w:type="dxa"/>
            <w:tcBorders>
              <w:top w:val="single" w:color="auto" w:sz="4" w:space="0"/>
              <w:left w:val="single" w:color="auto" w:sz="4" w:space="0"/>
              <w:bottom w:val="single" w:color="auto" w:sz="4" w:space="0"/>
              <w:right w:val="single" w:color="auto" w:sz="4" w:space="0"/>
            </w:tcBorders>
            <w:vAlign w:val="center"/>
          </w:tcPr>
          <w:p w14:paraId="4D89DA4D">
            <w:pPr>
              <w:tabs>
                <w:tab w:val="left" w:pos="720"/>
              </w:tabs>
              <w:snapToGrid w:val="0"/>
              <w:spacing w:line="360" w:lineRule="auto"/>
              <w:jc w:val="center"/>
              <w:rPr>
                <w:rFonts w:ascii="宋体" w:hAnsi="宋体"/>
                <w:szCs w:val="21"/>
              </w:rPr>
            </w:pPr>
          </w:p>
        </w:tc>
        <w:tc>
          <w:tcPr>
            <w:tcW w:w="2182" w:type="dxa"/>
            <w:tcBorders>
              <w:top w:val="single" w:color="auto" w:sz="4" w:space="0"/>
              <w:left w:val="single" w:color="auto" w:sz="4" w:space="0"/>
              <w:bottom w:val="single" w:color="auto" w:sz="4" w:space="0"/>
              <w:right w:val="single" w:color="auto" w:sz="4" w:space="0"/>
            </w:tcBorders>
            <w:vAlign w:val="center"/>
          </w:tcPr>
          <w:p w14:paraId="34C01065">
            <w:pPr>
              <w:tabs>
                <w:tab w:val="left" w:pos="720"/>
              </w:tabs>
              <w:snapToGrid w:val="0"/>
              <w:spacing w:line="360" w:lineRule="auto"/>
              <w:jc w:val="center"/>
              <w:rPr>
                <w:rFonts w:ascii="宋体" w:hAnsi="宋体"/>
                <w:szCs w:val="21"/>
              </w:rPr>
            </w:pPr>
          </w:p>
        </w:tc>
        <w:tc>
          <w:tcPr>
            <w:tcW w:w="1328" w:type="dxa"/>
            <w:tcBorders>
              <w:top w:val="single" w:color="auto" w:sz="4" w:space="0"/>
              <w:left w:val="single" w:color="auto" w:sz="4" w:space="0"/>
              <w:bottom w:val="single" w:color="auto" w:sz="4" w:space="0"/>
              <w:right w:val="single" w:color="auto" w:sz="4" w:space="0"/>
            </w:tcBorders>
            <w:vAlign w:val="center"/>
          </w:tcPr>
          <w:p w14:paraId="37401BDD">
            <w:pPr>
              <w:tabs>
                <w:tab w:val="left" w:pos="720"/>
              </w:tabs>
              <w:snapToGrid w:val="0"/>
              <w:spacing w:line="360" w:lineRule="auto"/>
              <w:jc w:val="center"/>
              <w:rPr>
                <w:rFonts w:ascii="宋体" w:hAnsi="宋体"/>
                <w:szCs w:val="21"/>
              </w:rPr>
            </w:pPr>
          </w:p>
        </w:tc>
      </w:tr>
      <w:tr w14:paraId="784DCF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165" w:type="dxa"/>
            <w:tcBorders>
              <w:top w:val="single" w:color="auto" w:sz="4" w:space="0"/>
              <w:left w:val="single" w:color="auto" w:sz="4" w:space="0"/>
              <w:bottom w:val="single" w:color="auto" w:sz="4" w:space="0"/>
              <w:right w:val="single" w:color="auto" w:sz="4" w:space="0"/>
            </w:tcBorders>
            <w:vAlign w:val="center"/>
          </w:tcPr>
          <w:p w14:paraId="64EE1FED">
            <w:pPr>
              <w:tabs>
                <w:tab w:val="left" w:pos="720"/>
              </w:tabs>
              <w:snapToGrid w:val="0"/>
              <w:spacing w:line="360" w:lineRule="auto"/>
              <w:jc w:val="center"/>
              <w:rPr>
                <w:rFonts w:ascii="宋体" w:hAnsi="宋体"/>
                <w:szCs w:val="21"/>
              </w:rPr>
            </w:pPr>
          </w:p>
        </w:tc>
        <w:tc>
          <w:tcPr>
            <w:tcW w:w="1347" w:type="dxa"/>
            <w:tcBorders>
              <w:top w:val="single" w:color="auto" w:sz="4" w:space="0"/>
              <w:left w:val="single" w:color="auto" w:sz="4" w:space="0"/>
              <w:bottom w:val="single" w:color="auto" w:sz="4" w:space="0"/>
              <w:right w:val="single" w:color="auto" w:sz="4" w:space="0"/>
            </w:tcBorders>
            <w:vAlign w:val="center"/>
          </w:tcPr>
          <w:p w14:paraId="2C5C6433">
            <w:pPr>
              <w:tabs>
                <w:tab w:val="left" w:pos="720"/>
              </w:tabs>
              <w:snapToGrid w:val="0"/>
              <w:spacing w:line="360" w:lineRule="auto"/>
              <w:jc w:val="center"/>
              <w:rPr>
                <w:rFonts w:ascii="宋体" w:hAnsi="宋体"/>
                <w:szCs w:val="21"/>
              </w:rPr>
            </w:pPr>
          </w:p>
        </w:tc>
        <w:tc>
          <w:tcPr>
            <w:tcW w:w="2274" w:type="dxa"/>
            <w:tcBorders>
              <w:top w:val="single" w:color="auto" w:sz="4" w:space="0"/>
              <w:left w:val="single" w:color="auto" w:sz="4" w:space="0"/>
              <w:bottom w:val="single" w:color="auto" w:sz="4" w:space="0"/>
              <w:right w:val="single" w:color="auto" w:sz="4" w:space="0"/>
            </w:tcBorders>
            <w:vAlign w:val="center"/>
          </w:tcPr>
          <w:p w14:paraId="7A7395CF">
            <w:pPr>
              <w:tabs>
                <w:tab w:val="left" w:pos="720"/>
              </w:tabs>
              <w:snapToGrid w:val="0"/>
              <w:spacing w:line="360" w:lineRule="auto"/>
              <w:jc w:val="center"/>
              <w:rPr>
                <w:rFonts w:ascii="宋体" w:hAnsi="宋体"/>
                <w:szCs w:val="21"/>
              </w:rPr>
            </w:pPr>
          </w:p>
        </w:tc>
        <w:tc>
          <w:tcPr>
            <w:tcW w:w="2182" w:type="dxa"/>
            <w:tcBorders>
              <w:top w:val="single" w:color="auto" w:sz="4" w:space="0"/>
              <w:left w:val="single" w:color="auto" w:sz="4" w:space="0"/>
              <w:bottom w:val="single" w:color="auto" w:sz="4" w:space="0"/>
              <w:right w:val="single" w:color="auto" w:sz="4" w:space="0"/>
            </w:tcBorders>
            <w:vAlign w:val="center"/>
          </w:tcPr>
          <w:p w14:paraId="48F63990">
            <w:pPr>
              <w:tabs>
                <w:tab w:val="left" w:pos="720"/>
              </w:tabs>
              <w:snapToGrid w:val="0"/>
              <w:spacing w:line="360" w:lineRule="auto"/>
              <w:jc w:val="center"/>
              <w:rPr>
                <w:rFonts w:ascii="宋体" w:hAnsi="宋体"/>
                <w:szCs w:val="21"/>
              </w:rPr>
            </w:pPr>
          </w:p>
        </w:tc>
        <w:tc>
          <w:tcPr>
            <w:tcW w:w="1328" w:type="dxa"/>
            <w:tcBorders>
              <w:top w:val="single" w:color="auto" w:sz="4" w:space="0"/>
              <w:left w:val="single" w:color="auto" w:sz="4" w:space="0"/>
              <w:bottom w:val="single" w:color="auto" w:sz="4" w:space="0"/>
              <w:right w:val="single" w:color="auto" w:sz="4" w:space="0"/>
            </w:tcBorders>
            <w:vAlign w:val="center"/>
          </w:tcPr>
          <w:p w14:paraId="2E0C65D2">
            <w:pPr>
              <w:tabs>
                <w:tab w:val="left" w:pos="720"/>
              </w:tabs>
              <w:snapToGrid w:val="0"/>
              <w:spacing w:line="360" w:lineRule="auto"/>
              <w:jc w:val="center"/>
              <w:rPr>
                <w:rFonts w:ascii="宋体" w:hAnsi="宋体"/>
                <w:szCs w:val="21"/>
              </w:rPr>
            </w:pPr>
          </w:p>
        </w:tc>
      </w:tr>
      <w:tr w14:paraId="4A0F91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165" w:type="dxa"/>
            <w:tcBorders>
              <w:top w:val="single" w:color="auto" w:sz="4" w:space="0"/>
              <w:left w:val="single" w:color="auto" w:sz="4" w:space="0"/>
              <w:bottom w:val="single" w:color="auto" w:sz="4" w:space="0"/>
              <w:right w:val="single" w:color="auto" w:sz="4" w:space="0"/>
            </w:tcBorders>
            <w:vAlign w:val="center"/>
          </w:tcPr>
          <w:p w14:paraId="440FEE15">
            <w:pPr>
              <w:tabs>
                <w:tab w:val="left" w:pos="720"/>
              </w:tabs>
              <w:snapToGrid w:val="0"/>
              <w:spacing w:line="360" w:lineRule="auto"/>
              <w:jc w:val="center"/>
              <w:rPr>
                <w:rFonts w:ascii="宋体" w:hAnsi="宋体"/>
                <w:szCs w:val="21"/>
              </w:rPr>
            </w:pPr>
          </w:p>
        </w:tc>
        <w:tc>
          <w:tcPr>
            <w:tcW w:w="1347" w:type="dxa"/>
            <w:tcBorders>
              <w:top w:val="single" w:color="auto" w:sz="4" w:space="0"/>
              <w:left w:val="single" w:color="auto" w:sz="4" w:space="0"/>
              <w:bottom w:val="single" w:color="auto" w:sz="4" w:space="0"/>
              <w:right w:val="single" w:color="auto" w:sz="4" w:space="0"/>
            </w:tcBorders>
            <w:vAlign w:val="center"/>
          </w:tcPr>
          <w:p w14:paraId="56205BEC">
            <w:pPr>
              <w:tabs>
                <w:tab w:val="left" w:pos="720"/>
              </w:tabs>
              <w:snapToGrid w:val="0"/>
              <w:spacing w:line="360" w:lineRule="auto"/>
              <w:jc w:val="center"/>
              <w:rPr>
                <w:rFonts w:ascii="宋体" w:hAnsi="宋体"/>
                <w:szCs w:val="21"/>
              </w:rPr>
            </w:pPr>
          </w:p>
        </w:tc>
        <w:tc>
          <w:tcPr>
            <w:tcW w:w="2274" w:type="dxa"/>
            <w:tcBorders>
              <w:top w:val="single" w:color="auto" w:sz="4" w:space="0"/>
              <w:left w:val="single" w:color="auto" w:sz="4" w:space="0"/>
              <w:bottom w:val="single" w:color="auto" w:sz="4" w:space="0"/>
              <w:right w:val="single" w:color="auto" w:sz="4" w:space="0"/>
            </w:tcBorders>
            <w:vAlign w:val="center"/>
          </w:tcPr>
          <w:p w14:paraId="40238FB7">
            <w:pPr>
              <w:tabs>
                <w:tab w:val="left" w:pos="720"/>
              </w:tabs>
              <w:snapToGrid w:val="0"/>
              <w:spacing w:line="360" w:lineRule="auto"/>
              <w:jc w:val="center"/>
              <w:rPr>
                <w:rFonts w:ascii="宋体" w:hAnsi="宋体"/>
                <w:szCs w:val="21"/>
              </w:rPr>
            </w:pPr>
          </w:p>
        </w:tc>
        <w:tc>
          <w:tcPr>
            <w:tcW w:w="2182" w:type="dxa"/>
            <w:tcBorders>
              <w:top w:val="single" w:color="auto" w:sz="4" w:space="0"/>
              <w:left w:val="single" w:color="auto" w:sz="4" w:space="0"/>
              <w:bottom w:val="single" w:color="auto" w:sz="4" w:space="0"/>
              <w:right w:val="single" w:color="auto" w:sz="4" w:space="0"/>
            </w:tcBorders>
            <w:vAlign w:val="center"/>
          </w:tcPr>
          <w:p w14:paraId="3603BF18">
            <w:pPr>
              <w:tabs>
                <w:tab w:val="left" w:pos="720"/>
              </w:tabs>
              <w:snapToGrid w:val="0"/>
              <w:spacing w:line="360" w:lineRule="auto"/>
              <w:jc w:val="center"/>
              <w:rPr>
                <w:rFonts w:ascii="宋体" w:hAnsi="宋体"/>
                <w:szCs w:val="21"/>
              </w:rPr>
            </w:pPr>
          </w:p>
        </w:tc>
        <w:tc>
          <w:tcPr>
            <w:tcW w:w="1328" w:type="dxa"/>
            <w:tcBorders>
              <w:top w:val="single" w:color="auto" w:sz="4" w:space="0"/>
              <w:left w:val="single" w:color="auto" w:sz="4" w:space="0"/>
              <w:bottom w:val="single" w:color="auto" w:sz="4" w:space="0"/>
              <w:right w:val="single" w:color="auto" w:sz="4" w:space="0"/>
            </w:tcBorders>
            <w:vAlign w:val="center"/>
          </w:tcPr>
          <w:p w14:paraId="19CBB5A2">
            <w:pPr>
              <w:tabs>
                <w:tab w:val="left" w:pos="720"/>
              </w:tabs>
              <w:snapToGrid w:val="0"/>
              <w:spacing w:line="360" w:lineRule="auto"/>
              <w:jc w:val="center"/>
              <w:rPr>
                <w:rFonts w:ascii="宋体" w:hAnsi="宋体"/>
                <w:szCs w:val="21"/>
              </w:rPr>
            </w:pPr>
          </w:p>
        </w:tc>
      </w:tr>
      <w:tr w14:paraId="290A97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1165" w:type="dxa"/>
            <w:tcBorders>
              <w:top w:val="single" w:color="auto" w:sz="4" w:space="0"/>
              <w:left w:val="single" w:color="auto" w:sz="4" w:space="0"/>
              <w:bottom w:val="single" w:color="auto" w:sz="4" w:space="0"/>
              <w:right w:val="single" w:color="auto" w:sz="4" w:space="0"/>
            </w:tcBorders>
            <w:vAlign w:val="center"/>
          </w:tcPr>
          <w:p w14:paraId="202322CB">
            <w:pPr>
              <w:tabs>
                <w:tab w:val="left" w:pos="720"/>
              </w:tabs>
              <w:snapToGrid w:val="0"/>
              <w:spacing w:line="360" w:lineRule="auto"/>
              <w:jc w:val="center"/>
              <w:rPr>
                <w:rFonts w:ascii="宋体" w:hAnsi="宋体"/>
                <w:szCs w:val="21"/>
              </w:rPr>
            </w:pPr>
          </w:p>
        </w:tc>
        <w:tc>
          <w:tcPr>
            <w:tcW w:w="1347" w:type="dxa"/>
            <w:tcBorders>
              <w:top w:val="single" w:color="auto" w:sz="4" w:space="0"/>
              <w:left w:val="single" w:color="auto" w:sz="4" w:space="0"/>
              <w:bottom w:val="single" w:color="auto" w:sz="4" w:space="0"/>
              <w:right w:val="single" w:color="auto" w:sz="4" w:space="0"/>
            </w:tcBorders>
            <w:vAlign w:val="center"/>
          </w:tcPr>
          <w:p w14:paraId="166E6743">
            <w:pPr>
              <w:tabs>
                <w:tab w:val="left" w:pos="720"/>
              </w:tabs>
              <w:snapToGrid w:val="0"/>
              <w:spacing w:line="360" w:lineRule="auto"/>
              <w:jc w:val="center"/>
              <w:rPr>
                <w:rFonts w:ascii="宋体" w:hAnsi="宋体"/>
                <w:szCs w:val="21"/>
              </w:rPr>
            </w:pPr>
          </w:p>
        </w:tc>
        <w:tc>
          <w:tcPr>
            <w:tcW w:w="2274" w:type="dxa"/>
            <w:tcBorders>
              <w:top w:val="single" w:color="auto" w:sz="4" w:space="0"/>
              <w:left w:val="single" w:color="auto" w:sz="4" w:space="0"/>
              <w:bottom w:val="single" w:color="auto" w:sz="4" w:space="0"/>
              <w:right w:val="single" w:color="auto" w:sz="4" w:space="0"/>
            </w:tcBorders>
            <w:vAlign w:val="center"/>
          </w:tcPr>
          <w:p w14:paraId="3BB78981">
            <w:pPr>
              <w:tabs>
                <w:tab w:val="left" w:pos="720"/>
              </w:tabs>
              <w:snapToGrid w:val="0"/>
              <w:spacing w:line="360" w:lineRule="auto"/>
              <w:jc w:val="center"/>
              <w:rPr>
                <w:rFonts w:ascii="宋体" w:hAnsi="宋体"/>
                <w:szCs w:val="21"/>
              </w:rPr>
            </w:pPr>
          </w:p>
        </w:tc>
        <w:tc>
          <w:tcPr>
            <w:tcW w:w="2182" w:type="dxa"/>
            <w:tcBorders>
              <w:top w:val="single" w:color="auto" w:sz="4" w:space="0"/>
              <w:left w:val="single" w:color="auto" w:sz="4" w:space="0"/>
              <w:bottom w:val="single" w:color="auto" w:sz="4" w:space="0"/>
              <w:right w:val="single" w:color="auto" w:sz="4" w:space="0"/>
            </w:tcBorders>
            <w:vAlign w:val="center"/>
          </w:tcPr>
          <w:p w14:paraId="36953031">
            <w:pPr>
              <w:tabs>
                <w:tab w:val="left" w:pos="720"/>
              </w:tabs>
              <w:snapToGrid w:val="0"/>
              <w:spacing w:line="360" w:lineRule="auto"/>
              <w:jc w:val="center"/>
              <w:rPr>
                <w:rFonts w:ascii="宋体" w:hAnsi="宋体"/>
                <w:szCs w:val="21"/>
              </w:rPr>
            </w:pPr>
          </w:p>
        </w:tc>
        <w:tc>
          <w:tcPr>
            <w:tcW w:w="1328" w:type="dxa"/>
            <w:tcBorders>
              <w:top w:val="single" w:color="auto" w:sz="4" w:space="0"/>
              <w:left w:val="single" w:color="auto" w:sz="4" w:space="0"/>
              <w:bottom w:val="single" w:color="auto" w:sz="4" w:space="0"/>
              <w:right w:val="single" w:color="auto" w:sz="4" w:space="0"/>
            </w:tcBorders>
            <w:vAlign w:val="center"/>
          </w:tcPr>
          <w:p w14:paraId="441A3F58">
            <w:pPr>
              <w:tabs>
                <w:tab w:val="left" w:pos="720"/>
              </w:tabs>
              <w:snapToGrid w:val="0"/>
              <w:spacing w:line="360" w:lineRule="auto"/>
              <w:jc w:val="center"/>
              <w:rPr>
                <w:rFonts w:ascii="宋体" w:hAnsi="宋体"/>
                <w:szCs w:val="21"/>
              </w:rPr>
            </w:pPr>
          </w:p>
        </w:tc>
      </w:tr>
    </w:tbl>
    <w:p w14:paraId="630A56BF">
      <w:pPr>
        <w:spacing w:line="360" w:lineRule="auto"/>
        <w:jc w:val="left"/>
        <w:rPr>
          <w:szCs w:val="21"/>
        </w:rPr>
      </w:pPr>
      <w:r>
        <w:rPr>
          <w:rFonts w:hint="eastAsia"/>
          <w:szCs w:val="21"/>
        </w:rPr>
        <w:t>注：参与编制投标文件所有人员名单应包括如编制各种专业工程量清单投标报价、负责清样校对、负责打印及复印等所有人员在内的人员名单。</w:t>
      </w:r>
    </w:p>
    <w:p w14:paraId="536E6FFD">
      <w:pPr>
        <w:autoSpaceDE w:val="0"/>
        <w:autoSpaceDN w:val="0"/>
        <w:adjustRightInd w:val="0"/>
        <w:rPr>
          <w:rFonts w:ascii="宋体" w:hAnsi="宋体" w:cs="宋体"/>
          <w:szCs w:val="21"/>
        </w:rPr>
      </w:pPr>
      <w:r>
        <w:rPr>
          <w:szCs w:val="21"/>
        </w:rPr>
        <w:br w:type="page"/>
      </w:r>
      <w:r>
        <w:rPr>
          <w:rFonts w:hint="eastAsia" w:ascii="宋体" w:hAnsi="宋体" w:cs="宋体"/>
          <w:sz w:val="24"/>
        </w:rPr>
        <w:t>经济标投标文件格式五：</w:t>
      </w:r>
    </w:p>
    <w:p w14:paraId="011F7C63">
      <w:pPr>
        <w:pStyle w:val="5"/>
        <w:spacing w:after="0" w:line="360" w:lineRule="auto"/>
        <w:ind w:firstLine="0"/>
        <w:jc w:val="center"/>
        <w:rPr>
          <w:rFonts w:ascii="宋体" w:hAnsi="宋体" w:eastAsia="宋体" w:cs="宋体"/>
          <w:sz w:val="32"/>
          <w:szCs w:val="32"/>
        </w:rPr>
      </w:pPr>
      <w:r>
        <w:rPr>
          <w:rFonts w:hint="eastAsia" w:ascii="宋体" w:hAnsi="宋体" w:eastAsia="宋体" w:cs="宋体"/>
          <w:b/>
          <w:sz w:val="32"/>
          <w:szCs w:val="32"/>
        </w:rPr>
        <w:t>对投标文件编制的承诺</w:t>
      </w:r>
    </w:p>
    <w:p w14:paraId="13786BE2">
      <w:pPr>
        <w:pStyle w:val="5"/>
        <w:spacing w:after="0" w:line="360" w:lineRule="auto"/>
        <w:ind w:left="-2" w:leftChars="-1" w:firstLine="540" w:firstLineChars="225"/>
        <w:rPr>
          <w:rFonts w:ascii="宋体" w:hAnsi="宋体" w:eastAsia="宋体" w:cs="宋体"/>
          <w:sz w:val="24"/>
          <w:szCs w:val="24"/>
        </w:rPr>
      </w:pPr>
      <w:r>
        <w:rPr>
          <w:rFonts w:hint="eastAsia" w:ascii="宋体" w:hAnsi="宋体" w:eastAsia="宋体" w:cs="宋体"/>
          <w:sz w:val="24"/>
          <w:szCs w:val="24"/>
        </w:rPr>
        <w:t>本公司授权</w:t>
      </w:r>
      <w:r>
        <w:rPr>
          <w:rFonts w:hint="eastAsia" w:ascii="宋体" w:hAnsi="宋体" w:eastAsia="宋体" w:cs="宋体"/>
          <w:sz w:val="24"/>
          <w:szCs w:val="24"/>
          <w:u w:val="single"/>
        </w:rPr>
        <w:t xml:space="preserve">         （身份证号：               ）</w:t>
      </w:r>
      <w:r>
        <w:rPr>
          <w:rFonts w:hint="eastAsia" w:ascii="宋体" w:hAnsi="宋体" w:eastAsia="宋体" w:cs="宋体"/>
          <w:sz w:val="24"/>
          <w:szCs w:val="24"/>
        </w:rPr>
        <w:t>负责对投标文件的编制及内容进行解释、说明，并承诺以下事项：</w:t>
      </w:r>
    </w:p>
    <w:p w14:paraId="729148A7">
      <w:pPr>
        <w:pStyle w:val="5"/>
        <w:spacing w:after="0" w:line="360" w:lineRule="auto"/>
        <w:ind w:left="-2" w:leftChars="-1" w:firstLine="540" w:firstLineChars="225"/>
        <w:rPr>
          <w:rFonts w:ascii="宋体" w:hAnsi="宋体" w:eastAsia="宋体" w:cs="宋体"/>
          <w:sz w:val="24"/>
          <w:szCs w:val="24"/>
        </w:rPr>
      </w:pPr>
      <w:r>
        <w:rPr>
          <w:rFonts w:hint="eastAsia" w:ascii="宋体" w:hAnsi="宋体" w:eastAsia="宋体" w:cs="宋体"/>
          <w:sz w:val="24"/>
          <w:szCs w:val="24"/>
        </w:rPr>
        <w:t>1.被授权人清楚投标文件编制的具体情况，包括技术方案文件、工程量清单、以及投标文件的加密打包的理解；</w:t>
      </w:r>
    </w:p>
    <w:p w14:paraId="6A8F197F">
      <w:pPr>
        <w:pStyle w:val="5"/>
        <w:spacing w:after="0" w:line="360" w:lineRule="auto"/>
        <w:ind w:left="-2" w:leftChars="-1" w:firstLine="540" w:firstLineChars="225"/>
        <w:rPr>
          <w:rFonts w:ascii="宋体" w:hAnsi="宋体" w:eastAsia="宋体" w:cs="宋体"/>
          <w:sz w:val="24"/>
          <w:szCs w:val="24"/>
        </w:rPr>
      </w:pPr>
      <w:r>
        <w:rPr>
          <w:rFonts w:hint="eastAsia" w:ascii="宋体" w:hAnsi="宋体" w:eastAsia="宋体" w:cs="宋体"/>
          <w:sz w:val="24"/>
          <w:szCs w:val="24"/>
        </w:rPr>
        <w:t>2.在本项目开标至评标结束前，努力确保被授权人在项目评标所在地附近；</w:t>
      </w:r>
    </w:p>
    <w:p w14:paraId="7614EBBD">
      <w:pPr>
        <w:pStyle w:val="5"/>
        <w:spacing w:after="0" w:line="360" w:lineRule="auto"/>
        <w:ind w:left="-2" w:leftChars="-1" w:firstLine="540" w:firstLineChars="225"/>
        <w:rPr>
          <w:rFonts w:ascii="宋体" w:hAnsi="宋体" w:eastAsia="宋体" w:cs="宋体"/>
          <w:sz w:val="24"/>
          <w:szCs w:val="24"/>
        </w:rPr>
      </w:pPr>
      <w:r>
        <w:rPr>
          <w:rFonts w:hint="eastAsia" w:ascii="宋体" w:hAnsi="宋体" w:eastAsia="宋体" w:cs="宋体"/>
          <w:sz w:val="24"/>
          <w:szCs w:val="24"/>
        </w:rPr>
        <w:t>3.从评标委员会要求澄清起二小时内，被授权人应如实地书面澄清。</w:t>
      </w:r>
    </w:p>
    <w:p w14:paraId="35FB341D">
      <w:pPr>
        <w:pStyle w:val="5"/>
        <w:spacing w:after="0" w:line="360" w:lineRule="auto"/>
        <w:ind w:left="-2" w:leftChars="-1" w:firstLine="540" w:firstLineChars="225"/>
        <w:rPr>
          <w:rFonts w:ascii="宋体" w:hAnsi="宋体" w:eastAsia="宋体" w:cs="宋体"/>
          <w:sz w:val="24"/>
          <w:szCs w:val="24"/>
        </w:rPr>
      </w:pPr>
      <w:r>
        <w:rPr>
          <w:rFonts w:hint="eastAsia" w:ascii="宋体" w:hAnsi="宋体" w:eastAsia="宋体" w:cs="宋体"/>
          <w:sz w:val="24"/>
          <w:szCs w:val="24"/>
        </w:rPr>
        <w:t xml:space="preserve">如由于未遵守上述承诺内容之一导致无法进行澄清的，我公司认可和接受评标委员会作出的评审结论。                                 </w:t>
      </w:r>
    </w:p>
    <w:p w14:paraId="79EB38B5">
      <w:pPr>
        <w:pStyle w:val="5"/>
        <w:spacing w:after="0" w:line="360" w:lineRule="auto"/>
        <w:ind w:firstLine="360" w:firstLineChars="150"/>
        <w:rPr>
          <w:rFonts w:ascii="宋体" w:hAnsi="宋体" w:eastAsia="宋体" w:cs="宋体"/>
          <w:sz w:val="24"/>
          <w:szCs w:val="24"/>
        </w:rPr>
      </w:pPr>
    </w:p>
    <w:p w14:paraId="66EFC212">
      <w:pPr>
        <w:pStyle w:val="5"/>
        <w:spacing w:after="0" w:line="360" w:lineRule="auto"/>
        <w:ind w:firstLine="480" w:firstLineChars="200"/>
        <w:rPr>
          <w:rFonts w:ascii="宋体" w:hAnsi="宋体" w:eastAsia="宋体" w:cs="宋体"/>
          <w:sz w:val="24"/>
          <w:szCs w:val="24"/>
        </w:rPr>
      </w:pPr>
      <w:r>
        <w:rPr>
          <w:rFonts w:hint="eastAsia" w:ascii="宋体" w:hAnsi="宋体" w:eastAsia="宋体" w:cs="宋体"/>
          <w:sz w:val="24"/>
          <w:szCs w:val="24"/>
        </w:rPr>
        <w:t>附件：《投标文件编制情况》</w:t>
      </w:r>
    </w:p>
    <w:p w14:paraId="2469B97C">
      <w:pPr>
        <w:spacing w:line="360" w:lineRule="auto"/>
        <w:ind w:right="90" w:firstLine="3240" w:firstLineChars="1350"/>
        <w:rPr>
          <w:rFonts w:ascii="宋体" w:hAnsi="宋体" w:cs="宋体"/>
          <w:sz w:val="24"/>
          <w:szCs w:val="24"/>
          <w:u w:val="single"/>
        </w:rPr>
      </w:pPr>
      <w:r>
        <w:rPr>
          <w:rFonts w:hint="eastAsia" w:ascii="宋体" w:hAnsi="宋体" w:cs="宋体"/>
          <w:sz w:val="24"/>
          <w:szCs w:val="24"/>
        </w:rPr>
        <w:t xml:space="preserve"> 投标人名称（盖法人公章）：</w:t>
      </w:r>
    </w:p>
    <w:p w14:paraId="1E272DFF">
      <w:pPr>
        <w:spacing w:line="360" w:lineRule="auto"/>
        <w:ind w:firstLine="2160" w:firstLineChars="900"/>
        <w:rPr>
          <w:rFonts w:ascii="宋体" w:hAnsi="宋体" w:cs="宋体"/>
          <w:sz w:val="24"/>
          <w:szCs w:val="24"/>
          <w:u w:val="single"/>
        </w:rPr>
      </w:pPr>
      <w:r>
        <w:rPr>
          <w:rFonts w:hint="eastAsia" w:ascii="宋体" w:hAnsi="宋体" w:cs="宋体"/>
          <w:sz w:val="24"/>
          <w:szCs w:val="24"/>
        </w:rPr>
        <w:t>法定代表人或被授权人（签字或盖章）：</w:t>
      </w:r>
    </w:p>
    <w:p w14:paraId="62D62F0D">
      <w:pPr>
        <w:spacing w:line="360" w:lineRule="auto"/>
        <w:ind w:firstLine="4440" w:firstLineChars="1850"/>
        <w:jc w:val="center"/>
        <w:rPr>
          <w:rFonts w:ascii="宋体" w:hAnsi="宋体" w:cs="宋体"/>
          <w:sz w:val="24"/>
          <w:szCs w:val="24"/>
        </w:rPr>
      </w:pPr>
      <w:r>
        <w:rPr>
          <w:rFonts w:hint="eastAsia" w:ascii="宋体" w:hAnsi="宋体" w:cs="宋体"/>
          <w:sz w:val="24"/>
          <w:szCs w:val="24"/>
        </w:rPr>
        <w:t>日期：  年  月  日</w:t>
      </w:r>
    </w:p>
    <w:p w14:paraId="47F7EBF8">
      <w:pPr>
        <w:pStyle w:val="5"/>
        <w:spacing w:after="0" w:line="360" w:lineRule="auto"/>
        <w:ind w:firstLine="0"/>
        <w:rPr>
          <w:rFonts w:ascii="宋体" w:hAnsi="宋体" w:eastAsia="宋体" w:cs="宋体"/>
          <w:b/>
          <w:sz w:val="32"/>
          <w:szCs w:val="32"/>
        </w:rPr>
      </w:pPr>
    </w:p>
    <w:p w14:paraId="15E5868A">
      <w:pPr>
        <w:pStyle w:val="5"/>
        <w:spacing w:after="0" w:line="360" w:lineRule="auto"/>
        <w:ind w:firstLine="640" w:firstLineChars="200"/>
        <w:jc w:val="center"/>
        <w:rPr>
          <w:rFonts w:ascii="宋体" w:hAnsi="宋体" w:eastAsia="宋体" w:cs="宋体"/>
          <w:sz w:val="18"/>
          <w:szCs w:val="18"/>
        </w:rPr>
      </w:pPr>
      <w:r>
        <w:rPr>
          <w:rFonts w:hint="eastAsia" w:ascii="宋体" w:hAnsi="宋体" w:eastAsia="宋体" w:cs="宋体"/>
          <w:b/>
          <w:sz w:val="32"/>
          <w:szCs w:val="32"/>
        </w:rPr>
        <w:t>投标文件编制情况</w:t>
      </w:r>
    </w:p>
    <w:p w14:paraId="340D3E6C">
      <w:pPr>
        <w:pStyle w:val="5"/>
        <w:spacing w:after="0" w:line="360" w:lineRule="auto"/>
        <w:ind w:firstLine="480" w:firstLineChars="200"/>
        <w:rPr>
          <w:rFonts w:ascii="宋体" w:hAnsi="宋体" w:eastAsia="宋体" w:cs="宋体"/>
          <w:sz w:val="24"/>
          <w:szCs w:val="24"/>
          <w:u w:val="single"/>
        </w:rPr>
      </w:pPr>
      <w:r>
        <w:rPr>
          <w:rFonts w:hint="eastAsia" w:ascii="宋体" w:hAnsi="宋体" w:eastAsia="宋体" w:cs="宋体"/>
          <w:sz w:val="24"/>
          <w:szCs w:val="24"/>
        </w:rPr>
        <w:t>1.投标文件报价编制方式: □自行编制的，编制的负责人：</w:t>
      </w:r>
      <w:r>
        <w:rPr>
          <w:rFonts w:hint="eastAsia" w:ascii="宋体" w:hAnsi="宋体" w:eastAsia="宋体" w:cs="宋体"/>
          <w:sz w:val="24"/>
          <w:szCs w:val="24"/>
          <w:u w:val="single"/>
        </w:rPr>
        <w:t xml:space="preserve"> （盖造价工程师执业专用章或全国建设工程造价员章，执业单位应与投标人一致） </w:t>
      </w:r>
      <w:r>
        <w:rPr>
          <w:rFonts w:hint="eastAsia" w:ascii="宋体" w:hAnsi="宋体" w:eastAsia="宋体" w:cs="宋体"/>
          <w:sz w:val="24"/>
          <w:szCs w:val="24"/>
        </w:rPr>
        <w:t>。□委托编制的，受委托单位，编制的负责人：</w:t>
      </w:r>
      <w:r>
        <w:rPr>
          <w:rFonts w:hint="eastAsia" w:ascii="宋体" w:hAnsi="宋体" w:eastAsia="宋体" w:cs="宋体"/>
          <w:sz w:val="24"/>
          <w:szCs w:val="24"/>
          <w:u w:val="single"/>
        </w:rPr>
        <w:t xml:space="preserve"> （盖造价工程师执业专用章或全国建设工程造价员章，执业单位应与受委托单位一致） </w:t>
      </w:r>
      <w:r>
        <w:rPr>
          <w:rFonts w:hint="eastAsia" w:ascii="宋体" w:hAnsi="宋体" w:eastAsia="宋体" w:cs="宋体"/>
          <w:sz w:val="24"/>
          <w:szCs w:val="24"/>
        </w:rPr>
        <w:t>。</w:t>
      </w:r>
    </w:p>
    <w:p w14:paraId="1C5E8BC0">
      <w:pPr>
        <w:pStyle w:val="5"/>
        <w:spacing w:after="0" w:line="360" w:lineRule="auto"/>
        <w:ind w:firstLine="480" w:firstLineChars="200"/>
        <w:rPr>
          <w:rFonts w:ascii="宋体" w:hAnsi="宋体" w:eastAsia="宋体" w:cs="宋体"/>
          <w:sz w:val="24"/>
          <w:szCs w:val="24"/>
        </w:rPr>
      </w:pPr>
      <w:r>
        <w:rPr>
          <w:rFonts w:hint="eastAsia" w:ascii="宋体" w:hAnsi="宋体" w:eastAsia="宋体" w:cs="宋体"/>
          <w:sz w:val="24"/>
          <w:szCs w:val="24"/>
        </w:rPr>
        <w:t>2.投标文件加密打包的电脑情况</w:t>
      </w:r>
    </w:p>
    <w:tbl>
      <w:tblPr>
        <w:tblStyle w:val="34"/>
        <w:tblW w:w="8522" w:type="dxa"/>
        <w:tblInd w:w="0" w:type="dxa"/>
        <w:tblLayout w:type="fixed"/>
        <w:tblCellMar>
          <w:top w:w="0" w:type="dxa"/>
          <w:left w:w="108" w:type="dxa"/>
          <w:bottom w:w="0" w:type="dxa"/>
          <w:right w:w="108" w:type="dxa"/>
        </w:tblCellMar>
      </w:tblPr>
      <w:tblGrid>
        <w:gridCol w:w="8522"/>
      </w:tblGrid>
      <w:tr w14:paraId="23058572">
        <w:tblPrEx>
          <w:tblCellMar>
            <w:top w:w="0" w:type="dxa"/>
            <w:left w:w="108" w:type="dxa"/>
            <w:bottom w:w="0" w:type="dxa"/>
            <w:right w:w="108" w:type="dxa"/>
          </w:tblCellMar>
        </w:tblPrEx>
        <w:trPr>
          <w:trHeight w:val="2819" w:hRule="atLeast"/>
        </w:trPr>
        <w:tc>
          <w:tcPr>
            <w:tcW w:w="8522" w:type="dxa"/>
          </w:tcPr>
          <w:p w14:paraId="67F134D7">
            <w:pPr>
              <w:pStyle w:val="5"/>
              <w:spacing w:after="0" w:line="360" w:lineRule="auto"/>
              <w:ind w:firstLine="0"/>
              <w:rPr>
                <w:rFonts w:ascii="宋体" w:hAnsi="宋体" w:eastAsia="宋体" w:cs="宋体"/>
                <w:sz w:val="24"/>
                <w:szCs w:val="24"/>
              </w:rPr>
            </w:pPr>
            <w:r>
              <w:rPr>
                <w:rFonts w:hint="eastAsia" w:ascii="宋体" w:hAnsi="宋体" w:eastAsia="宋体" w:cs="宋体"/>
                <w:sz w:val="24"/>
                <w:szCs w:val="24"/>
              </w:rPr>
              <w:t>投标文件加密打包的电脑     自有    □      外包    □     其他    □</w:t>
            </w:r>
          </w:p>
          <w:p w14:paraId="59E2EFA3">
            <w:pPr>
              <w:pStyle w:val="5"/>
              <w:spacing w:after="0" w:line="360" w:lineRule="auto"/>
              <w:ind w:firstLine="0"/>
              <w:rPr>
                <w:rFonts w:ascii="宋体" w:hAnsi="宋体" w:eastAsia="宋体" w:cs="宋体"/>
                <w:sz w:val="24"/>
                <w:szCs w:val="24"/>
              </w:rPr>
            </w:pPr>
            <w:r>
              <w:rPr>
                <w:rFonts w:hint="eastAsia" w:ascii="宋体" w:hAnsi="宋体" w:eastAsia="宋体" w:cs="宋体"/>
                <w:sz w:val="24"/>
                <w:szCs w:val="24"/>
              </w:rPr>
              <w:t>电脑类型</w:t>
            </w:r>
          </w:p>
          <w:p w14:paraId="0E3CF6D1">
            <w:pPr>
              <w:pStyle w:val="5"/>
              <w:spacing w:after="0" w:line="360" w:lineRule="auto"/>
              <w:ind w:firstLine="0"/>
              <w:rPr>
                <w:rFonts w:ascii="宋体" w:hAnsi="宋体" w:eastAsia="宋体" w:cs="宋体"/>
                <w:sz w:val="24"/>
                <w:szCs w:val="24"/>
              </w:rPr>
            </w:pPr>
            <w:r>
              <w:rPr>
                <w:rFonts w:hint="eastAsia" w:ascii="宋体" w:hAnsi="宋体" w:eastAsia="宋体" w:cs="宋体"/>
                <w:sz w:val="24"/>
                <w:szCs w:val="24"/>
              </w:rPr>
              <w:t>电脑所属单位</w:t>
            </w:r>
          </w:p>
          <w:p w14:paraId="7E124952">
            <w:pPr>
              <w:pStyle w:val="5"/>
              <w:spacing w:after="0" w:line="360" w:lineRule="auto"/>
              <w:ind w:firstLine="0"/>
              <w:rPr>
                <w:rFonts w:ascii="宋体" w:hAnsi="宋体" w:eastAsia="宋体" w:cs="宋体"/>
                <w:sz w:val="24"/>
                <w:szCs w:val="24"/>
              </w:rPr>
            </w:pPr>
            <w:r>
              <w:rPr>
                <w:rFonts w:hint="eastAsia" w:ascii="宋体" w:hAnsi="宋体" w:eastAsia="宋体" w:cs="宋体"/>
                <w:sz w:val="24"/>
                <w:szCs w:val="24"/>
              </w:rPr>
              <w:t>电脑所在地址    （如××市××区(县) ××街（路）××号××大厦××房）</w:t>
            </w:r>
          </w:p>
        </w:tc>
      </w:tr>
    </w:tbl>
    <w:p w14:paraId="2C9EDB84">
      <w:pPr>
        <w:spacing w:line="360" w:lineRule="auto"/>
        <w:rPr>
          <w:rFonts w:ascii="宋体" w:hAnsi="宋体" w:cs="宋体"/>
          <w:sz w:val="24"/>
        </w:rPr>
      </w:pPr>
    </w:p>
    <w:p w14:paraId="7F1A852D">
      <w:pPr>
        <w:pStyle w:val="3"/>
        <w:jc w:val="center"/>
      </w:pPr>
      <w:r>
        <w:rPr>
          <w:rFonts w:hint="eastAsia"/>
        </w:rPr>
        <w:t>第五章</w:t>
      </w:r>
      <w:r>
        <w:t xml:space="preserve">  </w:t>
      </w:r>
      <w:r>
        <w:rPr>
          <w:rFonts w:hint="eastAsia"/>
        </w:rPr>
        <w:t>技术条件</w:t>
      </w:r>
      <w:bookmarkEnd w:id="28"/>
      <w:r>
        <w:rPr>
          <w:rFonts w:hint="eastAsia"/>
        </w:rPr>
        <w:t>（工程建设标准）</w:t>
      </w:r>
    </w:p>
    <w:p w14:paraId="69D97FE6">
      <w:pPr>
        <w:spacing w:line="360" w:lineRule="auto"/>
        <w:ind w:firstLine="480" w:firstLineChars="200"/>
        <w:rPr>
          <w:rFonts w:ascii="宋体" w:hAnsi="宋体" w:cs="宋体"/>
          <w:sz w:val="24"/>
          <w:szCs w:val="24"/>
        </w:rPr>
      </w:pPr>
      <w:r>
        <w:rPr>
          <w:rFonts w:hint="eastAsia" w:ascii="宋体" w:hAnsi="宋体" w:cs="宋体"/>
          <w:sz w:val="24"/>
          <w:szCs w:val="24"/>
        </w:rPr>
        <w:t>一、具体按施工图纸、中华人民共和国现行技术和验收规范、图纸中规定的其它技术和验收标准、遵照招标人相关规定要求为准。</w:t>
      </w:r>
    </w:p>
    <w:p w14:paraId="6A9B5F14">
      <w:pPr>
        <w:spacing w:line="360" w:lineRule="auto"/>
        <w:ind w:firstLine="480" w:firstLineChars="200"/>
        <w:rPr>
          <w:rFonts w:ascii="宋体" w:hAnsi="宋体" w:cs="宋体"/>
          <w:sz w:val="24"/>
          <w:szCs w:val="24"/>
        </w:rPr>
      </w:pPr>
      <w:r>
        <w:rPr>
          <w:rFonts w:hint="eastAsia" w:ascii="宋体" w:hAnsi="宋体" w:cs="宋体"/>
          <w:sz w:val="24"/>
          <w:szCs w:val="24"/>
        </w:rPr>
        <w:t>二、依据设计文件的要求，本招标工程项目的材料、设备、施工须达到中华人民共和国以及省、市或行业的工程建设标准、规范的要求。</w:t>
      </w:r>
    </w:p>
    <w:p w14:paraId="1C1CB73A">
      <w:pPr>
        <w:spacing w:line="360" w:lineRule="auto"/>
        <w:ind w:firstLine="480" w:firstLineChars="200"/>
        <w:rPr>
          <w:rFonts w:ascii="宋体" w:hAnsi="宋体" w:cs="宋体"/>
          <w:sz w:val="24"/>
          <w:szCs w:val="24"/>
        </w:rPr>
      </w:pPr>
      <w:r>
        <w:rPr>
          <w:rFonts w:hint="eastAsia" w:ascii="宋体" w:hAnsi="宋体" w:cs="宋体"/>
          <w:sz w:val="24"/>
          <w:szCs w:val="24"/>
        </w:rPr>
        <w:t>三、施工现场建筑垃圾源头减量的具体要求和建筑垃圾综合利用产品的使用要求：</w:t>
      </w:r>
    </w:p>
    <w:p w14:paraId="28A0C7B8">
      <w:pPr>
        <w:spacing w:line="360" w:lineRule="auto"/>
        <w:ind w:firstLine="480" w:firstLineChars="200"/>
        <w:rPr>
          <w:rFonts w:ascii="宋体" w:hAnsi="宋体" w:cs="宋体"/>
          <w:sz w:val="24"/>
          <w:szCs w:val="24"/>
        </w:rPr>
      </w:pPr>
      <w:r>
        <w:rPr>
          <w:rFonts w:hint="eastAsia" w:ascii="宋体" w:hAnsi="宋体" w:cs="宋体"/>
          <w:sz w:val="24"/>
          <w:szCs w:val="24"/>
        </w:rPr>
        <w:t>1.1工程施工单位应当编制建筑垃圾处理方案，采取污染防治措施，并在开工前报工程所在地县级人民政府建筑垃圾主管部门备案。建筑垃圾处理方案内容有调整的，应当及时报告接受备案的部门。建筑垃圾处理方案应当包括下列内容：（1）工程概况和施工单位基本信息；（2）建筑垃圾产生量与种类；（3）建筑垃圾源头减量、分类收集、综合利用、污染防治的措施和目标；（4）需要外运的建筑垃圾种类、数量与运输的时间、路线、方式和运输单位；（5）建筑垃圾回填、消纳、综合利用场所名称；（6）法律、法规规定的其他内容。</w:t>
      </w:r>
    </w:p>
    <w:p w14:paraId="471707B5">
      <w:pPr>
        <w:spacing w:line="360" w:lineRule="auto"/>
        <w:ind w:firstLine="480" w:firstLineChars="200"/>
        <w:rPr>
          <w:rFonts w:ascii="宋体" w:hAnsi="宋体" w:cs="宋体"/>
          <w:sz w:val="24"/>
          <w:szCs w:val="24"/>
        </w:rPr>
      </w:pPr>
      <w:r>
        <w:rPr>
          <w:rFonts w:hint="eastAsia" w:ascii="宋体" w:hAnsi="宋体" w:cs="宋体"/>
          <w:sz w:val="24"/>
          <w:szCs w:val="24"/>
        </w:rPr>
        <w:t>1.2建筑垃圾应当按照国家有关规定进行分类，实行分类收集、分类贮存、分类运输、分类处置。</w:t>
      </w:r>
    </w:p>
    <w:p w14:paraId="6F11B9C6">
      <w:pPr>
        <w:spacing w:line="360" w:lineRule="auto"/>
        <w:ind w:firstLine="480" w:firstLineChars="200"/>
        <w:rPr>
          <w:rFonts w:ascii="宋体" w:hAnsi="宋体" w:cs="宋体"/>
          <w:sz w:val="24"/>
          <w:szCs w:val="24"/>
        </w:rPr>
      </w:pPr>
      <w:r>
        <w:rPr>
          <w:rFonts w:hint="eastAsia" w:ascii="宋体" w:hAnsi="宋体" w:cs="宋体"/>
          <w:sz w:val="24"/>
          <w:szCs w:val="24"/>
        </w:rPr>
        <w:t>1.3施工单位应开展建筑垃圾分类和合法装载，并及时向工程所在地县级人民政府建筑垃圾主管部门报送建筑垃圾处理方案。施工单位应当建立建筑垃圾管理台账，分类收集、贮存和及时清运施工过程中产生的建筑垃圾，采取有效措施防止混合已分类的建筑垃圾。工程施工单位应当将建筑垃圾的产生量与种类、清运时间、最终去向等信息在施工现场公示，接受社会监督。</w:t>
      </w:r>
    </w:p>
    <w:p w14:paraId="01F84439">
      <w:pPr>
        <w:spacing w:line="360" w:lineRule="auto"/>
        <w:ind w:firstLine="480" w:firstLineChars="200"/>
        <w:rPr>
          <w:rFonts w:ascii="宋体" w:hAnsi="宋体" w:cs="宋体"/>
          <w:sz w:val="24"/>
          <w:szCs w:val="24"/>
        </w:rPr>
      </w:pPr>
      <w:r>
        <w:rPr>
          <w:rFonts w:hint="eastAsia" w:ascii="宋体" w:hAnsi="宋体" w:cs="宋体"/>
          <w:sz w:val="24"/>
          <w:szCs w:val="24"/>
        </w:rPr>
        <w:t>1.4运输建筑垃圾应当遵守下列规定：（1）建立建筑垃圾运输管理台账；（2）不得将工程渣土、工程泥浆与其他建筑垃圾混合运输；（3）保持运输车辆、船舶等运输工具的行驶记录、卫星定位等电子装置正常使用；（4）运输过程中保持运输工具整洁，采取密闭或者其他有效措施防止遗撒建筑垃圾，不得擅自倾倒、抛撒建筑垃圾；（5）按照建筑垃圾处理方案确定的时间、路线、方式、场所进行运输。建筑垃圾运输车辆、船舶应当符合相应的载运技术条件。建筑垃圾处置场所为陆域的，不得采用开底式船舶运输建筑垃圾。</w:t>
      </w:r>
    </w:p>
    <w:p w14:paraId="1E86EDB3">
      <w:pPr>
        <w:spacing w:line="360" w:lineRule="auto"/>
        <w:ind w:firstLine="480" w:firstLineChars="200"/>
        <w:rPr>
          <w:rFonts w:ascii="宋体" w:hAnsi="宋体" w:cs="宋体"/>
          <w:sz w:val="24"/>
          <w:szCs w:val="24"/>
        </w:rPr>
      </w:pPr>
      <w:r>
        <w:rPr>
          <w:rFonts w:hint="eastAsia" w:ascii="宋体" w:hAnsi="宋体" w:cs="宋体"/>
          <w:sz w:val="24"/>
          <w:szCs w:val="24"/>
        </w:rPr>
        <w:t>1.5工程泥浆应当在施工现场进行脱水固化处理。施工现场不具备条件的，应当采用罐装器具密闭运输至依法设置的建筑垃圾处置场所进行处置。水上工程中依法无需经脱水处理的除外。</w:t>
      </w:r>
    </w:p>
    <w:p w14:paraId="3710B5C0">
      <w:pPr>
        <w:spacing w:line="360" w:lineRule="auto"/>
        <w:ind w:firstLine="480" w:firstLineChars="200"/>
        <w:rPr>
          <w:rFonts w:ascii="宋体" w:hAnsi="宋体" w:cs="宋体"/>
          <w:sz w:val="24"/>
          <w:szCs w:val="24"/>
        </w:rPr>
      </w:pPr>
      <w:r>
        <w:rPr>
          <w:rFonts w:hint="eastAsia" w:ascii="宋体" w:hAnsi="宋体" w:cs="宋体"/>
          <w:sz w:val="24"/>
          <w:szCs w:val="24"/>
        </w:rPr>
        <w:t>1.6建筑垃圾应当按照下列方式，优先就地就近利用：（1）工程渣土及脱水后的工程泥浆优先用于土方平衡、矿坑修复、环境治理、烧结制品及回填等；（2）工程垃圾、拆除垃圾和装修垃圾优先用于生产再生骨料、再生砖、再生砌块、再生沥青混合料等建筑垃圾综合利用产品。具备现场综合利用条件的建设工程，应当进行建筑垃圾现场综合利用。</w:t>
      </w:r>
    </w:p>
    <w:p w14:paraId="23A2F65D">
      <w:pPr>
        <w:spacing w:line="360" w:lineRule="auto"/>
        <w:ind w:firstLine="480" w:firstLineChars="200"/>
        <w:rPr>
          <w:rFonts w:ascii="宋体" w:hAnsi="宋体" w:cs="宋体"/>
          <w:sz w:val="24"/>
          <w:szCs w:val="24"/>
        </w:rPr>
      </w:pPr>
      <w:r>
        <w:rPr>
          <w:rFonts w:hint="eastAsia" w:ascii="宋体" w:hAnsi="宋体" w:cs="宋体"/>
          <w:sz w:val="24"/>
          <w:szCs w:val="24"/>
        </w:rPr>
        <w:t>1.7建设单位和施工单位严格遵守并执行《广东省建筑垃圾管理条例》。</w:t>
      </w:r>
    </w:p>
    <w:p w14:paraId="5B126C80">
      <w:pPr>
        <w:pStyle w:val="3"/>
        <w:jc w:val="center"/>
        <w:rPr>
          <w:rFonts w:ascii="宋体"/>
          <w:b w:val="0"/>
          <w:sz w:val="24"/>
          <w:szCs w:val="24"/>
        </w:rPr>
      </w:pPr>
      <w:r>
        <w:rPr>
          <w:sz w:val="24"/>
          <w:szCs w:val="24"/>
        </w:rPr>
        <w:br w:type="page"/>
      </w:r>
      <w:bookmarkStart w:id="31" w:name="_Toc2272569"/>
      <w:r>
        <w:rPr>
          <w:rFonts w:hint="eastAsia"/>
        </w:rPr>
        <w:t>第六章</w:t>
      </w:r>
      <w:r>
        <w:t xml:space="preserve">  </w:t>
      </w:r>
      <w:r>
        <w:rPr>
          <w:rFonts w:hint="eastAsia"/>
        </w:rPr>
        <w:t>图纸资料</w:t>
      </w:r>
      <w:bookmarkEnd w:id="31"/>
    </w:p>
    <w:p w14:paraId="33F3F6E9">
      <w:pPr>
        <w:jc w:val="center"/>
      </w:pPr>
      <w:r>
        <w:rPr>
          <w:rFonts w:hint="eastAsia" w:ascii="宋体" w:hAnsi="宋体"/>
          <w:sz w:val="24"/>
          <w:szCs w:val="24"/>
        </w:rPr>
        <w:t>（另册）</w:t>
      </w:r>
    </w:p>
    <w:p w14:paraId="50F45875">
      <w:pPr>
        <w:pStyle w:val="3"/>
        <w:jc w:val="center"/>
      </w:pPr>
      <w:r>
        <w:br w:type="page"/>
      </w:r>
      <w:bookmarkStart w:id="32" w:name="_Toc2272570"/>
      <w:r>
        <w:rPr>
          <w:rFonts w:hint="eastAsia"/>
        </w:rPr>
        <w:t>第七章</w:t>
      </w:r>
      <w:r>
        <w:t xml:space="preserve">  </w:t>
      </w:r>
      <w:r>
        <w:rPr>
          <w:rFonts w:hint="eastAsia"/>
        </w:rPr>
        <w:t>工程量清单</w:t>
      </w:r>
      <w:bookmarkEnd w:id="32"/>
    </w:p>
    <w:p w14:paraId="0BC29EB3">
      <w:pPr>
        <w:jc w:val="center"/>
        <w:rPr>
          <w:rFonts w:ascii="宋体"/>
          <w:b/>
          <w:sz w:val="24"/>
          <w:szCs w:val="24"/>
        </w:rPr>
      </w:pPr>
      <w:r>
        <w:rPr>
          <w:rFonts w:hint="eastAsia" w:ascii="宋体" w:hAnsi="宋体"/>
          <w:sz w:val="24"/>
          <w:szCs w:val="24"/>
        </w:rPr>
        <w:t>（另册）</w:t>
      </w:r>
    </w:p>
    <w:p w14:paraId="288EAA22">
      <w:pPr>
        <w:widowControl/>
        <w:jc w:val="left"/>
        <w:rPr>
          <w:rFonts w:ascii="Arial" w:hAnsi="Arial"/>
          <w:b/>
          <w:kern w:val="44"/>
          <w:sz w:val="28"/>
          <w:szCs w:val="28"/>
        </w:rPr>
      </w:pPr>
      <w:bookmarkStart w:id="33" w:name="_Toc2272571"/>
      <w:r>
        <w:br w:type="page"/>
      </w:r>
    </w:p>
    <w:p w14:paraId="36B75AFF">
      <w:pPr>
        <w:pStyle w:val="3"/>
        <w:jc w:val="center"/>
        <w:rPr>
          <w:rFonts w:ascii="宋体"/>
        </w:rPr>
      </w:pPr>
      <w:r>
        <w:rPr>
          <w:rFonts w:hint="eastAsia"/>
        </w:rPr>
        <w:t>第八章</w:t>
      </w:r>
      <w:r>
        <w:t xml:space="preserve">  </w:t>
      </w:r>
      <w:r>
        <w:rPr>
          <w:rFonts w:hint="eastAsia"/>
        </w:rPr>
        <w:t>最高投标限价</w:t>
      </w:r>
      <w:bookmarkEnd w:id="33"/>
    </w:p>
    <w:p w14:paraId="63275F2A">
      <w:pPr>
        <w:spacing w:line="360" w:lineRule="auto"/>
        <w:ind w:firstLine="480"/>
        <w:jc w:val="center"/>
        <w:rPr>
          <w:rFonts w:ascii="宋体" w:hAnsi="宋体"/>
          <w:sz w:val="24"/>
          <w:szCs w:val="24"/>
          <w:u w:val="single"/>
        </w:rPr>
      </w:pPr>
      <w:r>
        <w:rPr>
          <w:rFonts w:hint="eastAsia" w:ascii="宋体" w:hAnsi="宋体"/>
          <w:sz w:val="24"/>
          <w:szCs w:val="24"/>
        </w:rPr>
        <w:t>（另册）</w:t>
      </w:r>
    </w:p>
    <w:p w14:paraId="70F44BDA">
      <w:bookmarkStart w:id="34" w:name="_GoBack"/>
      <w:bookmarkEnd w:id="34"/>
    </w:p>
    <w:sectPr>
      <w:pgSz w:w="11906" w:h="16838"/>
      <w:pgMar w:top="1440" w:right="1800" w:bottom="1440" w:left="1800" w:header="851" w:footer="992" w:gutter="0"/>
      <w:cols w:space="720" w:num="1"/>
      <w:docGrid w:type="linesAndChar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Microsoft YaHei UI">
    <w:panose1 w:val="020B0503020204020204"/>
    <w:charset w:val="86"/>
    <w:family w:val="swiss"/>
    <w:pitch w:val="default"/>
    <w:sig w:usb0="80000287" w:usb1="2ACF3C50" w:usb2="00000016" w:usb3="00000000" w:csb0="0004001F" w:csb1="00000000"/>
  </w:font>
  <w:font w:name="Calisto MT">
    <w:altName w:val="Segoe Print"/>
    <w:panose1 w:val="02040603050505030304"/>
    <w:charset w:val="00"/>
    <w:family w:val="roman"/>
    <w:pitch w:val="default"/>
    <w:sig w:usb0="00000000" w:usb1="00000000" w:usb2="00000000" w:usb3="00000000" w:csb0="20000001" w:csb1="00000000"/>
  </w:font>
  <w:font w:name="Segoe Print">
    <w:panose1 w:val="02000600000000000000"/>
    <w:charset w:val="00"/>
    <w:family w:val="auto"/>
    <w:pitch w:val="default"/>
    <w:sig w:usb0="0000028F" w:usb1="00000000" w:usb2="00000000" w:usb3="00000000" w:csb0="2000009F" w:csb1="4701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MS Mincho">
    <w:altName w:val="MS Gothic"/>
    <w:panose1 w:val="02020609040205080304"/>
    <w:charset w:val="80"/>
    <w:family w:val="roman"/>
    <w:pitch w:val="default"/>
    <w:sig w:usb0="00000000" w:usb1="00000000" w:usb2="00000010" w:usb3="00000000" w:csb0="00020000" w:csb1="00000000"/>
  </w:font>
  <w:font w:name="MS Gothic">
    <w:panose1 w:val="020B0609070205080204"/>
    <w:charset w:val="80"/>
    <w:family w:val="auto"/>
    <w:pitch w:val="default"/>
    <w:sig w:usb0="E00002FF" w:usb1="6AC7FDFB" w:usb2="08000012" w:usb3="00000000" w:csb0="4002009F" w:csb1="DFD70000"/>
  </w:font>
  <w:font w:name="lucida Grande">
    <w:altName w:val="Times New Roman"/>
    <w:panose1 w:val="00000000000000000000"/>
    <w:charset w:val="00"/>
    <w:family w:val="roman"/>
    <w:pitch w:val="default"/>
    <w:sig w:usb0="00000000" w:usb1="00000000" w:usb2="00000000" w:usb3="00000000" w:csb0="00040001" w:csb1="00000000"/>
  </w:font>
  <w:font w:name="方正大标宋简体">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AFA1D8">
    <w:pPr>
      <w:pStyle w:val="24"/>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113169126"/>
                          </w:sdtPr>
                          <w:sdtContent>
                            <w:p w14:paraId="3AEDECFC">
                              <w:pPr>
                                <w:pStyle w:val="24"/>
                                <w:jc w:val="center"/>
                              </w:pPr>
                              <w:r>
                                <w:fldChar w:fldCharType="begin"/>
                              </w:r>
                              <w:r>
                                <w:instrText xml:space="preserve">PAGE   \* MERGEFORMAT</w:instrText>
                              </w:r>
                              <w:r>
                                <w:fldChar w:fldCharType="separate"/>
                              </w:r>
                              <w:r>
                                <w:rPr>
                                  <w:lang w:val="zh-CN"/>
                                </w:rPr>
                                <w:t>60</w:t>
                              </w:r>
                              <w:r>
                                <w:fldChar w:fldCharType="end"/>
                              </w:r>
                            </w:p>
                          </w:sdtContent>
                        </w:sdt>
                        <w:p w14:paraId="78E612C6">
                          <w:pPr>
                            <w:pStyle w:val="7"/>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66C/ssAgAAV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roL+ywCAABVBAAADgAAAAAAAAABACAAAAAfAQAAZHJzL2Uyb0RvYy54bWxQSwUGAAAAAAYA&#10;BgBZAQAAvQUAAAAA&#10;">
              <v:fill on="f" focussize="0,0"/>
              <v:stroke on="f" weight="0.5pt"/>
              <v:imagedata o:title=""/>
              <o:lock v:ext="edit" aspectratio="f"/>
              <v:textbox inset="0mm,0mm,0mm,0mm" style="mso-fit-shape-to-text:t;">
                <w:txbxContent>
                  <w:sdt>
                    <w:sdtPr>
                      <w:id w:val="1113169126"/>
                    </w:sdtPr>
                    <w:sdtContent>
                      <w:p w14:paraId="3AEDECFC">
                        <w:pPr>
                          <w:pStyle w:val="24"/>
                          <w:jc w:val="center"/>
                        </w:pPr>
                        <w:r>
                          <w:fldChar w:fldCharType="begin"/>
                        </w:r>
                        <w:r>
                          <w:instrText xml:space="preserve">PAGE   \* MERGEFORMAT</w:instrText>
                        </w:r>
                        <w:r>
                          <w:fldChar w:fldCharType="separate"/>
                        </w:r>
                        <w:r>
                          <w:rPr>
                            <w:lang w:val="zh-CN"/>
                          </w:rPr>
                          <w:t>60</w:t>
                        </w:r>
                        <w:r>
                          <w:fldChar w:fldCharType="end"/>
                        </w:r>
                      </w:p>
                    </w:sdtContent>
                  </w:sdt>
                  <w:p w14:paraId="78E612C6">
                    <w:pPr>
                      <w:pStyle w:val="7"/>
                    </w:pPr>
                  </w:p>
                </w:txbxContent>
              </v:textbox>
            </v:shape>
          </w:pict>
        </mc:Fallback>
      </mc:AlternateContent>
    </w:r>
  </w:p>
  <w:p w14:paraId="5BB0E8DE">
    <w:pPr>
      <w:pStyle w:val="24"/>
      <w:ind w:firstLine="392"/>
      <w:jc w:val="right"/>
      <w:rPr>
        <w:rStyle w:val="39"/>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3E7A5A">
    <w:pPr>
      <w:pStyle w:val="24"/>
      <w:ind w:firstLine="392"/>
      <w:rPr>
        <w:rStyle w:val="39"/>
      </w:rPr>
    </w:pPr>
    <w:r>
      <w:fldChar w:fldCharType="begin"/>
    </w:r>
    <w:r>
      <w:rPr>
        <w:rStyle w:val="39"/>
      </w:rPr>
      <w:instrText xml:space="preserve">PAGE  </w:instrText>
    </w:r>
    <w:r>
      <w:fldChar w:fldCharType="separate"/>
    </w:r>
    <w:r>
      <w:rPr>
        <w:rStyle w:val="39"/>
        <w:rFonts w:hint="eastAsia"/>
      </w:rPr>
      <w:t>一</w:t>
    </w:r>
    <w:r>
      <w:rPr>
        <w:rStyle w:val="39"/>
      </w:rPr>
      <w:t>–2</w:t>
    </w:r>
    <w:r>
      <w:fldChar w:fldCharType="end"/>
    </w:r>
  </w:p>
  <w:p w14:paraId="242DEEE6">
    <w:pPr>
      <w:pStyle w:val="24"/>
      <w:ind w:firstLine="392"/>
    </w:pPr>
    <w:r>
      <w:rPr>
        <w:kern w:val="0"/>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13C5C8">
    <w:pPr>
      <w:pStyle w:val="24"/>
      <w:ind w:right="360" w:firstLine="360"/>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8F81971">
                          <w:pPr>
                            <w:pStyle w:val="24"/>
                            <w:jc w:val="center"/>
                            <w:rPr>
                              <w:rStyle w:val="39"/>
                            </w:rPr>
                          </w:pPr>
                          <w:r>
                            <w:fldChar w:fldCharType="begin"/>
                          </w:r>
                          <w:r>
                            <w:rPr>
                              <w:rStyle w:val="39"/>
                            </w:rPr>
                            <w:instrText xml:space="preserve">PAGE  </w:instrText>
                          </w:r>
                          <w:r>
                            <w:fldChar w:fldCharType="separate"/>
                          </w:r>
                          <w:r>
                            <w:rPr>
                              <w:rStyle w:val="39"/>
                            </w:rPr>
                            <w:t>90</w:t>
                          </w:r>
                          <w:r>
                            <w:fldChar w:fldCharType="end"/>
                          </w:r>
                        </w:p>
                        <w:p w14:paraId="07E56E61">
                          <w:pPr>
                            <w:pStyle w:val="24"/>
                            <w:ind w:left="-4410" w:leftChars="-2100" w:right="-4439" w:rightChars="-2114"/>
                            <w:rPr>
                              <w:rStyle w:val="39"/>
                            </w:rPr>
                          </w:pPr>
                        </w:p>
                        <w:p w14:paraId="2AB3E900"/>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14:paraId="18F81971">
                    <w:pPr>
                      <w:pStyle w:val="24"/>
                      <w:jc w:val="center"/>
                      <w:rPr>
                        <w:rStyle w:val="39"/>
                      </w:rPr>
                    </w:pPr>
                    <w:r>
                      <w:fldChar w:fldCharType="begin"/>
                    </w:r>
                    <w:r>
                      <w:rPr>
                        <w:rStyle w:val="39"/>
                      </w:rPr>
                      <w:instrText xml:space="preserve">PAGE  </w:instrText>
                    </w:r>
                    <w:r>
                      <w:fldChar w:fldCharType="separate"/>
                    </w:r>
                    <w:r>
                      <w:rPr>
                        <w:rStyle w:val="39"/>
                      </w:rPr>
                      <w:t>90</w:t>
                    </w:r>
                    <w:r>
                      <w:fldChar w:fldCharType="end"/>
                    </w:r>
                  </w:p>
                  <w:p w14:paraId="07E56E61">
                    <w:pPr>
                      <w:pStyle w:val="24"/>
                      <w:ind w:left="-4410" w:leftChars="-2100" w:right="-4439" w:rightChars="-2114"/>
                      <w:rPr>
                        <w:rStyle w:val="39"/>
                      </w:rPr>
                    </w:pPr>
                  </w:p>
                  <w:p w14:paraId="2AB3E900"/>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411BBD">
    <w:pPr>
      <w:pStyle w:val="24"/>
      <w:framePr w:wrap="around" w:vAnchor="text" w:hAnchor="margin" w:xAlign="outside" w:y="1"/>
      <w:rPr>
        <w:rStyle w:val="39"/>
      </w:rPr>
    </w:pPr>
    <w:r>
      <w:fldChar w:fldCharType="begin"/>
    </w:r>
    <w:r>
      <w:rPr>
        <w:rStyle w:val="39"/>
      </w:rPr>
      <w:instrText xml:space="preserve">PAGE  </w:instrText>
    </w:r>
    <w:r>
      <w:fldChar w:fldCharType="separate"/>
    </w:r>
    <w:r>
      <w:rPr>
        <w:rStyle w:val="39"/>
        <w:rFonts w:hint="eastAsia"/>
      </w:rPr>
      <w:t>一</w:t>
    </w:r>
    <w:r>
      <w:rPr>
        <w:rStyle w:val="39"/>
      </w:rPr>
      <w:t>–2</w:t>
    </w:r>
    <w:r>
      <w:fldChar w:fldCharType="end"/>
    </w:r>
  </w:p>
  <w:p w14:paraId="0858141F">
    <w:pPr>
      <w:pStyle w:val="24"/>
      <w:ind w:right="360" w:firstLine="360"/>
      <w:jc w:val="center"/>
    </w:pPr>
    <w:r>
      <w:rPr>
        <w:kern w:val="0"/>
        <w:sz w:val="20"/>
      </w:rPr>
      <w:t>--</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9026C9">
    <w:pPr>
      <w:pStyle w:val="24"/>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2B10043">
                          <w:pPr>
                            <w:pStyle w:val="24"/>
                            <w:jc w:val="center"/>
                          </w:pPr>
                          <w:r>
                            <w:fldChar w:fldCharType="begin"/>
                          </w:r>
                          <w:r>
                            <w:rPr>
                              <w:rStyle w:val="39"/>
                            </w:rPr>
                            <w:instrText xml:space="preserve"> PAGE </w:instrText>
                          </w:r>
                          <w:r>
                            <w:fldChar w:fldCharType="separate"/>
                          </w:r>
                          <w:r>
                            <w:rPr>
                              <w:rStyle w:val="39"/>
                            </w:rPr>
                            <w:t>61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q/o+UsAgAAV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yr+j5SwCAABVBAAADgAAAAAAAAABACAAAAAfAQAAZHJzL2Uyb0RvYy54bWxQSwUGAAAAAAYA&#10;BgBZAQAAvQUAAAAA&#10;">
              <v:fill on="f" focussize="0,0"/>
              <v:stroke on="f" weight="0.5pt"/>
              <v:imagedata o:title=""/>
              <o:lock v:ext="edit" aspectratio="f"/>
              <v:textbox inset="0mm,0mm,0mm,0mm" style="mso-fit-shape-to-text:t;">
                <w:txbxContent>
                  <w:p w14:paraId="42B10043">
                    <w:pPr>
                      <w:pStyle w:val="24"/>
                      <w:jc w:val="center"/>
                    </w:pPr>
                    <w:r>
                      <w:fldChar w:fldCharType="begin"/>
                    </w:r>
                    <w:r>
                      <w:rPr>
                        <w:rStyle w:val="39"/>
                      </w:rPr>
                      <w:instrText xml:space="preserve"> PAGE </w:instrText>
                    </w:r>
                    <w:r>
                      <w:fldChar w:fldCharType="separate"/>
                    </w:r>
                    <w:r>
                      <w:rPr>
                        <w:rStyle w:val="39"/>
                      </w:rPr>
                      <w:t>61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CB0844">
    <w:pPr>
      <w:pStyle w:val="25"/>
      <w:pBdr>
        <w:bottom w:val="none" w:color="auto" w:sz="0" w:space="0"/>
      </w:pBd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A416C7">
    <w:pPr>
      <w:pStyle w:val="25"/>
      <w:jc w:val="right"/>
      <w:rPr>
        <w:i/>
        <w:iCs/>
      </w:rPr>
    </w:pPr>
    <w:r>
      <w:rPr>
        <w:rFonts w:hint="eastAsia"/>
        <w:i/>
        <w:iCs/>
      </w:rPr>
      <w:t>横枝岗路道路排水改造工程招标文件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4F2F67">
    <w:pPr>
      <w:pStyle w:val="25"/>
      <w:pBdr>
        <w:bottom w:val="none" w:color="auto" w:sz="0" w:space="0"/>
      </w:pBdr>
      <w:jc w:val="right"/>
      <w:rPr>
        <w:i/>
        <w:iC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59905B5"/>
    <w:multiLevelType w:val="multilevel"/>
    <w:tmpl w:val="259905B5"/>
    <w:lvl w:ilvl="0" w:tentative="0">
      <w:start w:val="1"/>
      <w:numFmt w:val="chineseCountingThousand"/>
      <w:pStyle w:val="127"/>
      <w:suff w:val="space"/>
      <w:lvlText w:val="第%1章"/>
      <w:lvlJc w:val="left"/>
      <w:pPr>
        <w:ind w:left="567" w:hanging="279"/>
      </w:pPr>
      <w:rPr>
        <w:rFonts w:hint="eastAsia" w:ascii="宋体" w:eastAsia="宋体" w:cs="Times New Roman"/>
        <w:b/>
        <w:i w:val="0"/>
        <w:spacing w:val="0"/>
        <w:position w:val="0"/>
        <w:sz w:val="44"/>
      </w:rPr>
    </w:lvl>
    <w:lvl w:ilvl="1" w:tentative="0">
      <w:start w:val="1"/>
      <w:numFmt w:val="decimal"/>
      <w:suff w:val="space"/>
      <w:lvlText w:val="%2."/>
      <w:lvlJc w:val="left"/>
      <w:pPr>
        <w:ind w:left="454" w:hanging="454"/>
      </w:pPr>
      <w:rPr>
        <w:rFonts w:hint="eastAsia" w:ascii="宋体" w:eastAsia="宋体" w:cs="Times New Roman"/>
        <w:b/>
        <w:i w:val="0"/>
        <w:sz w:val="32"/>
      </w:rPr>
    </w:lvl>
    <w:lvl w:ilvl="2" w:tentative="0">
      <w:start w:val="1"/>
      <w:numFmt w:val="decimal"/>
      <w:suff w:val="space"/>
      <w:lvlText w:val="%2.%3"/>
      <w:lvlJc w:val="left"/>
      <w:pPr>
        <w:ind w:left="454" w:hanging="454"/>
      </w:pPr>
      <w:rPr>
        <w:rFonts w:hint="eastAsia" w:ascii="宋体" w:eastAsia="宋体" w:cs="Times New Roman"/>
        <w:b/>
        <w:i w:val="0"/>
        <w:sz w:val="28"/>
      </w:rPr>
    </w:lvl>
    <w:lvl w:ilvl="3" w:tentative="0">
      <w:start w:val="1"/>
      <w:numFmt w:val="decimal"/>
      <w:pStyle w:val="9"/>
      <w:suff w:val="space"/>
      <w:lvlText w:val="%2.%3.%4"/>
      <w:lvlJc w:val="left"/>
      <w:pPr>
        <w:ind w:left="284" w:hanging="284"/>
      </w:pPr>
      <w:rPr>
        <w:rFonts w:hint="eastAsia" w:ascii="宋体" w:eastAsia="宋体" w:cs="Times New Roman"/>
        <w:b/>
        <w:i w:val="0"/>
        <w:sz w:val="28"/>
      </w:rPr>
    </w:lvl>
    <w:lvl w:ilvl="4" w:tentative="0">
      <w:start w:val="1"/>
      <w:numFmt w:val="decimal"/>
      <w:pStyle w:val="11"/>
      <w:isLgl/>
      <w:suff w:val="space"/>
      <w:lvlText w:val="%2.%3.%4.%5"/>
      <w:lvlJc w:val="left"/>
      <w:pPr>
        <w:ind w:left="284" w:hanging="284"/>
      </w:pPr>
      <w:rPr>
        <w:rFonts w:hint="eastAsia" w:ascii="宋体" w:eastAsia="宋体" w:cs="Times New Roman"/>
        <w:b/>
        <w:i w:val="0"/>
        <w:strike w:val="0"/>
        <w:dstrike w:val="0"/>
        <w:sz w:val="28"/>
      </w:rPr>
    </w:lvl>
    <w:lvl w:ilvl="5" w:tentative="0">
      <w:start w:val="1"/>
      <w:numFmt w:val="decimal"/>
      <w:lvlRestart w:val="0"/>
      <w:suff w:val="space"/>
      <w:lvlText w:val="1.1.1.1.1.%6%5"/>
      <w:lvlJc w:val="left"/>
      <w:rPr>
        <w:rFonts w:hint="eastAsia" w:ascii="宋体" w:eastAsia="宋体" w:cs="Times New Roman"/>
        <w:b/>
        <w:i w:val="0"/>
        <w:sz w:val="28"/>
      </w:rPr>
    </w:lvl>
    <w:lvl w:ilvl="6" w:tentative="0">
      <w:start w:val="1"/>
      <w:numFmt w:val="none"/>
      <w:pStyle w:val="13"/>
      <w:suff w:val="nothing"/>
      <w:lvlText w:val=""/>
      <w:lvlJc w:val="left"/>
      <w:rPr>
        <w:rFonts w:hint="eastAsia" w:cs="Times New Roman"/>
      </w:rPr>
    </w:lvl>
    <w:lvl w:ilvl="7" w:tentative="0">
      <w:start w:val="1"/>
      <w:numFmt w:val="none"/>
      <w:pStyle w:val="14"/>
      <w:suff w:val="nothing"/>
      <w:lvlText w:val=""/>
      <w:lvlJc w:val="left"/>
      <w:rPr>
        <w:rFonts w:hint="eastAsia" w:cs="Times New Roman"/>
      </w:rPr>
    </w:lvl>
    <w:lvl w:ilvl="8" w:tentative="0">
      <w:start w:val="1"/>
      <w:numFmt w:val="none"/>
      <w:pStyle w:val="15"/>
      <w:suff w:val="nothing"/>
      <w:lvlText w:val=""/>
      <w:lvlJc w:val="left"/>
      <w:rPr>
        <w:rFonts w:hint="eastAsia" w:cs="Times New Roman"/>
      </w:rPr>
    </w:lvl>
  </w:abstractNum>
  <w:abstractNum w:abstractNumId="1">
    <w:nsid w:val="74FB0463"/>
    <w:multiLevelType w:val="multilevel"/>
    <w:tmpl w:val="74FB0463"/>
    <w:lvl w:ilvl="0" w:tentative="0">
      <w:start w:val="1"/>
      <w:numFmt w:val="decimal"/>
      <w:suff w:val="nothing"/>
      <w:lvlText w:val="第%1篇"/>
      <w:lvlJc w:val="left"/>
      <w:rPr>
        <w:rFonts w:hint="eastAsia" w:cs="Times New Roman"/>
        <w:spacing w:val="60"/>
      </w:rPr>
    </w:lvl>
    <w:lvl w:ilvl="1" w:tentative="0">
      <w:start w:val="1"/>
      <w:numFmt w:val="none"/>
      <w:suff w:val="nothing"/>
      <w:lvlText w:val=""/>
      <w:lvlJc w:val="left"/>
      <w:rPr>
        <w:rFonts w:hint="eastAsia" w:cs="Times New Roman"/>
      </w:rPr>
    </w:lvl>
    <w:lvl w:ilvl="2" w:tentative="0">
      <w:start w:val="1"/>
      <w:numFmt w:val="none"/>
      <w:suff w:val="nothing"/>
      <w:lvlText w:val=""/>
      <w:lvlJc w:val="left"/>
      <w:rPr>
        <w:rFonts w:hint="eastAsia" w:cs="Times New Roman"/>
      </w:rPr>
    </w:lvl>
    <w:lvl w:ilvl="3" w:tentative="0">
      <w:start w:val="1"/>
      <w:numFmt w:val="none"/>
      <w:suff w:val="nothing"/>
      <w:lvlText w:val=""/>
      <w:lvlJc w:val="left"/>
      <w:rPr>
        <w:rFonts w:hint="eastAsia" w:cs="Times New Roman"/>
      </w:rPr>
    </w:lvl>
    <w:lvl w:ilvl="4" w:tentative="0">
      <w:start w:val="1"/>
      <w:numFmt w:val="none"/>
      <w:suff w:val="nothing"/>
      <w:lvlText w:val=""/>
      <w:lvlJc w:val="center"/>
      <w:pPr>
        <w:ind w:firstLine="288"/>
      </w:pPr>
      <w:rPr>
        <w:rFonts w:hint="eastAsia" w:cs="Times New Roman"/>
      </w:rPr>
    </w:lvl>
    <w:lvl w:ilvl="5" w:tentative="0">
      <w:start w:val="1"/>
      <w:numFmt w:val="none"/>
      <w:pStyle w:val="12"/>
      <w:suff w:val="nothing"/>
      <w:lvlText w:val=""/>
      <w:lvlJc w:val="left"/>
      <w:rPr>
        <w:rFonts w:hint="eastAsia" w:cs="Times New Roman"/>
      </w:rPr>
    </w:lvl>
    <w:lvl w:ilvl="6" w:tentative="0">
      <w:start w:val="1"/>
      <w:numFmt w:val="none"/>
      <w:suff w:val="nothing"/>
      <w:lvlText w:val=""/>
      <w:lvlJc w:val="left"/>
      <w:rPr>
        <w:rFonts w:hint="eastAsia" w:cs="Times New Roman"/>
      </w:rPr>
    </w:lvl>
    <w:lvl w:ilvl="7" w:tentative="0">
      <w:start w:val="1"/>
      <w:numFmt w:val="none"/>
      <w:suff w:val="nothing"/>
      <w:lvlText w:val=""/>
      <w:lvlJc w:val="left"/>
      <w:rPr>
        <w:rFonts w:hint="eastAsia" w:cs="Times New Roman"/>
      </w:rPr>
    </w:lvl>
    <w:lvl w:ilvl="8" w:tentative="0">
      <w:start w:val="1"/>
      <w:numFmt w:val="none"/>
      <w:suff w:val="nothing"/>
      <w:lvlText w:val=""/>
      <w:lvlJc w:val="left"/>
      <w:rPr>
        <w:rFonts w:hint="eastAsia"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6"/>
  <w:bordersDoNotSurroundHeader w:val="1"/>
  <w:bordersDoNotSurroundFooter w:val="1"/>
  <w:documentProtection w:enforcement="0"/>
  <w:defaultTabStop w:val="420"/>
  <w:drawingGridHorizontalSpacing w:val="105"/>
  <w:drawingGridVerticalSpacing w:val="156"/>
  <w:noPunctuationKerning w:val="1"/>
  <w:characterSpacingControl w:val="compressPunctuation"/>
  <w:footnotePr>
    <w:footnote w:id="0"/>
    <w:footnote w:id="1"/>
  </w:footnotePr>
  <w:endnotePr>
    <w:numFmt w:val="decimal"/>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EwYzI2ZTI4MDA0ODg3MjA0ZTYxNTVhYzAzYTY5OTkifQ=="/>
  </w:docVars>
  <w:rsids>
    <w:rsidRoot w:val="00172A27"/>
    <w:rsid w:val="000039B5"/>
    <w:rsid w:val="0000487C"/>
    <w:rsid w:val="000056E5"/>
    <w:rsid w:val="00006747"/>
    <w:rsid w:val="000135B6"/>
    <w:rsid w:val="0001674E"/>
    <w:rsid w:val="00017A8F"/>
    <w:rsid w:val="00026027"/>
    <w:rsid w:val="00027712"/>
    <w:rsid w:val="000310B0"/>
    <w:rsid w:val="00034662"/>
    <w:rsid w:val="00040023"/>
    <w:rsid w:val="000405B6"/>
    <w:rsid w:val="00040BE8"/>
    <w:rsid w:val="0004251F"/>
    <w:rsid w:val="000429E8"/>
    <w:rsid w:val="00045D9D"/>
    <w:rsid w:val="00046046"/>
    <w:rsid w:val="000522EB"/>
    <w:rsid w:val="00054CE9"/>
    <w:rsid w:val="00065D8F"/>
    <w:rsid w:val="000677FC"/>
    <w:rsid w:val="0007108F"/>
    <w:rsid w:val="00072F21"/>
    <w:rsid w:val="00080019"/>
    <w:rsid w:val="00083E57"/>
    <w:rsid w:val="000926BB"/>
    <w:rsid w:val="00093A9F"/>
    <w:rsid w:val="0009557B"/>
    <w:rsid w:val="000A075C"/>
    <w:rsid w:val="000A09A0"/>
    <w:rsid w:val="000A2E3C"/>
    <w:rsid w:val="000A43D4"/>
    <w:rsid w:val="000B0224"/>
    <w:rsid w:val="000B0679"/>
    <w:rsid w:val="000B31D3"/>
    <w:rsid w:val="000C20C9"/>
    <w:rsid w:val="000C2801"/>
    <w:rsid w:val="000C4A74"/>
    <w:rsid w:val="000D413A"/>
    <w:rsid w:val="000D7C7E"/>
    <w:rsid w:val="000E214E"/>
    <w:rsid w:val="000E4410"/>
    <w:rsid w:val="000E4C96"/>
    <w:rsid w:val="000E6033"/>
    <w:rsid w:val="000F4C29"/>
    <w:rsid w:val="000F6909"/>
    <w:rsid w:val="000F6AE3"/>
    <w:rsid w:val="001012F9"/>
    <w:rsid w:val="001014D5"/>
    <w:rsid w:val="00101C63"/>
    <w:rsid w:val="001034AF"/>
    <w:rsid w:val="0010465D"/>
    <w:rsid w:val="00105A57"/>
    <w:rsid w:val="001260A5"/>
    <w:rsid w:val="00130076"/>
    <w:rsid w:val="00146AC7"/>
    <w:rsid w:val="00147D25"/>
    <w:rsid w:val="001503F3"/>
    <w:rsid w:val="00152684"/>
    <w:rsid w:val="001607D0"/>
    <w:rsid w:val="0016209F"/>
    <w:rsid w:val="00172A27"/>
    <w:rsid w:val="00172B9B"/>
    <w:rsid w:val="0017548B"/>
    <w:rsid w:val="00182098"/>
    <w:rsid w:val="00183CEE"/>
    <w:rsid w:val="0018740C"/>
    <w:rsid w:val="00187585"/>
    <w:rsid w:val="001A0271"/>
    <w:rsid w:val="001A24E2"/>
    <w:rsid w:val="001B22F7"/>
    <w:rsid w:val="001B2ECF"/>
    <w:rsid w:val="001B3621"/>
    <w:rsid w:val="001B4535"/>
    <w:rsid w:val="001C189E"/>
    <w:rsid w:val="001C20AD"/>
    <w:rsid w:val="001C2647"/>
    <w:rsid w:val="001C7D16"/>
    <w:rsid w:val="001D1A5E"/>
    <w:rsid w:val="001D1CDC"/>
    <w:rsid w:val="001D2361"/>
    <w:rsid w:val="001D662D"/>
    <w:rsid w:val="001D7F5F"/>
    <w:rsid w:val="001E1B29"/>
    <w:rsid w:val="001E7D56"/>
    <w:rsid w:val="001F1A5A"/>
    <w:rsid w:val="001F2E06"/>
    <w:rsid w:val="001F6488"/>
    <w:rsid w:val="001F76AB"/>
    <w:rsid w:val="002054B1"/>
    <w:rsid w:val="002108B6"/>
    <w:rsid w:val="002109D8"/>
    <w:rsid w:val="0021340D"/>
    <w:rsid w:val="0022256A"/>
    <w:rsid w:val="002225B0"/>
    <w:rsid w:val="0022648B"/>
    <w:rsid w:val="00226E02"/>
    <w:rsid w:val="00227486"/>
    <w:rsid w:val="0023300B"/>
    <w:rsid w:val="002364DF"/>
    <w:rsid w:val="002435E6"/>
    <w:rsid w:val="00245533"/>
    <w:rsid w:val="002500BA"/>
    <w:rsid w:val="00251D72"/>
    <w:rsid w:val="00253FEC"/>
    <w:rsid w:val="00256C45"/>
    <w:rsid w:val="002617E1"/>
    <w:rsid w:val="00265A16"/>
    <w:rsid w:val="0027354B"/>
    <w:rsid w:val="00273AA8"/>
    <w:rsid w:val="002748CB"/>
    <w:rsid w:val="00276E4F"/>
    <w:rsid w:val="00277140"/>
    <w:rsid w:val="00280B80"/>
    <w:rsid w:val="002856D8"/>
    <w:rsid w:val="002857AC"/>
    <w:rsid w:val="00286E06"/>
    <w:rsid w:val="00287254"/>
    <w:rsid w:val="002900F0"/>
    <w:rsid w:val="00290FD5"/>
    <w:rsid w:val="00291D99"/>
    <w:rsid w:val="00291EA4"/>
    <w:rsid w:val="00296E9F"/>
    <w:rsid w:val="002971D7"/>
    <w:rsid w:val="002A4AC5"/>
    <w:rsid w:val="002B0BA5"/>
    <w:rsid w:val="002B120F"/>
    <w:rsid w:val="002B771F"/>
    <w:rsid w:val="002C00A8"/>
    <w:rsid w:val="002C1922"/>
    <w:rsid w:val="002C6E19"/>
    <w:rsid w:val="002D377E"/>
    <w:rsid w:val="002D46DF"/>
    <w:rsid w:val="002E648E"/>
    <w:rsid w:val="002F195F"/>
    <w:rsid w:val="002F246D"/>
    <w:rsid w:val="002F515A"/>
    <w:rsid w:val="00304FC0"/>
    <w:rsid w:val="00305D25"/>
    <w:rsid w:val="00306B1C"/>
    <w:rsid w:val="0031499B"/>
    <w:rsid w:val="00317A54"/>
    <w:rsid w:val="0032168A"/>
    <w:rsid w:val="0032275C"/>
    <w:rsid w:val="0032369A"/>
    <w:rsid w:val="00323C2F"/>
    <w:rsid w:val="00327D40"/>
    <w:rsid w:val="00330877"/>
    <w:rsid w:val="00332C40"/>
    <w:rsid w:val="00335997"/>
    <w:rsid w:val="00335CB9"/>
    <w:rsid w:val="00347F82"/>
    <w:rsid w:val="003551D2"/>
    <w:rsid w:val="00361E21"/>
    <w:rsid w:val="0036328D"/>
    <w:rsid w:val="00364495"/>
    <w:rsid w:val="003737C1"/>
    <w:rsid w:val="00381DE9"/>
    <w:rsid w:val="003835ED"/>
    <w:rsid w:val="00384057"/>
    <w:rsid w:val="00384A72"/>
    <w:rsid w:val="00386038"/>
    <w:rsid w:val="00387A56"/>
    <w:rsid w:val="003917BE"/>
    <w:rsid w:val="00391D68"/>
    <w:rsid w:val="003A2E88"/>
    <w:rsid w:val="003A3459"/>
    <w:rsid w:val="003A37EB"/>
    <w:rsid w:val="003A3D06"/>
    <w:rsid w:val="003A413C"/>
    <w:rsid w:val="003A7E24"/>
    <w:rsid w:val="003B3DF9"/>
    <w:rsid w:val="003C04C4"/>
    <w:rsid w:val="003C1211"/>
    <w:rsid w:val="003C2EAA"/>
    <w:rsid w:val="003D3E17"/>
    <w:rsid w:val="003E0958"/>
    <w:rsid w:val="003E40A1"/>
    <w:rsid w:val="003E6731"/>
    <w:rsid w:val="003F06D2"/>
    <w:rsid w:val="003F2D59"/>
    <w:rsid w:val="003F3026"/>
    <w:rsid w:val="003F363E"/>
    <w:rsid w:val="003F59CC"/>
    <w:rsid w:val="004019A1"/>
    <w:rsid w:val="004053E4"/>
    <w:rsid w:val="004121D4"/>
    <w:rsid w:val="0041717C"/>
    <w:rsid w:val="0042263B"/>
    <w:rsid w:val="00426C63"/>
    <w:rsid w:val="00431AEC"/>
    <w:rsid w:val="0043408E"/>
    <w:rsid w:val="00440C1E"/>
    <w:rsid w:val="00443FA7"/>
    <w:rsid w:val="00444A21"/>
    <w:rsid w:val="0044617F"/>
    <w:rsid w:val="00450441"/>
    <w:rsid w:val="00452AEE"/>
    <w:rsid w:val="00452B2F"/>
    <w:rsid w:val="00455BD1"/>
    <w:rsid w:val="00455E0B"/>
    <w:rsid w:val="00460D39"/>
    <w:rsid w:val="004752DF"/>
    <w:rsid w:val="00490620"/>
    <w:rsid w:val="00491B8B"/>
    <w:rsid w:val="00494ACE"/>
    <w:rsid w:val="00495614"/>
    <w:rsid w:val="004A02EA"/>
    <w:rsid w:val="004A0AB7"/>
    <w:rsid w:val="004A1DFD"/>
    <w:rsid w:val="004A7B45"/>
    <w:rsid w:val="004B1997"/>
    <w:rsid w:val="004B2A9C"/>
    <w:rsid w:val="004B5714"/>
    <w:rsid w:val="004C28F1"/>
    <w:rsid w:val="004C34D0"/>
    <w:rsid w:val="004D3271"/>
    <w:rsid w:val="004D77E8"/>
    <w:rsid w:val="004E436D"/>
    <w:rsid w:val="004F031D"/>
    <w:rsid w:val="004F2B51"/>
    <w:rsid w:val="004F3216"/>
    <w:rsid w:val="004F396F"/>
    <w:rsid w:val="004F5211"/>
    <w:rsid w:val="004F7066"/>
    <w:rsid w:val="004F70CE"/>
    <w:rsid w:val="00503B9D"/>
    <w:rsid w:val="005045C5"/>
    <w:rsid w:val="00504A3A"/>
    <w:rsid w:val="00504E4B"/>
    <w:rsid w:val="00507D4F"/>
    <w:rsid w:val="0051273D"/>
    <w:rsid w:val="00513E57"/>
    <w:rsid w:val="0051416B"/>
    <w:rsid w:val="00521FC3"/>
    <w:rsid w:val="00522D53"/>
    <w:rsid w:val="00525E7A"/>
    <w:rsid w:val="00534170"/>
    <w:rsid w:val="00536057"/>
    <w:rsid w:val="005362B3"/>
    <w:rsid w:val="00536488"/>
    <w:rsid w:val="00540FAC"/>
    <w:rsid w:val="005445D3"/>
    <w:rsid w:val="00550B57"/>
    <w:rsid w:val="0055591A"/>
    <w:rsid w:val="0055733E"/>
    <w:rsid w:val="00563499"/>
    <w:rsid w:val="0056425C"/>
    <w:rsid w:val="005647FE"/>
    <w:rsid w:val="00565C14"/>
    <w:rsid w:val="0056790B"/>
    <w:rsid w:val="005734BC"/>
    <w:rsid w:val="005737BB"/>
    <w:rsid w:val="0057622C"/>
    <w:rsid w:val="00581B27"/>
    <w:rsid w:val="0058285B"/>
    <w:rsid w:val="00582D94"/>
    <w:rsid w:val="005832DC"/>
    <w:rsid w:val="00587088"/>
    <w:rsid w:val="00597605"/>
    <w:rsid w:val="005A4BEC"/>
    <w:rsid w:val="005B02CC"/>
    <w:rsid w:val="005B0DD4"/>
    <w:rsid w:val="005B7556"/>
    <w:rsid w:val="005C2529"/>
    <w:rsid w:val="005C556F"/>
    <w:rsid w:val="005C7BE2"/>
    <w:rsid w:val="005D4F7A"/>
    <w:rsid w:val="005D6F4E"/>
    <w:rsid w:val="005E0898"/>
    <w:rsid w:val="005E2AA1"/>
    <w:rsid w:val="005E4FDC"/>
    <w:rsid w:val="005E5A43"/>
    <w:rsid w:val="005E5E73"/>
    <w:rsid w:val="005E7176"/>
    <w:rsid w:val="005E7CCE"/>
    <w:rsid w:val="005F4D69"/>
    <w:rsid w:val="005F67B9"/>
    <w:rsid w:val="005F77BD"/>
    <w:rsid w:val="00602315"/>
    <w:rsid w:val="0060426C"/>
    <w:rsid w:val="006105F0"/>
    <w:rsid w:val="00612E13"/>
    <w:rsid w:val="00613083"/>
    <w:rsid w:val="00613B51"/>
    <w:rsid w:val="00613E22"/>
    <w:rsid w:val="006162D2"/>
    <w:rsid w:val="0062054C"/>
    <w:rsid w:val="00623981"/>
    <w:rsid w:val="006277CF"/>
    <w:rsid w:val="0063025B"/>
    <w:rsid w:val="0063221A"/>
    <w:rsid w:val="00633100"/>
    <w:rsid w:val="006356B7"/>
    <w:rsid w:val="00637DC5"/>
    <w:rsid w:val="00642511"/>
    <w:rsid w:val="00643FB7"/>
    <w:rsid w:val="0064440D"/>
    <w:rsid w:val="00644C5F"/>
    <w:rsid w:val="00650373"/>
    <w:rsid w:val="006521CA"/>
    <w:rsid w:val="00656260"/>
    <w:rsid w:val="00657147"/>
    <w:rsid w:val="00657F7D"/>
    <w:rsid w:val="00663540"/>
    <w:rsid w:val="00665F39"/>
    <w:rsid w:val="00667FFA"/>
    <w:rsid w:val="0067780A"/>
    <w:rsid w:val="006779C6"/>
    <w:rsid w:val="00684168"/>
    <w:rsid w:val="00685668"/>
    <w:rsid w:val="006877B1"/>
    <w:rsid w:val="0069058C"/>
    <w:rsid w:val="00693AC0"/>
    <w:rsid w:val="0069727F"/>
    <w:rsid w:val="006A0E66"/>
    <w:rsid w:val="006B1D90"/>
    <w:rsid w:val="006B6D33"/>
    <w:rsid w:val="006C31C8"/>
    <w:rsid w:val="006D2FB0"/>
    <w:rsid w:val="006D43A6"/>
    <w:rsid w:val="006E10D5"/>
    <w:rsid w:val="006E537F"/>
    <w:rsid w:val="006E56EE"/>
    <w:rsid w:val="006F0A04"/>
    <w:rsid w:val="006F6B5B"/>
    <w:rsid w:val="0070361A"/>
    <w:rsid w:val="00710466"/>
    <w:rsid w:val="007206E6"/>
    <w:rsid w:val="00725B71"/>
    <w:rsid w:val="00732F09"/>
    <w:rsid w:val="00732F36"/>
    <w:rsid w:val="00733049"/>
    <w:rsid w:val="00745AE4"/>
    <w:rsid w:val="00747A15"/>
    <w:rsid w:val="00750457"/>
    <w:rsid w:val="0075297C"/>
    <w:rsid w:val="007553C5"/>
    <w:rsid w:val="0075606A"/>
    <w:rsid w:val="00756166"/>
    <w:rsid w:val="0075649F"/>
    <w:rsid w:val="00757B55"/>
    <w:rsid w:val="00760987"/>
    <w:rsid w:val="007629E6"/>
    <w:rsid w:val="00764114"/>
    <w:rsid w:val="00766210"/>
    <w:rsid w:val="00771EE0"/>
    <w:rsid w:val="0077352D"/>
    <w:rsid w:val="00773A99"/>
    <w:rsid w:val="0077688C"/>
    <w:rsid w:val="007770DA"/>
    <w:rsid w:val="00777C21"/>
    <w:rsid w:val="007850F4"/>
    <w:rsid w:val="00787DB4"/>
    <w:rsid w:val="007A0335"/>
    <w:rsid w:val="007A3EA3"/>
    <w:rsid w:val="007A4A86"/>
    <w:rsid w:val="007A5888"/>
    <w:rsid w:val="007A71B7"/>
    <w:rsid w:val="007B031B"/>
    <w:rsid w:val="007B183F"/>
    <w:rsid w:val="007B310F"/>
    <w:rsid w:val="007B57D5"/>
    <w:rsid w:val="007C075C"/>
    <w:rsid w:val="007C0D99"/>
    <w:rsid w:val="007C397B"/>
    <w:rsid w:val="007C4FD6"/>
    <w:rsid w:val="007C7FBF"/>
    <w:rsid w:val="007D635B"/>
    <w:rsid w:val="007D64BE"/>
    <w:rsid w:val="007E3A8D"/>
    <w:rsid w:val="007E4DA8"/>
    <w:rsid w:val="007E71D6"/>
    <w:rsid w:val="007F4528"/>
    <w:rsid w:val="007F453D"/>
    <w:rsid w:val="007F5E4A"/>
    <w:rsid w:val="007F77BF"/>
    <w:rsid w:val="00801D03"/>
    <w:rsid w:val="00802E21"/>
    <w:rsid w:val="00806CB7"/>
    <w:rsid w:val="00807B9F"/>
    <w:rsid w:val="00813871"/>
    <w:rsid w:val="00814B88"/>
    <w:rsid w:val="00815CD3"/>
    <w:rsid w:val="00816710"/>
    <w:rsid w:val="00817548"/>
    <w:rsid w:val="0082342F"/>
    <w:rsid w:val="008248D6"/>
    <w:rsid w:val="008249F8"/>
    <w:rsid w:val="00826BE0"/>
    <w:rsid w:val="00831033"/>
    <w:rsid w:val="00833B85"/>
    <w:rsid w:val="00836BDF"/>
    <w:rsid w:val="00842982"/>
    <w:rsid w:val="00844697"/>
    <w:rsid w:val="0084759B"/>
    <w:rsid w:val="00852B45"/>
    <w:rsid w:val="00860452"/>
    <w:rsid w:val="008657E8"/>
    <w:rsid w:val="00870C54"/>
    <w:rsid w:val="00873A83"/>
    <w:rsid w:val="00876145"/>
    <w:rsid w:val="008773A2"/>
    <w:rsid w:val="00885321"/>
    <w:rsid w:val="00885C00"/>
    <w:rsid w:val="008869BD"/>
    <w:rsid w:val="00896F11"/>
    <w:rsid w:val="008A36F0"/>
    <w:rsid w:val="008B2B08"/>
    <w:rsid w:val="008B3C98"/>
    <w:rsid w:val="008B6F26"/>
    <w:rsid w:val="008C081F"/>
    <w:rsid w:val="008C14FB"/>
    <w:rsid w:val="008C7974"/>
    <w:rsid w:val="008D0695"/>
    <w:rsid w:val="008D4290"/>
    <w:rsid w:val="008D599D"/>
    <w:rsid w:val="008D5C03"/>
    <w:rsid w:val="008E1035"/>
    <w:rsid w:val="008E1487"/>
    <w:rsid w:val="008E1678"/>
    <w:rsid w:val="008E2270"/>
    <w:rsid w:val="008E2627"/>
    <w:rsid w:val="008E50CD"/>
    <w:rsid w:val="008E6E44"/>
    <w:rsid w:val="008E75B4"/>
    <w:rsid w:val="008E77A9"/>
    <w:rsid w:val="008F25AC"/>
    <w:rsid w:val="008F6ADD"/>
    <w:rsid w:val="009011CE"/>
    <w:rsid w:val="009013CD"/>
    <w:rsid w:val="00901B8B"/>
    <w:rsid w:val="00902FCF"/>
    <w:rsid w:val="009108B2"/>
    <w:rsid w:val="009110A7"/>
    <w:rsid w:val="00914253"/>
    <w:rsid w:val="0091606F"/>
    <w:rsid w:val="009162A0"/>
    <w:rsid w:val="00923A50"/>
    <w:rsid w:val="00923C35"/>
    <w:rsid w:val="00924CF1"/>
    <w:rsid w:val="00925C34"/>
    <w:rsid w:val="0092736B"/>
    <w:rsid w:val="00932E41"/>
    <w:rsid w:val="00942B2A"/>
    <w:rsid w:val="00943C66"/>
    <w:rsid w:val="00944ECD"/>
    <w:rsid w:val="0094680D"/>
    <w:rsid w:val="00947469"/>
    <w:rsid w:val="0094763A"/>
    <w:rsid w:val="00951D24"/>
    <w:rsid w:val="00955FBD"/>
    <w:rsid w:val="009660E7"/>
    <w:rsid w:val="00970AC3"/>
    <w:rsid w:val="00975E05"/>
    <w:rsid w:val="0098717E"/>
    <w:rsid w:val="00990D72"/>
    <w:rsid w:val="00991DD4"/>
    <w:rsid w:val="00995455"/>
    <w:rsid w:val="00995C37"/>
    <w:rsid w:val="00996A76"/>
    <w:rsid w:val="009A1C0E"/>
    <w:rsid w:val="009A32A4"/>
    <w:rsid w:val="009A5DE6"/>
    <w:rsid w:val="009B139B"/>
    <w:rsid w:val="009B6A10"/>
    <w:rsid w:val="009B7A79"/>
    <w:rsid w:val="009B7F09"/>
    <w:rsid w:val="009C178A"/>
    <w:rsid w:val="009C17D3"/>
    <w:rsid w:val="009C1FBC"/>
    <w:rsid w:val="009C3739"/>
    <w:rsid w:val="009C46A0"/>
    <w:rsid w:val="009D2360"/>
    <w:rsid w:val="009D267E"/>
    <w:rsid w:val="009D6FAE"/>
    <w:rsid w:val="009E4160"/>
    <w:rsid w:val="009E680F"/>
    <w:rsid w:val="009F62BF"/>
    <w:rsid w:val="009F6A16"/>
    <w:rsid w:val="00A0016D"/>
    <w:rsid w:val="00A01390"/>
    <w:rsid w:val="00A018DC"/>
    <w:rsid w:val="00A049E3"/>
    <w:rsid w:val="00A05468"/>
    <w:rsid w:val="00A10B1F"/>
    <w:rsid w:val="00A11CE5"/>
    <w:rsid w:val="00A11D2D"/>
    <w:rsid w:val="00A11F1A"/>
    <w:rsid w:val="00A162D0"/>
    <w:rsid w:val="00A203E5"/>
    <w:rsid w:val="00A22338"/>
    <w:rsid w:val="00A264AA"/>
    <w:rsid w:val="00A32320"/>
    <w:rsid w:val="00A42BC6"/>
    <w:rsid w:val="00A42EE9"/>
    <w:rsid w:val="00A5067E"/>
    <w:rsid w:val="00A560CF"/>
    <w:rsid w:val="00A625CD"/>
    <w:rsid w:val="00A62AB5"/>
    <w:rsid w:val="00A651EF"/>
    <w:rsid w:val="00A70537"/>
    <w:rsid w:val="00A72656"/>
    <w:rsid w:val="00A7675E"/>
    <w:rsid w:val="00A843D7"/>
    <w:rsid w:val="00A853AB"/>
    <w:rsid w:val="00A86392"/>
    <w:rsid w:val="00A92AD3"/>
    <w:rsid w:val="00A93B81"/>
    <w:rsid w:val="00A9533A"/>
    <w:rsid w:val="00A9640B"/>
    <w:rsid w:val="00A97957"/>
    <w:rsid w:val="00AA0747"/>
    <w:rsid w:val="00AA5023"/>
    <w:rsid w:val="00AB3A54"/>
    <w:rsid w:val="00AB4951"/>
    <w:rsid w:val="00AB4FE9"/>
    <w:rsid w:val="00AB5F58"/>
    <w:rsid w:val="00AC6A59"/>
    <w:rsid w:val="00AC7A64"/>
    <w:rsid w:val="00AD08AB"/>
    <w:rsid w:val="00AD1542"/>
    <w:rsid w:val="00AD194E"/>
    <w:rsid w:val="00AD1EFF"/>
    <w:rsid w:val="00AD35A1"/>
    <w:rsid w:val="00AD7334"/>
    <w:rsid w:val="00AE0178"/>
    <w:rsid w:val="00AE3156"/>
    <w:rsid w:val="00AE3D20"/>
    <w:rsid w:val="00AE4E40"/>
    <w:rsid w:val="00AF236F"/>
    <w:rsid w:val="00AF7C45"/>
    <w:rsid w:val="00B024FD"/>
    <w:rsid w:val="00B037A5"/>
    <w:rsid w:val="00B03B3B"/>
    <w:rsid w:val="00B04F98"/>
    <w:rsid w:val="00B0603E"/>
    <w:rsid w:val="00B10154"/>
    <w:rsid w:val="00B1605D"/>
    <w:rsid w:val="00B25B63"/>
    <w:rsid w:val="00B27329"/>
    <w:rsid w:val="00B27F1E"/>
    <w:rsid w:val="00B37EE4"/>
    <w:rsid w:val="00B40B6F"/>
    <w:rsid w:val="00B4274A"/>
    <w:rsid w:val="00B45AAF"/>
    <w:rsid w:val="00B471A5"/>
    <w:rsid w:val="00B51728"/>
    <w:rsid w:val="00B52A6D"/>
    <w:rsid w:val="00B53FE6"/>
    <w:rsid w:val="00B555CB"/>
    <w:rsid w:val="00B567FD"/>
    <w:rsid w:val="00B62C48"/>
    <w:rsid w:val="00B63BD6"/>
    <w:rsid w:val="00B71159"/>
    <w:rsid w:val="00B74180"/>
    <w:rsid w:val="00B80425"/>
    <w:rsid w:val="00B844D9"/>
    <w:rsid w:val="00B8551A"/>
    <w:rsid w:val="00B86A54"/>
    <w:rsid w:val="00B86E8F"/>
    <w:rsid w:val="00B86EAA"/>
    <w:rsid w:val="00B87319"/>
    <w:rsid w:val="00B903DD"/>
    <w:rsid w:val="00B92634"/>
    <w:rsid w:val="00B9322A"/>
    <w:rsid w:val="00B939F0"/>
    <w:rsid w:val="00BA11A8"/>
    <w:rsid w:val="00BA12FF"/>
    <w:rsid w:val="00BA5146"/>
    <w:rsid w:val="00BA5A46"/>
    <w:rsid w:val="00BA778F"/>
    <w:rsid w:val="00BB0B0A"/>
    <w:rsid w:val="00BB0C22"/>
    <w:rsid w:val="00BB19F6"/>
    <w:rsid w:val="00BB4B76"/>
    <w:rsid w:val="00BD1A3D"/>
    <w:rsid w:val="00BD2B05"/>
    <w:rsid w:val="00BD2DAF"/>
    <w:rsid w:val="00BD3F16"/>
    <w:rsid w:val="00BE5DD1"/>
    <w:rsid w:val="00BF2C04"/>
    <w:rsid w:val="00BF4719"/>
    <w:rsid w:val="00BF4F1F"/>
    <w:rsid w:val="00C003FA"/>
    <w:rsid w:val="00C02E66"/>
    <w:rsid w:val="00C03BFF"/>
    <w:rsid w:val="00C04EF3"/>
    <w:rsid w:val="00C052EA"/>
    <w:rsid w:val="00C11B6F"/>
    <w:rsid w:val="00C12390"/>
    <w:rsid w:val="00C1571B"/>
    <w:rsid w:val="00C16AE6"/>
    <w:rsid w:val="00C16B28"/>
    <w:rsid w:val="00C2105E"/>
    <w:rsid w:val="00C22561"/>
    <w:rsid w:val="00C22FBB"/>
    <w:rsid w:val="00C31661"/>
    <w:rsid w:val="00C40C5D"/>
    <w:rsid w:val="00C413CA"/>
    <w:rsid w:val="00C45BBA"/>
    <w:rsid w:val="00C52129"/>
    <w:rsid w:val="00C53051"/>
    <w:rsid w:val="00C533D0"/>
    <w:rsid w:val="00C53E37"/>
    <w:rsid w:val="00C53F81"/>
    <w:rsid w:val="00C53FC2"/>
    <w:rsid w:val="00C56891"/>
    <w:rsid w:val="00C60599"/>
    <w:rsid w:val="00C628FA"/>
    <w:rsid w:val="00C63DE6"/>
    <w:rsid w:val="00C6610D"/>
    <w:rsid w:val="00C70DA0"/>
    <w:rsid w:val="00C7471F"/>
    <w:rsid w:val="00C7620C"/>
    <w:rsid w:val="00C77D9B"/>
    <w:rsid w:val="00C813F2"/>
    <w:rsid w:val="00C81731"/>
    <w:rsid w:val="00C821E6"/>
    <w:rsid w:val="00C84C5D"/>
    <w:rsid w:val="00C86F88"/>
    <w:rsid w:val="00C94118"/>
    <w:rsid w:val="00CA20FD"/>
    <w:rsid w:val="00CA3F09"/>
    <w:rsid w:val="00CA4E72"/>
    <w:rsid w:val="00CA59AF"/>
    <w:rsid w:val="00CA6A8E"/>
    <w:rsid w:val="00CB0C2F"/>
    <w:rsid w:val="00CB231D"/>
    <w:rsid w:val="00CB42FE"/>
    <w:rsid w:val="00CB71CE"/>
    <w:rsid w:val="00CC19D6"/>
    <w:rsid w:val="00CC43ED"/>
    <w:rsid w:val="00CC4F24"/>
    <w:rsid w:val="00CC5BE6"/>
    <w:rsid w:val="00CD5B33"/>
    <w:rsid w:val="00CD6033"/>
    <w:rsid w:val="00CE008F"/>
    <w:rsid w:val="00CE1577"/>
    <w:rsid w:val="00CE287F"/>
    <w:rsid w:val="00CF00E6"/>
    <w:rsid w:val="00CF1D5F"/>
    <w:rsid w:val="00CF5BA1"/>
    <w:rsid w:val="00CF6F3A"/>
    <w:rsid w:val="00CF77CA"/>
    <w:rsid w:val="00D0095A"/>
    <w:rsid w:val="00D00D08"/>
    <w:rsid w:val="00D03816"/>
    <w:rsid w:val="00D05482"/>
    <w:rsid w:val="00D0781A"/>
    <w:rsid w:val="00D13C86"/>
    <w:rsid w:val="00D2042B"/>
    <w:rsid w:val="00D235AE"/>
    <w:rsid w:val="00D25A11"/>
    <w:rsid w:val="00D268E8"/>
    <w:rsid w:val="00D33AD9"/>
    <w:rsid w:val="00D33BC1"/>
    <w:rsid w:val="00D436B0"/>
    <w:rsid w:val="00D46DC3"/>
    <w:rsid w:val="00D4780D"/>
    <w:rsid w:val="00D47989"/>
    <w:rsid w:val="00D57A28"/>
    <w:rsid w:val="00D60B18"/>
    <w:rsid w:val="00D612E9"/>
    <w:rsid w:val="00D6205A"/>
    <w:rsid w:val="00D65918"/>
    <w:rsid w:val="00D663FF"/>
    <w:rsid w:val="00D66611"/>
    <w:rsid w:val="00D71F88"/>
    <w:rsid w:val="00D72979"/>
    <w:rsid w:val="00D76516"/>
    <w:rsid w:val="00D823CC"/>
    <w:rsid w:val="00D84313"/>
    <w:rsid w:val="00D90379"/>
    <w:rsid w:val="00D928BD"/>
    <w:rsid w:val="00D94211"/>
    <w:rsid w:val="00D944A2"/>
    <w:rsid w:val="00D97B0E"/>
    <w:rsid w:val="00DA14FE"/>
    <w:rsid w:val="00DA5ED3"/>
    <w:rsid w:val="00DB165E"/>
    <w:rsid w:val="00DB5B1B"/>
    <w:rsid w:val="00DB65EE"/>
    <w:rsid w:val="00DC5408"/>
    <w:rsid w:val="00DD4421"/>
    <w:rsid w:val="00DD505C"/>
    <w:rsid w:val="00DE40B2"/>
    <w:rsid w:val="00DE56AD"/>
    <w:rsid w:val="00DF15A8"/>
    <w:rsid w:val="00DF2812"/>
    <w:rsid w:val="00DF4DE8"/>
    <w:rsid w:val="00DF744C"/>
    <w:rsid w:val="00E00150"/>
    <w:rsid w:val="00E00293"/>
    <w:rsid w:val="00E10D04"/>
    <w:rsid w:val="00E1115B"/>
    <w:rsid w:val="00E125AB"/>
    <w:rsid w:val="00E15C6A"/>
    <w:rsid w:val="00E16663"/>
    <w:rsid w:val="00E171BB"/>
    <w:rsid w:val="00E25687"/>
    <w:rsid w:val="00E421D7"/>
    <w:rsid w:val="00E428AF"/>
    <w:rsid w:val="00E515D3"/>
    <w:rsid w:val="00E5273E"/>
    <w:rsid w:val="00E54C26"/>
    <w:rsid w:val="00E54DE3"/>
    <w:rsid w:val="00E56773"/>
    <w:rsid w:val="00E6254A"/>
    <w:rsid w:val="00E726BD"/>
    <w:rsid w:val="00E76609"/>
    <w:rsid w:val="00E77386"/>
    <w:rsid w:val="00E77E84"/>
    <w:rsid w:val="00E81B63"/>
    <w:rsid w:val="00E82889"/>
    <w:rsid w:val="00E83E87"/>
    <w:rsid w:val="00E87ACB"/>
    <w:rsid w:val="00E905A7"/>
    <w:rsid w:val="00E93CC6"/>
    <w:rsid w:val="00E96404"/>
    <w:rsid w:val="00EA3A6E"/>
    <w:rsid w:val="00EA6D72"/>
    <w:rsid w:val="00EB0B2F"/>
    <w:rsid w:val="00EB35CB"/>
    <w:rsid w:val="00EB35D2"/>
    <w:rsid w:val="00EB455B"/>
    <w:rsid w:val="00EB48E8"/>
    <w:rsid w:val="00EC02AE"/>
    <w:rsid w:val="00EC2F26"/>
    <w:rsid w:val="00EC372B"/>
    <w:rsid w:val="00EC662F"/>
    <w:rsid w:val="00ED3311"/>
    <w:rsid w:val="00ED43F6"/>
    <w:rsid w:val="00EE031C"/>
    <w:rsid w:val="00EE4A34"/>
    <w:rsid w:val="00EF0451"/>
    <w:rsid w:val="00EF0453"/>
    <w:rsid w:val="00EF12A0"/>
    <w:rsid w:val="00EF462A"/>
    <w:rsid w:val="00EF593A"/>
    <w:rsid w:val="00F003A2"/>
    <w:rsid w:val="00F00B9B"/>
    <w:rsid w:val="00F01660"/>
    <w:rsid w:val="00F0522D"/>
    <w:rsid w:val="00F0658A"/>
    <w:rsid w:val="00F202B7"/>
    <w:rsid w:val="00F25A45"/>
    <w:rsid w:val="00F2691B"/>
    <w:rsid w:val="00F26D57"/>
    <w:rsid w:val="00F2766C"/>
    <w:rsid w:val="00F33059"/>
    <w:rsid w:val="00F37288"/>
    <w:rsid w:val="00F37D93"/>
    <w:rsid w:val="00F41696"/>
    <w:rsid w:val="00F46F58"/>
    <w:rsid w:val="00F50D56"/>
    <w:rsid w:val="00F5137F"/>
    <w:rsid w:val="00F566EF"/>
    <w:rsid w:val="00F67F4F"/>
    <w:rsid w:val="00F70F53"/>
    <w:rsid w:val="00F743E6"/>
    <w:rsid w:val="00F75829"/>
    <w:rsid w:val="00F77EAF"/>
    <w:rsid w:val="00F8237F"/>
    <w:rsid w:val="00F85E53"/>
    <w:rsid w:val="00F92739"/>
    <w:rsid w:val="00F92E26"/>
    <w:rsid w:val="00F94F3B"/>
    <w:rsid w:val="00F95095"/>
    <w:rsid w:val="00F95621"/>
    <w:rsid w:val="00F957DA"/>
    <w:rsid w:val="00F96068"/>
    <w:rsid w:val="00FA1829"/>
    <w:rsid w:val="00FA4A96"/>
    <w:rsid w:val="00FA5361"/>
    <w:rsid w:val="00FB1B19"/>
    <w:rsid w:val="00FB5C0E"/>
    <w:rsid w:val="00FD121E"/>
    <w:rsid w:val="00FD375C"/>
    <w:rsid w:val="00FD5C30"/>
    <w:rsid w:val="00FD670D"/>
    <w:rsid w:val="00FE0FED"/>
    <w:rsid w:val="00FE46FC"/>
    <w:rsid w:val="00FE684B"/>
    <w:rsid w:val="00FE750F"/>
    <w:rsid w:val="00FF397C"/>
    <w:rsid w:val="00FF4857"/>
    <w:rsid w:val="00FF7D08"/>
    <w:rsid w:val="01942F54"/>
    <w:rsid w:val="03FF206B"/>
    <w:rsid w:val="04B25B14"/>
    <w:rsid w:val="04F00C8F"/>
    <w:rsid w:val="053A27AF"/>
    <w:rsid w:val="06266E44"/>
    <w:rsid w:val="06674D87"/>
    <w:rsid w:val="0679718C"/>
    <w:rsid w:val="06FA5C72"/>
    <w:rsid w:val="07204C3C"/>
    <w:rsid w:val="08122D58"/>
    <w:rsid w:val="08297529"/>
    <w:rsid w:val="08A50077"/>
    <w:rsid w:val="08BF4005"/>
    <w:rsid w:val="0A0F696E"/>
    <w:rsid w:val="0A94336A"/>
    <w:rsid w:val="0AC5533B"/>
    <w:rsid w:val="0B20262C"/>
    <w:rsid w:val="0ECE44C4"/>
    <w:rsid w:val="0F006472"/>
    <w:rsid w:val="0F567B24"/>
    <w:rsid w:val="108817EB"/>
    <w:rsid w:val="11382ADF"/>
    <w:rsid w:val="11506D0A"/>
    <w:rsid w:val="1160052F"/>
    <w:rsid w:val="119F35AC"/>
    <w:rsid w:val="11A860F6"/>
    <w:rsid w:val="1205413D"/>
    <w:rsid w:val="12FC0721"/>
    <w:rsid w:val="135F0B58"/>
    <w:rsid w:val="15283F03"/>
    <w:rsid w:val="152A36C4"/>
    <w:rsid w:val="156B015C"/>
    <w:rsid w:val="17C062A6"/>
    <w:rsid w:val="180771F7"/>
    <w:rsid w:val="183B6710"/>
    <w:rsid w:val="18B46C39"/>
    <w:rsid w:val="1950349D"/>
    <w:rsid w:val="19DC4392"/>
    <w:rsid w:val="1C0E22ED"/>
    <w:rsid w:val="1E264833"/>
    <w:rsid w:val="21A30321"/>
    <w:rsid w:val="22F83BE9"/>
    <w:rsid w:val="23C65EE7"/>
    <w:rsid w:val="241C17CD"/>
    <w:rsid w:val="248E7154"/>
    <w:rsid w:val="25782D34"/>
    <w:rsid w:val="264F2913"/>
    <w:rsid w:val="275D314A"/>
    <w:rsid w:val="27A378F2"/>
    <w:rsid w:val="28851A0F"/>
    <w:rsid w:val="297E7E66"/>
    <w:rsid w:val="2A583723"/>
    <w:rsid w:val="2B297FA8"/>
    <w:rsid w:val="2C8F3D6A"/>
    <w:rsid w:val="2E1210E2"/>
    <w:rsid w:val="2E842FC6"/>
    <w:rsid w:val="3304709E"/>
    <w:rsid w:val="347C07A8"/>
    <w:rsid w:val="350E5C88"/>
    <w:rsid w:val="35BC4D64"/>
    <w:rsid w:val="35EB1EB0"/>
    <w:rsid w:val="35FB40C6"/>
    <w:rsid w:val="36F37EED"/>
    <w:rsid w:val="36F66D9D"/>
    <w:rsid w:val="38D00A10"/>
    <w:rsid w:val="39086B81"/>
    <w:rsid w:val="39516B95"/>
    <w:rsid w:val="39AF1569"/>
    <w:rsid w:val="39E75B85"/>
    <w:rsid w:val="3A555D6F"/>
    <w:rsid w:val="3AA865FF"/>
    <w:rsid w:val="3ACD1DB5"/>
    <w:rsid w:val="3C5F759A"/>
    <w:rsid w:val="3CC710C3"/>
    <w:rsid w:val="3D576FA5"/>
    <w:rsid w:val="3DCF069F"/>
    <w:rsid w:val="3E294A5D"/>
    <w:rsid w:val="3E44046C"/>
    <w:rsid w:val="3FA75AD2"/>
    <w:rsid w:val="403431E4"/>
    <w:rsid w:val="42C66432"/>
    <w:rsid w:val="42F449A1"/>
    <w:rsid w:val="44952A93"/>
    <w:rsid w:val="44C735BE"/>
    <w:rsid w:val="45EA675A"/>
    <w:rsid w:val="46092B96"/>
    <w:rsid w:val="46C15393"/>
    <w:rsid w:val="46D223DF"/>
    <w:rsid w:val="47C57FBF"/>
    <w:rsid w:val="489D4CB8"/>
    <w:rsid w:val="4A21732F"/>
    <w:rsid w:val="4B8207F2"/>
    <w:rsid w:val="4C34600A"/>
    <w:rsid w:val="4D405120"/>
    <w:rsid w:val="4D9E28E6"/>
    <w:rsid w:val="4E54243E"/>
    <w:rsid w:val="4E864B4F"/>
    <w:rsid w:val="4FA72F23"/>
    <w:rsid w:val="50612E97"/>
    <w:rsid w:val="52885E9F"/>
    <w:rsid w:val="538B648E"/>
    <w:rsid w:val="553163C1"/>
    <w:rsid w:val="5535023F"/>
    <w:rsid w:val="58040389"/>
    <w:rsid w:val="5A8550F7"/>
    <w:rsid w:val="5AFE7D80"/>
    <w:rsid w:val="5B0A118D"/>
    <w:rsid w:val="5C0F1444"/>
    <w:rsid w:val="5C4D6BB4"/>
    <w:rsid w:val="5CB03101"/>
    <w:rsid w:val="5E560A80"/>
    <w:rsid w:val="5FCA6734"/>
    <w:rsid w:val="62190BB7"/>
    <w:rsid w:val="62746BFE"/>
    <w:rsid w:val="6285766B"/>
    <w:rsid w:val="6331344C"/>
    <w:rsid w:val="63DA73CB"/>
    <w:rsid w:val="63EE7082"/>
    <w:rsid w:val="66660838"/>
    <w:rsid w:val="689B6DCF"/>
    <w:rsid w:val="69B36DC4"/>
    <w:rsid w:val="69FA443E"/>
    <w:rsid w:val="6A7C25E2"/>
    <w:rsid w:val="6A7D1091"/>
    <w:rsid w:val="6AAC62AA"/>
    <w:rsid w:val="6AC21BD8"/>
    <w:rsid w:val="6AD03270"/>
    <w:rsid w:val="6BE02D0B"/>
    <w:rsid w:val="6D561B44"/>
    <w:rsid w:val="6DAE7099"/>
    <w:rsid w:val="6DEA2DD1"/>
    <w:rsid w:val="6E3E64FD"/>
    <w:rsid w:val="6FD1699A"/>
    <w:rsid w:val="71365498"/>
    <w:rsid w:val="715D47AB"/>
    <w:rsid w:val="722C1F75"/>
    <w:rsid w:val="727D57A5"/>
    <w:rsid w:val="74310CD5"/>
    <w:rsid w:val="77251601"/>
    <w:rsid w:val="7819142B"/>
    <w:rsid w:val="78B864B4"/>
    <w:rsid w:val="7A014AFF"/>
    <w:rsid w:val="7A4C3D34"/>
    <w:rsid w:val="7A6D1D3E"/>
    <w:rsid w:val="7AFE6642"/>
    <w:rsid w:val="7B6A373A"/>
    <w:rsid w:val="7BA72B0A"/>
    <w:rsid w:val="7BDF394E"/>
    <w:rsid w:val="7DD353DA"/>
    <w:rsid w:val="7DD730B0"/>
    <w:rsid w:val="7E0D30D8"/>
    <w:rsid w:val="7F0953F1"/>
    <w:rsid w:val="7FE624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qFormat="1" w:uiPriority="99" w:semiHidden="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styleId="3">
    <w:name w:val="heading 1"/>
    <w:basedOn w:val="4"/>
    <w:next w:val="5"/>
    <w:link w:val="76"/>
    <w:qFormat/>
    <w:uiPriority w:val="0"/>
    <w:pPr>
      <w:keepNext/>
      <w:keepLines/>
      <w:spacing w:after="120" w:line="360" w:lineRule="auto"/>
      <w:jc w:val="left"/>
      <w:outlineLvl w:val="0"/>
    </w:pPr>
    <w:rPr>
      <w:kern w:val="44"/>
      <w:sz w:val="28"/>
      <w:szCs w:val="28"/>
    </w:rPr>
  </w:style>
  <w:style w:type="paragraph" w:styleId="7">
    <w:name w:val="heading 2"/>
    <w:basedOn w:val="1"/>
    <w:next w:val="1"/>
    <w:link w:val="85"/>
    <w:qFormat/>
    <w:uiPriority w:val="0"/>
    <w:pPr>
      <w:keepNext/>
      <w:keepLines/>
      <w:spacing w:before="120" w:after="120" w:line="415" w:lineRule="auto"/>
      <w:ind w:left="454"/>
      <w:jc w:val="center"/>
      <w:outlineLvl w:val="1"/>
    </w:pPr>
    <w:rPr>
      <w:rFonts w:ascii="Arial" w:hAnsi="Arial"/>
      <w:b/>
      <w:color w:val="000000"/>
      <w:sz w:val="24"/>
      <w:szCs w:val="24"/>
    </w:rPr>
  </w:style>
  <w:style w:type="paragraph" w:styleId="8">
    <w:name w:val="heading 3"/>
    <w:basedOn w:val="1"/>
    <w:next w:val="1"/>
    <w:link w:val="79"/>
    <w:qFormat/>
    <w:uiPriority w:val="0"/>
    <w:pPr>
      <w:widowControl/>
      <w:spacing w:before="100" w:beforeAutospacing="1" w:after="100" w:afterAutospacing="1"/>
      <w:jc w:val="left"/>
      <w:outlineLvl w:val="2"/>
    </w:pPr>
    <w:rPr>
      <w:rFonts w:ascii="宋体" w:hAnsi="宋体" w:cs="宋体"/>
      <w:kern w:val="0"/>
      <w:sz w:val="27"/>
      <w:szCs w:val="27"/>
    </w:rPr>
  </w:style>
  <w:style w:type="paragraph" w:styleId="9">
    <w:name w:val="heading 4"/>
    <w:basedOn w:val="8"/>
    <w:next w:val="10"/>
    <w:link w:val="88"/>
    <w:qFormat/>
    <w:uiPriority w:val="0"/>
    <w:pPr>
      <w:keepNext/>
      <w:keepLines/>
      <w:widowControl w:val="0"/>
      <w:numPr>
        <w:ilvl w:val="3"/>
        <w:numId w:val="1"/>
      </w:numPr>
      <w:spacing w:before="0" w:beforeLines="50" w:beforeAutospacing="0" w:after="0" w:afterLines="50" w:afterAutospacing="0" w:line="360" w:lineRule="auto"/>
      <w:outlineLvl w:val="3"/>
    </w:pPr>
    <w:rPr>
      <w:rFonts w:ascii="Arial" w:hAnsi="Arial" w:cs="Times New Roman"/>
      <w:color w:val="000000"/>
      <w:kern w:val="2"/>
      <w:sz w:val="21"/>
      <w:szCs w:val="21"/>
    </w:rPr>
  </w:style>
  <w:style w:type="paragraph" w:styleId="11">
    <w:name w:val="heading 5"/>
    <w:basedOn w:val="9"/>
    <w:next w:val="10"/>
    <w:link w:val="78"/>
    <w:qFormat/>
    <w:uiPriority w:val="0"/>
    <w:pPr>
      <w:numPr>
        <w:ilvl w:val="4"/>
      </w:numPr>
      <w:spacing w:line="240" w:lineRule="exact"/>
      <w:outlineLvl w:val="4"/>
    </w:pPr>
  </w:style>
  <w:style w:type="paragraph" w:styleId="12">
    <w:name w:val="heading 6"/>
    <w:basedOn w:val="1"/>
    <w:next w:val="1"/>
    <w:link w:val="66"/>
    <w:qFormat/>
    <w:uiPriority w:val="0"/>
    <w:pPr>
      <w:keepNext/>
      <w:keepLines/>
      <w:numPr>
        <w:ilvl w:val="5"/>
        <w:numId w:val="2"/>
      </w:numPr>
      <w:spacing w:before="240" w:after="64" w:line="320" w:lineRule="auto"/>
      <w:outlineLvl w:val="5"/>
    </w:pPr>
    <w:rPr>
      <w:rFonts w:ascii="Arial" w:hAnsi="Arial" w:eastAsia="黑体"/>
      <w:b/>
      <w:bCs/>
      <w:sz w:val="24"/>
      <w:szCs w:val="24"/>
    </w:rPr>
  </w:style>
  <w:style w:type="paragraph" w:styleId="13">
    <w:name w:val="heading 7"/>
    <w:basedOn w:val="1"/>
    <w:next w:val="10"/>
    <w:link w:val="90"/>
    <w:qFormat/>
    <w:uiPriority w:val="0"/>
    <w:pPr>
      <w:keepNext/>
      <w:keepLines/>
      <w:numPr>
        <w:ilvl w:val="6"/>
        <w:numId w:val="1"/>
      </w:numPr>
      <w:spacing w:before="240" w:after="64" w:line="320" w:lineRule="auto"/>
      <w:outlineLvl w:val="6"/>
    </w:pPr>
    <w:rPr>
      <w:rFonts w:ascii="Times New Roman" w:hAnsi="Times New Roman"/>
      <w:b/>
      <w:sz w:val="24"/>
      <w:szCs w:val="20"/>
    </w:rPr>
  </w:style>
  <w:style w:type="paragraph" w:styleId="14">
    <w:name w:val="heading 8"/>
    <w:basedOn w:val="1"/>
    <w:next w:val="10"/>
    <w:link w:val="59"/>
    <w:qFormat/>
    <w:uiPriority w:val="0"/>
    <w:pPr>
      <w:keepNext/>
      <w:keepLines/>
      <w:numPr>
        <w:ilvl w:val="7"/>
        <w:numId w:val="1"/>
      </w:numPr>
      <w:spacing w:before="240" w:after="64" w:line="320" w:lineRule="auto"/>
      <w:outlineLvl w:val="7"/>
    </w:pPr>
    <w:rPr>
      <w:rFonts w:ascii="Arial" w:hAnsi="Arial" w:eastAsia="黑体"/>
      <w:sz w:val="24"/>
      <w:szCs w:val="20"/>
    </w:rPr>
  </w:style>
  <w:style w:type="paragraph" w:styleId="15">
    <w:name w:val="heading 9"/>
    <w:basedOn w:val="1"/>
    <w:next w:val="10"/>
    <w:link w:val="68"/>
    <w:qFormat/>
    <w:uiPriority w:val="0"/>
    <w:pPr>
      <w:keepNext/>
      <w:keepLines/>
      <w:numPr>
        <w:ilvl w:val="8"/>
        <w:numId w:val="1"/>
      </w:numPr>
      <w:spacing w:before="240" w:after="64" w:line="320" w:lineRule="auto"/>
      <w:outlineLvl w:val="8"/>
    </w:pPr>
    <w:rPr>
      <w:rFonts w:ascii="Arial" w:hAnsi="Arial" w:eastAsia="黑体"/>
      <w:szCs w:val="20"/>
    </w:rPr>
  </w:style>
  <w:style w:type="character" w:default="1" w:styleId="36">
    <w:name w:val="Default Paragraph Font"/>
    <w:semiHidden/>
    <w:unhideWhenUsed/>
    <w:qFormat/>
    <w:uiPriority w:val="1"/>
  </w:style>
  <w:style w:type="table" w:default="1" w:styleId="34">
    <w:name w:val="Normal Table"/>
    <w:semiHidden/>
    <w:unhideWhenUsed/>
    <w:qFormat/>
    <w:uiPriority w:val="99"/>
    <w:tblPr>
      <w:tblCellMar>
        <w:top w:w="0" w:type="dxa"/>
        <w:left w:w="108" w:type="dxa"/>
        <w:bottom w:w="0" w:type="dxa"/>
        <w:right w:w="108" w:type="dxa"/>
      </w:tblCellMar>
    </w:tblPr>
  </w:style>
  <w:style w:type="paragraph" w:styleId="2">
    <w:name w:val="Plain Text"/>
    <w:basedOn w:val="1"/>
    <w:next w:val="1"/>
    <w:link w:val="70"/>
    <w:qFormat/>
    <w:uiPriority w:val="0"/>
    <w:rPr>
      <w:rFonts w:ascii="宋体" w:hAnsi="Courier New"/>
      <w:szCs w:val="20"/>
    </w:rPr>
  </w:style>
  <w:style w:type="paragraph" w:styleId="4">
    <w:name w:val="Title"/>
    <w:basedOn w:val="1"/>
    <w:link w:val="58"/>
    <w:qFormat/>
    <w:uiPriority w:val="0"/>
    <w:pPr>
      <w:spacing w:before="120" w:after="60"/>
      <w:jc w:val="center"/>
    </w:pPr>
    <w:rPr>
      <w:rFonts w:ascii="Arial" w:hAnsi="Arial"/>
      <w:b/>
      <w:sz w:val="44"/>
      <w:szCs w:val="20"/>
    </w:rPr>
  </w:style>
  <w:style w:type="paragraph" w:styleId="5">
    <w:name w:val="Body Text First Indent"/>
    <w:basedOn w:val="6"/>
    <w:link w:val="80"/>
    <w:qFormat/>
    <w:uiPriority w:val="0"/>
    <w:pPr>
      <w:ind w:firstLine="420"/>
    </w:pPr>
    <w:rPr>
      <w:rFonts w:asciiTheme="minorHAnsi" w:hAnsiTheme="minorHAnsi" w:eastAsiaTheme="minorEastAsia" w:cstheme="minorBidi"/>
      <w:szCs w:val="22"/>
    </w:rPr>
  </w:style>
  <w:style w:type="paragraph" w:styleId="6">
    <w:name w:val="Body Text"/>
    <w:basedOn w:val="1"/>
    <w:next w:val="1"/>
    <w:link w:val="74"/>
    <w:qFormat/>
    <w:uiPriority w:val="0"/>
    <w:pPr>
      <w:spacing w:after="120"/>
    </w:pPr>
    <w:rPr>
      <w:rFonts w:ascii="Times New Roman" w:hAnsi="Times New Roman"/>
      <w:szCs w:val="20"/>
    </w:rPr>
  </w:style>
  <w:style w:type="paragraph" w:styleId="10">
    <w:name w:val="Normal Indent"/>
    <w:basedOn w:val="1"/>
    <w:qFormat/>
    <w:uiPriority w:val="0"/>
    <w:pPr>
      <w:ind w:firstLine="420"/>
    </w:pPr>
    <w:rPr>
      <w:rFonts w:ascii="Times New Roman" w:hAnsi="Times New Roman"/>
      <w:szCs w:val="20"/>
    </w:rPr>
  </w:style>
  <w:style w:type="paragraph" w:styleId="16">
    <w:name w:val="Document Map"/>
    <w:basedOn w:val="1"/>
    <w:link w:val="62"/>
    <w:qFormat/>
    <w:uiPriority w:val="0"/>
    <w:pPr>
      <w:shd w:val="clear" w:color="auto" w:fill="000080"/>
    </w:pPr>
    <w:rPr>
      <w:rFonts w:ascii="Times New Roman" w:hAnsi="Times New Roman"/>
      <w:szCs w:val="20"/>
    </w:rPr>
  </w:style>
  <w:style w:type="paragraph" w:styleId="17">
    <w:name w:val="annotation text"/>
    <w:basedOn w:val="1"/>
    <w:link w:val="104"/>
    <w:unhideWhenUsed/>
    <w:qFormat/>
    <w:uiPriority w:val="99"/>
    <w:pPr>
      <w:jc w:val="left"/>
    </w:pPr>
  </w:style>
  <w:style w:type="paragraph" w:styleId="18">
    <w:name w:val="Body Text Indent"/>
    <w:basedOn w:val="1"/>
    <w:link w:val="67"/>
    <w:qFormat/>
    <w:uiPriority w:val="0"/>
    <w:pPr>
      <w:ind w:firstLine="570"/>
    </w:pPr>
    <w:rPr>
      <w:rFonts w:ascii="Times New Roman" w:hAnsi="Times New Roman"/>
      <w:sz w:val="28"/>
      <w:szCs w:val="20"/>
    </w:rPr>
  </w:style>
  <w:style w:type="paragraph" w:styleId="19">
    <w:name w:val="toc 3"/>
    <w:basedOn w:val="1"/>
    <w:next w:val="1"/>
    <w:qFormat/>
    <w:uiPriority w:val="39"/>
    <w:pPr>
      <w:snapToGrid w:val="0"/>
      <w:spacing w:line="360" w:lineRule="auto"/>
      <w:ind w:left="400" w:leftChars="400"/>
      <w:jc w:val="left"/>
    </w:pPr>
    <w:rPr>
      <w:rFonts w:ascii="Times New Roman" w:hAnsi="Times New Roman"/>
      <w:sz w:val="24"/>
      <w:szCs w:val="20"/>
    </w:rPr>
  </w:style>
  <w:style w:type="paragraph" w:styleId="20">
    <w:name w:val="Date"/>
    <w:basedOn w:val="1"/>
    <w:next w:val="1"/>
    <w:link w:val="77"/>
    <w:qFormat/>
    <w:uiPriority w:val="0"/>
    <w:rPr>
      <w:rFonts w:ascii="Times New Roman" w:hAnsi="Times New Roman"/>
      <w:szCs w:val="20"/>
    </w:rPr>
  </w:style>
  <w:style w:type="paragraph" w:styleId="21">
    <w:name w:val="Body Text Indent 2"/>
    <w:basedOn w:val="1"/>
    <w:link w:val="82"/>
    <w:qFormat/>
    <w:uiPriority w:val="0"/>
    <w:pPr>
      <w:spacing w:line="400" w:lineRule="exact"/>
      <w:ind w:left="425"/>
    </w:pPr>
    <w:rPr>
      <w:rFonts w:ascii="Times New Roman" w:hAnsi="Times New Roman"/>
      <w:color w:val="000000"/>
      <w:sz w:val="24"/>
      <w:szCs w:val="20"/>
    </w:rPr>
  </w:style>
  <w:style w:type="paragraph" w:styleId="22">
    <w:name w:val="endnote text"/>
    <w:basedOn w:val="1"/>
    <w:link w:val="96"/>
    <w:qFormat/>
    <w:uiPriority w:val="0"/>
    <w:pPr>
      <w:snapToGrid w:val="0"/>
      <w:jc w:val="left"/>
    </w:pPr>
    <w:rPr>
      <w:rFonts w:ascii="Times New Roman" w:hAnsi="Times New Roman"/>
      <w:szCs w:val="20"/>
    </w:rPr>
  </w:style>
  <w:style w:type="paragraph" w:styleId="23">
    <w:name w:val="Balloon Text"/>
    <w:basedOn w:val="1"/>
    <w:link w:val="56"/>
    <w:qFormat/>
    <w:uiPriority w:val="0"/>
    <w:rPr>
      <w:rFonts w:ascii="Times New Roman" w:hAnsi="Times New Roman"/>
      <w:sz w:val="18"/>
      <w:szCs w:val="18"/>
    </w:rPr>
  </w:style>
  <w:style w:type="paragraph" w:styleId="24">
    <w:name w:val="footer"/>
    <w:basedOn w:val="1"/>
    <w:link w:val="71"/>
    <w:unhideWhenUsed/>
    <w:qFormat/>
    <w:uiPriority w:val="99"/>
    <w:pPr>
      <w:tabs>
        <w:tab w:val="center" w:pos="4153"/>
        <w:tab w:val="right" w:pos="8306"/>
      </w:tabs>
      <w:snapToGrid w:val="0"/>
      <w:jc w:val="left"/>
    </w:pPr>
    <w:rPr>
      <w:sz w:val="18"/>
      <w:szCs w:val="18"/>
    </w:rPr>
  </w:style>
  <w:style w:type="paragraph" w:styleId="25">
    <w:name w:val="header"/>
    <w:basedOn w:val="1"/>
    <w:link w:val="81"/>
    <w:unhideWhenUsed/>
    <w:qFormat/>
    <w:uiPriority w:val="0"/>
    <w:pPr>
      <w:pBdr>
        <w:bottom w:val="single" w:color="auto" w:sz="6" w:space="1"/>
      </w:pBdr>
      <w:tabs>
        <w:tab w:val="center" w:pos="4153"/>
        <w:tab w:val="right" w:pos="8306"/>
      </w:tabs>
      <w:snapToGrid w:val="0"/>
      <w:jc w:val="center"/>
    </w:pPr>
    <w:rPr>
      <w:sz w:val="18"/>
      <w:szCs w:val="18"/>
    </w:rPr>
  </w:style>
  <w:style w:type="paragraph" w:styleId="26">
    <w:name w:val="toc 1"/>
    <w:basedOn w:val="1"/>
    <w:next w:val="1"/>
    <w:qFormat/>
    <w:uiPriority w:val="39"/>
    <w:pPr>
      <w:tabs>
        <w:tab w:val="right" w:leader="dot" w:pos="9060"/>
      </w:tabs>
      <w:adjustRightInd w:val="0"/>
      <w:snapToGrid w:val="0"/>
      <w:spacing w:line="360" w:lineRule="auto"/>
      <w:jc w:val="left"/>
      <w:textAlignment w:val="baseline"/>
    </w:pPr>
    <w:rPr>
      <w:rFonts w:ascii="宋体" w:hAnsi="宋体"/>
      <w:caps/>
      <w:kern w:val="0"/>
      <w:sz w:val="24"/>
      <w:szCs w:val="32"/>
    </w:rPr>
  </w:style>
  <w:style w:type="paragraph" w:styleId="27">
    <w:name w:val="footnote text"/>
    <w:basedOn w:val="1"/>
    <w:link w:val="60"/>
    <w:qFormat/>
    <w:uiPriority w:val="0"/>
    <w:pPr>
      <w:snapToGrid w:val="0"/>
      <w:spacing w:line="360" w:lineRule="auto"/>
      <w:ind w:firstLine="523" w:firstLineChars="218"/>
      <w:jc w:val="left"/>
    </w:pPr>
    <w:rPr>
      <w:rFonts w:ascii="宋体" w:hAnsi="宋体"/>
      <w:sz w:val="18"/>
      <w:szCs w:val="18"/>
    </w:rPr>
  </w:style>
  <w:style w:type="paragraph" w:styleId="28">
    <w:name w:val="Body Text Indent 3"/>
    <w:basedOn w:val="1"/>
    <w:link w:val="57"/>
    <w:qFormat/>
    <w:uiPriority w:val="0"/>
    <w:pPr>
      <w:tabs>
        <w:tab w:val="left" w:pos="0"/>
      </w:tabs>
      <w:spacing w:line="400" w:lineRule="exact"/>
      <w:ind w:left="563" w:leftChars="228" w:hanging="84" w:hangingChars="35"/>
    </w:pPr>
    <w:rPr>
      <w:rFonts w:ascii="Times New Roman" w:hAnsi="Times New Roman"/>
      <w:color w:val="000000"/>
      <w:sz w:val="24"/>
      <w:szCs w:val="20"/>
    </w:rPr>
  </w:style>
  <w:style w:type="paragraph" w:styleId="29">
    <w:name w:val="toc 2"/>
    <w:basedOn w:val="1"/>
    <w:next w:val="1"/>
    <w:qFormat/>
    <w:uiPriority w:val="39"/>
    <w:pPr>
      <w:tabs>
        <w:tab w:val="right" w:leader="dot" w:pos="9060"/>
      </w:tabs>
      <w:snapToGrid w:val="0"/>
      <w:spacing w:line="360" w:lineRule="auto"/>
      <w:ind w:left="420" w:leftChars="200"/>
      <w:jc w:val="left"/>
    </w:pPr>
    <w:rPr>
      <w:rFonts w:ascii="Times New Roman" w:hAnsi="Times New Roman"/>
      <w:sz w:val="24"/>
      <w:szCs w:val="24"/>
    </w:rPr>
  </w:style>
  <w:style w:type="paragraph" w:styleId="30">
    <w:name w:val="Body Text 2"/>
    <w:basedOn w:val="1"/>
    <w:link w:val="73"/>
    <w:qFormat/>
    <w:uiPriority w:val="0"/>
    <w:rPr>
      <w:rFonts w:ascii="宋体" w:hAnsi="宋体"/>
      <w:szCs w:val="24"/>
      <w:u w:val="single"/>
    </w:rPr>
  </w:style>
  <w:style w:type="paragraph" w:styleId="31">
    <w:name w:val="Normal (Web)"/>
    <w:basedOn w:val="1"/>
    <w:unhideWhenUsed/>
    <w:qFormat/>
    <w:uiPriority w:val="0"/>
    <w:pPr>
      <w:spacing w:beforeAutospacing="1" w:afterAutospacing="1"/>
      <w:jc w:val="left"/>
    </w:pPr>
    <w:rPr>
      <w:kern w:val="0"/>
      <w:sz w:val="24"/>
    </w:rPr>
  </w:style>
  <w:style w:type="paragraph" w:styleId="32">
    <w:name w:val="index 1"/>
    <w:basedOn w:val="1"/>
    <w:next w:val="1"/>
    <w:qFormat/>
    <w:uiPriority w:val="0"/>
    <w:rPr>
      <w:rFonts w:ascii="Times New Roman" w:hAnsi="Times New Roman" w:eastAsia="仿宋_GB2312"/>
      <w:sz w:val="28"/>
      <w:szCs w:val="20"/>
    </w:rPr>
  </w:style>
  <w:style w:type="paragraph" w:styleId="33">
    <w:name w:val="annotation subject"/>
    <w:basedOn w:val="17"/>
    <w:next w:val="17"/>
    <w:link w:val="98"/>
    <w:qFormat/>
    <w:uiPriority w:val="0"/>
    <w:pPr>
      <w:spacing w:line="360" w:lineRule="auto"/>
      <w:ind w:firstLine="523" w:firstLineChars="218"/>
    </w:pPr>
    <w:rPr>
      <w:rFonts w:ascii="宋体" w:hAnsi="宋体"/>
      <w:b/>
      <w:bCs/>
      <w:sz w:val="24"/>
      <w:szCs w:val="24"/>
    </w:rPr>
  </w:style>
  <w:style w:type="table" w:styleId="35">
    <w:name w:val="Table Grid"/>
    <w:basedOn w:val="3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7">
    <w:name w:val="Strong"/>
    <w:qFormat/>
    <w:uiPriority w:val="22"/>
    <w:rPr>
      <w:b/>
    </w:rPr>
  </w:style>
  <w:style w:type="character" w:styleId="38">
    <w:name w:val="endnote reference"/>
    <w:qFormat/>
    <w:uiPriority w:val="0"/>
    <w:rPr>
      <w:vertAlign w:val="superscript"/>
    </w:rPr>
  </w:style>
  <w:style w:type="character" w:styleId="39">
    <w:name w:val="page number"/>
    <w:qFormat/>
    <w:uiPriority w:val="0"/>
    <w:rPr>
      <w:rFonts w:cs="Times New Roman"/>
    </w:rPr>
  </w:style>
  <w:style w:type="character" w:styleId="40">
    <w:name w:val="FollowedHyperlink"/>
    <w:unhideWhenUsed/>
    <w:qFormat/>
    <w:uiPriority w:val="99"/>
    <w:rPr>
      <w:color w:val="954F72"/>
      <w:u w:val="single"/>
    </w:rPr>
  </w:style>
  <w:style w:type="character" w:styleId="41">
    <w:name w:val="Hyperlink"/>
    <w:qFormat/>
    <w:uiPriority w:val="99"/>
    <w:rPr>
      <w:color w:val="0000FF"/>
      <w:u w:val="single"/>
    </w:rPr>
  </w:style>
  <w:style w:type="character" w:styleId="42">
    <w:name w:val="annotation reference"/>
    <w:qFormat/>
    <w:uiPriority w:val="0"/>
    <w:rPr>
      <w:sz w:val="21"/>
      <w:szCs w:val="21"/>
    </w:rPr>
  </w:style>
  <w:style w:type="character" w:styleId="43">
    <w:name w:val="footnote reference"/>
    <w:qFormat/>
    <w:uiPriority w:val="0"/>
    <w:rPr>
      <w:vertAlign w:val="superscript"/>
    </w:rPr>
  </w:style>
  <w:style w:type="paragraph" w:customStyle="1" w:styleId="44">
    <w:name w:val="正文首行缩进 21"/>
    <w:basedOn w:val="45"/>
    <w:qFormat/>
    <w:uiPriority w:val="0"/>
    <w:pPr>
      <w:spacing w:after="120"/>
      <w:ind w:left="200" w:leftChars="200" w:firstLine="200" w:firstLineChars="200"/>
    </w:pPr>
    <w:rPr>
      <w:rFonts w:ascii="Calibri" w:hAnsi="Calibri"/>
      <w:sz w:val="21"/>
      <w:szCs w:val="24"/>
    </w:rPr>
  </w:style>
  <w:style w:type="paragraph" w:customStyle="1" w:styleId="45">
    <w:name w:val="正文文本缩进1"/>
    <w:basedOn w:val="1"/>
    <w:next w:val="46"/>
    <w:qFormat/>
    <w:uiPriority w:val="0"/>
    <w:pPr>
      <w:ind w:firstLine="570"/>
    </w:pPr>
    <w:rPr>
      <w:rFonts w:ascii="Times New Roman" w:hAnsi="Times New Roman"/>
      <w:kern w:val="0"/>
      <w:sz w:val="28"/>
      <w:szCs w:val="20"/>
    </w:rPr>
  </w:style>
  <w:style w:type="paragraph" w:customStyle="1" w:styleId="46">
    <w:name w:val="寄信人地址1"/>
    <w:basedOn w:val="1"/>
    <w:qFormat/>
    <w:uiPriority w:val="0"/>
    <w:pPr>
      <w:snapToGrid w:val="0"/>
    </w:pPr>
    <w:rPr>
      <w:rFonts w:ascii="Arial" w:hAnsi="Arial"/>
      <w:szCs w:val="24"/>
    </w:rPr>
  </w:style>
  <w:style w:type="character" w:customStyle="1" w:styleId="47">
    <w:name w:val="标题 1 字符"/>
    <w:basedOn w:val="36"/>
    <w:qFormat/>
    <w:uiPriority w:val="9"/>
    <w:rPr>
      <w:rFonts w:ascii="Calibri" w:hAnsi="Calibri" w:eastAsia="宋体" w:cs="Times New Roman"/>
      <w:b/>
      <w:bCs/>
      <w:kern w:val="44"/>
      <w:sz w:val="44"/>
      <w:szCs w:val="44"/>
    </w:rPr>
  </w:style>
  <w:style w:type="character" w:customStyle="1" w:styleId="48">
    <w:name w:val="标题 2 字符"/>
    <w:basedOn w:val="36"/>
    <w:semiHidden/>
    <w:qFormat/>
    <w:uiPriority w:val="9"/>
    <w:rPr>
      <w:rFonts w:asciiTheme="majorHAnsi" w:hAnsiTheme="majorHAnsi" w:eastAsiaTheme="majorEastAsia" w:cstheme="majorBidi"/>
      <w:b/>
      <w:bCs/>
      <w:sz w:val="32"/>
      <w:szCs w:val="32"/>
    </w:rPr>
  </w:style>
  <w:style w:type="character" w:customStyle="1" w:styleId="49">
    <w:name w:val="标题 3 字符"/>
    <w:basedOn w:val="36"/>
    <w:semiHidden/>
    <w:qFormat/>
    <w:uiPriority w:val="9"/>
    <w:rPr>
      <w:rFonts w:ascii="Calibri" w:hAnsi="Calibri" w:eastAsia="宋体" w:cs="Times New Roman"/>
      <w:b/>
      <w:bCs/>
      <w:sz w:val="32"/>
      <w:szCs w:val="32"/>
    </w:rPr>
  </w:style>
  <w:style w:type="character" w:customStyle="1" w:styleId="50">
    <w:name w:val="标题 4 字符"/>
    <w:basedOn w:val="36"/>
    <w:semiHidden/>
    <w:qFormat/>
    <w:uiPriority w:val="9"/>
    <w:rPr>
      <w:rFonts w:asciiTheme="majorHAnsi" w:hAnsiTheme="majorHAnsi" w:eastAsiaTheme="majorEastAsia" w:cstheme="majorBidi"/>
      <w:b/>
      <w:bCs/>
      <w:sz w:val="28"/>
      <w:szCs w:val="28"/>
    </w:rPr>
  </w:style>
  <w:style w:type="character" w:customStyle="1" w:styleId="51">
    <w:name w:val="标题 5 字符"/>
    <w:basedOn w:val="36"/>
    <w:semiHidden/>
    <w:qFormat/>
    <w:uiPriority w:val="9"/>
    <w:rPr>
      <w:rFonts w:ascii="Calibri" w:hAnsi="Calibri" w:eastAsia="宋体" w:cs="Times New Roman"/>
      <w:b/>
      <w:bCs/>
      <w:sz w:val="28"/>
      <w:szCs w:val="28"/>
    </w:rPr>
  </w:style>
  <w:style w:type="character" w:customStyle="1" w:styleId="52">
    <w:name w:val="标题 6 字符"/>
    <w:basedOn w:val="36"/>
    <w:semiHidden/>
    <w:qFormat/>
    <w:uiPriority w:val="9"/>
    <w:rPr>
      <w:rFonts w:asciiTheme="majorHAnsi" w:hAnsiTheme="majorHAnsi" w:eastAsiaTheme="majorEastAsia" w:cstheme="majorBidi"/>
      <w:b/>
      <w:bCs/>
      <w:sz w:val="24"/>
      <w:szCs w:val="24"/>
    </w:rPr>
  </w:style>
  <w:style w:type="character" w:customStyle="1" w:styleId="53">
    <w:name w:val="标题 7 字符"/>
    <w:basedOn w:val="36"/>
    <w:semiHidden/>
    <w:qFormat/>
    <w:uiPriority w:val="9"/>
    <w:rPr>
      <w:rFonts w:ascii="Calibri" w:hAnsi="Calibri" w:eastAsia="宋体" w:cs="Times New Roman"/>
      <w:b/>
      <w:bCs/>
      <w:sz w:val="24"/>
      <w:szCs w:val="24"/>
    </w:rPr>
  </w:style>
  <w:style w:type="character" w:customStyle="1" w:styleId="54">
    <w:name w:val="标题 8 字符"/>
    <w:basedOn w:val="36"/>
    <w:semiHidden/>
    <w:qFormat/>
    <w:uiPriority w:val="9"/>
    <w:rPr>
      <w:rFonts w:asciiTheme="majorHAnsi" w:hAnsiTheme="majorHAnsi" w:eastAsiaTheme="majorEastAsia" w:cstheme="majorBidi"/>
      <w:sz w:val="24"/>
      <w:szCs w:val="24"/>
    </w:rPr>
  </w:style>
  <w:style w:type="character" w:customStyle="1" w:styleId="55">
    <w:name w:val="标题 9 字符"/>
    <w:basedOn w:val="36"/>
    <w:semiHidden/>
    <w:qFormat/>
    <w:uiPriority w:val="9"/>
    <w:rPr>
      <w:rFonts w:asciiTheme="majorHAnsi" w:hAnsiTheme="majorHAnsi" w:eastAsiaTheme="majorEastAsia" w:cstheme="majorBidi"/>
      <w:szCs w:val="21"/>
    </w:rPr>
  </w:style>
  <w:style w:type="character" w:customStyle="1" w:styleId="56">
    <w:name w:val="批注框文本 Char"/>
    <w:link w:val="23"/>
    <w:qFormat/>
    <w:uiPriority w:val="0"/>
    <w:rPr>
      <w:rFonts w:ascii="Times New Roman" w:hAnsi="Times New Roman" w:eastAsia="宋体" w:cs="Times New Roman"/>
      <w:sz w:val="18"/>
      <w:szCs w:val="18"/>
    </w:rPr>
  </w:style>
  <w:style w:type="character" w:customStyle="1" w:styleId="57">
    <w:name w:val="正文文本缩进 3 Char"/>
    <w:link w:val="28"/>
    <w:qFormat/>
    <w:uiPriority w:val="0"/>
    <w:rPr>
      <w:rFonts w:ascii="Times New Roman" w:hAnsi="Times New Roman" w:eastAsia="宋体" w:cs="Times New Roman"/>
      <w:color w:val="000000"/>
      <w:sz w:val="24"/>
      <w:szCs w:val="20"/>
    </w:rPr>
  </w:style>
  <w:style w:type="character" w:customStyle="1" w:styleId="58">
    <w:name w:val="标题 Char"/>
    <w:link w:val="4"/>
    <w:qFormat/>
    <w:uiPriority w:val="0"/>
    <w:rPr>
      <w:rFonts w:ascii="Arial" w:hAnsi="Arial" w:eastAsia="宋体" w:cs="Times New Roman"/>
      <w:b/>
      <w:sz w:val="44"/>
      <w:szCs w:val="20"/>
    </w:rPr>
  </w:style>
  <w:style w:type="character" w:customStyle="1" w:styleId="59">
    <w:name w:val="标题 8 Char"/>
    <w:link w:val="14"/>
    <w:qFormat/>
    <w:uiPriority w:val="0"/>
    <w:rPr>
      <w:rFonts w:ascii="Arial" w:hAnsi="Arial" w:eastAsia="黑体" w:cs="Times New Roman"/>
      <w:sz w:val="24"/>
      <w:szCs w:val="20"/>
    </w:rPr>
  </w:style>
  <w:style w:type="character" w:customStyle="1" w:styleId="60">
    <w:name w:val="脚注文本 Char"/>
    <w:link w:val="27"/>
    <w:qFormat/>
    <w:uiPriority w:val="0"/>
    <w:rPr>
      <w:rFonts w:ascii="宋体" w:hAnsi="宋体" w:eastAsia="宋体" w:cs="Times New Roman"/>
      <w:sz w:val="18"/>
      <w:szCs w:val="18"/>
    </w:rPr>
  </w:style>
  <w:style w:type="character" w:customStyle="1" w:styleId="61">
    <w:name w:val="批注框文本 字符"/>
    <w:semiHidden/>
    <w:qFormat/>
    <w:uiPriority w:val="99"/>
    <w:rPr>
      <w:rFonts w:ascii="Calibri" w:hAnsi="Calibri" w:eastAsia="宋体" w:cs="Times New Roman"/>
      <w:sz w:val="18"/>
      <w:szCs w:val="18"/>
    </w:rPr>
  </w:style>
  <w:style w:type="character" w:customStyle="1" w:styleId="62">
    <w:name w:val="文档结构图 Char"/>
    <w:link w:val="16"/>
    <w:qFormat/>
    <w:uiPriority w:val="0"/>
    <w:rPr>
      <w:rFonts w:ascii="Times New Roman" w:hAnsi="Times New Roman" w:eastAsia="宋体" w:cs="Times New Roman"/>
      <w:szCs w:val="20"/>
      <w:shd w:val="clear" w:color="auto" w:fill="000080"/>
    </w:rPr>
  </w:style>
  <w:style w:type="character" w:customStyle="1" w:styleId="63">
    <w:name w:val="正文文本缩进 2 字符"/>
    <w:semiHidden/>
    <w:qFormat/>
    <w:uiPriority w:val="99"/>
    <w:rPr>
      <w:rFonts w:ascii="Calibri" w:hAnsi="Calibri" w:eastAsia="宋体" w:cs="Times New Roman"/>
    </w:rPr>
  </w:style>
  <w:style w:type="character" w:customStyle="1" w:styleId="64">
    <w:name w:val="正文文本缩进 3 字符"/>
    <w:semiHidden/>
    <w:qFormat/>
    <w:uiPriority w:val="99"/>
    <w:rPr>
      <w:rFonts w:ascii="Calibri" w:hAnsi="Calibri" w:eastAsia="宋体" w:cs="Times New Roman"/>
      <w:sz w:val="16"/>
      <w:szCs w:val="16"/>
    </w:rPr>
  </w:style>
  <w:style w:type="character" w:customStyle="1" w:styleId="65">
    <w:name w:val="文档结构图 字符"/>
    <w:semiHidden/>
    <w:qFormat/>
    <w:uiPriority w:val="99"/>
    <w:rPr>
      <w:rFonts w:ascii="Microsoft YaHei UI" w:hAnsi="Calibri" w:eastAsia="Microsoft YaHei UI" w:cs="Times New Roman"/>
      <w:sz w:val="18"/>
      <w:szCs w:val="18"/>
    </w:rPr>
  </w:style>
  <w:style w:type="character" w:customStyle="1" w:styleId="66">
    <w:name w:val="标题 6 Char"/>
    <w:link w:val="12"/>
    <w:qFormat/>
    <w:uiPriority w:val="0"/>
    <w:rPr>
      <w:rFonts w:ascii="Arial" w:hAnsi="Arial" w:eastAsia="黑体" w:cs="Times New Roman"/>
      <w:b/>
      <w:bCs/>
      <w:sz w:val="24"/>
      <w:szCs w:val="24"/>
    </w:rPr>
  </w:style>
  <w:style w:type="character" w:customStyle="1" w:styleId="67">
    <w:name w:val="正文文本缩进 Char"/>
    <w:link w:val="18"/>
    <w:qFormat/>
    <w:uiPriority w:val="0"/>
    <w:rPr>
      <w:rFonts w:ascii="Times New Roman" w:hAnsi="Times New Roman" w:eastAsia="宋体" w:cs="Times New Roman"/>
      <w:sz w:val="28"/>
      <w:szCs w:val="20"/>
    </w:rPr>
  </w:style>
  <w:style w:type="character" w:customStyle="1" w:styleId="68">
    <w:name w:val="标题 9 Char"/>
    <w:link w:val="15"/>
    <w:qFormat/>
    <w:uiPriority w:val="0"/>
    <w:rPr>
      <w:rFonts w:ascii="Arial" w:hAnsi="Arial" w:eastAsia="黑体" w:cs="Times New Roman"/>
      <w:szCs w:val="20"/>
    </w:rPr>
  </w:style>
  <w:style w:type="character" w:customStyle="1" w:styleId="69">
    <w:name w:val="批注文字 字符"/>
    <w:qFormat/>
    <w:uiPriority w:val="0"/>
    <w:rPr>
      <w:rFonts w:ascii="Calibri" w:hAnsi="Calibri" w:eastAsia="宋体" w:cs="Times New Roman"/>
    </w:rPr>
  </w:style>
  <w:style w:type="character" w:customStyle="1" w:styleId="70">
    <w:name w:val="纯文本 Char"/>
    <w:link w:val="2"/>
    <w:qFormat/>
    <w:uiPriority w:val="99"/>
    <w:rPr>
      <w:rFonts w:ascii="宋体" w:hAnsi="Courier New" w:eastAsia="宋体" w:cs="Times New Roman"/>
      <w:szCs w:val="20"/>
    </w:rPr>
  </w:style>
  <w:style w:type="character" w:customStyle="1" w:styleId="71">
    <w:name w:val="页脚 Char"/>
    <w:link w:val="24"/>
    <w:qFormat/>
    <w:uiPriority w:val="0"/>
    <w:rPr>
      <w:rFonts w:ascii="Calibri" w:hAnsi="Calibri" w:eastAsia="宋体" w:cs="Times New Roman"/>
      <w:sz w:val="18"/>
      <w:szCs w:val="18"/>
    </w:rPr>
  </w:style>
  <w:style w:type="character" w:customStyle="1" w:styleId="72">
    <w:name w:val="页眉 字符"/>
    <w:semiHidden/>
    <w:qFormat/>
    <w:uiPriority w:val="99"/>
    <w:rPr>
      <w:rFonts w:ascii="Calibri" w:hAnsi="Calibri" w:eastAsia="宋体" w:cs="Times New Roman"/>
      <w:sz w:val="18"/>
      <w:szCs w:val="18"/>
    </w:rPr>
  </w:style>
  <w:style w:type="character" w:customStyle="1" w:styleId="73">
    <w:name w:val="正文文本 2 Char"/>
    <w:link w:val="30"/>
    <w:qFormat/>
    <w:uiPriority w:val="0"/>
    <w:rPr>
      <w:rFonts w:ascii="宋体" w:hAnsi="宋体" w:eastAsia="宋体" w:cs="Times New Roman"/>
      <w:szCs w:val="24"/>
      <w:u w:val="single"/>
    </w:rPr>
  </w:style>
  <w:style w:type="character" w:customStyle="1" w:styleId="74">
    <w:name w:val="正文文本 Char"/>
    <w:link w:val="6"/>
    <w:qFormat/>
    <w:uiPriority w:val="0"/>
    <w:rPr>
      <w:rFonts w:ascii="Times New Roman" w:hAnsi="Times New Roman" w:eastAsia="宋体" w:cs="Times New Roman"/>
      <w:szCs w:val="20"/>
    </w:rPr>
  </w:style>
  <w:style w:type="character" w:customStyle="1" w:styleId="75">
    <w:name w:val="批注文字 字符1"/>
    <w:qFormat/>
    <w:uiPriority w:val="0"/>
    <w:rPr>
      <w:rFonts w:ascii="宋体" w:hAnsi="宋体" w:eastAsia="宋体" w:cs="Times New Roman"/>
      <w:sz w:val="24"/>
      <w:szCs w:val="24"/>
    </w:rPr>
  </w:style>
  <w:style w:type="character" w:customStyle="1" w:styleId="76">
    <w:name w:val="标题 1 Char"/>
    <w:link w:val="3"/>
    <w:qFormat/>
    <w:uiPriority w:val="0"/>
    <w:rPr>
      <w:rFonts w:ascii="Arial" w:hAnsi="Arial" w:eastAsia="宋体" w:cs="Times New Roman"/>
      <w:b/>
      <w:kern w:val="44"/>
      <w:sz w:val="28"/>
      <w:szCs w:val="28"/>
    </w:rPr>
  </w:style>
  <w:style w:type="character" w:customStyle="1" w:styleId="77">
    <w:name w:val="日期 Char"/>
    <w:link w:val="20"/>
    <w:qFormat/>
    <w:uiPriority w:val="0"/>
    <w:rPr>
      <w:rFonts w:ascii="Times New Roman" w:hAnsi="Times New Roman" w:eastAsia="宋体" w:cs="Times New Roman"/>
      <w:szCs w:val="20"/>
    </w:rPr>
  </w:style>
  <w:style w:type="character" w:customStyle="1" w:styleId="78">
    <w:name w:val="标题 5 Char"/>
    <w:link w:val="11"/>
    <w:qFormat/>
    <w:uiPriority w:val="0"/>
    <w:rPr>
      <w:rFonts w:ascii="Arial" w:hAnsi="Arial" w:eastAsia="宋体" w:cs="Times New Roman"/>
      <w:color w:val="000000"/>
      <w:szCs w:val="21"/>
    </w:rPr>
  </w:style>
  <w:style w:type="character" w:customStyle="1" w:styleId="79">
    <w:name w:val="标题 3 Char"/>
    <w:link w:val="8"/>
    <w:qFormat/>
    <w:uiPriority w:val="0"/>
    <w:rPr>
      <w:rFonts w:ascii="宋体" w:hAnsi="宋体" w:eastAsia="宋体" w:cs="宋体"/>
      <w:kern w:val="0"/>
      <w:sz w:val="27"/>
      <w:szCs w:val="27"/>
    </w:rPr>
  </w:style>
  <w:style w:type="character" w:customStyle="1" w:styleId="80">
    <w:name w:val="正文首行缩进 Char"/>
    <w:link w:val="5"/>
    <w:qFormat/>
    <w:uiPriority w:val="0"/>
  </w:style>
  <w:style w:type="character" w:customStyle="1" w:styleId="81">
    <w:name w:val="页眉 Char"/>
    <w:link w:val="25"/>
    <w:qFormat/>
    <w:uiPriority w:val="0"/>
    <w:rPr>
      <w:rFonts w:ascii="Calibri" w:hAnsi="Calibri" w:eastAsia="宋体" w:cs="Times New Roman"/>
      <w:sz w:val="18"/>
      <w:szCs w:val="18"/>
    </w:rPr>
  </w:style>
  <w:style w:type="character" w:customStyle="1" w:styleId="82">
    <w:name w:val="正文文本缩进 2 Char"/>
    <w:link w:val="21"/>
    <w:qFormat/>
    <w:uiPriority w:val="0"/>
    <w:rPr>
      <w:rFonts w:ascii="Times New Roman" w:hAnsi="Times New Roman" w:eastAsia="宋体" w:cs="Times New Roman"/>
      <w:color w:val="000000"/>
      <w:sz w:val="24"/>
      <w:szCs w:val="20"/>
    </w:rPr>
  </w:style>
  <w:style w:type="character" w:customStyle="1" w:styleId="83">
    <w:name w:val="页脚 字符"/>
    <w:qFormat/>
    <w:uiPriority w:val="99"/>
    <w:rPr>
      <w:rFonts w:ascii="Calibri" w:hAnsi="Calibri" w:eastAsia="宋体" w:cs="Times New Roman"/>
      <w:sz w:val="18"/>
      <w:szCs w:val="18"/>
    </w:rPr>
  </w:style>
  <w:style w:type="character" w:customStyle="1" w:styleId="84">
    <w:name w:val="尾注文本 字符"/>
    <w:semiHidden/>
    <w:qFormat/>
    <w:uiPriority w:val="99"/>
    <w:rPr>
      <w:rFonts w:ascii="Calibri" w:hAnsi="Calibri" w:eastAsia="宋体" w:cs="Times New Roman"/>
    </w:rPr>
  </w:style>
  <w:style w:type="character" w:customStyle="1" w:styleId="85">
    <w:name w:val="标题 2 Char"/>
    <w:link w:val="7"/>
    <w:qFormat/>
    <w:uiPriority w:val="0"/>
    <w:rPr>
      <w:rFonts w:ascii="Arial" w:hAnsi="Arial" w:eastAsia="宋体" w:cs="Times New Roman"/>
      <w:b/>
      <w:color w:val="000000"/>
      <w:sz w:val="24"/>
      <w:szCs w:val="24"/>
    </w:rPr>
  </w:style>
  <w:style w:type="character" w:customStyle="1" w:styleId="86">
    <w:name w:val="正文首行缩进 字符"/>
    <w:basedOn w:val="87"/>
    <w:semiHidden/>
    <w:qFormat/>
    <w:uiPriority w:val="99"/>
    <w:rPr>
      <w:rFonts w:ascii="Calibri" w:hAnsi="Calibri" w:eastAsia="宋体" w:cs="Times New Roman"/>
    </w:rPr>
  </w:style>
  <w:style w:type="character" w:customStyle="1" w:styleId="87">
    <w:name w:val="正文文本 字符"/>
    <w:semiHidden/>
    <w:qFormat/>
    <w:uiPriority w:val="99"/>
    <w:rPr>
      <w:rFonts w:ascii="Calibri" w:hAnsi="Calibri" w:eastAsia="宋体" w:cs="Times New Roman"/>
    </w:rPr>
  </w:style>
  <w:style w:type="character" w:customStyle="1" w:styleId="88">
    <w:name w:val="标题 4 Char"/>
    <w:link w:val="9"/>
    <w:qFormat/>
    <w:uiPriority w:val="0"/>
    <w:rPr>
      <w:rFonts w:ascii="Arial" w:hAnsi="Arial" w:eastAsia="宋体" w:cs="Times New Roman"/>
      <w:color w:val="000000"/>
      <w:szCs w:val="21"/>
    </w:rPr>
  </w:style>
  <w:style w:type="character" w:customStyle="1" w:styleId="89">
    <w:name w:val="脚注文本 字符"/>
    <w:semiHidden/>
    <w:qFormat/>
    <w:uiPriority w:val="99"/>
    <w:rPr>
      <w:rFonts w:ascii="Calibri" w:hAnsi="Calibri" w:eastAsia="宋体" w:cs="Times New Roman"/>
      <w:sz w:val="18"/>
      <w:szCs w:val="18"/>
    </w:rPr>
  </w:style>
  <w:style w:type="character" w:customStyle="1" w:styleId="90">
    <w:name w:val="标题 7 Char"/>
    <w:link w:val="13"/>
    <w:qFormat/>
    <w:uiPriority w:val="0"/>
    <w:rPr>
      <w:rFonts w:ascii="Times New Roman" w:hAnsi="Times New Roman" w:eastAsia="宋体" w:cs="Times New Roman"/>
      <w:b/>
      <w:sz w:val="24"/>
      <w:szCs w:val="20"/>
    </w:rPr>
  </w:style>
  <w:style w:type="character" w:customStyle="1" w:styleId="91">
    <w:name w:val="标题 字符"/>
    <w:qFormat/>
    <w:uiPriority w:val="10"/>
    <w:rPr>
      <w:rFonts w:ascii="等线 Light" w:hAnsi="等线 Light" w:eastAsia="等线 Light" w:cs="Times New Roman"/>
      <w:b/>
      <w:bCs/>
      <w:sz w:val="32"/>
      <w:szCs w:val="32"/>
    </w:rPr>
  </w:style>
  <w:style w:type="character" w:customStyle="1" w:styleId="92">
    <w:name w:val="日期 字符"/>
    <w:semiHidden/>
    <w:qFormat/>
    <w:uiPriority w:val="99"/>
    <w:rPr>
      <w:rFonts w:ascii="Calibri" w:hAnsi="Calibri" w:eastAsia="宋体" w:cs="Times New Roman"/>
    </w:rPr>
  </w:style>
  <w:style w:type="character" w:customStyle="1" w:styleId="93">
    <w:name w:val="正文文本缩进 字符"/>
    <w:semiHidden/>
    <w:qFormat/>
    <w:uiPriority w:val="99"/>
    <w:rPr>
      <w:rFonts w:ascii="Calibri" w:hAnsi="Calibri" w:eastAsia="宋体" w:cs="Times New Roman"/>
    </w:rPr>
  </w:style>
  <w:style w:type="character" w:customStyle="1" w:styleId="94">
    <w:name w:val="纯文本 字符"/>
    <w:semiHidden/>
    <w:qFormat/>
    <w:uiPriority w:val="99"/>
    <w:rPr>
      <w:rFonts w:ascii="等线" w:hAnsi="Courier New" w:cs="Courier New"/>
    </w:rPr>
  </w:style>
  <w:style w:type="character" w:customStyle="1" w:styleId="95">
    <w:name w:val="正文文本 2 字符"/>
    <w:semiHidden/>
    <w:qFormat/>
    <w:uiPriority w:val="99"/>
    <w:rPr>
      <w:rFonts w:ascii="Calibri" w:hAnsi="Calibri" w:eastAsia="宋体" w:cs="Times New Roman"/>
    </w:rPr>
  </w:style>
  <w:style w:type="character" w:customStyle="1" w:styleId="96">
    <w:name w:val="尾注文本 Char"/>
    <w:link w:val="22"/>
    <w:qFormat/>
    <w:uiPriority w:val="0"/>
    <w:rPr>
      <w:rFonts w:ascii="Times New Roman" w:hAnsi="Times New Roman" w:eastAsia="宋体" w:cs="Times New Roman"/>
      <w:szCs w:val="20"/>
    </w:rPr>
  </w:style>
  <w:style w:type="character" w:customStyle="1" w:styleId="97">
    <w:name w:val="批注主题 字符"/>
    <w:semiHidden/>
    <w:qFormat/>
    <w:uiPriority w:val="99"/>
    <w:rPr>
      <w:rFonts w:ascii="Calibri" w:hAnsi="Calibri" w:eastAsia="宋体" w:cs="Times New Roman"/>
      <w:b/>
      <w:bCs/>
    </w:rPr>
  </w:style>
  <w:style w:type="character" w:customStyle="1" w:styleId="98">
    <w:name w:val="批注主题 Char"/>
    <w:link w:val="33"/>
    <w:qFormat/>
    <w:uiPriority w:val="0"/>
    <w:rPr>
      <w:rFonts w:ascii="宋体" w:hAnsi="宋体" w:eastAsia="宋体" w:cs="Times New Roman"/>
      <w:b/>
      <w:bCs/>
      <w:sz w:val="24"/>
      <w:szCs w:val="24"/>
    </w:rPr>
  </w:style>
  <w:style w:type="character" w:customStyle="1" w:styleId="99">
    <w:name w:val="页脚 字符2"/>
    <w:basedOn w:val="36"/>
    <w:semiHidden/>
    <w:qFormat/>
    <w:uiPriority w:val="99"/>
    <w:rPr>
      <w:rFonts w:ascii="Calibri" w:hAnsi="Calibri" w:eastAsia="宋体" w:cs="Times New Roman"/>
      <w:sz w:val="18"/>
      <w:szCs w:val="18"/>
    </w:rPr>
  </w:style>
  <w:style w:type="character" w:customStyle="1" w:styleId="100">
    <w:name w:val="正文文本缩进 2 字符2"/>
    <w:basedOn w:val="36"/>
    <w:semiHidden/>
    <w:qFormat/>
    <w:uiPriority w:val="99"/>
    <w:rPr>
      <w:rFonts w:ascii="Calibri" w:hAnsi="Calibri" w:eastAsia="宋体" w:cs="Times New Roman"/>
    </w:rPr>
  </w:style>
  <w:style w:type="character" w:customStyle="1" w:styleId="101">
    <w:name w:val="正文文本缩进 字符2"/>
    <w:basedOn w:val="36"/>
    <w:semiHidden/>
    <w:qFormat/>
    <w:uiPriority w:val="99"/>
    <w:rPr>
      <w:rFonts w:ascii="Calibri" w:hAnsi="Calibri" w:eastAsia="宋体" w:cs="Times New Roman"/>
    </w:rPr>
  </w:style>
  <w:style w:type="character" w:customStyle="1" w:styleId="102">
    <w:name w:val="脚注文本 字符2"/>
    <w:basedOn w:val="36"/>
    <w:semiHidden/>
    <w:qFormat/>
    <w:uiPriority w:val="99"/>
    <w:rPr>
      <w:rFonts w:ascii="Calibri" w:hAnsi="Calibri" w:eastAsia="宋体" w:cs="Times New Roman"/>
      <w:sz w:val="18"/>
      <w:szCs w:val="18"/>
    </w:rPr>
  </w:style>
  <w:style w:type="character" w:customStyle="1" w:styleId="103">
    <w:name w:val="批注框文本 字符2"/>
    <w:basedOn w:val="36"/>
    <w:semiHidden/>
    <w:qFormat/>
    <w:uiPriority w:val="99"/>
    <w:rPr>
      <w:rFonts w:ascii="Calibri" w:hAnsi="Calibri" w:eastAsia="宋体" w:cs="Times New Roman"/>
      <w:sz w:val="18"/>
      <w:szCs w:val="18"/>
    </w:rPr>
  </w:style>
  <w:style w:type="character" w:customStyle="1" w:styleId="104">
    <w:name w:val="批注文字 Char"/>
    <w:basedOn w:val="36"/>
    <w:link w:val="17"/>
    <w:qFormat/>
    <w:uiPriority w:val="0"/>
    <w:rPr>
      <w:rFonts w:ascii="Calibri" w:hAnsi="Calibri" w:eastAsia="宋体" w:cs="Times New Roman"/>
    </w:rPr>
  </w:style>
  <w:style w:type="character" w:customStyle="1" w:styleId="105">
    <w:name w:val="批注主题 字符2"/>
    <w:basedOn w:val="104"/>
    <w:semiHidden/>
    <w:qFormat/>
    <w:uiPriority w:val="99"/>
    <w:rPr>
      <w:rFonts w:ascii="Calibri" w:hAnsi="Calibri" w:eastAsia="宋体" w:cs="Times New Roman"/>
      <w:b/>
      <w:bCs/>
    </w:rPr>
  </w:style>
  <w:style w:type="character" w:customStyle="1" w:styleId="106">
    <w:name w:val="正文文本缩进 3 字符2"/>
    <w:basedOn w:val="36"/>
    <w:semiHidden/>
    <w:qFormat/>
    <w:uiPriority w:val="99"/>
    <w:rPr>
      <w:rFonts w:ascii="Calibri" w:hAnsi="Calibri" w:eastAsia="宋体" w:cs="Times New Roman"/>
      <w:sz w:val="16"/>
      <w:szCs w:val="16"/>
    </w:rPr>
  </w:style>
  <w:style w:type="character" w:customStyle="1" w:styleId="107">
    <w:name w:val="文档结构图 字符2"/>
    <w:basedOn w:val="36"/>
    <w:semiHidden/>
    <w:qFormat/>
    <w:uiPriority w:val="99"/>
    <w:rPr>
      <w:rFonts w:ascii="Microsoft YaHei UI" w:hAnsi="Calibri" w:eastAsia="Microsoft YaHei UI" w:cs="Times New Roman"/>
      <w:sz w:val="18"/>
      <w:szCs w:val="18"/>
    </w:rPr>
  </w:style>
  <w:style w:type="character" w:customStyle="1" w:styleId="108">
    <w:name w:val="页眉 字符2"/>
    <w:basedOn w:val="36"/>
    <w:semiHidden/>
    <w:qFormat/>
    <w:uiPriority w:val="99"/>
    <w:rPr>
      <w:rFonts w:ascii="Calibri" w:hAnsi="Calibri" w:eastAsia="宋体" w:cs="Times New Roman"/>
      <w:sz w:val="18"/>
      <w:szCs w:val="18"/>
    </w:rPr>
  </w:style>
  <w:style w:type="character" w:customStyle="1" w:styleId="109">
    <w:name w:val="日期 字符2"/>
    <w:basedOn w:val="36"/>
    <w:semiHidden/>
    <w:qFormat/>
    <w:uiPriority w:val="99"/>
    <w:rPr>
      <w:rFonts w:ascii="Calibri" w:hAnsi="Calibri" w:eastAsia="宋体" w:cs="Times New Roman"/>
    </w:rPr>
  </w:style>
  <w:style w:type="character" w:customStyle="1" w:styleId="110">
    <w:name w:val="正文文本 字符2"/>
    <w:basedOn w:val="36"/>
    <w:semiHidden/>
    <w:qFormat/>
    <w:uiPriority w:val="99"/>
    <w:rPr>
      <w:rFonts w:ascii="Calibri" w:hAnsi="Calibri" w:eastAsia="宋体" w:cs="Times New Roman"/>
    </w:rPr>
  </w:style>
  <w:style w:type="character" w:customStyle="1" w:styleId="111">
    <w:name w:val="纯文本 字符2"/>
    <w:basedOn w:val="36"/>
    <w:semiHidden/>
    <w:qFormat/>
    <w:uiPriority w:val="99"/>
    <w:rPr>
      <w:rFonts w:hAnsi="Courier New" w:cs="Courier New" w:asciiTheme="minorEastAsia"/>
    </w:rPr>
  </w:style>
  <w:style w:type="character" w:customStyle="1" w:styleId="112">
    <w:name w:val="标题 字符2"/>
    <w:basedOn w:val="36"/>
    <w:qFormat/>
    <w:uiPriority w:val="10"/>
    <w:rPr>
      <w:rFonts w:asciiTheme="majorHAnsi" w:hAnsiTheme="majorHAnsi" w:eastAsiaTheme="majorEastAsia" w:cstheme="majorBidi"/>
      <w:b/>
      <w:bCs/>
      <w:sz w:val="32"/>
      <w:szCs w:val="32"/>
    </w:rPr>
  </w:style>
  <w:style w:type="character" w:customStyle="1" w:styleId="113">
    <w:name w:val="正文文本首行缩进 字符1"/>
    <w:basedOn w:val="110"/>
    <w:semiHidden/>
    <w:qFormat/>
    <w:uiPriority w:val="99"/>
    <w:rPr>
      <w:rFonts w:ascii="Calibri" w:hAnsi="Calibri" w:eastAsia="宋体" w:cs="Times New Roman"/>
    </w:rPr>
  </w:style>
  <w:style w:type="character" w:customStyle="1" w:styleId="114">
    <w:name w:val="正文文本 2 字符2"/>
    <w:basedOn w:val="36"/>
    <w:semiHidden/>
    <w:qFormat/>
    <w:uiPriority w:val="99"/>
    <w:rPr>
      <w:rFonts w:ascii="Calibri" w:hAnsi="Calibri" w:eastAsia="宋体" w:cs="Times New Roman"/>
    </w:rPr>
  </w:style>
  <w:style w:type="character" w:customStyle="1" w:styleId="115">
    <w:name w:val="尾注文本 字符2"/>
    <w:basedOn w:val="36"/>
    <w:semiHidden/>
    <w:qFormat/>
    <w:uiPriority w:val="99"/>
    <w:rPr>
      <w:rFonts w:ascii="Calibri" w:hAnsi="Calibri" w:eastAsia="宋体" w:cs="Times New Roman"/>
    </w:rPr>
  </w:style>
  <w:style w:type="paragraph" w:customStyle="1" w:styleId="116">
    <w:name w:val="公文正文"/>
    <w:qFormat/>
    <w:uiPriority w:val="0"/>
    <w:pPr>
      <w:widowControl w:val="0"/>
      <w:spacing w:after="200" w:line="360" w:lineRule="auto"/>
      <w:ind w:firstLine="629"/>
      <w:jc w:val="both"/>
    </w:pPr>
    <w:rPr>
      <w:rFonts w:ascii="仿宋_GB2312" w:hAnsi="Calisto MT" w:eastAsia="仿宋_GB2312" w:cs="Times New Roman"/>
      <w:color w:val="000000"/>
      <w:sz w:val="32"/>
      <w:lang w:val="en-US" w:eastAsia="zh-CN" w:bidi="ar-SA"/>
    </w:rPr>
  </w:style>
  <w:style w:type="paragraph" w:customStyle="1" w:styleId="117">
    <w:name w:val="表头"/>
    <w:basedOn w:val="1"/>
    <w:qFormat/>
    <w:uiPriority w:val="0"/>
    <w:pPr>
      <w:spacing w:line="360" w:lineRule="auto"/>
      <w:jc w:val="center"/>
    </w:pPr>
    <w:rPr>
      <w:rFonts w:ascii="黑体" w:hAnsi="Times New Roman" w:eastAsia="黑体"/>
      <w:kern w:val="0"/>
      <w:sz w:val="24"/>
      <w:szCs w:val="20"/>
    </w:rPr>
  </w:style>
  <w:style w:type="paragraph" w:customStyle="1" w:styleId="118">
    <w:name w:val="_Style 25"/>
    <w:basedOn w:val="1"/>
    <w:next w:val="1"/>
    <w:qFormat/>
    <w:uiPriority w:val="0"/>
  </w:style>
  <w:style w:type="paragraph" w:customStyle="1" w:styleId="119">
    <w:name w:val="Blockquote"/>
    <w:basedOn w:val="1"/>
    <w:qFormat/>
    <w:uiPriority w:val="0"/>
    <w:pPr>
      <w:autoSpaceDE w:val="0"/>
      <w:autoSpaceDN w:val="0"/>
      <w:adjustRightInd w:val="0"/>
      <w:spacing w:before="100" w:after="100"/>
      <w:ind w:left="360" w:right="360"/>
      <w:jc w:val="left"/>
    </w:pPr>
    <w:rPr>
      <w:rFonts w:ascii="Times New Roman" w:hAnsi="Times New Roman"/>
      <w:kern w:val="0"/>
      <w:sz w:val="24"/>
      <w:szCs w:val="20"/>
    </w:rPr>
  </w:style>
  <w:style w:type="paragraph" w:customStyle="1" w:styleId="120">
    <w:name w:val="Char Char Char Char"/>
    <w:basedOn w:val="1"/>
    <w:qFormat/>
    <w:uiPriority w:val="0"/>
    <w:rPr>
      <w:rFonts w:ascii="Times New Roman" w:hAnsi="Times New Roman"/>
      <w:sz w:val="30"/>
      <w:szCs w:val="24"/>
    </w:rPr>
  </w:style>
  <w:style w:type="paragraph" w:customStyle="1" w:styleId="121">
    <w:name w:val="公文抬头"/>
    <w:basedOn w:val="10"/>
    <w:qFormat/>
    <w:uiPriority w:val="0"/>
    <w:pPr>
      <w:ind w:firstLine="0"/>
    </w:pPr>
    <w:rPr>
      <w:rFonts w:ascii="仿宋_GB2312" w:eastAsia="仿宋_GB2312"/>
      <w:sz w:val="30"/>
      <w:szCs w:val="24"/>
    </w:rPr>
  </w:style>
  <w:style w:type="paragraph" w:customStyle="1" w:styleId="122">
    <w:name w:val="列出段落1"/>
    <w:basedOn w:val="1"/>
    <w:qFormat/>
    <w:uiPriority w:val="34"/>
    <w:pPr>
      <w:ind w:firstLine="420" w:firstLineChars="200"/>
    </w:pPr>
    <w:rPr>
      <w:rFonts w:ascii="Times New Roman" w:hAnsi="Times New Roman"/>
      <w:szCs w:val="20"/>
    </w:rPr>
  </w:style>
  <w:style w:type="paragraph" w:customStyle="1" w:styleId="123">
    <w:name w:val="修订1"/>
    <w:semiHidden/>
    <w:qFormat/>
    <w:uiPriority w:val="99"/>
    <w:pPr>
      <w:spacing w:after="200" w:line="276" w:lineRule="auto"/>
    </w:pPr>
    <w:rPr>
      <w:rFonts w:ascii="Times New Roman" w:hAnsi="Times New Roman" w:eastAsia="宋体" w:cs="Times New Roman"/>
      <w:kern w:val="2"/>
      <w:sz w:val="21"/>
      <w:lang w:val="en-US" w:eastAsia="zh-CN" w:bidi="ar-SA"/>
    </w:rPr>
  </w:style>
  <w:style w:type="paragraph" w:customStyle="1" w:styleId="124">
    <w:name w:val="公文标题"/>
    <w:basedOn w:val="8"/>
    <w:qFormat/>
    <w:uiPriority w:val="0"/>
    <w:pPr>
      <w:keepNext/>
      <w:keepLines/>
      <w:widowControl w:val="0"/>
      <w:spacing w:before="0" w:beforeAutospacing="0" w:after="0" w:afterAutospacing="0"/>
      <w:ind w:left="1469" w:right="1542"/>
    </w:pPr>
    <w:rPr>
      <w:rFonts w:hAnsi="Times New Roman" w:cs="Times New Roman"/>
      <w:b/>
      <w:kern w:val="2"/>
      <w:sz w:val="44"/>
      <w:szCs w:val="21"/>
    </w:rPr>
  </w:style>
  <w:style w:type="paragraph" w:customStyle="1" w:styleId="125">
    <w:name w:val="TOC 标题1"/>
    <w:basedOn w:val="3"/>
    <w:next w:val="1"/>
    <w:qFormat/>
    <w:uiPriority w:val="39"/>
    <w:pPr>
      <w:widowControl/>
      <w:spacing w:before="480" w:after="0" w:line="276" w:lineRule="auto"/>
      <w:outlineLvl w:val="9"/>
    </w:pPr>
    <w:rPr>
      <w:rFonts w:ascii="Cambria" w:hAnsi="Cambria"/>
      <w:color w:val="365F91"/>
      <w:kern w:val="0"/>
    </w:rPr>
  </w:style>
  <w:style w:type="paragraph" w:customStyle="1" w:styleId="126">
    <w:name w:val="Char Char Char1 Char"/>
    <w:basedOn w:val="16"/>
    <w:qFormat/>
    <w:uiPriority w:val="0"/>
    <w:rPr>
      <w:rFonts w:ascii="Tahoma" w:hAnsi="Tahoma"/>
      <w:sz w:val="24"/>
      <w:szCs w:val="24"/>
    </w:rPr>
  </w:style>
  <w:style w:type="paragraph" w:customStyle="1" w:styleId="127">
    <w:name w:val="Char1"/>
    <w:basedOn w:val="1"/>
    <w:qFormat/>
    <w:uiPriority w:val="0"/>
    <w:pPr>
      <w:numPr>
        <w:ilvl w:val="0"/>
        <w:numId w:val="1"/>
      </w:numPr>
    </w:pPr>
    <w:rPr>
      <w:rFonts w:ascii="Times New Roman" w:hAnsi="Times New Roman"/>
      <w:sz w:val="24"/>
      <w:szCs w:val="24"/>
    </w:rPr>
  </w:style>
  <w:style w:type="paragraph" w:customStyle="1" w:styleId="128">
    <w:name w:val="Char"/>
    <w:basedOn w:val="1"/>
    <w:qFormat/>
    <w:uiPriority w:val="0"/>
    <w:rPr>
      <w:rFonts w:ascii="Tahoma" w:hAnsi="Tahoma"/>
      <w:sz w:val="24"/>
      <w:szCs w:val="20"/>
    </w:rPr>
  </w:style>
  <w:style w:type="paragraph" w:customStyle="1" w:styleId="129">
    <w:name w:val="发文落款"/>
    <w:basedOn w:val="116"/>
    <w:qFormat/>
    <w:uiPriority w:val="0"/>
    <w:pPr>
      <w:ind w:left="4094" w:right="607" w:firstLine="0"/>
      <w:jc w:val="center"/>
    </w:pPr>
  </w:style>
  <w:style w:type="character" w:customStyle="1" w:styleId="130">
    <w:name w:val="s2"/>
    <w:qFormat/>
    <w:uiPriority w:val="0"/>
  </w:style>
  <w:style w:type="character" w:customStyle="1" w:styleId="131">
    <w:name w:val="NormalCharacter"/>
    <w:qFormat/>
    <w:uiPriority w:val="0"/>
  </w:style>
  <w:style w:type="character" w:customStyle="1" w:styleId="132">
    <w:name w:val="s3"/>
    <w:qFormat/>
    <w:uiPriority w:val="0"/>
  </w:style>
  <w:style w:type="character" w:customStyle="1" w:styleId="133">
    <w:name w:val="s15"/>
    <w:qFormat/>
    <w:uiPriority w:val="0"/>
    <w:rPr>
      <w:color w:val="2131A1"/>
    </w:rPr>
  </w:style>
  <w:style w:type="paragraph" w:customStyle="1" w:styleId="134">
    <w:name w:val="正文 New New"/>
    <w:qFormat/>
    <w:uiPriority w:val="0"/>
    <w:pPr>
      <w:widowControl w:val="0"/>
      <w:spacing w:after="200" w:line="276" w:lineRule="auto"/>
      <w:jc w:val="both"/>
    </w:pPr>
    <w:rPr>
      <w:rFonts w:ascii="Times New Roman" w:hAnsi="Times New Roman" w:eastAsia="楷体_GB2312" w:cs="Times New Roman"/>
      <w:lang w:val="en-US" w:eastAsia="zh-CN" w:bidi="ar-SA"/>
    </w:rPr>
  </w:style>
  <w:style w:type="character" w:customStyle="1" w:styleId="135">
    <w:name w:val="文一 Char"/>
    <w:link w:val="136"/>
    <w:qFormat/>
    <w:uiPriority w:val="0"/>
    <w:rPr>
      <w:rFonts w:eastAsia="宋体"/>
      <w:spacing w:val="4"/>
      <w:sz w:val="24"/>
      <w:szCs w:val="24"/>
    </w:rPr>
  </w:style>
  <w:style w:type="paragraph" w:customStyle="1" w:styleId="136">
    <w:name w:val="文一"/>
    <w:basedOn w:val="1"/>
    <w:link w:val="135"/>
    <w:qFormat/>
    <w:uiPriority w:val="0"/>
    <w:pPr>
      <w:topLinePunct/>
      <w:adjustRightInd w:val="0"/>
      <w:snapToGrid w:val="0"/>
      <w:spacing w:line="360" w:lineRule="auto"/>
      <w:ind w:firstLine="200" w:firstLineChars="200"/>
    </w:pPr>
    <w:rPr>
      <w:rFonts w:asciiTheme="minorHAnsi" w:hAnsiTheme="minorHAnsi" w:cstheme="minorBidi"/>
      <w:spacing w:val="4"/>
      <w:sz w:val="24"/>
      <w:szCs w:val="24"/>
    </w:rPr>
  </w:style>
  <w:style w:type="paragraph" w:customStyle="1" w:styleId="137">
    <w:name w:val="封一"/>
    <w:basedOn w:val="136"/>
    <w:next w:val="136"/>
    <w:qFormat/>
    <w:uiPriority w:val="0"/>
    <w:pPr>
      <w:ind w:firstLine="0" w:firstLineChars="0"/>
      <w:jc w:val="center"/>
    </w:pPr>
    <w:rPr>
      <w:rFonts w:eastAsia="黑体"/>
      <w:b/>
      <w:sz w:val="84"/>
      <w:szCs w:val="84"/>
    </w:rPr>
  </w:style>
  <w:style w:type="paragraph" w:customStyle="1" w:styleId="138">
    <w:name w:val="封四"/>
    <w:basedOn w:val="136"/>
    <w:next w:val="136"/>
    <w:qFormat/>
    <w:uiPriority w:val="0"/>
    <w:pPr>
      <w:jc w:val="left"/>
    </w:pPr>
    <w:rPr>
      <w:sz w:val="30"/>
      <w:szCs w:val="30"/>
    </w:rPr>
  </w:style>
  <w:style w:type="paragraph" w:customStyle="1" w:styleId="139">
    <w:name w:val="封二"/>
    <w:basedOn w:val="136"/>
    <w:next w:val="136"/>
    <w:qFormat/>
    <w:uiPriority w:val="0"/>
    <w:pPr>
      <w:ind w:firstLine="0" w:firstLineChars="0"/>
      <w:jc w:val="center"/>
    </w:pPr>
    <w:rPr>
      <w:rFonts w:eastAsia="黑体"/>
      <w:b/>
      <w:sz w:val="36"/>
      <w:szCs w:val="36"/>
    </w:rPr>
  </w:style>
  <w:style w:type="paragraph" w:customStyle="1" w:styleId="140">
    <w:name w:val="正题"/>
    <w:basedOn w:val="136"/>
    <w:next w:val="136"/>
    <w:qFormat/>
    <w:uiPriority w:val="0"/>
    <w:pPr>
      <w:ind w:firstLine="0" w:firstLineChars="0"/>
      <w:jc w:val="center"/>
    </w:pPr>
    <w:rPr>
      <w:rFonts w:eastAsia="黑体"/>
      <w:b/>
      <w:sz w:val="36"/>
      <w:szCs w:val="36"/>
    </w:rPr>
  </w:style>
  <w:style w:type="paragraph" w:customStyle="1" w:styleId="141">
    <w:name w:val="_Style 3"/>
    <w:basedOn w:val="1"/>
    <w:unhideWhenUsed/>
    <w:qFormat/>
    <w:uiPriority w:val="0"/>
    <w:pPr>
      <w:ind w:firstLine="420" w:firstLineChars="200"/>
    </w:pPr>
    <w:rPr>
      <w:rFonts w:ascii="Times New Roman" w:hAnsi="Times New Roman"/>
      <w:sz w:val="20"/>
    </w:rPr>
  </w:style>
  <w:style w:type="paragraph" w:customStyle="1" w:styleId="142">
    <w:name w:val="p0"/>
    <w:basedOn w:val="1"/>
    <w:qFormat/>
    <w:uiPriority w:val="0"/>
    <w:pPr>
      <w:widowControl/>
      <w:spacing w:before="100" w:beforeAutospacing="1" w:after="100" w:afterAutospacing="1"/>
      <w:jc w:val="left"/>
    </w:pPr>
    <w:rPr>
      <w:rFonts w:ascii="宋体" w:hAnsi="宋体" w:cs="宋体"/>
      <w:kern w:val="0"/>
      <w:sz w:val="24"/>
      <w:szCs w:val="24"/>
    </w:rPr>
  </w:style>
  <w:style w:type="paragraph" w:styleId="143">
    <w:name w:val="List Paragraph"/>
    <w:basedOn w:val="1"/>
    <w:qFormat/>
    <w:uiPriority w:val="34"/>
    <w:pPr>
      <w:ind w:firstLine="420" w:firstLineChars="200"/>
    </w:pPr>
  </w:style>
  <w:style w:type="character" w:customStyle="1" w:styleId="144">
    <w:name w:val="15"/>
    <w:basedOn w:val="36"/>
    <w:qFormat/>
    <w:uiPriority w:val="0"/>
    <w:rPr>
      <w:rFonts w:hint="default" w:ascii="Times New Roman" w:hAnsi="Times New Roman" w:cs="Times New Roman"/>
    </w:rPr>
  </w:style>
  <w:style w:type="character" w:customStyle="1" w:styleId="145">
    <w:name w:val="16"/>
    <w:basedOn w:val="36"/>
    <w:qFormat/>
    <w:uiPriority w:val="0"/>
    <w:rPr>
      <w:rFonts w:hint="default" w:ascii="Times New Roman" w:hAnsi="Times New Roman" w:cs="Times New Roman"/>
    </w:rPr>
  </w:style>
  <w:style w:type="paragraph" w:customStyle="1" w:styleId="146">
    <w:name w:val="修订2"/>
    <w:hidden/>
    <w:semiHidden/>
    <w:qFormat/>
    <w:uiPriority w:val="99"/>
    <w:pPr>
      <w:spacing w:after="200" w:line="276" w:lineRule="auto"/>
    </w:pPr>
    <w:rPr>
      <w:rFonts w:ascii="Calibri" w:hAnsi="Calibri" w:eastAsia="宋体" w:cs="Times New Roman"/>
      <w:kern w:val="2"/>
      <w:sz w:val="21"/>
      <w:szCs w:val="22"/>
      <w:lang w:val="en-US" w:eastAsia="zh-CN" w:bidi="ar-SA"/>
    </w:rPr>
  </w:style>
  <w:style w:type="paragraph" w:customStyle="1" w:styleId="147">
    <w:name w:val="修订3"/>
    <w:hidden/>
    <w:semiHidden/>
    <w:qFormat/>
    <w:uiPriority w:val="99"/>
    <w:pPr>
      <w:spacing w:after="200" w:line="276" w:lineRule="auto"/>
    </w:pPr>
    <w:rPr>
      <w:rFonts w:ascii="Calibri" w:hAnsi="Calibri" w:eastAsia="宋体" w:cs="Times New Roman"/>
      <w:kern w:val="2"/>
      <w:sz w:val="21"/>
      <w:szCs w:val="22"/>
      <w:lang w:val="en-US" w:eastAsia="zh-CN" w:bidi="ar-SA"/>
    </w:rPr>
  </w:style>
  <w:style w:type="paragraph" w:customStyle="1" w:styleId="148">
    <w:name w:val="修订4"/>
    <w:hidden/>
    <w:semiHidden/>
    <w:qFormat/>
    <w:uiPriority w:val="99"/>
    <w:pPr>
      <w:spacing w:after="200" w:line="276" w:lineRule="auto"/>
    </w:pPr>
    <w:rPr>
      <w:rFonts w:ascii="Calibri" w:hAnsi="Calibri" w:eastAsia="宋体" w:cs="Times New Roman"/>
      <w:kern w:val="2"/>
      <w:sz w:val="21"/>
      <w:szCs w:val="22"/>
      <w:lang w:val="en-US" w:eastAsia="zh-CN" w:bidi="ar-SA"/>
    </w:rPr>
  </w:style>
  <w:style w:type="paragraph" w:customStyle="1" w:styleId="149">
    <w:name w:val="Table Paragraph"/>
    <w:basedOn w:val="1"/>
    <w:qFormat/>
    <w:uiPriority w:val="0"/>
    <w:pPr>
      <w:autoSpaceDE w:val="0"/>
      <w:autoSpaceDN w:val="0"/>
      <w:adjustRightInd w:val="0"/>
      <w:jc w:val="left"/>
    </w:pPr>
    <w:rPr>
      <w:rFonts w:ascii="Times New Roman" w:hAnsi="Times New Roman"/>
      <w:kern w:val="0"/>
      <w:sz w:val="24"/>
      <w:szCs w:val="24"/>
    </w:rPr>
  </w:style>
  <w:style w:type="paragraph" w:customStyle="1" w:styleId="150">
    <w:name w:val="修订5"/>
    <w:hidden/>
    <w:semiHidden/>
    <w:qFormat/>
    <w:uiPriority w:val="99"/>
    <w:pPr>
      <w:spacing w:after="200" w:line="276" w:lineRule="auto"/>
    </w:pPr>
    <w:rPr>
      <w:rFonts w:ascii="Calibri" w:hAnsi="Calibri" w:eastAsia="宋体" w:cs="Times New Roman"/>
      <w:kern w:val="2"/>
      <w:sz w:val="21"/>
      <w:szCs w:val="22"/>
      <w:lang w:val="en-US" w:eastAsia="zh-CN" w:bidi="ar-SA"/>
    </w:rPr>
  </w:style>
  <w:style w:type="paragraph" w:customStyle="1" w:styleId="151">
    <w:name w:val="修订6"/>
    <w:hidden/>
    <w:semiHidden/>
    <w:qFormat/>
    <w:uiPriority w:val="99"/>
    <w:pPr>
      <w:spacing w:after="200" w:line="276" w:lineRule="auto"/>
    </w:pPr>
    <w:rPr>
      <w:rFonts w:ascii="Calibri" w:hAnsi="Calibri" w:eastAsia="宋体" w:cs="Times New Roman"/>
      <w:kern w:val="2"/>
      <w:sz w:val="21"/>
      <w:szCs w:val="22"/>
      <w:lang w:val="en-US" w:eastAsia="zh-CN" w:bidi="ar-SA"/>
    </w:rPr>
  </w:style>
  <w:style w:type="paragraph" w:customStyle="1" w:styleId="152">
    <w:name w:val="修订7"/>
    <w:hidden/>
    <w:semiHidden/>
    <w:qFormat/>
    <w:uiPriority w:val="99"/>
    <w:pPr>
      <w:spacing w:after="200" w:line="276" w:lineRule="auto"/>
    </w:pPr>
    <w:rPr>
      <w:rFonts w:ascii="Calibri" w:hAnsi="Calibri" w:eastAsia="宋体" w:cs="Times New Roman"/>
      <w:kern w:val="2"/>
      <w:sz w:val="21"/>
      <w:szCs w:val="22"/>
      <w:lang w:val="en-US" w:eastAsia="zh-CN" w:bidi="ar-SA"/>
    </w:rPr>
  </w:style>
  <w:style w:type="paragraph" w:customStyle="1" w:styleId="153">
    <w:name w:val="Table Text"/>
    <w:basedOn w:val="1"/>
    <w:semiHidden/>
    <w:qFormat/>
    <w:uiPriority w:val="0"/>
    <w:rPr>
      <w:rFonts w:ascii="宋体" w:hAnsi="宋体" w:cs="宋体"/>
      <w:color w:val="000000"/>
      <w:kern w:val="0"/>
      <w:sz w:val="22"/>
    </w:rPr>
  </w:style>
  <w:style w:type="paragraph" w:customStyle="1" w:styleId="154">
    <w:name w:val="自定表格内容"/>
    <w:basedOn w:val="6"/>
    <w:qFormat/>
    <w:uiPriority w:val="0"/>
    <w:pPr>
      <w:spacing w:after="0" w:line="360" w:lineRule="auto"/>
      <w:jc w:val="left"/>
    </w:pPr>
    <w:rPr>
      <w:rFonts w:asciiTheme="minorHAnsi" w:hAnsiTheme="minorHAnsi" w:eastAsiaTheme="minorEastAsia" w:cstheme="minorBidi"/>
      <w:szCs w:val="24"/>
      <w14:ligatures w14:val="standardContextual"/>
    </w:rPr>
  </w:style>
  <w:style w:type="character" w:customStyle="1" w:styleId="155">
    <w:name w:val="正文文本1"/>
    <w:qFormat/>
    <w:uiPriority w:val="0"/>
    <w:rPr>
      <w:rFonts w:ascii="宋体" w:hAnsi="宋体" w:eastAsia="宋体" w:cs="宋体"/>
      <w:color w:val="000000"/>
      <w:spacing w:val="0"/>
      <w:w w:val="100"/>
      <w:position w:val="0"/>
      <w:sz w:val="19"/>
      <w:szCs w:val="19"/>
      <w:shd w:val="clear" w:color="auto" w:fill="FFFFFF"/>
      <w:lang w:val="zh-TW"/>
    </w:rPr>
  </w:style>
  <w:style w:type="character" w:customStyle="1" w:styleId="156">
    <w:name w:val="font81"/>
    <w:qFormat/>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header" Target="header2.xml"/><Relationship Id="rId7" Type="http://schemas.openxmlformats.org/officeDocument/2006/relationships/header" Target="header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3.png"/><Relationship Id="rId15" Type="http://schemas.openxmlformats.org/officeDocument/2006/relationships/image" Target="media/image2.png"/><Relationship Id="rId14" Type="http://schemas.openxmlformats.org/officeDocument/2006/relationships/image" Target="media/image1.png"/><Relationship Id="rId13" Type="http://schemas.openxmlformats.org/officeDocument/2006/relationships/theme" Target="theme/theme1.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113</Pages>
  <Words>4762</Words>
  <Characters>5003</Characters>
  <Lines>409</Lines>
  <Paragraphs>115</Paragraphs>
  <TotalTime>11</TotalTime>
  <ScaleCrop>false</ScaleCrop>
  <LinksUpToDate>false</LinksUpToDate>
  <CharactersWithSpaces>5248</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2024-12-23T13:58:00Z</dcterms:created>
  <dc:creator>NTKO</dc:creator>
  <cp:lastModifiedBy>钟鐘鈡鍾</cp:lastModifiedBy>
  <cp:lastPrinted>2024-09-13T09:07:00Z</cp:lastPrinted>
  <dcterms:modified xsi:type="dcterms:W3CDTF">2024-12-26T03:51:59Z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0EAF90CB227C4434A5BD82D16029923E_13</vt:lpwstr>
  </property>
  <property fmtid="{D5CDD505-2E9C-101B-9397-08002B2CF9AE}" pid="3" name="KSOProductBuildVer">
    <vt:lpwstr>2052-12.1.0.19770</vt:lpwstr>
  </property>
</Properties>
</file>