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12371">
      <w:pPr>
        <w:pStyle w:val="3"/>
        <w:snapToGrid w:val="0"/>
        <w:spacing w:line="360" w:lineRule="auto"/>
        <w:ind w:right="84" w:rightChars="40"/>
        <w:jc w:val="center"/>
        <w:rPr>
          <w:rFonts w:ascii="黑体" w:hAnsi="黑体" w:eastAsia="黑体"/>
          <w:b/>
          <w:sz w:val="44"/>
          <w:szCs w:val="44"/>
        </w:rPr>
      </w:pPr>
      <w:bookmarkStart w:id="6" w:name="_GoBack"/>
      <w:bookmarkEnd w:id="6"/>
      <w:r>
        <w:rPr>
          <w:rFonts w:hint="eastAsia" w:ascii="黑体" w:hAnsi="黑体" w:eastAsia="黑体"/>
          <w:b/>
          <w:sz w:val="44"/>
          <w:szCs w:val="44"/>
        </w:rPr>
        <w:t>广东中烟工业有限责任公司</w:t>
      </w:r>
    </w:p>
    <w:p w14:paraId="60E7ABA4">
      <w:pPr>
        <w:pStyle w:val="3"/>
        <w:snapToGrid w:val="0"/>
        <w:spacing w:line="360" w:lineRule="auto"/>
        <w:ind w:right="84" w:rightChars="40"/>
        <w:jc w:val="center"/>
        <w:rPr>
          <w:rFonts w:ascii="黑体" w:hAnsi="黑体" w:eastAsia="黑体"/>
          <w:b/>
          <w:sz w:val="44"/>
          <w:szCs w:val="44"/>
        </w:rPr>
      </w:pPr>
      <w:r>
        <w:rPr>
          <w:rFonts w:hint="eastAsia" w:ascii="黑体" w:hAnsi="黑体" w:eastAsia="黑体"/>
          <w:b/>
          <w:sz w:val="44"/>
          <w:szCs w:val="44"/>
        </w:rPr>
        <w:t>建设施工合同（范本）</w:t>
      </w:r>
    </w:p>
    <w:p w14:paraId="490328F4">
      <w:pPr>
        <w:pStyle w:val="3"/>
        <w:snapToGrid w:val="0"/>
        <w:spacing w:line="360" w:lineRule="auto"/>
        <w:ind w:right="84" w:rightChars="40"/>
        <w:jc w:val="center"/>
        <w:rPr>
          <w:rFonts w:hAnsi="宋体"/>
          <w:b/>
          <w:sz w:val="52"/>
        </w:rPr>
      </w:pPr>
    </w:p>
    <w:p w14:paraId="4D6D5EE6">
      <w:pPr>
        <w:pStyle w:val="3"/>
        <w:spacing w:line="480" w:lineRule="exact"/>
        <w:ind w:right="84" w:rightChars="40"/>
        <w:rPr>
          <w:rFonts w:hAnsi="宋体"/>
          <w:b/>
          <w:bCs/>
          <w:sz w:val="32"/>
        </w:rPr>
      </w:pPr>
    </w:p>
    <w:p w14:paraId="0EBC668E">
      <w:pPr>
        <w:pStyle w:val="3"/>
        <w:spacing w:line="480" w:lineRule="exact"/>
        <w:ind w:right="84" w:rightChars="40"/>
        <w:rPr>
          <w:rFonts w:hAnsi="宋体"/>
          <w:sz w:val="36"/>
        </w:rPr>
      </w:pPr>
    </w:p>
    <w:p w14:paraId="4F608ACA">
      <w:pPr>
        <w:pStyle w:val="3"/>
        <w:spacing w:line="480" w:lineRule="exact"/>
        <w:ind w:right="84" w:rightChars="40"/>
        <w:rPr>
          <w:rFonts w:hAnsi="宋体"/>
          <w:sz w:val="44"/>
        </w:rPr>
      </w:pPr>
    </w:p>
    <w:p w14:paraId="2A94065D">
      <w:pPr>
        <w:pStyle w:val="3"/>
        <w:spacing w:line="480" w:lineRule="exact"/>
        <w:ind w:right="84" w:rightChars="40"/>
        <w:rPr>
          <w:rFonts w:hAnsi="宋体"/>
          <w:sz w:val="44"/>
        </w:rPr>
      </w:pPr>
    </w:p>
    <w:p w14:paraId="7D04CFE0">
      <w:pPr>
        <w:pStyle w:val="3"/>
        <w:spacing w:line="480" w:lineRule="exact"/>
        <w:ind w:right="84" w:rightChars="40"/>
        <w:rPr>
          <w:rFonts w:hAnsi="宋体"/>
          <w:sz w:val="44"/>
        </w:rPr>
      </w:pPr>
    </w:p>
    <w:p w14:paraId="1258266C">
      <w:pPr>
        <w:pStyle w:val="3"/>
        <w:spacing w:line="480" w:lineRule="exact"/>
        <w:ind w:right="84" w:rightChars="40"/>
        <w:rPr>
          <w:rFonts w:hAnsi="宋体"/>
          <w:sz w:val="44"/>
        </w:rPr>
      </w:pPr>
    </w:p>
    <w:p w14:paraId="1CB1C6A0">
      <w:pPr>
        <w:pStyle w:val="3"/>
        <w:spacing w:line="480" w:lineRule="exact"/>
        <w:ind w:right="84" w:rightChars="40"/>
        <w:rPr>
          <w:rFonts w:hAnsi="宋体"/>
          <w:sz w:val="44"/>
        </w:rPr>
      </w:pPr>
    </w:p>
    <w:p w14:paraId="4BFE19FD">
      <w:pPr>
        <w:pStyle w:val="3"/>
        <w:spacing w:line="480" w:lineRule="exact"/>
        <w:ind w:right="84" w:rightChars="40"/>
        <w:rPr>
          <w:rFonts w:hAnsi="宋体"/>
          <w:sz w:val="44"/>
        </w:rPr>
      </w:pPr>
    </w:p>
    <w:p w14:paraId="4198E66B">
      <w:pPr>
        <w:pStyle w:val="3"/>
        <w:spacing w:line="480" w:lineRule="exact"/>
        <w:ind w:right="84" w:rightChars="40"/>
        <w:rPr>
          <w:rFonts w:hAnsi="宋体"/>
          <w:sz w:val="44"/>
        </w:rPr>
      </w:pPr>
    </w:p>
    <w:p w14:paraId="378A2A16">
      <w:pPr>
        <w:pStyle w:val="3"/>
        <w:tabs>
          <w:tab w:val="left" w:pos="0"/>
          <w:tab w:val="left" w:pos="6300"/>
        </w:tabs>
        <w:spacing w:line="480" w:lineRule="exact"/>
        <w:ind w:right="84" w:rightChars="40"/>
        <w:rPr>
          <w:rFonts w:ascii="仿宋" w:hAnsi="仿宋" w:eastAsia="仿宋"/>
          <w:sz w:val="32"/>
          <w:szCs w:val="32"/>
        </w:rPr>
      </w:pPr>
    </w:p>
    <w:p w14:paraId="4F477C5C">
      <w:pPr>
        <w:pStyle w:val="3"/>
        <w:tabs>
          <w:tab w:val="left" w:pos="0"/>
          <w:tab w:val="left" w:pos="6300"/>
        </w:tabs>
        <w:spacing w:line="480" w:lineRule="exact"/>
        <w:ind w:right="84" w:rightChars="40" w:firstLine="1280" w:firstLineChars="400"/>
        <w:rPr>
          <w:rFonts w:ascii="仿宋" w:hAnsi="仿宋" w:eastAsia="仿宋"/>
          <w:sz w:val="32"/>
          <w:szCs w:val="32"/>
          <w:u w:val="single"/>
        </w:rPr>
      </w:pPr>
      <w:r>
        <w:rPr>
          <w:rFonts w:hint="eastAsia" w:ascii="仿宋" w:hAnsi="仿宋" w:eastAsia="仿宋"/>
          <w:sz w:val="32"/>
          <w:szCs w:val="32"/>
        </w:rPr>
        <w:t>合同编号：</w:t>
      </w:r>
      <w:r>
        <w:rPr>
          <w:rFonts w:hint="eastAsia" w:ascii="仿宋" w:hAnsi="仿宋" w:eastAsia="仿宋"/>
          <w:sz w:val="32"/>
          <w:szCs w:val="32"/>
          <w:u w:val="single"/>
        </w:rPr>
        <w:t xml:space="preserve">                         </w:t>
      </w:r>
    </w:p>
    <w:p w14:paraId="27F55EC6">
      <w:pPr>
        <w:pStyle w:val="3"/>
        <w:tabs>
          <w:tab w:val="left" w:pos="0"/>
          <w:tab w:val="left" w:pos="6300"/>
        </w:tabs>
        <w:spacing w:line="480" w:lineRule="exact"/>
        <w:ind w:right="84" w:rightChars="40" w:firstLine="1280" w:firstLineChars="400"/>
        <w:rPr>
          <w:rFonts w:ascii="仿宋" w:hAnsi="仿宋" w:eastAsia="仿宋"/>
          <w:sz w:val="32"/>
          <w:szCs w:val="32"/>
        </w:rPr>
      </w:pPr>
      <w:r>
        <w:rPr>
          <w:rFonts w:hint="eastAsia" w:ascii="仿宋" w:hAnsi="仿宋" w:eastAsia="仿宋"/>
          <w:sz w:val="32"/>
          <w:szCs w:val="32"/>
        </w:rPr>
        <w:t>甲    方：</w:t>
      </w:r>
      <w:r>
        <w:rPr>
          <w:rFonts w:hint="eastAsia" w:ascii="仿宋" w:hAnsi="仿宋" w:eastAsia="仿宋"/>
          <w:sz w:val="32"/>
          <w:szCs w:val="32"/>
          <w:u w:val="single"/>
        </w:rPr>
        <w:t xml:space="preserve">广东中烟工业有限责任公司 </w:t>
      </w:r>
    </w:p>
    <w:p w14:paraId="17B7E97B">
      <w:pPr>
        <w:pStyle w:val="3"/>
        <w:tabs>
          <w:tab w:val="left" w:pos="0"/>
          <w:tab w:val="left" w:pos="6300"/>
        </w:tabs>
        <w:spacing w:line="480" w:lineRule="exact"/>
        <w:ind w:right="84" w:rightChars="40" w:firstLine="1280" w:firstLineChars="400"/>
        <w:rPr>
          <w:rFonts w:ascii="仿宋" w:hAnsi="仿宋" w:eastAsia="仿宋"/>
          <w:sz w:val="32"/>
          <w:szCs w:val="32"/>
          <w:u w:val="single"/>
        </w:rPr>
      </w:pPr>
      <w:r>
        <w:rPr>
          <w:rFonts w:hint="eastAsia" w:ascii="仿宋" w:hAnsi="仿宋" w:eastAsia="仿宋"/>
          <w:sz w:val="32"/>
          <w:szCs w:val="32"/>
        </w:rPr>
        <w:t>乙    方：</w:t>
      </w:r>
      <w:r>
        <w:rPr>
          <w:rFonts w:hint="eastAsia" w:ascii="仿宋" w:hAnsi="仿宋" w:eastAsia="仿宋"/>
          <w:sz w:val="32"/>
          <w:szCs w:val="32"/>
          <w:u w:val="single"/>
        </w:rPr>
        <w:t xml:space="preserve">                         </w:t>
      </w:r>
    </w:p>
    <w:p w14:paraId="508E66E7">
      <w:pPr>
        <w:pStyle w:val="3"/>
        <w:tabs>
          <w:tab w:val="left" w:pos="0"/>
          <w:tab w:val="left" w:pos="6300"/>
        </w:tabs>
        <w:spacing w:line="480" w:lineRule="exact"/>
        <w:ind w:right="84" w:rightChars="40" w:firstLine="1280" w:firstLineChars="400"/>
        <w:rPr>
          <w:rFonts w:ascii="仿宋" w:hAnsi="仿宋" w:eastAsia="仿宋"/>
          <w:sz w:val="32"/>
          <w:szCs w:val="32"/>
        </w:rPr>
      </w:pPr>
      <w:r>
        <w:rPr>
          <w:rFonts w:hint="eastAsia" w:ascii="仿宋" w:hAnsi="仿宋" w:eastAsia="仿宋"/>
          <w:sz w:val="32"/>
          <w:szCs w:val="32"/>
        </w:rPr>
        <w:t>签约时间：</w:t>
      </w:r>
      <w:r>
        <w:rPr>
          <w:rFonts w:ascii="仿宋" w:hAnsi="仿宋" w:eastAsia="仿宋"/>
          <w:sz w:val="32"/>
          <w:szCs w:val="32"/>
          <w:u w:val="single"/>
        </w:rPr>
        <w:t xml:space="preserve">     </w:t>
      </w:r>
      <w:r>
        <w:rPr>
          <w:rFonts w:hint="eastAsia" w:ascii="仿宋" w:hAnsi="仿宋" w:eastAsia="仿宋"/>
          <w:sz w:val="32"/>
          <w:szCs w:val="32"/>
          <w:u w:val="single"/>
        </w:rPr>
        <w:t>年</w:t>
      </w:r>
      <w:r>
        <w:rPr>
          <w:rFonts w:ascii="仿宋" w:hAnsi="仿宋" w:eastAsia="仿宋"/>
          <w:sz w:val="32"/>
          <w:szCs w:val="32"/>
          <w:u w:val="single"/>
        </w:rPr>
        <w:t xml:space="preserve">    </w:t>
      </w:r>
      <w:r>
        <w:rPr>
          <w:rFonts w:hint="eastAsia" w:ascii="仿宋" w:hAnsi="仿宋" w:eastAsia="仿宋"/>
          <w:sz w:val="32"/>
          <w:szCs w:val="32"/>
          <w:u w:val="single"/>
        </w:rPr>
        <w:t xml:space="preserve"> 月</w:t>
      </w:r>
      <w:r>
        <w:rPr>
          <w:rFonts w:ascii="仿宋" w:hAnsi="仿宋" w:eastAsia="仿宋"/>
          <w:sz w:val="32"/>
          <w:szCs w:val="32"/>
          <w:u w:val="single"/>
        </w:rPr>
        <w:t xml:space="preserve">    </w:t>
      </w:r>
      <w:r>
        <w:rPr>
          <w:rFonts w:hint="eastAsia" w:ascii="仿宋" w:hAnsi="仿宋" w:eastAsia="仿宋"/>
          <w:sz w:val="32"/>
          <w:szCs w:val="32"/>
          <w:u w:val="single"/>
        </w:rPr>
        <w:t xml:space="preserve"> 日    </w:t>
      </w:r>
    </w:p>
    <w:p w14:paraId="0B263F51">
      <w:pPr>
        <w:pStyle w:val="3"/>
        <w:tabs>
          <w:tab w:val="left" w:pos="0"/>
          <w:tab w:val="left" w:pos="6300"/>
        </w:tabs>
        <w:spacing w:line="480" w:lineRule="exact"/>
        <w:ind w:right="84" w:rightChars="40" w:firstLine="1280" w:firstLineChars="400"/>
        <w:rPr>
          <w:rFonts w:ascii="仿宋" w:hAnsi="仿宋" w:eastAsia="仿宋"/>
          <w:sz w:val="32"/>
          <w:szCs w:val="32"/>
        </w:rPr>
      </w:pPr>
    </w:p>
    <w:p w14:paraId="6D58F6D8">
      <w:pPr>
        <w:adjustRightInd w:val="0"/>
        <w:snapToGrid w:val="0"/>
        <w:spacing w:line="360" w:lineRule="auto"/>
        <w:jc w:val="center"/>
        <w:rPr>
          <w:rFonts w:ascii="宋体" w:hAnsi="宋体"/>
          <w:b/>
          <w:color w:val="000000"/>
          <w:kern w:val="20"/>
          <w:sz w:val="48"/>
          <w:szCs w:val="48"/>
        </w:rPr>
      </w:pPr>
    </w:p>
    <w:p w14:paraId="4BD93CEF">
      <w:pPr>
        <w:snapToGrid w:val="0"/>
        <w:spacing w:after="312" w:afterLines="100" w:line="276" w:lineRule="auto"/>
        <w:rPr>
          <w:rFonts w:ascii="宋体" w:hAnsi="宋体"/>
          <w:b/>
          <w:color w:val="000000"/>
          <w:kern w:val="20"/>
          <w:sz w:val="48"/>
          <w:szCs w:val="48"/>
        </w:rPr>
      </w:pPr>
    </w:p>
    <w:p w14:paraId="7AC97709">
      <w:pPr>
        <w:snapToGrid w:val="0"/>
        <w:spacing w:after="312" w:afterLines="100" w:line="276" w:lineRule="auto"/>
        <w:rPr>
          <w:rFonts w:ascii="宋体" w:hAnsi="宋体"/>
          <w:b/>
          <w:color w:val="000000"/>
          <w:kern w:val="20"/>
          <w:sz w:val="48"/>
          <w:szCs w:val="48"/>
        </w:rPr>
      </w:pPr>
    </w:p>
    <w:p w14:paraId="6FBB502C">
      <w:pPr>
        <w:widowControl/>
        <w:jc w:val="left"/>
        <w:rPr>
          <w:rFonts w:ascii="宋体" w:hAnsi="宋体"/>
          <w:b/>
          <w:color w:val="000000"/>
          <w:kern w:val="20"/>
          <w:sz w:val="48"/>
          <w:szCs w:val="48"/>
        </w:rPr>
      </w:pPr>
      <w:r>
        <w:rPr>
          <w:rFonts w:ascii="宋体" w:hAnsi="宋体"/>
          <w:b/>
          <w:color w:val="000000"/>
          <w:kern w:val="20"/>
          <w:sz w:val="48"/>
          <w:szCs w:val="48"/>
        </w:rPr>
        <w:br w:type="page"/>
      </w:r>
    </w:p>
    <w:p w14:paraId="24C19291">
      <w:pPr>
        <w:snapToGrid w:val="0"/>
        <w:spacing w:after="312" w:afterLines="100" w:line="276" w:lineRule="auto"/>
        <w:jc w:val="center"/>
        <w:rPr>
          <w:rFonts w:ascii="宋体" w:hAnsi="宋体"/>
          <w:b/>
          <w:bCs/>
          <w:sz w:val="36"/>
          <w:szCs w:val="36"/>
          <w:u w:val="single"/>
          <w:lang w:val="zh-CN"/>
        </w:rPr>
      </w:pPr>
      <w:r>
        <w:rPr>
          <w:rFonts w:hint="eastAsia" w:asciiTheme="minorEastAsia" w:hAnsiTheme="minorEastAsia" w:eastAsiaTheme="minorEastAsia"/>
          <w:b/>
          <w:sz w:val="36"/>
          <w:szCs w:val="36"/>
        </w:rPr>
        <w:t>广州卷烟厂石马仓库基建维修改造工程项目施工总承包</w:t>
      </w:r>
      <w:r>
        <w:rPr>
          <w:rFonts w:hint="eastAsia" w:ascii="宋体" w:hAnsi="宋体"/>
          <w:b/>
          <w:kern w:val="0"/>
          <w:sz w:val="36"/>
        </w:rPr>
        <w:t>建设施工合同</w:t>
      </w:r>
    </w:p>
    <w:p w14:paraId="0A807F25">
      <w:pPr>
        <w:widowControl/>
        <w:jc w:val="left"/>
        <w:rPr>
          <w:rFonts w:ascii="宋体" w:hAnsi="宋体"/>
          <w:b/>
          <w:kern w:val="0"/>
          <w:sz w:val="36"/>
        </w:rPr>
      </w:pPr>
    </w:p>
    <w:p w14:paraId="70F5E21E">
      <w:pPr>
        <w:adjustRightInd w:val="0"/>
        <w:snapToGrid w:val="0"/>
        <w:spacing w:line="276" w:lineRule="auto"/>
        <w:rPr>
          <w:rFonts w:ascii="仿宋" w:hAnsi="仿宋" w:eastAsia="仿宋"/>
          <w:color w:val="000000"/>
          <w:sz w:val="28"/>
          <w:szCs w:val="28"/>
        </w:rPr>
      </w:pPr>
      <w:r>
        <w:rPr>
          <w:rFonts w:hint="eastAsia" w:ascii="仿宋" w:hAnsi="仿宋" w:eastAsia="仿宋" w:cs="仿宋_GB2312"/>
          <w:color w:val="000000"/>
          <w:sz w:val="28"/>
          <w:szCs w:val="28"/>
        </w:rPr>
        <w:t>甲方：</w:t>
      </w:r>
      <w:r>
        <w:rPr>
          <w:rFonts w:ascii="仿宋" w:hAnsi="仿宋" w:eastAsia="仿宋"/>
          <w:color w:val="000000"/>
          <w:sz w:val="28"/>
          <w:szCs w:val="28"/>
        </w:rPr>
        <w:t xml:space="preserve"> 广东中烟工业有限责任公司</w:t>
      </w:r>
    </w:p>
    <w:p w14:paraId="486A53A1">
      <w:pPr>
        <w:adjustRightInd w:val="0"/>
        <w:snapToGrid w:val="0"/>
        <w:spacing w:line="276" w:lineRule="auto"/>
        <w:rPr>
          <w:rFonts w:ascii="仿宋" w:hAnsi="仿宋" w:eastAsia="仿宋" w:cs="仿宋_GB2312"/>
          <w:b/>
          <w:color w:val="000000"/>
          <w:sz w:val="28"/>
          <w:szCs w:val="28"/>
        </w:rPr>
      </w:pPr>
      <w:r>
        <w:rPr>
          <w:rFonts w:hint="eastAsia" w:ascii="仿宋" w:hAnsi="仿宋" w:eastAsia="仿宋"/>
          <w:sz w:val="28"/>
          <w:szCs w:val="28"/>
        </w:rPr>
        <w:t>通讯地址</w:t>
      </w:r>
      <w:r>
        <w:rPr>
          <w:rFonts w:ascii="仿宋" w:hAnsi="仿宋" w:eastAsia="仿宋"/>
          <w:sz w:val="28"/>
          <w:szCs w:val="28"/>
        </w:rPr>
        <w:t>:广州市天河区林</w:t>
      </w:r>
      <w:r>
        <w:rPr>
          <w:rFonts w:hint="eastAsia" w:ascii="仿宋" w:hAnsi="仿宋" w:eastAsia="仿宋"/>
          <w:sz w:val="28"/>
          <w:szCs w:val="28"/>
        </w:rPr>
        <w:t>和西横路</w:t>
      </w:r>
      <w:r>
        <w:rPr>
          <w:rFonts w:ascii="仿宋" w:hAnsi="仿宋" w:eastAsia="仿宋"/>
          <w:sz w:val="28"/>
          <w:szCs w:val="28"/>
        </w:rPr>
        <w:t>186号（广州烟草大厦）</w:t>
      </w:r>
    </w:p>
    <w:p w14:paraId="028DB63C">
      <w:pPr>
        <w:adjustRightInd w:val="0"/>
        <w:snapToGrid w:val="0"/>
        <w:spacing w:line="276" w:lineRule="auto"/>
        <w:rPr>
          <w:rFonts w:ascii="仿宋" w:hAnsi="仿宋" w:eastAsia="仿宋"/>
          <w:sz w:val="28"/>
          <w:szCs w:val="28"/>
        </w:rPr>
      </w:pPr>
      <w:r>
        <w:rPr>
          <w:rFonts w:hint="eastAsia" w:ascii="仿宋" w:hAnsi="仿宋" w:eastAsia="仿宋"/>
          <w:sz w:val="28"/>
          <w:szCs w:val="28"/>
        </w:rPr>
        <w:t>法定代表人：白云峰</w:t>
      </w:r>
    </w:p>
    <w:p w14:paraId="0E317927">
      <w:pPr>
        <w:shd w:val="clear" w:color="auto" w:fill="FFFFFF"/>
        <w:snapToGrid w:val="0"/>
        <w:spacing w:line="480" w:lineRule="exact"/>
        <w:rPr>
          <w:rFonts w:ascii="仿宋" w:hAnsi="仿宋" w:eastAsia="仿宋"/>
          <w:sz w:val="28"/>
          <w:szCs w:val="28"/>
        </w:rPr>
      </w:pPr>
      <w:r>
        <w:rPr>
          <w:rFonts w:hint="eastAsia" w:ascii="仿宋" w:hAnsi="仿宋" w:eastAsia="仿宋"/>
          <w:sz w:val="28"/>
          <w:szCs w:val="28"/>
        </w:rPr>
        <w:t>联系人</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p>
    <w:p w14:paraId="0224D5B0">
      <w:pPr>
        <w:shd w:val="clear" w:color="auto" w:fill="FFFFFF"/>
        <w:snapToGrid w:val="0"/>
        <w:spacing w:line="480" w:lineRule="exact"/>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 xml:space="preserve">         </w:t>
      </w:r>
    </w:p>
    <w:p w14:paraId="1FBBCAB1">
      <w:pPr>
        <w:shd w:val="clear" w:color="auto" w:fill="FFFFFF"/>
        <w:snapToGrid w:val="0"/>
        <w:spacing w:line="480" w:lineRule="exact"/>
        <w:rPr>
          <w:rFonts w:ascii="仿宋" w:hAnsi="仿宋" w:eastAsia="仿宋"/>
          <w:sz w:val="28"/>
          <w:szCs w:val="28"/>
        </w:rPr>
      </w:pPr>
      <w:r>
        <w:rPr>
          <w:rFonts w:hint="eastAsia" w:ascii="仿宋" w:hAnsi="仿宋" w:eastAsia="仿宋"/>
          <w:sz w:val="28"/>
          <w:szCs w:val="28"/>
        </w:rPr>
        <w:t>电子邮箱：</w:t>
      </w:r>
      <w:r>
        <w:rPr>
          <w:rFonts w:ascii="仿宋" w:hAnsi="仿宋" w:eastAsia="仿宋"/>
          <w:sz w:val="28"/>
          <w:szCs w:val="28"/>
        </w:rPr>
        <w:t xml:space="preserve">            </w:t>
      </w:r>
    </w:p>
    <w:p w14:paraId="2750661E">
      <w:pPr>
        <w:adjustRightInd w:val="0"/>
        <w:snapToGrid w:val="0"/>
        <w:spacing w:line="276" w:lineRule="auto"/>
        <w:rPr>
          <w:rFonts w:ascii="仿宋" w:hAnsi="仿宋" w:eastAsia="仿宋"/>
          <w:sz w:val="28"/>
          <w:szCs w:val="28"/>
        </w:rPr>
      </w:pPr>
      <w:r>
        <w:rPr>
          <w:rFonts w:ascii="仿宋" w:hAnsi="仿宋" w:eastAsia="仿宋"/>
          <w:sz w:val="28"/>
          <w:szCs w:val="28"/>
        </w:rPr>
        <w:t xml:space="preserve">                         </w:t>
      </w:r>
    </w:p>
    <w:p w14:paraId="22624D3D">
      <w:pPr>
        <w:adjustRightInd w:val="0"/>
        <w:snapToGrid w:val="0"/>
        <w:spacing w:line="276" w:lineRule="auto"/>
        <w:rPr>
          <w:rFonts w:ascii="仿宋" w:hAnsi="仿宋" w:eastAsia="仿宋"/>
          <w:sz w:val="28"/>
          <w:szCs w:val="28"/>
        </w:rPr>
      </w:pPr>
    </w:p>
    <w:p w14:paraId="20D162A0">
      <w:pPr>
        <w:spacing w:line="360" w:lineRule="auto"/>
        <w:rPr>
          <w:rFonts w:ascii="仿宋" w:hAnsi="仿宋" w:eastAsia="仿宋"/>
          <w:sz w:val="28"/>
          <w:szCs w:val="28"/>
        </w:rPr>
      </w:pPr>
      <w:r>
        <w:rPr>
          <w:rFonts w:hint="eastAsia" w:ascii="仿宋" w:hAnsi="仿宋" w:eastAsia="仿宋"/>
          <w:sz w:val="28"/>
          <w:szCs w:val="28"/>
        </w:rPr>
        <w:t>乙方：</w:t>
      </w:r>
    </w:p>
    <w:p w14:paraId="50086A16">
      <w:pPr>
        <w:autoSpaceDE w:val="0"/>
        <w:autoSpaceDN w:val="0"/>
        <w:adjustRightInd w:val="0"/>
        <w:snapToGrid w:val="0"/>
        <w:spacing w:line="276" w:lineRule="auto"/>
        <w:rPr>
          <w:rFonts w:ascii="仿宋" w:hAnsi="仿宋" w:eastAsia="仿宋"/>
          <w:sz w:val="28"/>
          <w:szCs w:val="28"/>
        </w:rPr>
      </w:pPr>
      <w:r>
        <w:rPr>
          <w:rFonts w:ascii="仿宋" w:hAnsi="仿宋" w:eastAsia="仿宋"/>
          <w:sz w:val="28"/>
          <w:szCs w:val="28"/>
        </w:rPr>
        <w:t xml:space="preserve">通讯地址:  </w:t>
      </w:r>
    </w:p>
    <w:p w14:paraId="588C0152">
      <w:pPr>
        <w:autoSpaceDE w:val="0"/>
        <w:autoSpaceDN w:val="0"/>
        <w:adjustRightInd w:val="0"/>
        <w:snapToGrid w:val="0"/>
        <w:spacing w:line="276" w:lineRule="auto"/>
        <w:rPr>
          <w:rFonts w:ascii="仿宋" w:hAnsi="仿宋" w:eastAsia="仿宋"/>
          <w:sz w:val="28"/>
          <w:szCs w:val="28"/>
        </w:rPr>
      </w:pPr>
      <w:r>
        <w:rPr>
          <w:rFonts w:hint="eastAsia" w:ascii="仿宋" w:hAnsi="仿宋" w:eastAsia="仿宋"/>
          <w:sz w:val="28"/>
          <w:szCs w:val="28"/>
        </w:rPr>
        <w:t>法定代表人：</w:t>
      </w:r>
    </w:p>
    <w:p w14:paraId="5ACA295B">
      <w:pPr>
        <w:shd w:val="clear" w:color="auto" w:fill="FFFFFF"/>
        <w:snapToGrid w:val="0"/>
        <w:spacing w:line="480" w:lineRule="exact"/>
        <w:rPr>
          <w:rFonts w:ascii="仿宋" w:hAnsi="仿宋" w:eastAsia="仿宋"/>
          <w:sz w:val="28"/>
          <w:szCs w:val="28"/>
        </w:rPr>
      </w:pPr>
      <w:r>
        <w:rPr>
          <w:rFonts w:hint="eastAsia" w:ascii="仿宋" w:hAnsi="仿宋" w:eastAsia="仿宋"/>
          <w:sz w:val="28"/>
          <w:szCs w:val="28"/>
        </w:rPr>
        <w:t>联系人</w:t>
      </w:r>
      <w:r>
        <w:rPr>
          <w:rFonts w:ascii="仿宋" w:hAnsi="仿宋" w:eastAsia="仿宋"/>
          <w:sz w:val="28"/>
          <w:szCs w:val="28"/>
        </w:rPr>
        <w:t xml:space="preserve">: </w:t>
      </w:r>
    </w:p>
    <w:p w14:paraId="326BA598">
      <w:pPr>
        <w:shd w:val="clear" w:color="auto" w:fill="FFFFFF"/>
        <w:snapToGrid w:val="0"/>
        <w:spacing w:line="480" w:lineRule="exact"/>
        <w:rPr>
          <w:rFonts w:ascii="仿宋" w:hAnsi="仿宋" w:eastAsia="仿宋"/>
          <w:sz w:val="28"/>
          <w:szCs w:val="28"/>
        </w:rPr>
      </w:pPr>
      <w:r>
        <w:rPr>
          <w:rFonts w:hint="eastAsia" w:ascii="仿宋" w:hAnsi="仿宋" w:eastAsia="仿宋"/>
          <w:sz w:val="28"/>
          <w:szCs w:val="28"/>
        </w:rPr>
        <w:t>联系电话：</w:t>
      </w:r>
    </w:p>
    <w:p w14:paraId="6AFFED7C">
      <w:pPr>
        <w:shd w:val="clear" w:color="auto" w:fill="FFFFFF"/>
        <w:snapToGrid w:val="0"/>
        <w:spacing w:line="480" w:lineRule="exact"/>
        <w:rPr>
          <w:rFonts w:ascii="仿宋" w:hAnsi="仿宋" w:eastAsia="仿宋"/>
          <w:sz w:val="28"/>
          <w:szCs w:val="28"/>
        </w:rPr>
      </w:pPr>
      <w:r>
        <w:rPr>
          <w:rFonts w:hint="eastAsia" w:ascii="仿宋" w:hAnsi="仿宋" w:eastAsia="仿宋"/>
          <w:sz w:val="28"/>
          <w:szCs w:val="28"/>
        </w:rPr>
        <w:t>电子邮箱：</w:t>
      </w:r>
    </w:p>
    <w:p w14:paraId="54396A04">
      <w:pPr>
        <w:autoSpaceDE w:val="0"/>
        <w:autoSpaceDN w:val="0"/>
        <w:adjustRightInd w:val="0"/>
        <w:snapToGrid w:val="0"/>
        <w:spacing w:line="276" w:lineRule="auto"/>
        <w:rPr>
          <w:rFonts w:ascii="仿宋" w:hAnsi="仿宋" w:eastAsia="仿宋"/>
          <w:sz w:val="28"/>
          <w:szCs w:val="28"/>
        </w:rPr>
      </w:pPr>
    </w:p>
    <w:p w14:paraId="77B88D9E">
      <w:pPr>
        <w:autoSpaceDE w:val="0"/>
        <w:autoSpaceDN w:val="0"/>
        <w:adjustRightInd w:val="0"/>
        <w:snapToGrid w:val="0"/>
        <w:spacing w:line="276" w:lineRule="auto"/>
        <w:rPr>
          <w:rFonts w:ascii="仿宋" w:hAnsi="仿宋" w:eastAsia="仿宋" w:cs="仿宋_GB2312"/>
          <w:sz w:val="28"/>
          <w:szCs w:val="28"/>
        </w:rPr>
      </w:pPr>
    </w:p>
    <w:p w14:paraId="504DDD6F">
      <w:pPr>
        <w:autoSpaceDE w:val="0"/>
        <w:autoSpaceDN w:val="0"/>
        <w:adjustRightInd w:val="0"/>
        <w:snapToGrid w:val="0"/>
        <w:spacing w:line="360" w:lineRule="auto"/>
        <w:ind w:firstLine="700" w:firstLineChars="250"/>
        <w:rPr>
          <w:rFonts w:ascii="仿宋" w:hAnsi="仿宋" w:eastAsia="仿宋" w:cs="仿宋_GB2312"/>
          <w:sz w:val="28"/>
          <w:szCs w:val="28"/>
          <w:lang w:val="zh-CN"/>
        </w:rPr>
      </w:pPr>
    </w:p>
    <w:p w14:paraId="61B456F6">
      <w:pPr>
        <w:spacing w:line="360" w:lineRule="auto"/>
        <w:ind w:right="-86" w:rightChars="-41"/>
        <w:rPr>
          <w:rFonts w:ascii="仿宋" w:hAnsi="仿宋" w:eastAsia="仿宋"/>
          <w:kern w:val="20"/>
          <w:sz w:val="28"/>
          <w:szCs w:val="28"/>
        </w:rPr>
      </w:pPr>
    </w:p>
    <w:p w14:paraId="4D4711FB">
      <w:pPr>
        <w:spacing w:line="360" w:lineRule="auto"/>
        <w:ind w:right="-86" w:rightChars="-41"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广东中烟工业有限责任公司（下称甲方），经公开招标（招标项目编号：</w:t>
      </w:r>
      <w:r>
        <w:rPr>
          <w:rFonts w:ascii="仿宋" w:hAnsi="仿宋" w:eastAsia="仿宋" w:cs="仿宋_GB2312"/>
          <w:sz w:val="28"/>
          <w:szCs w:val="28"/>
          <w:u w:val="single"/>
          <w:lang w:val="zh-CN"/>
        </w:rPr>
        <w:t xml:space="preserve">   </w:t>
      </w:r>
      <w:r>
        <w:rPr>
          <w:rFonts w:hint="eastAsia" w:ascii="仿宋" w:hAnsi="仿宋" w:eastAsia="仿宋" w:cs="仿宋_GB2312"/>
          <w:sz w:val="28"/>
          <w:szCs w:val="28"/>
          <w:lang w:val="zh-CN"/>
        </w:rPr>
        <w:t>）确定乙方成为甲方广州卷烟厂石马仓库基建维修改造工程项目施工总承包的供应商。甲乙双方根据《中华人民共和国民法典》，经平等协商，就相关事宜达成以下合同条款：</w:t>
      </w:r>
    </w:p>
    <w:p w14:paraId="18CE4299">
      <w:pPr>
        <w:spacing w:line="360" w:lineRule="auto"/>
        <w:ind w:right="-86" w:rightChars="-41" w:firstLine="560" w:firstLineChars="200"/>
        <w:rPr>
          <w:rFonts w:ascii="仿宋" w:hAnsi="仿宋" w:eastAsia="仿宋"/>
          <w:kern w:val="20"/>
          <w:sz w:val="28"/>
          <w:szCs w:val="28"/>
        </w:rPr>
      </w:pPr>
    </w:p>
    <w:p w14:paraId="7F0AE342">
      <w:pPr>
        <w:jc w:val="center"/>
        <w:outlineLvl w:val="1"/>
        <w:rPr>
          <w:rFonts w:ascii="宋体" w:hAnsi="宋体"/>
          <w:b/>
          <w:kern w:val="0"/>
          <w:sz w:val="36"/>
        </w:rPr>
      </w:pPr>
      <w:r>
        <w:rPr>
          <w:rFonts w:hint="eastAsia" w:ascii="宋体" w:hAnsi="宋体"/>
          <w:b/>
          <w:kern w:val="0"/>
          <w:sz w:val="36"/>
        </w:rPr>
        <w:t>第一部分  协 议 书</w:t>
      </w:r>
    </w:p>
    <w:p w14:paraId="62779B9B">
      <w:pPr>
        <w:spacing w:line="360" w:lineRule="auto"/>
        <w:ind w:right="-86" w:rightChars="-41" w:firstLine="562" w:firstLineChars="200"/>
        <w:rPr>
          <w:rFonts w:ascii="仿宋" w:hAnsi="仿宋" w:eastAsia="仿宋"/>
          <w:b/>
          <w:kern w:val="20"/>
          <w:sz w:val="28"/>
          <w:szCs w:val="28"/>
        </w:rPr>
      </w:pPr>
      <w:r>
        <w:rPr>
          <w:rFonts w:hint="eastAsia" w:ascii="仿宋" w:hAnsi="仿宋" w:eastAsia="仿宋"/>
          <w:b/>
          <w:kern w:val="20"/>
          <w:sz w:val="28"/>
          <w:szCs w:val="28"/>
        </w:rPr>
        <w:t xml:space="preserve">一、 项目概况 </w:t>
      </w:r>
    </w:p>
    <w:p w14:paraId="00E91F95">
      <w:pPr>
        <w:spacing w:line="360" w:lineRule="auto"/>
        <w:ind w:right="-86" w:rightChars="-41" w:firstLine="560" w:firstLineChars="200"/>
        <w:rPr>
          <w:rFonts w:ascii="仿宋" w:hAnsi="仿宋" w:eastAsia="仿宋"/>
          <w:kern w:val="20"/>
          <w:sz w:val="28"/>
          <w:szCs w:val="28"/>
          <w:u w:val="single"/>
        </w:rPr>
      </w:pPr>
      <w:r>
        <w:rPr>
          <w:rFonts w:hint="eastAsia" w:ascii="仿宋" w:hAnsi="仿宋" w:eastAsia="仿宋"/>
          <w:kern w:val="20"/>
          <w:sz w:val="28"/>
          <w:szCs w:val="28"/>
        </w:rPr>
        <w:t>1.1项目名称：</w:t>
      </w:r>
      <w:r>
        <w:rPr>
          <w:rFonts w:hint="eastAsia" w:ascii="仿宋" w:hAnsi="仿宋" w:eastAsia="仿宋" w:cs="仿宋_GB2312"/>
          <w:sz w:val="28"/>
          <w:szCs w:val="28"/>
          <w:u w:val="single"/>
          <w:lang w:val="zh-CN"/>
        </w:rPr>
        <w:t>广州卷烟厂石马仓库基建维修改造工程项目施工总承包</w:t>
      </w:r>
    </w:p>
    <w:p w14:paraId="4A39BA76">
      <w:pPr>
        <w:spacing w:line="360" w:lineRule="auto"/>
        <w:ind w:right="-86" w:rightChars="-41" w:firstLine="560" w:firstLineChars="200"/>
        <w:jc w:val="left"/>
        <w:rPr>
          <w:rFonts w:ascii="仿宋" w:hAnsi="仿宋" w:eastAsia="仿宋"/>
          <w:kern w:val="20"/>
          <w:sz w:val="28"/>
          <w:szCs w:val="28"/>
        </w:rPr>
      </w:pPr>
      <w:r>
        <w:rPr>
          <w:rFonts w:hint="eastAsia" w:ascii="仿宋" w:hAnsi="仿宋" w:eastAsia="仿宋"/>
          <w:kern w:val="20"/>
          <w:sz w:val="28"/>
          <w:szCs w:val="28"/>
        </w:rPr>
        <w:t>1.2项目地点：</w:t>
      </w:r>
      <w:r>
        <w:rPr>
          <w:rFonts w:hint="eastAsia" w:ascii="仿宋" w:hAnsi="仿宋" w:eastAsia="仿宋"/>
          <w:kern w:val="20"/>
          <w:sz w:val="28"/>
          <w:szCs w:val="28"/>
          <w:u w:val="single"/>
        </w:rPr>
        <w:t>广州市白云区夏花二路139号广州卷烟厂石马仓库</w:t>
      </w:r>
      <w:r>
        <w:rPr>
          <w:rFonts w:hint="eastAsia" w:ascii="仿宋" w:hAnsi="仿宋" w:eastAsia="仿宋"/>
          <w:kern w:val="20"/>
          <w:sz w:val="28"/>
          <w:szCs w:val="28"/>
        </w:rPr>
        <w:t xml:space="preserve">。 </w:t>
      </w:r>
    </w:p>
    <w:p w14:paraId="546EB16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1.3项目内容：</w:t>
      </w:r>
    </w:p>
    <w:p w14:paraId="5D44ACD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（1）广州卷烟厂石马仓库现有1号、2号、3号仓外墙整体维修,外墙整体维修合计总面积约30000平方米。</w:t>
      </w:r>
    </w:p>
    <w:p w14:paraId="1B08BDA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（2）广州卷烟厂石马仓库现有1号、2号仓天面防水补漏，需对仓库天面防水、保温层整体维修，1号仓和2号仓天面合计面积约3600平方米。</w:t>
      </w:r>
    </w:p>
    <w:p w14:paraId="334BE6D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（3）广州卷烟厂石马仓库现有4号仓1、2、4、5层进行地面整体维修，4层地面维修合计面积约5600平方米。</w:t>
      </w:r>
    </w:p>
    <w:p w14:paraId="4081291E">
      <w:pPr>
        <w:spacing w:line="360" w:lineRule="auto"/>
        <w:ind w:right="-86" w:rightChars="-41" w:firstLine="560" w:firstLineChars="200"/>
        <w:rPr>
          <w:rFonts w:ascii="仿宋" w:hAnsi="仿宋" w:eastAsia="仿宋"/>
          <w:kern w:val="20"/>
          <w:sz w:val="28"/>
          <w:szCs w:val="28"/>
          <w:u w:val="single"/>
        </w:rPr>
      </w:pPr>
      <w:r>
        <w:rPr>
          <w:rFonts w:hint="eastAsia" w:ascii="仿宋" w:hAnsi="仿宋" w:eastAsia="仿宋"/>
          <w:kern w:val="20"/>
          <w:sz w:val="28"/>
          <w:szCs w:val="28"/>
        </w:rPr>
        <w:t>1.4项目规模：</w:t>
      </w:r>
      <w:r>
        <w:rPr>
          <w:rFonts w:hint="eastAsia" w:ascii="仿宋" w:hAnsi="仿宋" w:eastAsia="仿宋"/>
          <w:kern w:val="20"/>
          <w:sz w:val="28"/>
          <w:szCs w:val="28"/>
          <w:u w:val="single"/>
        </w:rPr>
        <w:t>按维修工程内容与工程量清单内容</w:t>
      </w:r>
    </w:p>
    <w:p w14:paraId="2912BD37">
      <w:pPr>
        <w:spacing w:line="360" w:lineRule="auto"/>
        <w:ind w:right="-86" w:rightChars="-41" w:firstLine="560" w:firstLineChars="200"/>
        <w:rPr>
          <w:sz w:val="28"/>
          <w:szCs w:val="28"/>
        </w:rPr>
      </w:pPr>
      <w:r>
        <w:rPr>
          <w:rFonts w:hint="eastAsia" w:ascii="仿宋" w:hAnsi="仿宋" w:eastAsia="仿宋"/>
          <w:kern w:val="20"/>
          <w:sz w:val="28"/>
          <w:szCs w:val="28"/>
        </w:rPr>
        <w:t>1.</w:t>
      </w:r>
      <w:r>
        <w:rPr>
          <w:rFonts w:ascii="仿宋" w:hAnsi="仿宋" w:eastAsia="仿宋"/>
          <w:kern w:val="20"/>
          <w:sz w:val="28"/>
          <w:szCs w:val="28"/>
        </w:rPr>
        <w:t>5</w:t>
      </w:r>
      <w:r>
        <w:rPr>
          <w:rFonts w:hint="eastAsia" w:ascii="仿宋" w:hAnsi="仿宋" w:eastAsia="仿宋"/>
          <w:kern w:val="20"/>
          <w:sz w:val="28"/>
          <w:szCs w:val="28"/>
        </w:rPr>
        <w:t>项目立项批准文件号：</w:t>
      </w:r>
      <w:r>
        <w:rPr>
          <w:rFonts w:ascii="仿宋" w:hAnsi="仿宋" w:eastAsia="仿宋"/>
          <w:kern w:val="20"/>
          <w:sz w:val="28"/>
          <w:szCs w:val="28"/>
          <w:u w:val="single"/>
        </w:rPr>
        <w:t>2409-440111-04-05-229860</w:t>
      </w:r>
    </w:p>
    <w:p w14:paraId="58365CAC">
      <w:pPr>
        <w:spacing w:line="360" w:lineRule="auto"/>
        <w:ind w:right="-86" w:rightChars="-41" w:firstLine="560" w:firstLineChars="200"/>
        <w:rPr>
          <w:rFonts w:ascii="仿宋" w:hAnsi="仿宋" w:eastAsia="仿宋"/>
          <w:kern w:val="20"/>
          <w:sz w:val="28"/>
          <w:szCs w:val="28"/>
          <w:u w:val="single"/>
        </w:rPr>
      </w:pPr>
      <w:r>
        <w:rPr>
          <w:rFonts w:hint="eastAsia" w:ascii="仿宋" w:hAnsi="仿宋" w:eastAsia="仿宋"/>
          <w:kern w:val="20"/>
          <w:sz w:val="28"/>
          <w:szCs w:val="28"/>
        </w:rPr>
        <w:t>1.</w:t>
      </w:r>
      <w:r>
        <w:rPr>
          <w:rFonts w:ascii="仿宋" w:hAnsi="仿宋" w:eastAsia="仿宋"/>
          <w:kern w:val="20"/>
          <w:sz w:val="28"/>
          <w:szCs w:val="28"/>
        </w:rPr>
        <w:t>6</w:t>
      </w:r>
      <w:r>
        <w:rPr>
          <w:rFonts w:hint="eastAsia" w:ascii="仿宋" w:hAnsi="仿宋" w:eastAsia="仿宋"/>
          <w:kern w:val="20"/>
          <w:sz w:val="28"/>
          <w:szCs w:val="28"/>
        </w:rPr>
        <w:t>资金来源：</w:t>
      </w:r>
      <w:r>
        <w:rPr>
          <w:rFonts w:hint="eastAsia" w:ascii="仿宋" w:hAnsi="仿宋" w:eastAsia="仿宋"/>
          <w:kern w:val="20"/>
          <w:sz w:val="28"/>
          <w:szCs w:val="28"/>
          <w:u w:val="single"/>
        </w:rPr>
        <w:t>自筹</w:t>
      </w:r>
    </w:p>
    <w:p w14:paraId="0E648777">
      <w:pPr>
        <w:spacing w:line="360" w:lineRule="auto"/>
        <w:ind w:right="-86" w:rightChars="-41" w:firstLine="560" w:firstLineChars="200"/>
        <w:rPr>
          <w:rFonts w:ascii="仿宋" w:hAnsi="仿宋" w:eastAsia="仿宋"/>
          <w:kern w:val="20"/>
          <w:sz w:val="28"/>
          <w:szCs w:val="28"/>
        </w:rPr>
      </w:pPr>
    </w:p>
    <w:p w14:paraId="4AB42198">
      <w:pPr>
        <w:spacing w:line="360" w:lineRule="auto"/>
        <w:ind w:right="-86" w:rightChars="-41" w:firstLine="562" w:firstLineChars="200"/>
        <w:rPr>
          <w:rFonts w:ascii="仿宋" w:hAnsi="仿宋" w:eastAsia="仿宋"/>
          <w:b/>
          <w:kern w:val="20"/>
          <w:sz w:val="28"/>
          <w:szCs w:val="28"/>
        </w:rPr>
      </w:pPr>
      <w:r>
        <w:rPr>
          <w:rFonts w:hint="eastAsia" w:ascii="仿宋" w:hAnsi="仿宋" w:eastAsia="仿宋"/>
          <w:b/>
          <w:kern w:val="20"/>
          <w:sz w:val="28"/>
          <w:szCs w:val="28"/>
        </w:rPr>
        <w:t>二、项目承包范围</w:t>
      </w:r>
    </w:p>
    <w:p w14:paraId="3EDC3503">
      <w:pPr>
        <w:spacing w:line="360" w:lineRule="auto"/>
        <w:ind w:right="-86" w:rightChars="-41" w:firstLine="560" w:firstLineChars="200"/>
        <w:rPr>
          <w:rFonts w:ascii="仿宋" w:hAnsi="仿宋" w:eastAsia="仿宋"/>
          <w:kern w:val="20"/>
          <w:sz w:val="28"/>
          <w:szCs w:val="28"/>
          <w:u w:val="single"/>
        </w:rPr>
      </w:pPr>
      <w:r>
        <w:rPr>
          <w:rFonts w:hint="eastAsia" w:ascii="仿宋" w:hAnsi="仿宋" w:eastAsia="仿宋"/>
          <w:kern w:val="20"/>
          <w:sz w:val="28"/>
          <w:szCs w:val="28"/>
        </w:rPr>
        <w:t>2.1承包范围：</w:t>
      </w:r>
      <w:r>
        <w:rPr>
          <w:rFonts w:hint="eastAsia" w:ascii="仿宋" w:hAnsi="仿宋" w:eastAsia="仿宋"/>
          <w:kern w:val="20"/>
          <w:sz w:val="28"/>
          <w:szCs w:val="28"/>
          <w:u w:val="single"/>
        </w:rPr>
        <w:t>按招标文件、招标图纸、工程量清单、有关资料及说明承接本工程，具体内容以招标图纸为准。</w:t>
      </w:r>
    </w:p>
    <w:p w14:paraId="5E4A620A">
      <w:pPr>
        <w:spacing w:line="360" w:lineRule="auto"/>
        <w:ind w:right="-86" w:rightChars="-41" w:firstLine="560" w:firstLineChars="200"/>
        <w:rPr>
          <w:rFonts w:ascii="仿宋" w:hAnsi="仿宋" w:eastAsia="仿宋"/>
          <w:kern w:val="20"/>
          <w:sz w:val="28"/>
          <w:szCs w:val="28"/>
        </w:rPr>
      </w:pPr>
      <w:r>
        <w:rPr>
          <w:rFonts w:hint="eastAsia" w:ascii="仿宋" w:hAnsi="仿宋" w:eastAsia="仿宋"/>
          <w:kern w:val="20"/>
          <w:sz w:val="28"/>
          <w:szCs w:val="28"/>
        </w:rPr>
        <w:t>2.2承包方式：由乙方按照甲方提供的招标文件、工程量清单、招标答疑文件、全套施工图设计、设计说明及补充说明等文件对本工程实行工程施工总承包，包括但不限于包工、包料、包质量、包安全生产、包文明施工、包劳保、包工期、包承包范围内工程验收通过、包移交、包结算、包资料整理、包施工总承包管理和现场整体组织、协调及配合等。本工程按工程量清单计价，综合单价包干，</w:t>
      </w:r>
      <w:r>
        <w:rPr>
          <w:rFonts w:hint="eastAsia" w:ascii="仿宋" w:hAnsi="仿宋" w:eastAsia="仿宋"/>
          <w:kern w:val="20"/>
          <w:sz w:val="28"/>
          <w:szCs w:val="28"/>
          <w:u w:val="single"/>
        </w:rPr>
        <w:t>按实际工程量结算，</w:t>
      </w:r>
      <w:r>
        <w:rPr>
          <w:rFonts w:hint="eastAsia" w:ascii="仿宋" w:hAnsi="仿宋" w:eastAsia="仿宋"/>
          <w:kern w:val="20"/>
          <w:sz w:val="28"/>
          <w:szCs w:val="28"/>
        </w:rPr>
        <w:t>绿色施工安全防护措施费总价包干，结算不做调整</w:t>
      </w:r>
      <w:r>
        <w:rPr>
          <w:rFonts w:hint="eastAsia" w:ascii="仿宋" w:hAnsi="仿宋" w:eastAsia="仿宋"/>
          <w:color w:val="000000" w:themeColor="text1"/>
          <w:kern w:val="20"/>
          <w:sz w:val="28"/>
          <w:szCs w:val="28"/>
          <w14:textFill>
            <w14:solidFill>
              <w14:schemeClr w14:val="tx1"/>
            </w14:solidFill>
          </w14:textFill>
        </w:rPr>
        <w:t>。</w:t>
      </w:r>
    </w:p>
    <w:p w14:paraId="7143E19D">
      <w:pPr>
        <w:spacing w:line="360" w:lineRule="auto"/>
        <w:ind w:right="-86" w:rightChars="-41" w:firstLine="562" w:firstLineChars="200"/>
        <w:rPr>
          <w:rFonts w:ascii="仿宋" w:hAnsi="仿宋" w:eastAsia="仿宋"/>
          <w:b/>
          <w:kern w:val="20"/>
          <w:sz w:val="28"/>
          <w:szCs w:val="28"/>
        </w:rPr>
      </w:pPr>
      <w:r>
        <w:rPr>
          <w:rFonts w:hint="eastAsia" w:ascii="仿宋" w:hAnsi="仿宋" w:eastAsia="仿宋"/>
          <w:b/>
          <w:kern w:val="20"/>
          <w:sz w:val="28"/>
          <w:szCs w:val="28"/>
        </w:rPr>
        <w:t xml:space="preserve">三、合同工期 </w:t>
      </w:r>
    </w:p>
    <w:p w14:paraId="739351AD">
      <w:pPr>
        <w:spacing w:line="360" w:lineRule="auto"/>
        <w:ind w:right="-86" w:rightChars="-41" w:firstLine="560" w:firstLineChars="200"/>
        <w:rPr>
          <w:rFonts w:ascii="仿宋" w:hAnsi="仿宋" w:eastAsia="仿宋"/>
          <w:kern w:val="20"/>
          <w:sz w:val="28"/>
          <w:szCs w:val="28"/>
        </w:rPr>
      </w:pPr>
      <w:r>
        <w:rPr>
          <w:rFonts w:hint="eastAsia" w:ascii="仿宋" w:hAnsi="仿宋" w:eastAsia="仿宋"/>
          <w:kern w:val="20"/>
          <w:sz w:val="28"/>
          <w:szCs w:val="28"/>
        </w:rPr>
        <w:t>3.1工程合同工期总日历天数：</w:t>
      </w:r>
      <w:r>
        <w:rPr>
          <w:rFonts w:hint="eastAsia" w:ascii="仿宋" w:hAnsi="仿宋" w:eastAsia="仿宋"/>
          <w:kern w:val="20"/>
          <w:sz w:val="28"/>
          <w:szCs w:val="28"/>
          <w:u w:val="single"/>
        </w:rPr>
        <w:t>477</w:t>
      </w:r>
      <w:r>
        <w:rPr>
          <w:rFonts w:hint="eastAsia" w:ascii="仿宋" w:hAnsi="仿宋" w:eastAsia="仿宋"/>
          <w:kern w:val="20"/>
          <w:sz w:val="28"/>
          <w:szCs w:val="28"/>
        </w:rPr>
        <w:t>日历天，以开工令载明开工日期起算。</w:t>
      </w:r>
    </w:p>
    <w:p w14:paraId="0AA5ED9B">
      <w:pPr>
        <w:spacing w:line="660" w:lineRule="exact"/>
        <w:ind w:firstLine="560" w:firstLineChars="200"/>
        <w:rPr>
          <w:rFonts w:ascii="仿宋" w:hAnsi="仿宋" w:eastAsia="仿宋"/>
          <w:kern w:val="20"/>
          <w:sz w:val="28"/>
          <w:szCs w:val="28"/>
          <w:u w:val="single"/>
        </w:rPr>
      </w:pPr>
      <w:r>
        <w:rPr>
          <w:rFonts w:hint="eastAsia" w:ascii="仿宋" w:hAnsi="仿宋" w:eastAsia="仿宋"/>
          <w:kern w:val="20"/>
          <w:sz w:val="28"/>
          <w:szCs w:val="28"/>
          <w:u w:val="single"/>
        </w:rPr>
        <w:t>项目按专业子项工程分别推进，乙方编制施工方案时，需明确维修地点为企业在用生产仓库，需充分结合甲方的生产、工作安排进行施工计划编制。甲方在本次项目招标时明确无法提供连续的施工工期，可能存在节假日施工、边生产边施工、分区域依次施工等情况，乙方在投标时应充分考虑该因素进行投标报价，甲方不再就节假日施工、边生产边施工、不同区域分段施工等情况另行支付其他费用（包括但不限于绿色安全文明措施费等）。项目施工工期如下：</w:t>
      </w:r>
    </w:p>
    <w:p w14:paraId="0C071EE1">
      <w:pPr>
        <w:spacing w:line="660" w:lineRule="exact"/>
        <w:ind w:firstLine="560" w:firstLineChars="200"/>
        <w:rPr>
          <w:rFonts w:ascii="仿宋" w:hAnsi="仿宋" w:eastAsia="仿宋"/>
          <w:kern w:val="20"/>
          <w:sz w:val="28"/>
          <w:szCs w:val="28"/>
          <w:u w:val="single"/>
        </w:rPr>
      </w:pPr>
      <w:r>
        <w:rPr>
          <w:rFonts w:hint="eastAsia" w:ascii="仿宋" w:hAnsi="仿宋" w:eastAsia="仿宋"/>
          <w:kern w:val="20"/>
          <w:sz w:val="28"/>
          <w:szCs w:val="28"/>
          <w:u w:val="single"/>
        </w:rPr>
        <w:t>（1）4号仓地面维修工程施工工期为35个日历天，具体开工时间以开工令为准。</w:t>
      </w:r>
    </w:p>
    <w:p w14:paraId="15A82C83">
      <w:pPr>
        <w:spacing w:line="660" w:lineRule="exact"/>
        <w:ind w:firstLine="560" w:firstLineChars="200"/>
        <w:rPr>
          <w:rFonts w:ascii="仿宋" w:hAnsi="仿宋" w:eastAsia="仿宋"/>
          <w:kern w:val="20"/>
          <w:sz w:val="28"/>
          <w:szCs w:val="28"/>
          <w:u w:val="single"/>
        </w:rPr>
      </w:pPr>
      <w:r>
        <w:rPr>
          <w:rFonts w:hint="eastAsia" w:ascii="仿宋" w:hAnsi="仿宋" w:eastAsia="仿宋"/>
          <w:kern w:val="20"/>
          <w:sz w:val="28"/>
          <w:szCs w:val="28"/>
          <w:u w:val="single"/>
        </w:rPr>
        <w:t>（2）1号、2号仓天面防水补漏工程施工工期为50个日历天，具体开工时间以开工令为准，分别可在1号、2号东侧设置固定的余泥、材料吊装点，库区停产期间可临时增加吊装点。</w:t>
      </w:r>
    </w:p>
    <w:p w14:paraId="25965317">
      <w:pPr>
        <w:spacing w:line="660" w:lineRule="exact"/>
        <w:ind w:firstLine="560" w:firstLineChars="200"/>
        <w:rPr>
          <w:rFonts w:ascii="仿宋" w:hAnsi="仿宋" w:eastAsia="仿宋"/>
          <w:kern w:val="20"/>
          <w:sz w:val="28"/>
          <w:szCs w:val="28"/>
          <w:u w:val="single"/>
        </w:rPr>
      </w:pPr>
      <w:r>
        <w:rPr>
          <w:rFonts w:hint="eastAsia" w:ascii="仿宋" w:hAnsi="仿宋" w:eastAsia="仿宋"/>
          <w:kern w:val="20"/>
          <w:sz w:val="28"/>
          <w:szCs w:val="28"/>
          <w:u w:val="single"/>
        </w:rPr>
        <w:t>（3）1号、2号、3号仓外墙维修工程施工工期为442个日历天，分五段依次施工，各段施工具体开工时间以各段开工令为准,分别为第一段：3号仓防火分区一（1至6层）、第二段：3号仓防火分区二（1至6层）、第三段：3号仓防火分区三（1至6层）天、第四段：1号仓整栋、第五阶段：2号仓整栋，其中第一段需4号仓地面维修工程完成后开始施工，第三段需第一段完成后开始施工，第五段需第三段完成后施工，第二、四段穿插施工。</w:t>
      </w:r>
    </w:p>
    <w:p w14:paraId="47F77C8A">
      <w:pPr>
        <w:spacing w:line="360" w:lineRule="auto"/>
        <w:ind w:right="-86" w:rightChars="-41" w:firstLine="560" w:firstLineChars="200"/>
        <w:rPr>
          <w:rFonts w:ascii="仿宋" w:hAnsi="仿宋" w:eastAsia="仿宋"/>
          <w:kern w:val="20"/>
          <w:sz w:val="28"/>
          <w:szCs w:val="28"/>
        </w:rPr>
      </w:pPr>
      <w:r>
        <w:rPr>
          <w:rFonts w:hint="eastAsia" w:ascii="仿宋" w:hAnsi="仿宋" w:eastAsia="仿宋"/>
          <w:kern w:val="20"/>
          <w:sz w:val="28"/>
          <w:szCs w:val="28"/>
        </w:rPr>
        <w:t>工期总日历天数与根据前述计划开竣工日期计算的工期天数不一致的，以工期总日历天数为准。合同工期指自开工之日起到完成本合同包含的全部工程内容并达到国家、行业、地方验收标准之日止的日历天数（不包括开工日期前的准备、竣工验收及移交工作的时间）。计算工期起止时间以监理书面确认为准。</w:t>
      </w:r>
    </w:p>
    <w:p w14:paraId="7A08F4F1">
      <w:pPr>
        <w:spacing w:line="360" w:lineRule="auto"/>
        <w:ind w:right="-86" w:rightChars="-41" w:firstLine="560" w:firstLineChars="200"/>
        <w:rPr>
          <w:rFonts w:ascii="仿宋" w:hAnsi="仿宋" w:eastAsia="仿宋"/>
          <w:kern w:val="20"/>
          <w:sz w:val="28"/>
          <w:szCs w:val="28"/>
        </w:rPr>
      </w:pPr>
    </w:p>
    <w:p w14:paraId="65AE0F1D">
      <w:pPr>
        <w:spacing w:line="360" w:lineRule="auto"/>
        <w:ind w:right="-86" w:rightChars="-41" w:firstLine="562" w:firstLineChars="200"/>
        <w:rPr>
          <w:rFonts w:ascii="仿宋" w:hAnsi="仿宋" w:eastAsia="仿宋"/>
          <w:b/>
          <w:kern w:val="20"/>
          <w:sz w:val="28"/>
          <w:szCs w:val="28"/>
        </w:rPr>
      </w:pPr>
      <w:r>
        <w:rPr>
          <w:rFonts w:hint="eastAsia" w:ascii="仿宋" w:hAnsi="仿宋" w:eastAsia="仿宋"/>
          <w:b/>
          <w:kern w:val="20"/>
          <w:sz w:val="28"/>
          <w:szCs w:val="28"/>
        </w:rPr>
        <w:t xml:space="preserve">四、质量标准 </w:t>
      </w:r>
    </w:p>
    <w:p w14:paraId="6F9F454C">
      <w:pPr>
        <w:spacing w:line="360" w:lineRule="auto"/>
        <w:ind w:right="-86" w:rightChars="-41" w:firstLine="560" w:firstLineChars="200"/>
        <w:rPr>
          <w:rFonts w:ascii="仿宋" w:hAnsi="仿宋" w:eastAsia="仿宋"/>
          <w:kern w:val="20"/>
          <w:sz w:val="28"/>
          <w:szCs w:val="28"/>
          <w:u w:val="single"/>
        </w:rPr>
      </w:pPr>
      <w:r>
        <w:rPr>
          <w:rFonts w:ascii="仿宋" w:hAnsi="仿宋" w:eastAsia="仿宋"/>
          <w:kern w:val="20"/>
          <w:sz w:val="28"/>
          <w:szCs w:val="28"/>
        </w:rPr>
        <w:t xml:space="preserve"> </w:t>
      </w:r>
      <w:r>
        <w:rPr>
          <w:rFonts w:hint="eastAsia" w:ascii="仿宋" w:hAnsi="仿宋" w:eastAsia="仿宋"/>
          <w:kern w:val="20"/>
          <w:sz w:val="28"/>
          <w:szCs w:val="28"/>
        </w:rPr>
        <w:t>项目质量标准：</w:t>
      </w:r>
      <w:r>
        <w:rPr>
          <w:rFonts w:hint="eastAsia" w:ascii="仿宋" w:hAnsi="仿宋" w:eastAsia="仿宋"/>
          <w:kern w:val="20"/>
          <w:sz w:val="28"/>
          <w:szCs w:val="28"/>
          <w:u w:val="single"/>
        </w:rPr>
        <w:t>执行国家、广东省、广州市及或行业现行的工程建设质量验收标准及规范，须达到合格验收质量等级标准。</w:t>
      </w:r>
    </w:p>
    <w:p w14:paraId="1873BBBD">
      <w:pPr>
        <w:spacing w:line="360" w:lineRule="auto"/>
        <w:ind w:right="-86" w:rightChars="-41" w:firstLine="560" w:firstLineChars="200"/>
        <w:rPr>
          <w:rFonts w:ascii="仿宋" w:hAnsi="仿宋" w:eastAsia="仿宋"/>
          <w:kern w:val="20"/>
          <w:sz w:val="28"/>
          <w:szCs w:val="28"/>
        </w:rPr>
      </w:pPr>
    </w:p>
    <w:p w14:paraId="75749AFD">
      <w:pPr>
        <w:spacing w:line="360" w:lineRule="auto"/>
        <w:ind w:right="-86" w:rightChars="-41" w:firstLine="562" w:firstLineChars="200"/>
        <w:rPr>
          <w:rFonts w:ascii="仿宋" w:hAnsi="仿宋" w:eastAsia="仿宋"/>
          <w:b/>
          <w:kern w:val="20"/>
          <w:sz w:val="28"/>
          <w:szCs w:val="28"/>
        </w:rPr>
      </w:pPr>
      <w:r>
        <w:rPr>
          <w:rFonts w:hint="eastAsia" w:ascii="仿宋" w:hAnsi="仿宋" w:eastAsia="仿宋"/>
          <w:b/>
          <w:kern w:val="20"/>
          <w:sz w:val="28"/>
          <w:szCs w:val="28"/>
        </w:rPr>
        <w:t>五、合同价款</w:t>
      </w:r>
    </w:p>
    <w:p w14:paraId="4117E7B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5.1合同金额不含税价暂定为（人民币）大写：</w:t>
      </w:r>
      <w:r>
        <w:rPr>
          <w:rFonts w:hint="eastAsia" w:ascii="仿宋" w:hAnsi="仿宋" w:eastAsia="仿宋"/>
          <w:kern w:val="20"/>
          <w:sz w:val="28"/>
          <w:szCs w:val="28"/>
          <w:u w:val="single"/>
        </w:rPr>
        <w:t xml:space="preserve">                    ，小写：</w:t>
      </w:r>
      <w:r>
        <w:rPr>
          <w:rFonts w:hint="eastAsia" w:ascii="宋体" w:hAnsi="宋体" w:cs="宋体"/>
          <w:kern w:val="20"/>
          <w:sz w:val="28"/>
          <w:szCs w:val="28"/>
          <w:u w:val="single"/>
        </w:rPr>
        <w:t>¥</w:t>
      </w:r>
      <w:r>
        <w:rPr>
          <w:rFonts w:hint="eastAsia" w:ascii="仿宋" w:hAnsi="仿宋" w:eastAsia="仿宋" w:cs="仿宋"/>
          <w:kern w:val="20"/>
          <w:sz w:val="28"/>
          <w:szCs w:val="28"/>
          <w:u w:val="single"/>
        </w:rPr>
        <w:t xml:space="preserve">            </w:t>
      </w:r>
      <w:r>
        <w:rPr>
          <w:rFonts w:hint="eastAsia" w:ascii="仿宋" w:hAnsi="仿宋" w:eastAsia="仿宋"/>
          <w:kern w:val="20"/>
          <w:sz w:val="28"/>
          <w:szCs w:val="28"/>
        </w:rPr>
        <w:t>元。</w:t>
      </w:r>
    </w:p>
    <w:p w14:paraId="463D368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合同金额含税价暂定为（人民币） 大写：</w:t>
      </w:r>
      <w:r>
        <w:rPr>
          <w:rFonts w:hint="eastAsia" w:ascii="仿宋" w:hAnsi="仿宋" w:eastAsia="仿宋"/>
          <w:kern w:val="20"/>
          <w:sz w:val="28"/>
          <w:szCs w:val="28"/>
          <w:u w:val="single"/>
        </w:rPr>
        <w:t xml:space="preserve">                     ，小写：</w:t>
      </w:r>
      <w:r>
        <w:rPr>
          <w:rFonts w:hint="eastAsia" w:ascii="宋体" w:hAnsi="宋体" w:cs="宋体"/>
          <w:kern w:val="20"/>
          <w:sz w:val="28"/>
          <w:szCs w:val="28"/>
          <w:u w:val="single"/>
        </w:rPr>
        <w:t>¥</w:t>
      </w:r>
      <w:r>
        <w:rPr>
          <w:rFonts w:hint="eastAsia" w:ascii="仿宋" w:hAnsi="仿宋" w:eastAsia="仿宋" w:cs="仿宋"/>
          <w:kern w:val="20"/>
          <w:sz w:val="28"/>
          <w:szCs w:val="28"/>
          <w:u w:val="single"/>
        </w:rPr>
        <w:t xml:space="preserve">             </w:t>
      </w:r>
      <w:r>
        <w:rPr>
          <w:rFonts w:hint="eastAsia" w:ascii="仿宋" w:hAnsi="仿宋" w:eastAsia="仿宋"/>
          <w:kern w:val="20"/>
          <w:sz w:val="28"/>
          <w:szCs w:val="28"/>
          <w:u w:val="single"/>
        </w:rPr>
        <w:t>元</w:t>
      </w:r>
      <w:r>
        <w:rPr>
          <w:rFonts w:hint="eastAsia" w:ascii="仿宋" w:hAnsi="仿宋" w:eastAsia="仿宋"/>
          <w:kern w:val="20"/>
          <w:sz w:val="28"/>
          <w:szCs w:val="28"/>
        </w:rPr>
        <w:t>。</w:t>
      </w:r>
    </w:p>
    <w:p w14:paraId="60193B4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其中：</w:t>
      </w:r>
    </w:p>
    <w:p w14:paraId="61A71A3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1）绿色施工安全防护措施费（含税）：</w:t>
      </w:r>
    </w:p>
    <w:p w14:paraId="042CEA36">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大写：（人民币）</w:t>
      </w:r>
      <w:r>
        <w:rPr>
          <w:rFonts w:hint="eastAsia" w:ascii="仿宋" w:hAnsi="仿宋" w:eastAsia="仿宋"/>
          <w:kern w:val="20"/>
          <w:sz w:val="28"/>
          <w:szCs w:val="28"/>
          <w:u w:val="single"/>
        </w:rPr>
        <w:t xml:space="preserve">             </w:t>
      </w:r>
      <w:r>
        <w:rPr>
          <w:rFonts w:hint="eastAsia" w:ascii="仿宋" w:hAnsi="仿宋" w:eastAsia="仿宋"/>
          <w:kern w:val="20"/>
          <w:sz w:val="28"/>
          <w:szCs w:val="28"/>
        </w:rPr>
        <w:t>，小写：</w:t>
      </w:r>
      <w:r>
        <w:rPr>
          <w:rFonts w:ascii="仿宋" w:hAnsi="仿宋" w:eastAsia="仿宋"/>
          <w:kern w:val="20"/>
          <w:sz w:val="28"/>
          <w:szCs w:val="28"/>
          <w:u w:val="single"/>
        </w:rPr>
        <w:t xml:space="preserve"> </w:t>
      </w:r>
      <w:r>
        <w:rPr>
          <w:rFonts w:hint="eastAsia" w:ascii="宋体" w:hAnsi="宋体" w:cs="宋体"/>
          <w:kern w:val="20"/>
          <w:sz w:val="28"/>
          <w:szCs w:val="28"/>
          <w:u w:val="single"/>
        </w:rPr>
        <w:t>¥</w:t>
      </w:r>
      <w:r>
        <w:rPr>
          <w:rFonts w:hint="eastAsia" w:ascii="仿宋" w:hAnsi="仿宋" w:eastAsia="仿宋" w:cs="仿宋"/>
          <w:kern w:val="20"/>
          <w:sz w:val="28"/>
          <w:szCs w:val="28"/>
          <w:u w:val="single"/>
        </w:rPr>
        <w:t xml:space="preserve">        </w:t>
      </w:r>
      <w:r>
        <w:rPr>
          <w:rFonts w:hint="eastAsia" w:ascii="仿宋" w:hAnsi="仿宋" w:eastAsia="仿宋"/>
          <w:kern w:val="20"/>
          <w:sz w:val="28"/>
          <w:szCs w:val="28"/>
          <w:u w:val="single"/>
        </w:rPr>
        <w:t>元</w:t>
      </w:r>
      <w:r>
        <w:rPr>
          <w:rFonts w:hint="eastAsia" w:ascii="仿宋" w:hAnsi="仿宋" w:eastAsia="仿宋"/>
          <w:kern w:val="20"/>
          <w:sz w:val="28"/>
          <w:szCs w:val="28"/>
        </w:rPr>
        <w:t>；</w:t>
      </w:r>
    </w:p>
    <w:p w14:paraId="0F6F4D2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w:t>
      </w:r>
      <w:r>
        <w:rPr>
          <w:rFonts w:ascii="仿宋" w:hAnsi="仿宋" w:eastAsia="仿宋"/>
          <w:kern w:val="20"/>
          <w:sz w:val="28"/>
          <w:szCs w:val="28"/>
        </w:rPr>
        <w:t>2</w:t>
      </w:r>
      <w:r>
        <w:rPr>
          <w:rFonts w:hint="eastAsia" w:ascii="仿宋" w:hAnsi="仿宋" w:eastAsia="仿宋"/>
          <w:kern w:val="20"/>
          <w:sz w:val="28"/>
          <w:szCs w:val="28"/>
        </w:rPr>
        <w:t>）暂列金额（含税）：</w:t>
      </w:r>
    </w:p>
    <w:p w14:paraId="250437D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大写：（人民币）</w:t>
      </w:r>
      <w:r>
        <w:rPr>
          <w:rFonts w:hint="eastAsia" w:ascii="仿宋" w:hAnsi="仿宋" w:eastAsia="仿宋"/>
          <w:kern w:val="20"/>
          <w:sz w:val="28"/>
          <w:szCs w:val="28"/>
          <w:u w:val="single"/>
        </w:rPr>
        <w:t xml:space="preserve">             </w:t>
      </w:r>
      <w:r>
        <w:rPr>
          <w:rFonts w:hint="eastAsia" w:ascii="仿宋" w:hAnsi="仿宋" w:eastAsia="仿宋"/>
          <w:kern w:val="20"/>
          <w:sz w:val="28"/>
          <w:szCs w:val="28"/>
        </w:rPr>
        <w:t>，小写：</w:t>
      </w:r>
      <w:r>
        <w:rPr>
          <w:rFonts w:hint="eastAsia" w:ascii="仿宋" w:hAnsi="仿宋" w:eastAsia="仿宋"/>
          <w:kern w:val="20"/>
          <w:sz w:val="28"/>
          <w:szCs w:val="28"/>
          <w:u w:val="single"/>
        </w:rPr>
        <w:t xml:space="preserve"> </w:t>
      </w:r>
      <w:r>
        <w:rPr>
          <w:rFonts w:hint="eastAsia" w:ascii="宋体" w:hAnsi="宋体" w:cs="宋体"/>
          <w:kern w:val="20"/>
          <w:sz w:val="28"/>
          <w:szCs w:val="28"/>
          <w:u w:val="single"/>
        </w:rPr>
        <w:t>¥</w:t>
      </w:r>
      <w:r>
        <w:rPr>
          <w:rFonts w:hint="eastAsia" w:ascii="仿宋" w:hAnsi="仿宋" w:eastAsia="仿宋"/>
          <w:kern w:val="20"/>
          <w:sz w:val="28"/>
          <w:szCs w:val="28"/>
          <w:u w:val="single"/>
        </w:rPr>
        <w:t xml:space="preserve">        元</w:t>
      </w:r>
      <w:r>
        <w:rPr>
          <w:rFonts w:hint="eastAsia" w:ascii="仿宋" w:hAnsi="仿宋" w:eastAsia="仿宋"/>
          <w:kern w:val="20"/>
          <w:sz w:val="28"/>
          <w:szCs w:val="28"/>
        </w:rPr>
        <w:t>；</w:t>
      </w:r>
    </w:p>
    <w:p w14:paraId="160201A9">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项目单价：</w:t>
      </w:r>
      <w:r>
        <w:rPr>
          <w:rFonts w:hint="eastAsia" w:ascii="仿宋" w:hAnsi="仿宋" w:eastAsia="仿宋"/>
          <w:kern w:val="20"/>
          <w:sz w:val="28"/>
          <w:szCs w:val="28"/>
          <w:u w:val="single"/>
        </w:rPr>
        <w:t>详见乙方的投标报价书。</w:t>
      </w:r>
    </w:p>
    <w:p w14:paraId="25A4925C">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备注：</w:t>
      </w:r>
      <w:r>
        <w:rPr>
          <w:rFonts w:hint="eastAsia" w:ascii="仿宋" w:hAnsi="仿宋" w:eastAsia="仿宋"/>
          <w:kern w:val="20"/>
          <w:sz w:val="28"/>
          <w:szCs w:val="28"/>
          <w:u w:val="single"/>
        </w:rPr>
        <w:t>绿色施工安全防护措施费为非竞争、结算时不作调整。</w:t>
      </w:r>
    </w:p>
    <w:p w14:paraId="5E8C5FB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5.2合同金额为含税价，是乙方履行本合同所能获得的全部报酬，乙方不得要求增加。（发票类型为税率</w:t>
      </w:r>
      <w:r>
        <w:rPr>
          <w:rFonts w:hint="eastAsia" w:ascii="仿宋" w:hAnsi="仿宋" w:eastAsia="仿宋"/>
          <w:kern w:val="20"/>
          <w:sz w:val="28"/>
          <w:szCs w:val="28"/>
          <w:u w:val="single"/>
        </w:rPr>
        <w:t xml:space="preserve">     </w:t>
      </w:r>
      <w:r>
        <w:rPr>
          <w:rFonts w:hint="eastAsia" w:ascii="仿宋" w:hAnsi="仿宋" w:eastAsia="仿宋"/>
          <w:kern w:val="20"/>
          <w:sz w:val="28"/>
          <w:szCs w:val="28"/>
        </w:rPr>
        <w:t>%的增值税专用发票。）</w:t>
      </w:r>
    </w:p>
    <w:p w14:paraId="782E7632">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宋体"/>
          <w:sz w:val="28"/>
          <w:szCs w:val="28"/>
        </w:rPr>
      </w:pPr>
      <w:r>
        <w:rPr>
          <w:rFonts w:hint="eastAsia" w:ascii="仿宋" w:hAnsi="仿宋" w:eastAsia="仿宋" w:cs="宋体"/>
          <w:sz w:val="28"/>
          <w:szCs w:val="28"/>
        </w:rPr>
        <w:t>5.3当国家税收政策调整导致增值税税率发生变化时，合同金额以不含税金额为准，根据政策规定的适用税率调整情况，调整增值税税率、税额、含税价格及合同结算金额。</w:t>
      </w:r>
    </w:p>
    <w:p w14:paraId="1FB44E68">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5.4税费</w:t>
      </w:r>
    </w:p>
    <w:p w14:paraId="48C52D73">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5.4.1乙方因履行本合同而在中国境内取得收入，依据中国及工程项目所在地有关法律、法规和行政规章必须纳税的费用，全部由乙方承担。</w:t>
      </w:r>
    </w:p>
    <w:p w14:paraId="77036CC1">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lang w:val="zh-CN"/>
        </w:rPr>
        <w:t>5.4.2凡因履行本合同而发生在中国以外的一切税费，全部由乙方承担。</w:t>
      </w:r>
    </w:p>
    <w:p w14:paraId="79BD87CD">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宋体"/>
          <w:sz w:val="28"/>
          <w:szCs w:val="28"/>
        </w:rPr>
      </w:pPr>
      <w:r>
        <w:rPr>
          <w:rFonts w:hint="eastAsia" w:ascii="仿宋" w:hAnsi="仿宋" w:eastAsia="仿宋" w:cs="仿宋_GB2312"/>
          <w:sz w:val="28"/>
          <w:szCs w:val="28"/>
        </w:rPr>
        <w:t>5.5</w:t>
      </w:r>
      <w:r>
        <w:rPr>
          <w:rFonts w:hint="eastAsia" w:ascii="仿宋" w:hAnsi="仿宋" w:eastAsia="仿宋" w:cs="仿宋_GB2312"/>
          <w:sz w:val="28"/>
          <w:szCs w:val="28"/>
          <w:lang w:val="zh-CN"/>
        </w:rPr>
        <w:t>本合同的标的金额</w:t>
      </w:r>
      <w:r>
        <w:rPr>
          <w:rFonts w:hint="eastAsia" w:ascii="仿宋" w:hAnsi="仿宋" w:eastAsia="仿宋"/>
          <w:sz w:val="28"/>
          <w:szCs w:val="28"/>
        </w:rPr>
        <w:t>已包含但不限于</w:t>
      </w:r>
      <w:r>
        <w:rPr>
          <w:rFonts w:hint="eastAsia" w:ascii="仿宋" w:hAnsi="仿宋" w:eastAsia="仿宋"/>
          <w:sz w:val="28"/>
          <w:u w:val="single"/>
        </w:rPr>
        <w:t>施工所在地物价、人力成本工资、运输成本、工具设备损耗、保险，施工图纸及相应技术措施</w:t>
      </w:r>
      <w:r>
        <w:rPr>
          <w:rFonts w:hint="eastAsia" w:ascii="仿宋" w:hAnsi="仿宋" w:eastAsia="仿宋"/>
          <w:sz w:val="28"/>
          <w:szCs w:val="28"/>
          <w:u w:val="single"/>
        </w:rPr>
        <w:t>等</w:t>
      </w:r>
      <w:r>
        <w:rPr>
          <w:rFonts w:hint="eastAsia" w:ascii="仿宋" w:hAnsi="仿宋" w:eastAsia="仿宋"/>
          <w:sz w:val="28"/>
          <w:szCs w:val="28"/>
        </w:rPr>
        <w:t>乙方履行本合同的一切成本及其他必要的支出。甲方不再支付合同中指明费用内的任何其他费用。如甲方要求乙方提供本合同外的服务，费用另行协商。</w:t>
      </w:r>
    </w:p>
    <w:p w14:paraId="7B2C9296">
      <w:pPr>
        <w:snapToGrid w:val="0"/>
        <w:spacing w:after="156" w:afterLines="50" w:line="360" w:lineRule="auto"/>
        <w:ind w:firstLine="560" w:firstLineChars="200"/>
        <w:rPr>
          <w:rFonts w:ascii="仿宋" w:hAnsi="仿宋" w:eastAsia="仿宋"/>
          <w:bCs/>
          <w:sz w:val="28"/>
          <w:szCs w:val="28"/>
        </w:rPr>
      </w:pPr>
      <w:r>
        <w:rPr>
          <w:rFonts w:hint="eastAsia" w:ascii="仿宋" w:hAnsi="仿宋" w:eastAsia="仿宋" w:cs="仿宋_GB2312"/>
          <w:sz w:val="28"/>
          <w:szCs w:val="28"/>
          <w:lang w:val="zh-CN"/>
        </w:rPr>
        <w:t>5.6甲、</w:t>
      </w:r>
      <w:r>
        <w:rPr>
          <w:rFonts w:hint="eastAsia" w:ascii="仿宋" w:hAnsi="仿宋" w:eastAsia="仿宋"/>
          <w:bCs/>
          <w:sz w:val="28"/>
          <w:szCs w:val="28"/>
        </w:rPr>
        <w:t>乙方的开户、开票信息如下：</w:t>
      </w:r>
    </w:p>
    <w:p w14:paraId="05DEFC91">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5</w:t>
      </w:r>
      <w:r>
        <w:rPr>
          <w:rFonts w:ascii="仿宋" w:hAnsi="仿宋" w:eastAsia="仿宋" w:cs="仿宋_GB2312"/>
          <w:sz w:val="28"/>
          <w:szCs w:val="28"/>
        </w:rPr>
        <w:t>.6.1</w:t>
      </w:r>
      <w:r>
        <w:rPr>
          <w:rFonts w:hint="eastAsia" w:ascii="仿宋" w:hAnsi="仿宋" w:eastAsia="仿宋" w:cs="仿宋_GB2312"/>
          <w:sz w:val="28"/>
          <w:szCs w:val="28"/>
        </w:rPr>
        <w:t>开户</w:t>
      </w:r>
      <w:r>
        <w:rPr>
          <w:rFonts w:ascii="仿宋" w:hAnsi="仿宋" w:eastAsia="仿宋" w:cs="仿宋_GB2312"/>
          <w:sz w:val="28"/>
          <w:szCs w:val="28"/>
        </w:rPr>
        <w:t>信息</w:t>
      </w:r>
    </w:p>
    <w:p w14:paraId="6306F6BD">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（1）甲方</w:t>
      </w:r>
    </w:p>
    <w:p w14:paraId="33F54070">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账户名称： </w:t>
      </w:r>
    </w:p>
    <w:p w14:paraId="6AE3363C">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开户银行： </w:t>
      </w:r>
    </w:p>
    <w:p w14:paraId="5543A668">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银行账号：</w:t>
      </w:r>
      <w:r>
        <w:rPr>
          <w:rFonts w:ascii="仿宋" w:hAnsi="仿宋" w:eastAsia="仿宋" w:cs="仿宋_GB2312"/>
          <w:sz w:val="28"/>
          <w:szCs w:val="28"/>
        </w:rPr>
        <w:t xml:space="preserve"> </w:t>
      </w:r>
    </w:p>
    <w:p w14:paraId="7E359BDF">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（2）乙方</w:t>
      </w:r>
    </w:p>
    <w:p w14:paraId="592AEAF3">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合同专用银行账户信息</w:t>
      </w:r>
    </w:p>
    <w:p w14:paraId="675CD74B">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ascii="仿宋" w:hAnsi="仿宋" w:eastAsia="仿宋" w:cs="仿宋_GB2312"/>
          <w:sz w:val="28"/>
          <w:szCs w:val="28"/>
        </w:rPr>
        <w:t>账户名称：</w:t>
      </w:r>
    </w:p>
    <w:p w14:paraId="50B536C4">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开户银行： </w:t>
      </w:r>
    </w:p>
    <w:p w14:paraId="0CF8AB1C">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银行账号：</w:t>
      </w:r>
      <w:r>
        <w:rPr>
          <w:rFonts w:ascii="仿宋" w:hAnsi="仿宋" w:eastAsia="仿宋" w:cs="仿宋_GB2312"/>
          <w:sz w:val="28"/>
          <w:szCs w:val="28"/>
        </w:rPr>
        <w:t xml:space="preserve"> </w:t>
      </w:r>
    </w:p>
    <w:p w14:paraId="518F7038">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工人工资支付专用账户信息</w:t>
      </w:r>
    </w:p>
    <w:p w14:paraId="7D3C32C7">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ascii="仿宋" w:hAnsi="仿宋" w:eastAsia="仿宋" w:cs="仿宋_GB2312"/>
          <w:sz w:val="28"/>
          <w:szCs w:val="28"/>
        </w:rPr>
        <w:t>账户名称：</w:t>
      </w:r>
    </w:p>
    <w:p w14:paraId="3B2572ED">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开户银行：</w:t>
      </w:r>
      <w:r>
        <w:rPr>
          <w:rFonts w:ascii="仿宋" w:hAnsi="仿宋" w:eastAsia="仿宋" w:cs="仿宋_GB2312"/>
          <w:sz w:val="28"/>
          <w:szCs w:val="28"/>
        </w:rPr>
        <w:t xml:space="preserve"> </w:t>
      </w:r>
    </w:p>
    <w:p w14:paraId="1FE81A48">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银行账号：</w:t>
      </w:r>
      <w:r>
        <w:rPr>
          <w:rFonts w:ascii="仿宋" w:hAnsi="仿宋" w:eastAsia="仿宋" w:cs="仿宋_GB2312"/>
          <w:sz w:val="28"/>
          <w:szCs w:val="28"/>
        </w:rPr>
        <w:t xml:space="preserve"> </w:t>
      </w:r>
    </w:p>
    <w:p w14:paraId="205AE164">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（3）第三方审计单位</w:t>
      </w:r>
    </w:p>
    <w:p w14:paraId="7E43A557">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账户名称： </w:t>
      </w:r>
    </w:p>
    <w:p w14:paraId="721F0EC9">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开户银行： </w:t>
      </w:r>
    </w:p>
    <w:p w14:paraId="131B66D8">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银行账号：</w:t>
      </w:r>
    </w:p>
    <w:p w14:paraId="007DBE03">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按照银行政策规定工人工资支付专用账户需签订工程合同后方可办理，本合同签订后，乙方按照要求办理工人工资支付专用账户，并在一个月内书面告知甲方专用账户信息。</w:t>
      </w:r>
    </w:p>
    <w:p w14:paraId="73EB53B5">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5.6.2开票</w:t>
      </w:r>
      <w:r>
        <w:rPr>
          <w:rFonts w:ascii="仿宋" w:hAnsi="仿宋" w:eastAsia="仿宋" w:cs="仿宋_GB2312"/>
          <w:sz w:val="28"/>
          <w:szCs w:val="28"/>
        </w:rPr>
        <w:t>信息</w:t>
      </w:r>
    </w:p>
    <w:p w14:paraId="590404D9">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（甲方）</w:t>
      </w:r>
    </w:p>
    <w:p w14:paraId="0FDA486B">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公司</w:t>
      </w:r>
      <w:r>
        <w:rPr>
          <w:rFonts w:ascii="仿宋" w:hAnsi="仿宋" w:eastAsia="仿宋" w:cs="仿宋_GB2312"/>
          <w:sz w:val="28"/>
          <w:szCs w:val="28"/>
        </w:rPr>
        <w:t>名称：</w:t>
      </w:r>
      <w:r>
        <w:rPr>
          <w:rFonts w:hint="eastAsia" w:ascii="仿宋" w:hAnsi="仿宋" w:eastAsia="仿宋" w:cs="仿宋_GB2312"/>
          <w:sz w:val="28"/>
          <w:szCs w:val="28"/>
        </w:rPr>
        <w:t xml:space="preserve"> </w:t>
      </w:r>
    </w:p>
    <w:p w14:paraId="66CF18BA">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纳税人</w:t>
      </w:r>
      <w:r>
        <w:rPr>
          <w:rFonts w:ascii="仿宋" w:hAnsi="仿宋" w:eastAsia="仿宋" w:cs="仿宋_GB2312"/>
          <w:sz w:val="28"/>
          <w:szCs w:val="28"/>
        </w:rPr>
        <w:t xml:space="preserve">识别号： </w:t>
      </w:r>
    </w:p>
    <w:p w14:paraId="277E4C80">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地址及电话</w:t>
      </w:r>
      <w:r>
        <w:rPr>
          <w:rFonts w:ascii="仿宋" w:hAnsi="仿宋" w:eastAsia="仿宋" w:cs="仿宋_GB2312"/>
          <w:sz w:val="28"/>
          <w:szCs w:val="28"/>
        </w:rPr>
        <w:t>：</w:t>
      </w:r>
      <w:r>
        <w:rPr>
          <w:rFonts w:hint="eastAsia" w:ascii="仿宋" w:hAnsi="仿宋" w:eastAsia="仿宋" w:cs="仿宋_GB2312"/>
          <w:sz w:val="28"/>
          <w:szCs w:val="28"/>
        </w:rPr>
        <w:t xml:space="preserve"> </w:t>
      </w:r>
    </w:p>
    <w:p w14:paraId="0E436C12">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开户行</w:t>
      </w:r>
      <w:r>
        <w:rPr>
          <w:rFonts w:ascii="仿宋" w:hAnsi="仿宋" w:eastAsia="仿宋" w:cs="仿宋_GB2312"/>
          <w:sz w:val="28"/>
          <w:szCs w:val="28"/>
        </w:rPr>
        <w:t>及账号：</w:t>
      </w:r>
      <w:r>
        <w:rPr>
          <w:rFonts w:hint="eastAsia" w:ascii="仿宋" w:hAnsi="仿宋" w:eastAsia="仿宋" w:cs="仿宋_GB2312"/>
          <w:sz w:val="28"/>
          <w:szCs w:val="28"/>
        </w:rPr>
        <w:t xml:space="preserve"> </w:t>
      </w:r>
    </w:p>
    <w:p w14:paraId="4ACC276D">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（乙方）</w:t>
      </w:r>
    </w:p>
    <w:p w14:paraId="7C1A9DD4">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公司</w:t>
      </w:r>
      <w:r>
        <w:rPr>
          <w:rFonts w:ascii="仿宋" w:hAnsi="仿宋" w:eastAsia="仿宋" w:cs="仿宋_GB2312"/>
          <w:sz w:val="28"/>
          <w:szCs w:val="28"/>
        </w:rPr>
        <w:t>名称：</w:t>
      </w:r>
      <w:r>
        <w:rPr>
          <w:rFonts w:hint="eastAsia" w:ascii="仿宋" w:hAnsi="仿宋" w:eastAsia="仿宋" w:cs="仿宋_GB2312"/>
          <w:sz w:val="28"/>
          <w:szCs w:val="28"/>
        </w:rPr>
        <w:t xml:space="preserve"> </w:t>
      </w:r>
    </w:p>
    <w:p w14:paraId="66DF8BCF">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纳税人</w:t>
      </w:r>
      <w:r>
        <w:rPr>
          <w:rFonts w:ascii="仿宋" w:hAnsi="仿宋" w:eastAsia="仿宋" w:cs="仿宋_GB2312"/>
          <w:sz w:val="28"/>
          <w:szCs w:val="28"/>
        </w:rPr>
        <w:t xml:space="preserve">识别号： </w:t>
      </w:r>
    </w:p>
    <w:p w14:paraId="268A70C0">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地址及电话</w:t>
      </w:r>
      <w:r>
        <w:rPr>
          <w:rFonts w:ascii="仿宋" w:hAnsi="仿宋" w:eastAsia="仿宋" w:cs="仿宋_GB2312"/>
          <w:sz w:val="28"/>
          <w:szCs w:val="28"/>
        </w:rPr>
        <w:t>：</w:t>
      </w:r>
      <w:r>
        <w:rPr>
          <w:rFonts w:hint="eastAsia" w:ascii="仿宋" w:hAnsi="仿宋" w:eastAsia="仿宋" w:cs="仿宋_GB2312"/>
          <w:sz w:val="28"/>
          <w:szCs w:val="28"/>
        </w:rPr>
        <w:t xml:space="preserve"> </w:t>
      </w:r>
    </w:p>
    <w:p w14:paraId="30FA2F78">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开户行</w:t>
      </w:r>
      <w:r>
        <w:rPr>
          <w:rFonts w:ascii="仿宋" w:hAnsi="仿宋" w:eastAsia="仿宋" w:cs="仿宋_GB2312"/>
          <w:sz w:val="28"/>
          <w:szCs w:val="28"/>
        </w:rPr>
        <w:t>及账号：</w:t>
      </w:r>
      <w:r>
        <w:rPr>
          <w:rFonts w:hint="eastAsia" w:ascii="仿宋" w:hAnsi="仿宋" w:eastAsia="仿宋" w:cs="仿宋_GB2312"/>
          <w:sz w:val="28"/>
          <w:szCs w:val="28"/>
        </w:rPr>
        <w:t xml:space="preserve"> </w:t>
      </w:r>
      <w:r>
        <w:rPr>
          <w:rFonts w:ascii="仿宋" w:hAnsi="仿宋" w:eastAsia="仿宋" w:cs="仿宋_GB2312"/>
          <w:sz w:val="28"/>
          <w:szCs w:val="28"/>
        </w:rPr>
        <w:t xml:space="preserve"> </w:t>
      </w:r>
    </w:p>
    <w:p w14:paraId="3A8F11BC">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按照银行政策规定工人工资支付专用账户需签订工程合同后方可办理，本合同签订后，乙方按照要求办理工人工资支付专用账户，并在一个月内书面告知甲方专用账户信息。</w:t>
      </w:r>
    </w:p>
    <w:p w14:paraId="4A273E48">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宋体"/>
          <w:color w:val="000000"/>
          <w:kern w:val="0"/>
          <w:sz w:val="28"/>
          <w:szCs w:val="28"/>
        </w:rPr>
      </w:pPr>
      <w:r>
        <w:rPr>
          <w:rFonts w:hint="eastAsia" w:ascii="仿宋" w:hAnsi="仿宋" w:eastAsia="仿宋"/>
          <w:sz w:val="28"/>
          <w:szCs w:val="28"/>
        </w:rPr>
        <w:t>5.7</w:t>
      </w:r>
      <w:r>
        <w:rPr>
          <w:rFonts w:ascii="仿宋" w:hAnsi="仿宋" w:eastAsia="仿宋" w:cs="宋体"/>
          <w:color w:val="000000"/>
          <w:kern w:val="0"/>
          <w:sz w:val="28"/>
          <w:szCs w:val="28"/>
        </w:rPr>
        <w:t>乙方</w:t>
      </w:r>
      <w:r>
        <w:rPr>
          <w:rFonts w:hint="eastAsia" w:ascii="仿宋" w:hAnsi="仿宋" w:eastAsia="仿宋" w:cs="宋体"/>
          <w:color w:val="000000"/>
          <w:kern w:val="0"/>
          <w:sz w:val="28"/>
          <w:szCs w:val="28"/>
        </w:rPr>
        <w:t>开户信息</w:t>
      </w:r>
      <w:r>
        <w:rPr>
          <w:rFonts w:ascii="仿宋" w:hAnsi="仿宋" w:eastAsia="仿宋" w:cs="宋体"/>
          <w:color w:val="000000"/>
          <w:kern w:val="0"/>
          <w:sz w:val="28"/>
          <w:szCs w:val="28"/>
        </w:rPr>
        <w:t>如有变更，或合同所载</w:t>
      </w:r>
      <w:r>
        <w:rPr>
          <w:rFonts w:hint="eastAsia" w:ascii="仿宋" w:hAnsi="仿宋" w:eastAsia="仿宋" w:cs="宋体"/>
          <w:color w:val="000000"/>
          <w:kern w:val="0"/>
          <w:sz w:val="28"/>
          <w:szCs w:val="28"/>
        </w:rPr>
        <w:t>开户信息</w:t>
      </w:r>
      <w:r>
        <w:rPr>
          <w:rFonts w:ascii="仿宋" w:hAnsi="仿宋" w:eastAsia="仿宋" w:cs="宋体"/>
          <w:color w:val="000000"/>
          <w:kern w:val="0"/>
          <w:sz w:val="28"/>
          <w:szCs w:val="28"/>
        </w:rPr>
        <w:t>与增值税专用发票所载不一致</w:t>
      </w:r>
      <w:r>
        <w:rPr>
          <w:rFonts w:hint="eastAsia" w:ascii="仿宋" w:hAnsi="仿宋" w:eastAsia="仿宋" w:cs="宋体"/>
          <w:color w:val="000000"/>
          <w:kern w:val="0"/>
          <w:sz w:val="28"/>
          <w:szCs w:val="28"/>
        </w:rPr>
        <w:t>时</w:t>
      </w:r>
      <w:r>
        <w:rPr>
          <w:rFonts w:ascii="仿宋" w:hAnsi="仿宋" w:eastAsia="仿宋" w:cs="宋体"/>
          <w:color w:val="000000"/>
          <w:kern w:val="0"/>
          <w:sz w:val="28"/>
          <w:szCs w:val="28"/>
        </w:rPr>
        <w:t>，乙方应在合同约定的相应付款期限前</w:t>
      </w:r>
      <w:r>
        <w:rPr>
          <w:rFonts w:ascii="仿宋" w:hAnsi="仿宋" w:eastAsia="仿宋" w:cs="宋体"/>
          <w:color w:val="000000"/>
          <w:kern w:val="0"/>
          <w:sz w:val="28"/>
          <w:szCs w:val="28"/>
          <w:u w:val="single"/>
        </w:rPr>
        <w:t>30</w:t>
      </w:r>
      <w:r>
        <w:rPr>
          <w:rFonts w:ascii="仿宋" w:hAnsi="仿宋" w:eastAsia="仿宋" w:cs="宋体"/>
          <w:color w:val="000000"/>
          <w:kern w:val="0"/>
          <w:sz w:val="28"/>
          <w:szCs w:val="28"/>
        </w:rPr>
        <w:t>日内以书面形式通知甲方。如因乙方未及时通知甲方，导致甲方付款至原账号或逾期付款，甲方无需承担任何违约责任。</w:t>
      </w:r>
    </w:p>
    <w:p w14:paraId="5FBADD14">
      <w:pPr>
        <w:tabs>
          <w:tab w:val="left" w:pos="1290"/>
        </w:tabs>
        <w:autoSpaceDE w:val="0"/>
        <w:autoSpaceDN w:val="0"/>
        <w:adjustRightInd w:val="0"/>
        <w:snapToGrid w:val="0"/>
        <w:spacing w:before="62" w:beforeLines="20" w:after="62" w:afterLines="20" w:line="360" w:lineRule="auto"/>
        <w:ind w:firstLine="560" w:firstLineChars="200"/>
        <w:rPr>
          <w:rFonts w:ascii="仿宋" w:hAnsi="仿宋" w:eastAsia="仿宋" w:cs="宋体"/>
          <w:color w:val="000000"/>
          <w:kern w:val="0"/>
          <w:sz w:val="28"/>
          <w:szCs w:val="28"/>
        </w:rPr>
      </w:pPr>
    </w:p>
    <w:p w14:paraId="40D96D1C">
      <w:pPr>
        <w:spacing w:line="360" w:lineRule="auto"/>
        <w:ind w:firstLine="562" w:firstLineChars="200"/>
        <w:rPr>
          <w:rFonts w:ascii="仿宋" w:hAnsi="仿宋" w:eastAsia="仿宋"/>
          <w:b/>
          <w:kern w:val="20"/>
          <w:sz w:val="28"/>
          <w:szCs w:val="28"/>
        </w:rPr>
      </w:pPr>
      <w:r>
        <w:rPr>
          <w:rFonts w:hint="eastAsia" w:ascii="仿宋" w:hAnsi="仿宋" w:eastAsia="仿宋"/>
          <w:b/>
          <w:kern w:val="20"/>
          <w:sz w:val="28"/>
          <w:szCs w:val="28"/>
        </w:rPr>
        <w:t>六、项目经理</w:t>
      </w:r>
    </w:p>
    <w:p w14:paraId="015B53E7">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乙方项目经理：</w:t>
      </w:r>
      <w:r>
        <w:rPr>
          <w:rFonts w:hint="eastAsia" w:ascii="仿宋" w:hAnsi="仿宋" w:eastAsia="仿宋"/>
          <w:kern w:val="20"/>
          <w:sz w:val="28"/>
          <w:szCs w:val="28"/>
          <w:u w:val="single"/>
        </w:rPr>
        <w:t xml:space="preserve">                </w:t>
      </w:r>
    </w:p>
    <w:p w14:paraId="3EF8A1BC">
      <w:pPr>
        <w:spacing w:line="360" w:lineRule="auto"/>
        <w:ind w:firstLine="560" w:firstLineChars="200"/>
        <w:rPr>
          <w:rFonts w:ascii="仿宋" w:hAnsi="仿宋" w:eastAsia="仿宋"/>
          <w:kern w:val="20"/>
          <w:sz w:val="28"/>
          <w:szCs w:val="28"/>
        </w:rPr>
      </w:pPr>
    </w:p>
    <w:p w14:paraId="1502C3F6">
      <w:pPr>
        <w:spacing w:line="360" w:lineRule="auto"/>
        <w:ind w:right="-86" w:rightChars="-41" w:firstLine="562" w:firstLineChars="200"/>
        <w:rPr>
          <w:rFonts w:ascii="仿宋" w:hAnsi="仿宋" w:eastAsia="仿宋"/>
          <w:b/>
          <w:kern w:val="20"/>
          <w:sz w:val="28"/>
          <w:szCs w:val="28"/>
        </w:rPr>
      </w:pPr>
      <w:r>
        <w:rPr>
          <w:rFonts w:hint="eastAsia" w:ascii="仿宋" w:hAnsi="仿宋" w:eastAsia="仿宋"/>
          <w:b/>
          <w:kern w:val="20"/>
          <w:sz w:val="28"/>
          <w:szCs w:val="28"/>
        </w:rPr>
        <w:t>七、甲乙方承诺</w:t>
      </w:r>
    </w:p>
    <w:p w14:paraId="2E1567F0">
      <w:pPr>
        <w:spacing w:line="360" w:lineRule="auto"/>
        <w:ind w:right="-86" w:rightChars="-41" w:firstLine="560" w:firstLineChars="200"/>
        <w:rPr>
          <w:rFonts w:ascii="仿宋" w:hAnsi="仿宋" w:eastAsia="仿宋"/>
          <w:kern w:val="20"/>
          <w:sz w:val="28"/>
          <w:szCs w:val="28"/>
        </w:rPr>
      </w:pPr>
      <w:r>
        <w:rPr>
          <w:rFonts w:hint="eastAsia" w:ascii="仿宋" w:hAnsi="仿宋" w:eastAsia="仿宋"/>
          <w:kern w:val="20"/>
          <w:sz w:val="28"/>
          <w:szCs w:val="28"/>
        </w:rPr>
        <w:t>7.1乙方向甲方承诺已阅读、理解并接受本合同所有条款，按照本合同约定实施、完成并在质量保修期内承担维修质量保修责任，承诺按照法律规定及合同约定组织完成工程施工，确保工程质量和安全，不得进行转包及分包，并在缺陷责任期及保修期内承担相应的工程维修责任，积极履行本合同所约定的全部义务。</w:t>
      </w:r>
    </w:p>
    <w:p w14:paraId="6F37A986">
      <w:pPr>
        <w:spacing w:line="360" w:lineRule="auto"/>
        <w:ind w:right="-86" w:rightChars="-41" w:firstLine="560" w:firstLineChars="200"/>
        <w:rPr>
          <w:rFonts w:ascii="仿宋" w:hAnsi="仿宋" w:eastAsia="仿宋"/>
          <w:kern w:val="20"/>
          <w:sz w:val="28"/>
          <w:szCs w:val="28"/>
        </w:rPr>
      </w:pPr>
      <w:r>
        <w:rPr>
          <w:rFonts w:hint="eastAsia" w:ascii="仿宋" w:hAnsi="仿宋" w:eastAsia="仿宋"/>
          <w:kern w:val="20"/>
          <w:sz w:val="28"/>
          <w:szCs w:val="28"/>
        </w:rPr>
        <w:t>7.2甲方向乙方承诺已阅读、理解并接受本合同所有条款，承诺按照法律规定履行项目审批手续、筹集工程建设资金并按照合同约定的期限和方式支付合同价款。</w:t>
      </w:r>
    </w:p>
    <w:p w14:paraId="08891B3B">
      <w:pPr>
        <w:spacing w:line="360" w:lineRule="auto"/>
        <w:ind w:right="-86" w:rightChars="-41" w:firstLine="560" w:firstLineChars="200"/>
        <w:rPr>
          <w:rFonts w:ascii="仿宋" w:hAnsi="仿宋" w:eastAsia="仿宋"/>
          <w:kern w:val="20"/>
          <w:sz w:val="28"/>
          <w:szCs w:val="28"/>
        </w:rPr>
      </w:pPr>
    </w:p>
    <w:p w14:paraId="20612D25">
      <w:pPr>
        <w:tabs>
          <w:tab w:val="left" w:pos="1290"/>
        </w:tabs>
        <w:autoSpaceDE w:val="0"/>
        <w:autoSpaceDN w:val="0"/>
        <w:adjustRightInd w:val="0"/>
        <w:snapToGrid w:val="0"/>
        <w:spacing w:before="62" w:beforeLines="20" w:after="62" w:afterLines="20"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lang w:val="zh-CN"/>
        </w:rPr>
        <w:t>八、知识产权</w:t>
      </w:r>
      <w:r>
        <w:rPr>
          <w:rFonts w:hint="eastAsia" w:ascii="仿宋" w:hAnsi="仿宋" w:eastAsia="仿宋" w:cs="仿宋_GB2312"/>
          <w:b/>
          <w:bCs/>
          <w:sz w:val="28"/>
          <w:szCs w:val="28"/>
        </w:rPr>
        <w:t>与数据权属</w:t>
      </w:r>
    </w:p>
    <w:p w14:paraId="460D8A5E">
      <w:pPr>
        <w:snapToGrid w:val="0"/>
        <w:spacing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8.1项目的知识产权归甲乙双方共有，其中设计署名权归乙方所有；乙方可在展览或书刊中进行展示、介绍及讨论其设计模型、外观图片、装饰效果图，但不得享有知识产权中的其他权利。乙方承诺自本合同签订之日起，为本项目所做的全部工作的成果，包括方案设计、初步设计、施工图设计及其他设计文件、资料等不再用于其他任何项目的设计，否则甲方有权向乙方追究相关责任。甲方在出版作品的书刊或展览时，如有需要表明设计者，引用上述署名格式。</w:t>
      </w:r>
    </w:p>
    <w:p w14:paraId="3856F2E0">
      <w:pPr>
        <w:snapToGrid w:val="0"/>
        <w:spacing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8.2乙方应保护甲方的知识产权，不得向第三人泄露、转让甲方提交的产品图纸等技术经济资料。如发生以上情况甲方有权向乙方索赔。</w:t>
      </w:r>
    </w:p>
    <w:p w14:paraId="2A0B76F8">
      <w:pPr>
        <w:snapToGrid w:val="0"/>
        <w:spacing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8.3乙方保证本项目的设计文件、资料等均未侵犯其他方的知识产权，否则必须承担由此而引起的全部法律责任。</w:t>
      </w:r>
    </w:p>
    <w:p w14:paraId="126A26E8">
      <w:pPr>
        <w:snapToGrid w:val="0"/>
        <w:spacing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8.4甲方拥有由乙方为本项目设计且按本合同要求所提交的全部设计文件、资料等的完全使用权，并在本合同执行完毕后继续拥有合法使用以上设计文件、资料等的权利。</w:t>
      </w:r>
    </w:p>
    <w:p w14:paraId="0166B28C">
      <w:pPr>
        <w:snapToGrid w:val="0"/>
        <w:spacing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8.5如工程需要使用专利技术，应先征得甲方的书面认可。甲方负责办理相应的法律手续，因此而涉及的申报、试验、使用等费用列入工程建设其他费用。</w:t>
      </w:r>
    </w:p>
    <w:p w14:paraId="2A763E90">
      <w:pPr>
        <w:snapToGrid w:val="0"/>
        <w:spacing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8.6擅自使用专利技术侵犯他人专利权的，由责任方依法承担相应责任。</w:t>
      </w:r>
    </w:p>
    <w:p w14:paraId="4BA7199F">
      <w:pPr>
        <w:snapToGrid w:val="0"/>
        <w:spacing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8.</w:t>
      </w:r>
      <w:r>
        <w:rPr>
          <w:rFonts w:ascii="仿宋" w:hAnsi="仿宋" w:eastAsia="仿宋" w:cs="仿宋_GB2312"/>
          <w:sz w:val="28"/>
          <w:szCs w:val="28"/>
          <w:lang w:val="zh-CN"/>
        </w:rPr>
        <w:t>7</w:t>
      </w:r>
      <w:r>
        <w:rPr>
          <w:rFonts w:hint="eastAsia" w:ascii="仿宋" w:hAnsi="仿宋" w:eastAsia="仿宋" w:cs="仿宋_GB2312"/>
          <w:sz w:val="28"/>
          <w:szCs w:val="28"/>
          <w:lang w:val="zh-CN"/>
        </w:rPr>
        <w:t>如果甲方、乙方使用未中标方案的部分或全部内容作为本项目实施方案，乙方向提交方案的投标人付给使用费（这里的使用费即投标经济补偿费）后，该方案的展览权、使用权归甲方和乙方共有。</w:t>
      </w:r>
    </w:p>
    <w:p w14:paraId="26E82071">
      <w:pPr>
        <w:widowControl/>
        <w:autoSpaceDE w:val="0"/>
        <w:autoSpaceDN w:val="0"/>
        <w:adjustRightInd w:val="0"/>
        <w:spacing w:before="62" w:beforeLines="20" w:after="62" w:afterLines="20" w:line="360" w:lineRule="auto"/>
        <w:ind w:firstLine="560" w:firstLineChars="200"/>
        <w:contextualSpacing/>
        <w:jc w:val="left"/>
        <w:rPr>
          <w:rFonts w:ascii="仿宋" w:hAnsi="仿宋" w:eastAsia="仿宋" w:cs="仿宋_GB2312"/>
          <w:sz w:val="28"/>
          <w:szCs w:val="28"/>
        </w:rPr>
      </w:pPr>
      <w:r>
        <w:rPr>
          <w:rFonts w:hint="eastAsia" w:ascii="仿宋" w:hAnsi="仿宋" w:eastAsia="仿宋" w:cs="仿宋_GB2312"/>
          <w:sz w:val="28"/>
          <w:szCs w:val="28"/>
        </w:rPr>
        <w:t>8.9乙方应当按照法律法规、监管要求和合同约定处理甲方原始数据和衍生数据，乙方不得超出约定的处理目的和方式持有、加工数据。未经甲方书面同意，不得向他人提供或转委托他人处理数据。</w:t>
      </w:r>
    </w:p>
    <w:p w14:paraId="46B48F22">
      <w:pPr>
        <w:autoSpaceDE w:val="0"/>
        <w:autoSpaceDN w:val="0"/>
        <w:adjustRightInd w:val="0"/>
        <w:spacing w:before="62" w:beforeLines="20" w:after="62" w:afterLines="20" w:line="360" w:lineRule="auto"/>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8.10甲方的原始数据、原始数据衍生加工或使用活动产生的衍生数据的持有权、加工使用权、经营权归甲方所有。</w:t>
      </w:r>
    </w:p>
    <w:p w14:paraId="07BD3FF8">
      <w:pPr>
        <w:snapToGrid w:val="0"/>
        <w:spacing w:line="360" w:lineRule="auto"/>
        <w:ind w:firstLine="560" w:firstLineChars="200"/>
        <w:rPr>
          <w:rFonts w:ascii="仿宋" w:hAnsi="仿宋" w:eastAsia="仿宋" w:cs="仿宋_GB2312"/>
          <w:sz w:val="28"/>
          <w:szCs w:val="28"/>
          <w:lang w:val="zh-CN"/>
        </w:rPr>
      </w:pPr>
    </w:p>
    <w:p w14:paraId="201EC188">
      <w:pPr>
        <w:snapToGrid w:val="0"/>
        <w:spacing w:before="62" w:beforeLines="20" w:after="62" w:afterLines="20" w:line="360" w:lineRule="auto"/>
        <w:ind w:firstLine="562" w:firstLineChars="200"/>
        <w:rPr>
          <w:rFonts w:ascii="仿宋" w:hAnsi="仿宋" w:eastAsia="仿宋" w:cs="仿宋_GB2312"/>
          <w:b/>
          <w:sz w:val="28"/>
          <w:szCs w:val="28"/>
          <w:lang w:val="zh-CN"/>
        </w:rPr>
      </w:pPr>
      <w:r>
        <w:rPr>
          <w:rFonts w:hint="eastAsia" w:ascii="仿宋" w:hAnsi="仿宋" w:eastAsia="仿宋" w:cs="仿宋_GB2312"/>
          <w:b/>
          <w:sz w:val="28"/>
          <w:szCs w:val="28"/>
          <w:lang w:val="zh-CN"/>
        </w:rPr>
        <w:t>九、合同监督</w:t>
      </w:r>
    </w:p>
    <w:p w14:paraId="06EBC369">
      <w:pPr>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9.1双方均应严格遵守国家有关法律法规及广东省委、省政府关于反商业贿赂和加强党风廉政建设的有关规定。</w:t>
      </w:r>
    </w:p>
    <w:p w14:paraId="23B53514">
      <w:pPr>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9.2双方同意建立健全反商业贿赂和廉政制度，开展相关教育，设立反商业贿赂和廉政告示牌，公布举报电话，监督并认真查处违法违纪行为。</w:t>
      </w:r>
    </w:p>
    <w:p w14:paraId="45D492F2">
      <w:pPr>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9.3发现对方在业务活动中有违反商业贿赂和廉政规定的行为，一方有及时提醒对方纠正的权利和义务。</w:t>
      </w:r>
    </w:p>
    <w:p w14:paraId="4B1D6EE1">
      <w:pPr>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9.4乙方应配合甲方所在地检察机关同步开展预防工程建设职务犯罪工作。</w:t>
      </w:r>
    </w:p>
    <w:p w14:paraId="3E584262">
      <w:pPr>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9.5除应遵守本章相应规定外，双方或其工作人员均应遵守以下规定：</w:t>
      </w:r>
    </w:p>
    <w:p w14:paraId="1CD6B3BC">
      <w:pPr>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9.5.1不得参加对方安排的超标准宴请和娱乐活动；</w:t>
      </w:r>
    </w:p>
    <w:p w14:paraId="5A7A7C3F">
      <w:pPr>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9.5.2不得接受对方提供的通讯工具、交通工具和高档办公用品等；</w:t>
      </w:r>
    </w:p>
    <w:p w14:paraId="3B551D2C">
      <w:pPr>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9.5.3不得要求或者接受对方为其住房装修、婚丧嫁娶活动、配偶子女的工作安排以及出国出境、旅游等提供方便等；</w:t>
      </w:r>
    </w:p>
    <w:p w14:paraId="057D8956">
      <w:pPr>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9.5.4不得从事与项目有关的材料设备供应、工程承包、劳务等活动，不得以配偶、子女名义从事上述活动；不得与有直接利益关系的单位就该项目的建设需要发生经济往来；</w:t>
      </w:r>
    </w:p>
    <w:p w14:paraId="23BFE8DE">
      <w:pPr>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9.5.5不得利用职权插手工程活动，不得以任何理由向对方推荐项目建设相关单位或推销材料，不得要求对方购买合同规定外的材料和设备。</w:t>
      </w:r>
    </w:p>
    <w:p w14:paraId="7C05AA26">
      <w:pPr>
        <w:snapToGrid w:val="0"/>
        <w:spacing w:before="62" w:beforeLines="20" w:after="62" w:afterLines="20"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9.6违反本章约定，除本合同已有约定外，应由有关部门依据有关规定给予党纪、政纪或组织处理；涉嫌犯罪的，移交司法机关追究刑事责任。</w:t>
      </w:r>
    </w:p>
    <w:p w14:paraId="0DBDFC3C">
      <w:pPr>
        <w:autoSpaceDE w:val="0"/>
        <w:autoSpaceDN w:val="0"/>
        <w:adjustRightInd w:val="0"/>
        <w:snapToGrid w:val="0"/>
        <w:spacing w:before="62" w:beforeLines="20" w:after="62" w:afterLines="20" w:line="360" w:lineRule="auto"/>
        <w:ind w:firstLine="562" w:firstLineChars="200"/>
        <w:outlineLvl w:val="0"/>
        <w:rPr>
          <w:rFonts w:ascii="仿宋" w:hAnsi="仿宋" w:eastAsia="仿宋" w:cs="仿宋_GB2312"/>
          <w:b/>
          <w:bCs/>
          <w:sz w:val="28"/>
          <w:szCs w:val="28"/>
          <w:lang w:val="zh-CN"/>
        </w:rPr>
      </w:pPr>
      <w:r>
        <w:rPr>
          <w:rFonts w:hint="eastAsia" w:ascii="仿宋" w:hAnsi="仿宋" w:eastAsia="仿宋" w:cs="仿宋_GB2312"/>
          <w:b/>
          <w:bCs/>
          <w:sz w:val="28"/>
          <w:szCs w:val="28"/>
          <w:lang w:val="zh-CN"/>
        </w:rPr>
        <w:t>十、违约责任</w:t>
      </w:r>
    </w:p>
    <w:p w14:paraId="2C3380B2">
      <w:pPr>
        <w:snapToGrid w:val="0"/>
        <w:spacing w:before="62" w:beforeLines="20" w:after="62" w:afterLines="20" w:line="360" w:lineRule="auto"/>
        <w:ind w:right="-86" w:rightChars="-41" w:firstLine="554" w:firstLineChars="198"/>
        <w:rPr>
          <w:rFonts w:ascii="仿宋" w:hAnsi="仿宋" w:eastAsia="仿宋"/>
          <w:sz w:val="28"/>
          <w:szCs w:val="28"/>
        </w:rPr>
      </w:pPr>
      <w:r>
        <w:rPr>
          <w:rFonts w:hint="eastAsia" w:ascii="仿宋" w:hAnsi="仿宋" w:eastAsia="仿宋"/>
          <w:sz w:val="28"/>
          <w:szCs w:val="28"/>
        </w:rPr>
        <w:t>10.1</w:t>
      </w:r>
      <w:r>
        <w:rPr>
          <w:rFonts w:ascii="仿宋" w:hAnsi="仿宋" w:eastAsia="仿宋"/>
          <w:sz w:val="28"/>
          <w:szCs w:val="28"/>
        </w:rPr>
        <w:t xml:space="preserve"> </w:t>
      </w:r>
      <w:r>
        <w:rPr>
          <w:rFonts w:hint="eastAsia" w:ascii="仿宋" w:hAnsi="仿宋" w:eastAsia="仿宋" w:cs="仿宋_GB2312"/>
          <w:sz w:val="28"/>
          <w:szCs w:val="28"/>
          <w:lang w:val="zh-CN"/>
        </w:rPr>
        <w:t>若因乙方工作人员的过错（包括故意和过失）导致甲方发生人员伤亡或财产损失，乙方应对受损害的相关方承担损害赔偿责任，并赔偿甲方因此所遭受的一切损失（包括但不限于为此所支付的律师费、保全担保费等法律费用和被责令支付的行政罚款）。</w:t>
      </w:r>
    </w:p>
    <w:p w14:paraId="0D99C3E7">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rPr>
      </w:pPr>
      <w:r>
        <w:rPr>
          <w:rFonts w:hint="eastAsia" w:ascii="仿宋" w:hAnsi="仿宋" w:eastAsia="仿宋" w:cs="仿宋_GB2312"/>
          <w:sz w:val="28"/>
          <w:szCs w:val="28"/>
          <w:lang w:val="zh-CN"/>
        </w:rPr>
        <w:t>10.2</w:t>
      </w:r>
      <w:r>
        <w:rPr>
          <w:rFonts w:ascii="仿宋" w:hAnsi="仿宋" w:eastAsia="仿宋" w:cs="仿宋_GB2312"/>
          <w:sz w:val="28"/>
          <w:szCs w:val="28"/>
          <w:lang w:val="zh-CN"/>
        </w:rPr>
        <w:t xml:space="preserve"> </w:t>
      </w:r>
      <w:r>
        <w:rPr>
          <w:rFonts w:hint="eastAsia" w:ascii="仿宋" w:hAnsi="仿宋" w:eastAsia="仿宋"/>
          <w:sz w:val="28"/>
          <w:szCs w:val="28"/>
        </w:rPr>
        <w:t>乙方如违反本合同项下的任何其他义务，应</w:t>
      </w:r>
      <w:r>
        <w:rPr>
          <w:rFonts w:ascii="仿宋" w:hAnsi="仿宋" w:eastAsia="仿宋"/>
          <w:sz w:val="28"/>
          <w:szCs w:val="28"/>
        </w:rPr>
        <w:t>赔偿</w:t>
      </w:r>
      <w:r>
        <w:rPr>
          <w:rFonts w:hint="eastAsia" w:ascii="仿宋" w:hAnsi="仿宋" w:eastAsia="仿宋"/>
          <w:sz w:val="28"/>
          <w:szCs w:val="28"/>
        </w:rPr>
        <w:t>甲方因其违约行为遭受的</w:t>
      </w:r>
      <w:r>
        <w:rPr>
          <w:rFonts w:ascii="仿宋" w:hAnsi="仿宋" w:eastAsia="仿宋"/>
          <w:sz w:val="28"/>
          <w:szCs w:val="28"/>
        </w:rPr>
        <w:t>损失</w:t>
      </w:r>
      <w:r>
        <w:rPr>
          <w:rFonts w:hint="eastAsia" w:ascii="仿宋" w:hAnsi="仿宋" w:eastAsia="仿宋"/>
          <w:sz w:val="28"/>
          <w:szCs w:val="28"/>
        </w:rPr>
        <w:t>，包括但不限于为实现索赔而发生的律师费</w:t>
      </w:r>
      <w:r>
        <w:rPr>
          <w:rFonts w:hint="eastAsia" w:ascii="仿宋" w:hAnsi="仿宋" w:eastAsia="仿宋" w:cs="仿宋_GB2312"/>
          <w:sz w:val="28"/>
          <w:szCs w:val="28"/>
          <w:lang w:val="zh-CN"/>
        </w:rPr>
        <w:t>、保全担保费</w:t>
      </w:r>
      <w:r>
        <w:rPr>
          <w:rFonts w:hint="eastAsia" w:ascii="仿宋" w:hAnsi="仿宋" w:eastAsia="仿宋"/>
          <w:sz w:val="28"/>
          <w:szCs w:val="28"/>
        </w:rPr>
        <w:t>等一切费用支出。</w:t>
      </w:r>
    </w:p>
    <w:p w14:paraId="7FF0CEE0">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rPr>
      </w:pPr>
    </w:p>
    <w:p w14:paraId="3F0C8089">
      <w:pPr>
        <w:autoSpaceDE w:val="0"/>
        <w:autoSpaceDN w:val="0"/>
        <w:adjustRightInd w:val="0"/>
        <w:snapToGrid w:val="0"/>
        <w:spacing w:before="62" w:beforeLines="20" w:after="62" w:afterLines="20" w:line="360" w:lineRule="auto"/>
        <w:ind w:firstLine="562" w:firstLineChars="200"/>
        <w:rPr>
          <w:rFonts w:ascii="仿宋" w:hAnsi="仿宋" w:eastAsia="仿宋"/>
          <w:b/>
          <w:sz w:val="28"/>
          <w:szCs w:val="28"/>
        </w:rPr>
      </w:pPr>
      <w:r>
        <w:rPr>
          <w:rFonts w:hint="eastAsia" w:ascii="仿宋" w:hAnsi="仿宋" w:eastAsia="仿宋"/>
          <w:b/>
          <w:sz w:val="28"/>
          <w:szCs w:val="28"/>
        </w:rPr>
        <w:t>十一、保密和非竞争</w:t>
      </w:r>
    </w:p>
    <w:p w14:paraId="6D1F72EF">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lang w:val="zh-CN"/>
        </w:rPr>
      </w:pPr>
      <w:r>
        <w:rPr>
          <w:rFonts w:hint="eastAsia" w:ascii="仿宋" w:hAnsi="仿宋" w:eastAsia="仿宋"/>
          <w:sz w:val="28"/>
          <w:szCs w:val="28"/>
        </w:rPr>
        <w:t>11</w:t>
      </w:r>
      <w:r>
        <w:rPr>
          <w:rFonts w:ascii="仿宋" w:hAnsi="仿宋" w:eastAsia="仿宋"/>
          <w:sz w:val="28"/>
          <w:szCs w:val="28"/>
          <w:lang w:val="zh-CN"/>
        </w:rPr>
        <w:t xml:space="preserve">.1任何一方均应对其因签署和履行本合同而自另一方获得的任何信息（无论以口头告知或提供书面文件、电子数据或任 </w:t>
      </w:r>
      <w:r>
        <w:rPr>
          <w:rFonts w:hint="eastAsia" w:ascii="仿宋" w:hAnsi="仿宋" w:eastAsia="仿宋"/>
          <w:sz w:val="28"/>
          <w:szCs w:val="28"/>
          <w:lang w:val="zh-CN"/>
        </w:rPr>
        <w:t>何其他形式，也无论是否标记为保密性质，下称“保密信息”）承担保密责任，未经另一方事先书面许可，不得未经授权使用、传播或公开保密信息。并且，获得保密信息的一方应且仅可将保密信息并用于履行其在本合同项下的义务，并应采取适当和有效的方式对保密信息进行保护，并严格限制在其为履行本合同必要的技术人员范围内披露。</w:t>
      </w:r>
    </w:p>
    <w:p w14:paraId="1F4D2DC3">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11</w:t>
      </w:r>
      <w:r>
        <w:rPr>
          <w:rFonts w:ascii="仿宋" w:hAnsi="仿宋" w:eastAsia="仿宋"/>
          <w:sz w:val="28"/>
          <w:szCs w:val="28"/>
          <w:lang w:val="zh-CN"/>
        </w:rPr>
        <w:t>.2甲、乙双方同意，在本合同期限内以及本合同终止后</w:t>
      </w:r>
      <w:r>
        <w:rPr>
          <w:rFonts w:hint="eastAsia" w:ascii="仿宋" w:hAnsi="仿宋" w:eastAsia="仿宋"/>
          <w:sz w:val="28"/>
          <w:szCs w:val="28"/>
          <w:lang w:val="zh-CN"/>
        </w:rPr>
        <w:t>，其不得使用自另一方获得的保密信息从事与另一方有竞争性的业务，也不得采取任何方式聘用与本合同的签订和履行有关的另一方的技术或管理人员。</w:t>
      </w:r>
    </w:p>
    <w:p w14:paraId="771A4E4F">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11</w:t>
      </w:r>
      <w:r>
        <w:rPr>
          <w:rFonts w:ascii="仿宋" w:hAnsi="仿宋" w:eastAsia="仿宋"/>
          <w:sz w:val="28"/>
          <w:szCs w:val="28"/>
          <w:lang w:val="zh-CN"/>
        </w:rPr>
        <w:t>.3本</w:t>
      </w:r>
      <w:r>
        <w:rPr>
          <w:rFonts w:hint="eastAsia" w:ascii="仿宋" w:hAnsi="仿宋" w:eastAsia="仿宋"/>
          <w:sz w:val="28"/>
          <w:szCs w:val="28"/>
          <w:lang w:val="zh-CN"/>
        </w:rPr>
        <w:t>合同</w:t>
      </w:r>
      <w:r>
        <w:rPr>
          <w:rFonts w:ascii="仿宋" w:hAnsi="仿宋" w:eastAsia="仿宋"/>
          <w:sz w:val="28"/>
          <w:szCs w:val="28"/>
          <w:lang w:val="zh-CN"/>
        </w:rPr>
        <w:t>规定的保密义务不适用于以下情况：</w:t>
      </w:r>
    </w:p>
    <w:p w14:paraId="47FF1638">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11</w:t>
      </w:r>
      <w:r>
        <w:rPr>
          <w:rFonts w:ascii="仿宋" w:hAnsi="仿宋" w:eastAsia="仿宋"/>
          <w:sz w:val="28"/>
          <w:szCs w:val="28"/>
          <w:lang w:val="zh-CN"/>
        </w:rPr>
        <w:t>.3.1获取保密信息的一方在另一方披露之前，已经或可以通过合法渠道获</w:t>
      </w:r>
      <w:r>
        <w:rPr>
          <w:rFonts w:hint="eastAsia" w:ascii="仿宋" w:hAnsi="仿宋" w:eastAsia="仿宋"/>
          <w:sz w:val="28"/>
          <w:szCs w:val="28"/>
          <w:lang w:val="zh-CN"/>
        </w:rPr>
        <w:t>取该信息；</w:t>
      </w:r>
    </w:p>
    <w:p w14:paraId="38D4F081">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11</w:t>
      </w:r>
      <w:r>
        <w:rPr>
          <w:rFonts w:ascii="仿宋" w:hAnsi="仿宋" w:eastAsia="仿宋"/>
          <w:sz w:val="28"/>
          <w:szCs w:val="28"/>
          <w:lang w:val="zh-CN"/>
        </w:rPr>
        <w:t>.3.2获取该信息一方从第三人处合法获取且不承担保密义务；</w:t>
      </w:r>
    </w:p>
    <w:p w14:paraId="24FCEB9A">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11</w:t>
      </w:r>
      <w:r>
        <w:rPr>
          <w:rFonts w:ascii="仿宋" w:hAnsi="仿宋" w:eastAsia="仿宋"/>
          <w:sz w:val="28"/>
          <w:szCs w:val="28"/>
          <w:lang w:val="zh-CN"/>
        </w:rPr>
        <w:t>.3.3适用法律法规强制披露或根据法院或政府部门的命令进行披露。</w:t>
      </w:r>
    </w:p>
    <w:p w14:paraId="748F0DE0">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11</w:t>
      </w:r>
      <w:r>
        <w:rPr>
          <w:rFonts w:ascii="仿宋" w:hAnsi="仿宋" w:eastAsia="仿宋"/>
          <w:sz w:val="28"/>
          <w:szCs w:val="28"/>
          <w:lang w:val="zh-CN"/>
        </w:rPr>
        <w:t>.3.4在接受方承诺保密的前提下，</w:t>
      </w:r>
      <w:r>
        <w:rPr>
          <w:rFonts w:hint="eastAsia" w:ascii="仿宋" w:hAnsi="仿宋" w:eastAsia="仿宋"/>
          <w:sz w:val="28"/>
          <w:szCs w:val="28"/>
          <w:lang w:val="zh-CN"/>
        </w:rPr>
        <w:t>一方向其法律顾问、注册会计师或其他专业顾问披露；</w:t>
      </w:r>
    </w:p>
    <w:p w14:paraId="5A9BFC4D">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11</w:t>
      </w:r>
      <w:r>
        <w:rPr>
          <w:rFonts w:ascii="仿宋" w:hAnsi="仿宋" w:eastAsia="仿宋"/>
          <w:sz w:val="28"/>
          <w:szCs w:val="28"/>
          <w:lang w:val="zh-CN"/>
        </w:rPr>
        <w:t>.3.5一方发生改制、重组、收购、兼并或相类似的情形（仅可在接受方承诺保密的前提下披露）。</w:t>
      </w:r>
    </w:p>
    <w:p w14:paraId="3453A29F">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lang w:val="zh-CN"/>
        </w:rPr>
      </w:pPr>
      <w:r>
        <w:rPr>
          <w:rFonts w:hint="eastAsia" w:ascii="仿宋" w:hAnsi="仿宋" w:eastAsia="仿宋"/>
          <w:sz w:val="28"/>
          <w:szCs w:val="28"/>
          <w:lang w:val="zh-CN"/>
        </w:rPr>
        <w:t>11</w:t>
      </w:r>
      <w:r>
        <w:rPr>
          <w:rFonts w:ascii="仿宋" w:hAnsi="仿宋" w:eastAsia="仿宋"/>
          <w:sz w:val="28"/>
          <w:szCs w:val="28"/>
          <w:lang w:val="zh-CN"/>
        </w:rPr>
        <w:t>.4任何一方因不履行上述保密义务给对方造成损害的，应按对方实际损失承担赔偿责任。</w:t>
      </w:r>
    </w:p>
    <w:p w14:paraId="6FFBADA3">
      <w:pPr>
        <w:autoSpaceDE w:val="0"/>
        <w:autoSpaceDN w:val="0"/>
        <w:adjustRightInd w:val="0"/>
        <w:snapToGrid w:val="0"/>
        <w:spacing w:before="62" w:beforeLines="20" w:after="62" w:afterLines="20" w:line="360" w:lineRule="auto"/>
        <w:ind w:firstLine="560" w:firstLineChars="200"/>
        <w:rPr>
          <w:rFonts w:ascii="仿宋" w:hAnsi="仿宋" w:eastAsia="仿宋"/>
          <w:sz w:val="28"/>
          <w:szCs w:val="28"/>
          <w:lang w:val="zh-CN"/>
        </w:rPr>
      </w:pPr>
    </w:p>
    <w:p w14:paraId="12DC4E36">
      <w:pPr>
        <w:snapToGrid w:val="0"/>
        <w:spacing w:before="62" w:beforeLines="20" w:after="62" w:afterLines="20" w:line="360" w:lineRule="auto"/>
        <w:ind w:right="-86" w:rightChars="-41" w:firstLine="562" w:firstLineChars="200"/>
        <w:outlineLvl w:val="0"/>
        <w:rPr>
          <w:rFonts w:ascii="仿宋" w:hAnsi="仿宋" w:eastAsia="仿宋"/>
          <w:b/>
          <w:sz w:val="28"/>
          <w:szCs w:val="28"/>
        </w:rPr>
      </w:pPr>
      <w:r>
        <w:rPr>
          <w:rFonts w:hint="eastAsia" w:ascii="仿宋" w:hAnsi="仿宋" w:eastAsia="仿宋"/>
          <w:b/>
          <w:sz w:val="28"/>
          <w:szCs w:val="28"/>
        </w:rPr>
        <w:t>十二、不可抗力</w:t>
      </w:r>
      <w:r>
        <w:rPr>
          <w:rFonts w:ascii="仿宋" w:hAnsi="仿宋" w:eastAsia="仿宋"/>
          <w:b/>
          <w:sz w:val="28"/>
          <w:szCs w:val="28"/>
        </w:rPr>
        <w:t xml:space="preserve"> </w:t>
      </w:r>
    </w:p>
    <w:p w14:paraId="38394C90">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12</w:t>
      </w:r>
      <w:r>
        <w:rPr>
          <w:rFonts w:ascii="仿宋" w:hAnsi="仿宋" w:eastAsia="仿宋" w:cs="宋体"/>
          <w:sz w:val="28"/>
          <w:szCs w:val="28"/>
        </w:rPr>
        <w:t>.1 不可抗力是指本协议生效后，发生不能预见并且对其发生和后果不能防止或避免</w:t>
      </w:r>
      <w:r>
        <w:rPr>
          <w:rFonts w:hint="eastAsia" w:ascii="仿宋" w:hAnsi="仿宋" w:eastAsia="仿宋" w:cs="宋体"/>
          <w:sz w:val="28"/>
          <w:szCs w:val="28"/>
        </w:rPr>
        <w:t>且人力不可抗拒</w:t>
      </w:r>
      <w:r>
        <w:rPr>
          <w:rFonts w:ascii="仿宋" w:hAnsi="仿宋" w:eastAsia="仿宋" w:cs="宋体"/>
          <w:sz w:val="28"/>
          <w:szCs w:val="28"/>
        </w:rPr>
        <w:t>的事件，如地震、</w:t>
      </w:r>
      <w:r>
        <w:rPr>
          <w:rFonts w:hint="eastAsia" w:ascii="仿宋" w:hAnsi="仿宋" w:eastAsia="仿宋" w:cs="宋体"/>
          <w:sz w:val="28"/>
          <w:szCs w:val="28"/>
        </w:rPr>
        <w:t>灾害性天气</w:t>
      </w:r>
      <w:r>
        <w:rPr>
          <w:rFonts w:ascii="仿宋" w:hAnsi="仿宋" w:eastAsia="仿宋" w:cs="宋体"/>
          <w:sz w:val="28"/>
          <w:szCs w:val="28"/>
        </w:rPr>
        <w:t>、水灾、火灾、战争等，致使直接影响本协议的履行或不能按约定的条件履行。</w:t>
      </w:r>
    </w:p>
    <w:p w14:paraId="4DA3456E">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12</w:t>
      </w:r>
      <w:r>
        <w:rPr>
          <w:rFonts w:ascii="仿宋" w:hAnsi="仿宋" w:eastAsia="仿宋" w:cs="宋体"/>
          <w:sz w:val="28"/>
          <w:szCs w:val="28"/>
        </w:rPr>
        <w:t>.2 发生不可抗力的一方应立即通知对方，并在十五天内提供不可抗力的详情及将有关证明文件送交对方。</w:t>
      </w:r>
    </w:p>
    <w:p w14:paraId="48AA58F4">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12</w:t>
      </w:r>
      <w:r>
        <w:rPr>
          <w:rFonts w:ascii="仿宋" w:hAnsi="仿宋" w:eastAsia="仿宋" w:cs="宋体"/>
          <w:sz w:val="28"/>
          <w:szCs w:val="28"/>
        </w:rPr>
        <w:t>.3 发生不可抗力事件时，甲乙双方应协商以寻找一个合理的解决方法，并尽一切努力减轻不可抗力产生的后果。</w:t>
      </w:r>
    </w:p>
    <w:p w14:paraId="5FC49894">
      <w:pPr>
        <w:spacing w:before="48" w:after="48" w:line="360" w:lineRule="auto"/>
        <w:ind w:firstLine="560" w:firstLineChars="200"/>
        <w:rPr>
          <w:rFonts w:ascii="仿宋" w:hAnsi="仿宋" w:eastAsia="仿宋" w:cs="宋体"/>
          <w:sz w:val="28"/>
          <w:szCs w:val="28"/>
        </w:rPr>
      </w:pPr>
      <w:r>
        <w:rPr>
          <w:rFonts w:hint="eastAsia" w:ascii="仿宋" w:hAnsi="仿宋" w:eastAsia="仿宋" w:cs="宋体"/>
          <w:sz w:val="28"/>
          <w:szCs w:val="28"/>
        </w:rPr>
        <w:t>12</w:t>
      </w:r>
      <w:r>
        <w:rPr>
          <w:rFonts w:ascii="仿宋" w:hAnsi="仿宋" w:eastAsia="仿宋" w:cs="宋体"/>
          <w:sz w:val="28"/>
          <w:szCs w:val="28"/>
        </w:rPr>
        <w:t>.4 如不可抗力事件持续三十天时，甲乙双方应友好协商解决本协议是否继续履行或终止的问题。</w:t>
      </w:r>
      <w:r>
        <w:rPr>
          <w:rFonts w:hint="eastAsia" w:ascii="仿宋" w:hAnsi="仿宋" w:eastAsia="仿宋" w:cs="宋体"/>
          <w:sz w:val="28"/>
          <w:szCs w:val="28"/>
        </w:rPr>
        <w:t>因不可抗力事件导致的费用损失，由甲、乙双方各自承担自己的损失。</w:t>
      </w:r>
    </w:p>
    <w:p w14:paraId="7C92F4D0">
      <w:pPr>
        <w:spacing w:before="48" w:after="48" w:line="360" w:lineRule="auto"/>
        <w:ind w:firstLine="560" w:firstLineChars="200"/>
        <w:rPr>
          <w:rFonts w:ascii="仿宋" w:hAnsi="仿宋" w:eastAsia="仿宋" w:cs="宋体"/>
          <w:sz w:val="28"/>
          <w:szCs w:val="28"/>
        </w:rPr>
      </w:pPr>
      <w:r>
        <w:rPr>
          <w:rFonts w:hint="eastAsia" w:ascii="仿宋" w:hAnsi="仿宋" w:eastAsia="仿宋" w:cs="宋体"/>
          <w:sz w:val="28"/>
          <w:szCs w:val="28"/>
        </w:rPr>
        <w:t>12.5对不可抗力事件导致的工期延误，除非一次影响工期延误大于30天，否则竣工日期不变，分段工期或者节点工期可以延误，但乙方应当在下一个节点或分段竣工日前赶回。</w:t>
      </w:r>
    </w:p>
    <w:p w14:paraId="03D5CB41">
      <w:pPr>
        <w:spacing w:before="48" w:after="48" w:line="360" w:lineRule="auto"/>
        <w:ind w:firstLine="560" w:firstLineChars="200"/>
        <w:rPr>
          <w:rFonts w:ascii="仿宋" w:hAnsi="仿宋" w:eastAsia="仿宋" w:cs="宋体"/>
          <w:sz w:val="28"/>
          <w:szCs w:val="28"/>
        </w:rPr>
      </w:pPr>
    </w:p>
    <w:p w14:paraId="32FDB91D">
      <w:pPr>
        <w:autoSpaceDE w:val="0"/>
        <w:autoSpaceDN w:val="0"/>
        <w:adjustRightInd w:val="0"/>
        <w:snapToGrid w:val="0"/>
        <w:spacing w:before="62" w:beforeLines="20" w:after="62" w:afterLines="20" w:line="360" w:lineRule="auto"/>
        <w:ind w:firstLine="562" w:firstLineChars="200"/>
        <w:outlineLvl w:val="0"/>
        <w:rPr>
          <w:rFonts w:ascii="仿宋" w:hAnsi="仿宋" w:eastAsia="仿宋" w:cs="仿宋_GB2312"/>
          <w:sz w:val="28"/>
          <w:szCs w:val="28"/>
          <w:lang w:val="zh-CN"/>
        </w:rPr>
      </w:pPr>
      <w:r>
        <w:rPr>
          <w:rFonts w:hint="eastAsia" w:ascii="仿宋" w:hAnsi="仿宋" w:eastAsia="仿宋" w:cs="宋体"/>
          <w:b/>
          <w:sz w:val="28"/>
          <w:szCs w:val="28"/>
        </w:rPr>
        <w:t>十三、文字约定和档案管理</w:t>
      </w:r>
    </w:p>
    <w:p w14:paraId="0660E998">
      <w:pPr>
        <w:autoSpaceDE w:val="0"/>
        <w:autoSpaceDN w:val="0"/>
        <w:adjustRightInd w:val="0"/>
        <w:snapToGrid w:val="0"/>
        <w:spacing w:before="62" w:beforeLines="20" w:after="62" w:afterLines="20" w:line="360" w:lineRule="auto"/>
        <w:ind w:firstLine="560" w:firstLineChars="200"/>
        <w:outlineLvl w:val="0"/>
        <w:rPr>
          <w:rFonts w:ascii="仿宋" w:hAnsi="仿宋" w:eastAsia="仿宋" w:cs="仿宋_GB2312"/>
          <w:sz w:val="28"/>
          <w:szCs w:val="28"/>
          <w:lang w:val="zh-CN"/>
        </w:rPr>
      </w:pPr>
      <w:r>
        <w:rPr>
          <w:rFonts w:hint="eastAsia" w:ascii="仿宋" w:hAnsi="仿宋" w:eastAsia="仿宋" w:cs="仿宋_GB2312"/>
          <w:sz w:val="28"/>
          <w:szCs w:val="28"/>
          <w:lang w:val="zh-CN"/>
        </w:rPr>
        <w:t>13.1本合同及补充协议、以及甲方与乙方来往文件只用中文书写。</w:t>
      </w:r>
    </w:p>
    <w:p w14:paraId="0E9B422B">
      <w:pPr>
        <w:autoSpaceDE w:val="0"/>
        <w:autoSpaceDN w:val="0"/>
        <w:adjustRightInd w:val="0"/>
        <w:snapToGrid w:val="0"/>
        <w:spacing w:before="62" w:beforeLines="20" w:after="62" w:afterLines="20" w:line="360" w:lineRule="auto"/>
        <w:ind w:firstLine="560" w:firstLineChars="200"/>
        <w:outlineLvl w:val="0"/>
        <w:rPr>
          <w:rFonts w:ascii="仿宋" w:hAnsi="仿宋" w:eastAsia="仿宋" w:cs="仿宋_GB2312"/>
          <w:sz w:val="28"/>
          <w:szCs w:val="28"/>
          <w:lang w:val="zh-CN"/>
        </w:rPr>
      </w:pPr>
      <w:r>
        <w:rPr>
          <w:rFonts w:hint="eastAsia" w:ascii="仿宋" w:hAnsi="仿宋" w:eastAsia="仿宋" w:cs="仿宋_GB2312"/>
          <w:sz w:val="28"/>
          <w:szCs w:val="28"/>
          <w:lang w:val="zh-CN"/>
        </w:rPr>
        <w:t>13.2方案设计所有提交给甲方的设计文件和资料均采用中文书写。</w:t>
      </w:r>
    </w:p>
    <w:p w14:paraId="2580D0C0">
      <w:pPr>
        <w:autoSpaceDE w:val="0"/>
        <w:autoSpaceDN w:val="0"/>
        <w:adjustRightInd w:val="0"/>
        <w:snapToGrid w:val="0"/>
        <w:spacing w:before="62" w:beforeLines="20" w:after="62" w:afterLines="20" w:line="360" w:lineRule="auto"/>
        <w:ind w:firstLine="560" w:firstLineChars="200"/>
        <w:outlineLvl w:val="0"/>
        <w:rPr>
          <w:rFonts w:ascii="仿宋" w:hAnsi="仿宋" w:eastAsia="仿宋" w:cs="仿宋_GB2312"/>
          <w:sz w:val="28"/>
          <w:szCs w:val="28"/>
          <w:lang w:val="zh-CN"/>
        </w:rPr>
      </w:pPr>
      <w:r>
        <w:rPr>
          <w:rFonts w:hint="eastAsia" w:ascii="仿宋" w:hAnsi="仿宋" w:eastAsia="仿宋" w:cs="仿宋_GB2312"/>
          <w:sz w:val="28"/>
          <w:szCs w:val="28"/>
          <w:lang w:val="zh-CN"/>
        </w:rPr>
        <w:t>13.3档案管理：</w:t>
      </w:r>
    </w:p>
    <w:p w14:paraId="6A5A776E">
      <w:pPr>
        <w:autoSpaceDE w:val="0"/>
        <w:autoSpaceDN w:val="0"/>
        <w:adjustRightInd w:val="0"/>
        <w:snapToGrid w:val="0"/>
        <w:spacing w:before="62" w:beforeLines="20" w:after="62" w:afterLines="20" w:line="360" w:lineRule="auto"/>
        <w:ind w:firstLine="560" w:firstLineChars="200"/>
        <w:outlineLvl w:val="0"/>
        <w:rPr>
          <w:rFonts w:ascii="仿宋" w:hAnsi="仿宋" w:eastAsia="仿宋" w:cs="仿宋_GB2312"/>
          <w:sz w:val="28"/>
          <w:szCs w:val="28"/>
          <w:lang w:val="zh-CN"/>
        </w:rPr>
      </w:pPr>
      <w:r>
        <w:rPr>
          <w:rFonts w:hint="eastAsia" w:ascii="仿宋" w:hAnsi="仿宋" w:eastAsia="仿宋" w:cs="仿宋_GB2312"/>
          <w:sz w:val="28"/>
          <w:szCs w:val="28"/>
          <w:lang w:val="zh-CN"/>
        </w:rPr>
        <w:t>13.3.1 要执行甲方有关工程档案管理的各项规定，乙方所提交的档案案卷质量要符合甲方要求。</w:t>
      </w:r>
    </w:p>
    <w:p w14:paraId="4413D7AE">
      <w:pPr>
        <w:autoSpaceDE w:val="0"/>
        <w:autoSpaceDN w:val="0"/>
        <w:adjustRightInd w:val="0"/>
        <w:snapToGrid w:val="0"/>
        <w:spacing w:before="62" w:beforeLines="20" w:after="62" w:afterLines="20" w:line="360" w:lineRule="auto"/>
        <w:ind w:firstLine="560" w:firstLineChars="200"/>
        <w:outlineLvl w:val="0"/>
        <w:rPr>
          <w:rFonts w:ascii="仿宋" w:hAnsi="仿宋" w:eastAsia="仿宋" w:cs="仿宋_GB2312"/>
          <w:sz w:val="28"/>
          <w:szCs w:val="28"/>
          <w:lang w:val="zh-CN"/>
        </w:rPr>
      </w:pPr>
      <w:r>
        <w:rPr>
          <w:rFonts w:hint="eastAsia" w:ascii="仿宋" w:hAnsi="仿宋" w:eastAsia="仿宋" w:cs="仿宋_GB2312"/>
          <w:sz w:val="28"/>
          <w:szCs w:val="28"/>
          <w:lang w:val="zh-CN"/>
        </w:rPr>
        <w:t>13.3.2乙方向甲方提交一式</w:t>
      </w:r>
      <w:r>
        <w:rPr>
          <w:rFonts w:hint="eastAsia" w:ascii="仿宋" w:hAnsi="仿宋" w:eastAsia="仿宋" w:cs="仿宋_GB2312"/>
          <w:sz w:val="28"/>
          <w:szCs w:val="28"/>
          <w:u w:val="single"/>
          <w:lang w:val="zh-CN"/>
        </w:rPr>
        <w:t>三</w:t>
      </w:r>
      <w:r>
        <w:rPr>
          <w:rFonts w:hint="eastAsia" w:ascii="仿宋" w:hAnsi="仿宋" w:eastAsia="仿宋" w:cs="仿宋_GB2312"/>
          <w:sz w:val="28"/>
          <w:szCs w:val="28"/>
          <w:lang w:val="zh-CN"/>
        </w:rPr>
        <w:t>套的档案（含电子版文件）。</w:t>
      </w:r>
    </w:p>
    <w:p w14:paraId="2658AC63">
      <w:pPr>
        <w:autoSpaceDE w:val="0"/>
        <w:autoSpaceDN w:val="0"/>
        <w:adjustRightInd w:val="0"/>
        <w:snapToGrid w:val="0"/>
        <w:spacing w:before="62" w:beforeLines="20" w:after="62" w:afterLines="20" w:line="360" w:lineRule="auto"/>
        <w:ind w:firstLine="560" w:firstLineChars="200"/>
        <w:outlineLvl w:val="0"/>
        <w:rPr>
          <w:rFonts w:ascii="仿宋" w:hAnsi="仿宋" w:eastAsia="仿宋" w:cs="仿宋_GB2312"/>
          <w:sz w:val="28"/>
          <w:szCs w:val="28"/>
          <w:lang w:val="zh-CN"/>
        </w:rPr>
      </w:pPr>
      <w:r>
        <w:rPr>
          <w:rFonts w:hint="eastAsia" w:ascii="仿宋" w:hAnsi="仿宋" w:eastAsia="仿宋" w:cs="仿宋_GB2312"/>
          <w:sz w:val="28"/>
          <w:szCs w:val="28"/>
          <w:lang w:val="zh-CN"/>
        </w:rPr>
        <w:t>13.3.3 单项或分部工程竣工一个月后，乙方应向甲方提出申请，经检查合格，三个月内必须办理移交手续。</w:t>
      </w:r>
    </w:p>
    <w:p w14:paraId="76D153E8">
      <w:pPr>
        <w:autoSpaceDE w:val="0"/>
        <w:autoSpaceDN w:val="0"/>
        <w:adjustRightInd w:val="0"/>
        <w:snapToGrid w:val="0"/>
        <w:spacing w:before="62" w:beforeLines="20" w:after="62" w:afterLines="20" w:line="360" w:lineRule="auto"/>
        <w:ind w:firstLine="560" w:firstLineChars="200"/>
        <w:outlineLvl w:val="0"/>
        <w:rPr>
          <w:rFonts w:ascii="仿宋" w:hAnsi="仿宋" w:eastAsia="仿宋" w:cs="仿宋_GB2312"/>
          <w:sz w:val="28"/>
          <w:szCs w:val="28"/>
          <w:lang w:val="zh-CN"/>
        </w:rPr>
      </w:pPr>
      <w:r>
        <w:rPr>
          <w:rFonts w:hint="eastAsia" w:ascii="仿宋" w:hAnsi="仿宋" w:eastAsia="仿宋" w:cs="仿宋_GB2312"/>
          <w:sz w:val="28"/>
          <w:szCs w:val="28"/>
          <w:lang w:val="zh-CN"/>
        </w:rPr>
        <w:t>13.3.4 乙方所提交的工程档案若达不到合同要求，不予办理结算，直至档案移交验收合格。</w:t>
      </w:r>
    </w:p>
    <w:p w14:paraId="640A6835">
      <w:pPr>
        <w:autoSpaceDE w:val="0"/>
        <w:autoSpaceDN w:val="0"/>
        <w:adjustRightInd w:val="0"/>
        <w:snapToGrid w:val="0"/>
        <w:spacing w:before="62" w:beforeLines="20" w:after="62" w:afterLines="20" w:line="360" w:lineRule="auto"/>
        <w:ind w:firstLine="560" w:firstLineChars="200"/>
        <w:outlineLvl w:val="0"/>
        <w:rPr>
          <w:rFonts w:ascii="仿宋" w:hAnsi="仿宋" w:eastAsia="仿宋" w:cs="仿宋_GB2312"/>
          <w:sz w:val="28"/>
          <w:szCs w:val="28"/>
          <w:lang w:val="zh-CN"/>
        </w:rPr>
      </w:pPr>
    </w:p>
    <w:p w14:paraId="318E2D82">
      <w:pPr>
        <w:autoSpaceDE w:val="0"/>
        <w:autoSpaceDN w:val="0"/>
        <w:adjustRightInd w:val="0"/>
        <w:snapToGrid w:val="0"/>
        <w:spacing w:before="62" w:beforeLines="20" w:after="62" w:afterLines="20" w:line="360" w:lineRule="auto"/>
        <w:ind w:firstLine="562" w:firstLineChars="200"/>
        <w:outlineLvl w:val="0"/>
        <w:rPr>
          <w:rFonts w:ascii="仿宋" w:hAnsi="仿宋" w:eastAsia="仿宋"/>
          <w:b/>
          <w:bCs/>
          <w:kern w:val="0"/>
          <w:sz w:val="28"/>
          <w:szCs w:val="28"/>
          <w:lang w:val="zh-CN"/>
        </w:rPr>
      </w:pPr>
      <w:r>
        <w:rPr>
          <w:rFonts w:hint="eastAsia" w:ascii="仿宋" w:hAnsi="仿宋" w:eastAsia="仿宋" w:cs="仿宋_GB2312"/>
          <w:b/>
          <w:bCs/>
          <w:kern w:val="0"/>
          <w:sz w:val="28"/>
          <w:szCs w:val="28"/>
          <w:lang w:val="zh-CN"/>
        </w:rPr>
        <w:t>十四、争议的解决</w:t>
      </w:r>
    </w:p>
    <w:p w14:paraId="2F65ED4C">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14.1适用法律、标准及规范</w:t>
      </w:r>
    </w:p>
    <w:p w14:paraId="255E36AE">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乙方交付的设计成果文件应符合国家的有关法律、法规、规章的规定和相关的工程设计技术规范、规定及标准的要求。设计中如遇国家和地方无相应规范、标准、依据的，由乙方提出建议，由甲方报送有关主管部门审查确认所采用的标准、规定、依据或其解释。</w:t>
      </w:r>
    </w:p>
    <w:p w14:paraId="1E95BCA3">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14.2乙方无条件承诺：争议发生后，乙方必须在做好现场证据保全后继续按照合同要求工作，不得以解决争议为由单方面停工，或者以争议解决需要时日为由拖延工作任务。否则，甲方有权视实际情况记乙方违约责任直至先行解除与乙方的合同，合同的解除不影响甲方其另行解决争议和索赔的权利。</w:t>
      </w:r>
    </w:p>
    <w:p w14:paraId="4A385B25">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14.3在合同争议解决过程中，除接受诉讼或仲裁的部分之外，其他合同条款甲、乙双方均须继续履行。乙方对甲方依本合同违约责任的约定解除合同的，双方应协商解决争议；无法协商而通过诉讼或仲裁方式解决争议的，乙方除应及时移交材料和退场外，不得妨碍甲方另行委托他人实施本建设项目的工作。</w:t>
      </w:r>
    </w:p>
    <w:p w14:paraId="50572A1E">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p>
    <w:p w14:paraId="22500C78">
      <w:pPr>
        <w:tabs>
          <w:tab w:val="left" w:pos="0"/>
        </w:tabs>
        <w:snapToGrid w:val="0"/>
        <w:spacing w:before="62" w:beforeLines="20" w:after="62" w:afterLines="20" w:line="360" w:lineRule="auto"/>
        <w:ind w:firstLine="562" w:firstLineChars="200"/>
        <w:rPr>
          <w:rFonts w:ascii="仿宋" w:hAnsi="仿宋" w:eastAsia="仿宋" w:cs="仿宋_GB2312"/>
          <w:b/>
          <w:sz w:val="28"/>
          <w:szCs w:val="28"/>
          <w:lang w:val="zh-CN"/>
        </w:rPr>
      </w:pPr>
      <w:r>
        <w:rPr>
          <w:rFonts w:hint="eastAsia" w:ascii="仿宋" w:hAnsi="仿宋" w:eastAsia="仿宋" w:cs="仿宋_GB2312"/>
          <w:b/>
          <w:sz w:val="28"/>
          <w:szCs w:val="28"/>
          <w:lang w:val="zh-CN"/>
        </w:rPr>
        <w:t>十五、合同的变更与解除</w:t>
      </w:r>
    </w:p>
    <w:p w14:paraId="71D3FA45">
      <w:pPr>
        <w:autoSpaceDE w:val="0"/>
        <w:autoSpaceDN w:val="0"/>
        <w:adjustRightInd w:val="0"/>
        <w:snapToGrid w:val="0"/>
        <w:spacing w:before="62" w:beforeLines="20" w:after="62" w:afterLines="20" w:line="360" w:lineRule="auto"/>
        <w:ind w:firstLine="560" w:firstLineChars="200"/>
        <w:outlineLvl w:val="0"/>
        <w:rPr>
          <w:rFonts w:ascii="仿宋" w:hAnsi="仿宋" w:eastAsia="仿宋"/>
          <w:sz w:val="28"/>
          <w:szCs w:val="28"/>
        </w:rPr>
      </w:pPr>
      <w:r>
        <w:rPr>
          <w:rFonts w:hint="eastAsia" w:ascii="仿宋" w:hAnsi="仿宋" w:eastAsia="仿宋"/>
          <w:sz w:val="28"/>
          <w:szCs w:val="28"/>
        </w:rPr>
        <w:t>15.1本合同修改、补充、变更须经双方协商一致，并签署书面协议。</w:t>
      </w:r>
    </w:p>
    <w:p w14:paraId="639E16D0">
      <w:pPr>
        <w:tabs>
          <w:tab w:val="left" w:pos="0"/>
        </w:tabs>
        <w:snapToGrid w:val="0"/>
        <w:spacing w:before="62" w:beforeLines="20" w:after="62" w:afterLines="20" w:line="360" w:lineRule="auto"/>
        <w:ind w:firstLine="560" w:firstLineChars="200"/>
        <w:rPr>
          <w:rFonts w:ascii="仿宋" w:hAnsi="仿宋" w:eastAsia="仿宋"/>
          <w:bCs/>
          <w:sz w:val="28"/>
          <w:szCs w:val="28"/>
        </w:rPr>
      </w:pPr>
      <w:r>
        <w:rPr>
          <w:rFonts w:hint="eastAsia" w:ascii="仿宋" w:hAnsi="仿宋" w:eastAsia="仿宋"/>
          <w:bCs/>
          <w:sz w:val="28"/>
          <w:szCs w:val="28"/>
        </w:rPr>
        <w:t>15.2 本合同未尽事宜，双方可签订补充合同对有关问题做出补充、说明、解释。本合同的补充合同为本合同不可分割的一部份，与正文具有同等法律效力。</w:t>
      </w:r>
    </w:p>
    <w:p w14:paraId="0A55141C">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15.3乙方应在合同有效期内保持企业法人营业执照、组织机构代码证及针对该项目的专业性资质等资质资料的有效性，如在合同有效期内上述证件失效且乙方无法提供新的有效证件（复印件），除乙方可以提供由相关行政部门出具延期领取新证件的回执外，甲方有权解除该合同。</w:t>
      </w:r>
    </w:p>
    <w:p w14:paraId="21E719A3">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15.4如中标供应商为中小企业，则将按照国家相关法律法规要求调整有关合同条款。</w:t>
      </w:r>
    </w:p>
    <w:p w14:paraId="6C05067A">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p>
    <w:p w14:paraId="7E4C5DD2">
      <w:pPr>
        <w:tabs>
          <w:tab w:val="left" w:pos="0"/>
        </w:tabs>
        <w:snapToGrid w:val="0"/>
        <w:spacing w:before="62" w:beforeLines="20" w:after="62" w:afterLines="20" w:line="360" w:lineRule="auto"/>
        <w:ind w:firstLine="562" w:firstLineChars="200"/>
        <w:rPr>
          <w:rFonts w:ascii="仿宋" w:hAnsi="仿宋" w:eastAsia="仿宋" w:cs="仿宋_GB2312"/>
          <w:b/>
          <w:sz w:val="28"/>
          <w:szCs w:val="28"/>
          <w:lang w:val="zh-CN"/>
        </w:rPr>
      </w:pPr>
      <w:r>
        <w:rPr>
          <w:rFonts w:hint="eastAsia" w:ascii="仿宋" w:hAnsi="仿宋" w:eastAsia="仿宋" w:cs="仿宋_GB2312"/>
          <w:b/>
          <w:sz w:val="28"/>
          <w:szCs w:val="28"/>
          <w:lang w:val="zh-CN"/>
        </w:rPr>
        <w:t>十六、项目联系人与通知方式</w:t>
      </w:r>
    </w:p>
    <w:p w14:paraId="2FFF136C">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r>
        <w:rPr>
          <w:rFonts w:ascii="仿宋" w:hAnsi="仿宋" w:eastAsia="仿宋" w:cs="仿宋_GB2312"/>
          <w:sz w:val="28"/>
          <w:szCs w:val="28"/>
          <w:lang w:val="zh-CN"/>
        </w:rPr>
        <w:t>1</w:t>
      </w:r>
      <w:r>
        <w:rPr>
          <w:rFonts w:hint="eastAsia" w:ascii="仿宋" w:hAnsi="仿宋" w:eastAsia="仿宋" w:cs="仿宋_GB2312"/>
          <w:sz w:val="28"/>
          <w:szCs w:val="28"/>
          <w:lang w:val="zh-CN"/>
        </w:rPr>
        <w:t>6</w:t>
      </w:r>
      <w:r>
        <w:rPr>
          <w:rFonts w:ascii="仿宋" w:hAnsi="仿宋" w:eastAsia="仿宋" w:cs="仿宋_GB2312"/>
          <w:sz w:val="28"/>
          <w:szCs w:val="28"/>
          <w:lang w:val="zh-CN"/>
        </w:rPr>
        <w:t xml:space="preserve">.1 </w:t>
      </w:r>
      <w:r>
        <w:rPr>
          <w:rFonts w:hint="eastAsia" w:ascii="仿宋" w:hAnsi="仿宋" w:eastAsia="仿宋" w:cs="仿宋_GB2312"/>
          <w:sz w:val="28"/>
          <w:szCs w:val="28"/>
          <w:lang w:val="zh-CN"/>
        </w:rPr>
        <w:t>在本合同有效期内，双方指定的项目联系人与通知方式如上所列。</w:t>
      </w:r>
    </w:p>
    <w:p w14:paraId="27E51B98">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r>
        <w:rPr>
          <w:rFonts w:ascii="仿宋" w:hAnsi="仿宋" w:eastAsia="仿宋" w:cs="仿宋_GB2312"/>
          <w:sz w:val="28"/>
          <w:szCs w:val="28"/>
          <w:lang w:val="zh-CN"/>
        </w:rPr>
        <w:t>1</w:t>
      </w:r>
      <w:r>
        <w:rPr>
          <w:rFonts w:hint="eastAsia" w:ascii="仿宋" w:hAnsi="仿宋" w:eastAsia="仿宋" w:cs="仿宋_GB2312"/>
          <w:sz w:val="28"/>
          <w:szCs w:val="28"/>
          <w:lang w:val="zh-CN"/>
        </w:rPr>
        <w:t>6</w:t>
      </w:r>
      <w:r>
        <w:rPr>
          <w:rFonts w:ascii="仿宋" w:hAnsi="仿宋" w:eastAsia="仿宋" w:cs="仿宋_GB2312"/>
          <w:sz w:val="28"/>
          <w:szCs w:val="28"/>
          <w:lang w:val="zh-CN"/>
        </w:rPr>
        <w:t>.2一方变更项目联系人及文末所列的通讯地址或通讯方式时，应当及时以书面形式通知另一方。</w:t>
      </w:r>
    </w:p>
    <w:p w14:paraId="6F8C0E8D">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p>
    <w:p w14:paraId="3644073E">
      <w:pPr>
        <w:tabs>
          <w:tab w:val="left" w:pos="0"/>
        </w:tabs>
        <w:snapToGrid w:val="0"/>
        <w:spacing w:before="62" w:beforeLines="20" w:after="62" w:afterLines="20" w:line="360" w:lineRule="auto"/>
        <w:ind w:firstLine="562" w:firstLineChars="200"/>
        <w:rPr>
          <w:rFonts w:ascii="仿宋" w:hAnsi="仿宋" w:eastAsia="仿宋" w:cs="仿宋_GB2312"/>
          <w:b/>
          <w:sz w:val="28"/>
          <w:szCs w:val="28"/>
          <w:lang w:val="zh-CN"/>
        </w:rPr>
      </w:pPr>
      <w:r>
        <w:rPr>
          <w:rFonts w:hint="eastAsia" w:ascii="仿宋" w:hAnsi="仿宋" w:eastAsia="仿宋" w:cs="仿宋_GB2312"/>
          <w:b/>
          <w:sz w:val="28"/>
          <w:szCs w:val="28"/>
          <w:lang w:val="zh-CN"/>
        </w:rPr>
        <w:t>十七、生效</w:t>
      </w:r>
    </w:p>
    <w:p w14:paraId="08986B61">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本合同经双方法定代表人或授权代表签字并加盖双方公章后成立。在收到乙方提交的履约保证金之后，合同生效。</w:t>
      </w:r>
      <w:r>
        <w:rPr>
          <w:rFonts w:ascii="仿宋" w:hAnsi="仿宋" w:eastAsia="仿宋" w:cs="仿宋_GB2312"/>
          <w:sz w:val="28"/>
          <w:szCs w:val="28"/>
          <w:lang w:val="zh-CN"/>
        </w:rPr>
        <w:t xml:space="preserve">  </w:t>
      </w:r>
    </w:p>
    <w:p w14:paraId="2F9DE62F">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p>
    <w:p w14:paraId="3CE972E1">
      <w:pPr>
        <w:tabs>
          <w:tab w:val="left" w:pos="0"/>
        </w:tabs>
        <w:snapToGrid w:val="0"/>
        <w:spacing w:before="62" w:beforeLines="20" w:after="62" w:afterLines="20" w:line="360" w:lineRule="auto"/>
        <w:ind w:firstLine="562" w:firstLineChars="200"/>
        <w:rPr>
          <w:rFonts w:ascii="仿宋" w:hAnsi="仿宋" w:eastAsia="仿宋" w:cs="仿宋_GB2312"/>
          <w:b/>
          <w:sz w:val="28"/>
          <w:szCs w:val="28"/>
          <w:lang w:val="zh-CN"/>
        </w:rPr>
      </w:pPr>
      <w:r>
        <w:rPr>
          <w:rFonts w:hint="eastAsia" w:ascii="仿宋" w:hAnsi="仿宋" w:eastAsia="仿宋" w:cs="仿宋_GB2312"/>
          <w:b/>
          <w:sz w:val="28"/>
          <w:szCs w:val="28"/>
          <w:lang w:val="zh-CN"/>
        </w:rPr>
        <w:t>十八、文本</w:t>
      </w:r>
    </w:p>
    <w:p w14:paraId="38EB3304">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r>
        <w:rPr>
          <w:rFonts w:hint="eastAsia" w:ascii="仿宋" w:hAnsi="仿宋" w:eastAsia="仿宋" w:cs="仿宋_GB2312"/>
          <w:sz w:val="28"/>
          <w:szCs w:val="28"/>
          <w:lang w:val="zh-CN"/>
        </w:rPr>
        <w:t>本合同正本一式</w:t>
      </w:r>
      <w:r>
        <w:rPr>
          <w:rFonts w:hint="eastAsia" w:ascii="仿宋" w:hAnsi="仿宋" w:eastAsia="仿宋" w:cs="仿宋_GB2312"/>
          <w:sz w:val="28"/>
          <w:szCs w:val="28"/>
          <w:u w:val="single"/>
          <w:lang w:val="zh-CN"/>
        </w:rPr>
        <w:t xml:space="preserve"> </w:t>
      </w:r>
      <w:r>
        <w:rPr>
          <w:rFonts w:ascii="仿宋" w:hAnsi="仿宋" w:eastAsia="仿宋" w:cs="仿宋_GB2312"/>
          <w:sz w:val="28"/>
          <w:szCs w:val="28"/>
          <w:u w:val="single"/>
          <w:lang w:val="zh-CN"/>
        </w:rPr>
        <w:t xml:space="preserve">  </w:t>
      </w:r>
      <w:r>
        <w:rPr>
          <w:rFonts w:hint="eastAsia" w:ascii="仿宋" w:hAnsi="仿宋" w:eastAsia="仿宋" w:cs="仿宋_GB2312"/>
          <w:sz w:val="28"/>
          <w:szCs w:val="28"/>
          <w:lang w:val="zh-CN"/>
        </w:rPr>
        <w:t>份，甲方执</w:t>
      </w:r>
      <w:r>
        <w:rPr>
          <w:rFonts w:hint="eastAsia" w:ascii="仿宋" w:hAnsi="仿宋" w:eastAsia="仿宋" w:cs="仿宋_GB2312"/>
          <w:sz w:val="28"/>
          <w:szCs w:val="28"/>
          <w:u w:val="single"/>
        </w:rPr>
        <w:t xml:space="preserve"> </w:t>
      </w:r>
      <w:r>
        <w:rPr>
          <w:rFonts w:ascii="仿宋" w:hAnsi="仿宋" w:eastAsia="仿宋" w:cs="仿宋_GB2312"/>
          <w:sz w:val="28"/>
          <w:szCs w:val="28"/>
          <w:u w:val="single"/>
        </w:rPr>
        <w:t xml:space="preserve">  </w:t>
      </w:r>
      <w:r>
        <w:rPr>
          <w:rFonts w:hint="eastAsia" w:ascii="仿宋" w:hAnsi="仿宋" w:eastAsia="仿宋" w:cs="仿宋_GB2312"/>
          <w:sz w:val="28"/>
          <w:szCs w:val="28"/>
          <w:lang w:val="zh-CN"/>
        </w:rPr>
        <w:t>份，乙方执</w:t>
      </w:r>
      <w:r>
        <w:rPr>
          <w:rFonts w:hint="eastAsia" w:ascii="仿宋" w:hAnsi="仿宋" w:eastAsia="仿宋" w:cs="仿宋_GB2312"/>
          <w:sz w:val="28"/>
          <w:szCs w:val="28"/>
          <w:u w:val="single"/>
        </w:rPr>
        <w:t xml:space="preserve"> </w:t>
      </w:r>
      <w:r>
        <w:rPr>
          <w:rFonts w:ascii="仿宋" w:hAnsi="仿宋" w:eastAsia="仿宋" w:cs="仿宋_GB2312"/>
          <w:sz w:val="28"/>
          <w:szCs w:val="28"/>
          <w:u w:val="single"/>
        </w:rPr>
        <w:t xml:space="preserve">  </w:t>
      </w:r>
      <w:r>
        <w:rPr>
          <w:rFonts w:hint="eastAsia" w:ascii="仿宋" w:hAnsi="仿宋" w:eastAsia="仿宋" w:cs="仿宋_GB2312"/>
          <w:sz w:val="28"/>
          <w:szCs w:val="28"/>
          <w:lang w:val="zh-CN"/>
        </w:rPr>
        <w:t>份，具有同等法律效力。</w:t>
      </w:r>
    </w:p>
    <w:p w14:paraId="389D3455">
      <w:pPr>
        <w:tabs>
          <w:tab w:val="left" w:pos="0"/>
        </w:tabs>
        <w:snapToGrid w:val="0"/>
        <w:spacing w:before="62" w:beforeLines="20" w:after="62" w:afterLines="20" w:line="360" w:lineRule="auto"/>
        <w:ind w:firstLine="560" w:firstLineChars="200"/>
        <w:rPr>
          <w:rFonts w:ascii="仿宋" w:hAnsi="仿宋" w:eastAsia="仿宋" w:cs="仿宋_GB2312"/>
          <w:sz w:val="28"/>
          <w:szCs w:val="28"/>
          <w:lang w:val="zh-CN"/>
        </w:rPr>
      </w:pPr>
    </w:p>
    <w:p w14:paraId="381A53D9">
      <w:pPr>
        <w:autoSpaceDE w:val="0"/>
        <w:autoSpaceDN w:val="0"/>
        <w:adjustRightInd w:val="0"/>
        <w:snapToGrid w:val="0"/>
        <w:spacing w:before="62" w:beforeLines="20" w:after="62" w:afterLines="20" w:line="360" w:lineRule="auto"/>
        <w:ind w:firstLine="562" w:firstLineChars="200"/>
        <w:outlineLvl w:val="0"/>
        <w:rPr>
          <w:rFonts w:ascii="仿宋" w:hAnsi="仿宋" w:eastAsia="仿宋" w:cs="仿宋_GB2312"/>
          <w:b/>
          <w:bCs/>
          <w:kern w:val="0"/>
          <w:sz w:val="28"/>
          <w:szCs w:val="28"/>
          <w:lang w:val="zh-CN"/>
        </w:rPr>
      </w:pPr>
      <w:r>
        <w:rPr>
          <w:rFonts w:hint="eastAsia" w:ascii="仿宋" w:hAnsi="仿宋" w:eastAsia="仿宋" w:cs="仿宋_GB2312"/>
          <w:b/>
          <w:bCs/>
          <w:kern w:val="0"/>
          <w:sz w:val="28"/>
          <w:szCs w:val="28"/>
          <w:lang w:val="zh-CN"/>
        </w:rPr>
        <w:t>十九、其他</w:t>
      </w:r>
    </w:p>
    <w:p w14:paraId="62C599E8">
      <w:pPr>
        <w:autoSpaceDE w:val="0"/>
        <w:autoSpaceDN w:val="0"/>
        <w:adjustRightInd w:val="0"/>
        <w:snapToGrid w:val="0"/>
        <w:spacing w:before="62" w:beforeLines="20" w:after="62" w:afterLines="20" w:line="360" w:lineRule="auto"/>
        <w:ind w:firstLine="560" w:firstLineChars="200"/>
        <w:outlineLvl w:val="0"/>
        <w:rPr>
          <w:rFonts w:ascii="仿宋" w:hAnsi="仿宋" w:eastAsia="仿宋" w:cs="仿宋_GB2312"/>
          <w:sz w:val="28"/>
          <w:szCs w:val="28"/>
          <w:lang w:val="zh-CN"/>
        </w:rPr>
      </w:pPr>
      <w:r>
        <w:rPr>
          <w:rFonts w:ascii="仿宋" w:hAnsi="仿宋" w:eastAsia="仿宋" w:cs="仿宋_GB2312"/>
          <w:sz w:val="28"/>
          <w:szCs w:val="28"/>
          <w:lang w:val="zh-CN"/>
        </w:rPr>
        <w:t>乙方不得以此合同</w:t>
      </w:r>
      <w:r>
        <w:rPr>
          <w:rFonts w:hint="eastAsia" w:ascii="仿宋" w:hAnsi="仿宋" w:eastAsia="仿宋" w:cs="仿宋_GB2312"/>
          <w:sz w:val="28"/>
          <w:szCs w:val="28"/>
          <w:lang w:val="zh-CN"/>
        </w:rPr>
        <w:t>或合同所涉交易事项用于任何非本合同约定之其他任何目的，包括但不限于保理业务、担保业务、融资业务等。</w:t>
      </w:r>
    </w:p>
    <w:p w14:paraId="6FFC7DA7">
      <w:pPr>
        <w:jc w:val="left"/>
        <w:rPr>
          <w:rFonts w:ascii="仿宋" w:hAnsi="仿宋" w:eastAsia="仿宋"/>
          <w:b/>
          <w:kern w:val="20"/>
          <w:sz w:val="28"/>
          <w:szCs w:val="28"/>
        </w:rPr>
      </w:pPr>
      <w:r>
        <w:rPr>
          <w:rFonts w:hint="eastAsia" w:ascii="仿宋" w:hAnsi="仿宋" w:eastAsia="仿宋"/>
          <w:b/>
          <w:kern w:val="20"/>
          <w:sz w:val="28"/>
          <w:szCs w:val="28"/>
        </w:rPr>
        <w:br w:type="page"/>
      </w:r>
    </w:p>
    <w:p w14:paraId="5C5BF110">
      <w:pPr>
        <w:pStyle w:val="18"/>
        <w:ind w:firstLine="562"/>
        <w:jc w:val="center"/>
        <w:outlineLvl w:val="1"/>
        <w:rPr>
          <w:rFonts w:ascii="仿宋" w:hAnsi="仿宋" w:eastAsia="仿宋" w:cs="宋体"/>
          <w:b/>
          <w:kern w:val="0"/>
          <w:sz w:val="28"/>
          <w:szCs w:val="28"/>
        </w:rPr>
      </w:pPr>
      <w:r>
        <w:rPr>
          <w:rFonts w:hint="eastAsia" w:ascii="仿宋" w:hAnsi="仿宋" w:eastAsia="仿宋"/>
          <w:b/>
          <w:sz w:val="28"/>
          <w:szCs w:val="28"/>
        </w:rPr>
        <w:t>第二部分  通用条款</w:t>
      </w:r>
    </w:p>
    <w:p w14:paraId="5220282D">
      <w:pPr>
        <w:spacing w:line="360" w:lineRule="auto"/>
      </w:pPr>
    </w:p>
    <w:p w14:paraId="189A9BDF">
      <w:pPr>
        <w:spacing w:line="360" w:lineRule="auto"/>
        <w:ind w:firstLine="560" w:firstLineChars="200"/>
        <w:rPr>
          <w:rFonts w:ascii="仿宋" w:hAnsi="仿宋" w:eastAsia="仿宋"/>
          <w:sz w:val="28"/>
          <w:szCs w:val="28"/>
        </w:rPr>
      </w:pPr>
      <w:r>
        <w:rPr>
          <w:rFonts w:hint="eastAsia" w:ascii="仿宋" w:hAnsi="仿宋" w:eastAsia="仿宋"/>
          <w:sz w:val="28"/>
          <w:szCs w:val="28"/>
        </w:rPr>
        <w:t>通用合同条款使用《广东省建设工程标准施工合同》（2009年版）,</w:t>
      </w:r>
      <w:r>
        <w:rPr>
          <w:rFonts w:ascii="仿宋" w:hAnsi="仿宋" w:eastAsia="仿宋"/>
          <w:sz w:val="28"/>
          <w:szCs w:val="28"/>
        </w:rPr>
        <w:t xml:space="preserve"> </w:t>
      </w:r>
      <w:r>
        <w:rPr>
          <w:rFonts w:hint="eastAsia" w:ascii="仿宋" w:hAnsi="仿宋" w:eastAsia="仿宋"/>
          <w:sz w:val="28"/>
          <w:szCs w:val="28"/>
        </w:rPr>
        <w:t>本合同中如通用条款与专用条款不一致，以专用条款为准。</w:t>
      </w:r>
    </w:p>
    <w:p w14:paraId="3318C44C">
      <w:pPr>
        <w:spacing w:line="360" w:lineRule="auto"/>
        <w:ind w:right="-86" w:rightChars="-41" w:firstLine="562" w:firstLineChars="200"/>
        <w:jc w:val="center"/>
        <w:rPr>
          <w:rFonts w:ascii="仿宋" w:hAnsi="仿宋" w:eastAsia="仿宋"/>
          <w:b/>
          <w:kern w:val="20"/>
          <w:sz w:val="28"/>
          <w:szCs w:val="28"/>
        </w:rPr>
      </w:pPr>
    </w:p>
    <w:p w14:paraId="00796989">
      <w:pPr>
        <w:spacing w:line="360" w:lineRule="auto"/>
        <w:ind w:right="-86" w:rightChars="-41" w:firstLine="562" w:firstLineChars="200"/>
        <w:jc w:val="center"/>
        <w:rPr>
          <w:rFonts w:ascii="仿宋" w:hAnsi="仿宋" w:eastAsia="仿宋"/>
          <w:b/>
          <w:kern w:val="20"/>
          <w:sz w:val="28"/>
          <w:szCs w:val="28"/>
        </w:rPr>
      </w:pPr>
    </w:p>
    <w:p w14:paraId="5D907497">
      <w:pPr>
        <w:spacing w:line="360" w:lineRule="auto"/>
        <w:ind w:right="-86" w:rightChars="-41" w:firstLine="562" w:firstLineChars="200"/>
        <w:jc w:val="center"/>
        <w:rPr>
          <w:rFonts w:ascii="仿宋" w:hAnsi="仿宋" w:eastAsia="仿宋"/>
          <w:b/>
          <w:kern w:val="20"/>
          <w:sz w:val="28"/>
          <w:szCs w:val="28"/>
        </w:rPr>
      </w:pPr>
    </w:p>
    <w:p w14:paraId="3EBAFF2F">
      <w:pPr>
        <w:spacing w:line="360" w:lineRule="auto"/>
        <w:ind w:right="-86" w:rightChars="-41" w:firstLine="562" w:firstLineChars="200"/>
        <w:jc w:val="center"/>
        <w:rPr>
          <w:rFonts w:ascii="仿宋" w:hAnsi="仿宋" w:eastAsia="仿宋"/>
          <w:b/>
          <w:kern w:val="20"/>
          <w:sz w:val="28"/>
          <w:szCs w:val="28"/>
        </w:rPr>
      </w:pPr>
    </w:p>
    <w:p w14:paraId="29CBB439">
      <w:pPr>
        <w:spacing w:line="360" w:lineRule="auto"/>
        <w:ind w:right="-86" w:rightChars="-41" w:firstLine="562" w:firstLineChars="200"/>
        <w:jc w:val="center"/>
        <w:rPr>
          <w:rFonts w:ascii="仿宋" w:hAnsi="仿宋" w:eastAsia="仿宋"/>
          <w:b/>
          <w:kern w:val="20"/>
          <w:sz w:val="28"/>
          <w:szCs w:val="28"/>
        </w:rPr>
      </w:pPr>
    </w:p>
    <w:p w14:paraId="60545F3F">
      <w:pPr>
        <w:spacing w:line="360" w:lineRule="auto"/>
        <w:ind w:right="-86" w:rightChars="-41" w:firstLine="562" w:firstLineChars="200"/>
        <w:jc w:val="center"/>
        <w:rPr>
          <w:rFonts w:ascii="仿宋" w:hAnsi="仿宋" w:eastAsia="仿宋"/>
          <w:b/>
          <w:kern w:val="20"/>
          <w:sz w:val="28"/>
          <w:szCs w:val="28"/>
        </w:rPr>
      </w:pPr>
    </w:p>
    <w:p w14:paraId="5BE86DC7">
      <w:pPr>
        <w:spacing w:line="360" w:lineRule="auto"/>
        <w:ind w:right="-86" w:rightChars="-41" w:firstLine="562" w:firstLineChars="200"/>
        <w:jc w:val="center"/>
        <w:rPr>
          <w:rFonts w:ascii="仿宋" w:hAnsi="仿宋" w:eastAsia="仿宋"/>
          <w:b/>
          <w:kern w:val="20"/>
          <w:sz w:val="28"/>
          <w:szCs w:val="28"/>
        </w:rPr>
      </w:pPr>
    </w:p>
    <w:p w14:paraId="21415E4D">
      <w:pPr>
        <w:spacing w:line="360" w:lineRule="auto"/>
        <w:ind w:right="-86" w:rightChars="-41" w:firstLine="562" w:firstLineChars="200"/>
        <w:jc w:val="center"/>
        <w:rPr>
          <w:rFonts w:ascii="仿宋" w:hAnsi="仿宋" w:eastAsia="仿宋"/>
          <w:b/>
          <w:kern w:val="20"/>
          <w:sz w:val="28"/>
          <w:szCs w:val="28"/>
        </w:rPr>
      </w:pPr>
    </w:p>
    <w:p w14:paraId="1BF5EEBB">
      <w:pPr>
        <w:spacing w:line="360" w:lineRule="auto"/>
        <w:ind w:right="-86" w:rightChars="-41" w:firstLine="562" w:firstLineChars="200"/>
        <w:jc w:val="center"/>
        <w:rPr>
          <w:rFonts w:ascii="仿宋" w:hAnsi="仿宋" w:eastAsia="仿宋"/>
          <w:b/>
          <w:kern w:val="20"/>
          <w:sz w:val="28"/>
          <w:szCs w:val="28"/>
        </w:rPr>
      </w:pPr>
    </w:p>
    <w:p w14:paraId="532275D1">
      <w:pPr>
        <w:spacing w:line="360" w:lineRule="auto"/>
        <w:ind w:right="-86" w:rightChars="-41" w:firstLine="562" w:firstLineChars="200"/>
        <w:jc w:val="center"/>
        <w:rPr>
          <w:rFonts w:ascii="仿宋" w:hAnsi="仿宋" w:eastAsia="仿宋"/>
          <w:b/>
          <w:kern w:val="20"/>
          <w:sz w:val="28"/>
          <w:szCs w:val="28"/>
        </w:rPr>
      </w:pPr>
    </w:p>
    <w:p w14:paraId="6992FC0F">
      <w:pPr>
        <w:spacing w:line="360" w:lineRule="auto"/>
        <w:ind w:right="-86" w:rightChars="-41" w:firstLine="562" w:firstLineChars="200"/>
        <w:jc w:val="center"/>
        <w:rPr>
          <w:rFonts w:ascii="仿宋" w:hAnsi="仿宋" w:eastAsia="仿宋"/>
          <w:b/>
          <w:kern w:val="20"/>
          <w:sz w:val="28"/>
          <w:szCs w:val="28"/>
        </w:rPr>
      </w:pPr>
    </w:p>
    <w:p w14:paraId="0912B07D">
      <w:pPr>
        <w:spacing w:line="360" w:lineRule="auto"/>
        <w:ind w:right="-86" w:rightChars="-41" w:firstLine="562" w:firstLineChars="200"/>
        <w:jc w:val="center"/>
        <w:rPr>
          <w:rFonts w:ascii="仿宋" w:hAnsi="仿宋" w:eastAsia="仿宋"/>
          <w:b/>
          <w:kern w:val="20"/>
          <w:sz w:val="28"/>
          <w:szCs w:val="28"/>
        </w:rPr>
      </w:pPr>
    </w:p>
    <w:p w14:paraId="21448768">
      <w:pPr>
        <w:spacing w:line="360" w:lineRule="auto"/>
        <w:ind w:right="-86" w:rightChars="-41" w:firstLine="562" w:firstLineChars="200"/>
        <w:jc w:val="center"/>
        <w:rPr>
          <w:rFonts w:ascii="仿宋" w:hAnsi="仿宋" w:eastAsia="仿宋"/>
          <w:b/>
          <w:kern w:val="20"/>
          <w:sz w:val="28"/>
          <w:szCs w:val="28"/>
        </w:rPr>
      </w:pPr>
    </w:p>
    <w:p w14:paraId="25EA398C">
      <w:pPr>
        <w:spacing w:line="360" w:lineRule="auto"/>
        <w:ind w:right="-86" w:rightChars="-41" w:firstLine="562" w:firstLineChars="200"/>
        <w:jc w:val="center"/>
        <w:rPr>
          <w:rFonts w:ascii="仿宋" w:hAnsi="仿宋" w:eastAsia="仿宋"/>
          <w:b/>
          <w:kern w:val="20"/>
          <w:sz w:val="28"/>
          <w:szCs w:val="28"/>
        </w:rPr>
      </w:pPr>
    </w:p>
    <w:p w14:paraId="247FAB96">
      <w:pPr>
        <w:spacing w:line="360" w:lineRule="auto"/>
        <w:ind w:right="-86" w:rightChars="-41" w:firstLine="562" w:firstLineChars="200"/>
        <w:jc w:val="center"/>
        <w:rPr>
          <w:rFonts w:ascii="仿宋" w:hAnsi="仿宋" w:eastAsia="仿宋"/>
          <w:b/>
          <w:kern w:val="20"/>
          <w:sz w:val="28"/>
          <w:szCs w:val="28"/>
        </w:rPr>
      </w:pPr>
    </w:p>
    <w:p w14:paraId="0D0D4FCD">
      <w:pPr>
        <w:spacing w:line="360" w:lineRule="auto"/>
        <w:ind w:right="-86" w:rightChars="-41" w:firstLine="562" w:firstLineChars="200"/>
        <w:jc w:val="center"/>
        <w:rPr>
          <w:rFonts w:ascii="仿宋" w:hAnsi="仿宋" w:eastAsia="仿宋"/>
          <w:b/>
          <w:kern w:val="20"/>
          <w:sz w:val="28"/>
          <w:szCs w:val="28"/>
        </w:rPr>
      </w:pPr>
    </w:p>
    <w:p w14:paraId="1CD9F5DF">
      <w:pPr>
        <w:spacing w:line="360" w:lineRule="auto"/>
        <w:ind w:right="-86" w:rightChars="-41" w:firstLine="562" w:firstLineChars="200"/>
        <w:jc w:val="center"/>
        <w:rPr>
          <w:rFonts w:ascii="仿宋" w:hAnsi="仿宋" w:eastAsia="仿宋"/>
          <w:b/>
          <w:kern w:val="20"/>
          <w:sz w:val="28"/>
          <w:szCs w:val="28"/>
        </w:rPr>
      </w:pPr>
    </w:p>
    <w:p w14:paraId="00C8C742">
      <w:pPr>
        <w:spacing w:line="360" w:lineRule="auto"/>
        <w:ind w:right="-86" w:rightChars="-41" w:firstLine="562" w:firstLineChars="200"/>
        <w:jc w:val="center"/>
        <w:rPr>
          <w:rFonts w:ascii="仿宋" w:hAnsi="仿宋" w:eastAsia="仿宋"/>
          <w:b/>
          <w:kern w:val="20"/>
          <w:sz w:val="28"/>
          <w:szCs w:val="28"/>
        </w:rPr>
      </w:pPr>
    </w:p>
    <w:p w14:paraId="6DE012B6">
      <w:pPr>
        <w:spacing w:line="360" w:lineRule="auto"/>
        <w:ind w:right="-86" w:rightChars="-41" w:firstLine="562" w:firstLineChars="200"/>
        <w:jc w:val="center"/>
        <w:rPr>
          <w:rFonts w:ascii="仿宋" w:hAnsi="仿宋" w:eastAsia="仿宋"/>
          <w:b/>
          <w:kern w:val="20"/>
          <w:sz w:val="28"/>
          <w:szCs w:val="28"/>
        </w:rPr>
      </w:pPr>
      <w:r>
        <w:rPr>
          <w:rFonts w:hint="eastAsia" w:ascii="仿宋" w:hAnsi="仿宋" w:eastAsia="仿宋"/>
          <w:b/>
          <w:kern w:val="20"/>
          <w:sz w:val="28"/>
          <w:szCs w:val="28"/>
        </w:rPr>
        <w:t>第三部分 合同专用条款</w:t>
      </w:r>
    </w:p>
    <w:p w14:paraId="397A1180">
      <w:pPr>
        <w:spacing w:line="360" w:lineRule="auto"/>
        <w:ind w:firstLine="560" w:firstLineChars="200"/>
        <w:rPr>
          <w:rFonts w:ascii="仿宋" w:hAnsi="仿宋" w:eastAsia="仿宋"/>
          <w:kern w:val="20"/>
          <w:sz w:val="28"/>
          <w:szCs w:val="28"/>
        </w:rPr>
      </w:pPr>
    </w:p>
    <w:p w14:paraId="7B0532E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1．定义</w:t>
      </w:r>
    </w:p>
    <w:p w14:paraId="79B4176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1.1所采用的书面形式包括：</w:t>
      </w:r>
    </w:p>
    <w:p w14:paraId="4908628A">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文书；</w:t>
      </w:r>
    </w:p>
    <w:p w14:paraId="540A442F">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信件；</w:t>
      </w:r>
    </w:p>
    <w:p w14:paraId="1C340C82">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电报；</w:t>
      </w:r>
    </w:p>
    <w:p w14:paraId="4CB1890A">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传真；</w:t>
      </w:r>
    </w:p>
    <w:p w14:paraId="5797DC82">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电子邮件；</w:t>
      </w:r>
    </w:p>
    <w:p w14:paraId="60B4D7DA">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其他：</w:t>
      </w:r>
    </w:p>
    <w:p w14:paraId="7E79E104">
      <w:pPr>
        <w:spacing w:line="360" w:lineRule="auto"/>
        <w:ind w:firstLine="560" w:firstLineChars="200"/>
        <w:rPr>
          <w:rFonts w:ascii="仿宋" w:hAnsi="仿宋" w:eastAsia="仿宋"/>
          <w:kern w:val="20"/>
          <w:sz w:val="28"/>
          <w:szCs w:val="28"/>
        </w:rPr>
      </w:pPr>
    </w:p>
    <w:p w14:paraId="0C96846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2．合同文件及解释</w:t>
      </w:r>
    </w:p>
    <w:p w14:paraId="48B224F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2.1下列文件应被认为是组成本合同的一部分，并互为补充和解释，如各部分存在冲突之处，以如下排列次序在前者优先适用： </w:t>
      </w:r>
    </w:p>
    <w:p w14:paraId="01ADD590">
      <w:pPr>
        <w:numPr>
          <w:ilvl w:val="0"/>
          <w:numId w:val="1"/>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本合同及其补充协议（顺序为补充协议、主合同协议书、专用条款、通用条款）</w:t>
      </w:r>
    </w:p>
    <w:p w14:paraId="36F99C0D">
      <w:pPr>
        <w:numPr>
          <w:ilvl w:val="0"/>
          <w:numId w:val="1"/>
        </w:numPr>
        <w:spacing w:line="360" w:lineRule="auto"/>
        <w:ind w:left="0" w:firstLine="560" w:firstLineChars="200"/>
        <w:rPr>
          <w:rFonts w:ascii="仿宋" w:hAnsi="仿宋" w:eastAsia="仿宋"/>
          <w:kern w:val="20"/>
          <w:sz w:val="28"/>
          <w:szCs w:val="28"/>
        </w:rPr>
      </w:pPr>
      <w:r>
        <w:rPr>
          <w:rFonts w:hint="eastAsia" w:ascii="仿宋" w:hAnsi="仿宋" w:eastAsia="仿宋"/>
          <w:bCs/>
          <w:kern w:val="20"/>
          <w:sz w:val="28"/>
          <w:szCs w:val="28"/>
        </w:rPr>
        <w:t>图纸</w:t>
      </w:r>
    </w:p>
    <w:p w14:paraId="201A28BD">
      <w:pPr>
        <w:numPr>
          <w:ilvl w:val="0"/>
          <w:numId w:val="1"/>
        </w:numPr>
        <w:spacing w:line="360" w:lineRule="auto"/>
        <w:ind w:left="0" w:firstLine="560" w:firstLineChars="200"/>
        <w:rPr>
          <w:rFonts w:ascii="仿宋" w:hAnsi="仿宋" w:eastAsia="仿宋"/>
          <w:kern w:val="20"/>
          <w:sz w:val="28"/>
          <w:szCs w:val="28"/>
        </w:rPr>
      </w:pPr>
      <w:r>
        <w:rPr>
          <w:rFonts w:hint="eastAsia" w:ascii="仿宋" w:hAnsi="仿宋" w:eastAsia="仿宋"/>
          <w:bCs/>
          <w:kern w:val="20"/>
          <w:sz w:val="28"/>
          <w:szCs w:val="28"/>
        </w:rPr>
        <w:t>工程量清单（含价格构成表、综合单价汇总表）</w:t>
      </w:r>
    </w:p>
    <w:p w14:paraId="723FA2B8">
      <w:pPr>
        <w:numPr>
          <w:ilvl w:val="0"/>
          <w:numId w:val="1"/>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中标通知书</w:t>
      </w:r>
    </w:p>
    <w:p w14:paraId="3A75A003">
      <w:pPr>
        <w:numPr>
          <w:ilvl w:val="0"/>
          <w:numId w:val="1"/>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投标文件及其附件</w:t>
      </w:r>
      <w:r>
        <w:rPr>
          <w:rFonts w:hint="eastAsia" w:ascii="仿宋" w:hAnsi="仿宋" w:eastAsia="仿宋"/>
          <w:bCs/>
          <w:kern w:val="20"/>
          <w:sz w:val="28"/>
          <w:szCs w:val="28"/>
        </w:rPr>
        <w:t>（含评标期间的澄清文件和补充资料）</w:t>
      </w:r>
    </w:p>
    <w:p w14:paraId="33453FA1">
      <w:pPr>
        <w:numPr>
          <w:ilvl w:val="0"/>
          <w:numId w:val="1"/>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招标文件</w:t>
      </w:r>
      <w:r>
        <w:rPr>
          <w:rFonts w:hint="eastAsia" w:ascii="仿宋" w:hAnsi="仿宋" w:eastAsia="仿宋"/>
          <w:bCs/>
          <w:kern w:val="20"/>
          <w:sz w:val="28"/>
          <w:szCs w:val="28"/>
        </w:rPr>
        <w:t>及其附件</w:t>
      </w:r>
      <w:r>
        <w:rPr>
          <w:rFonts w:hint="eastAsia" w:ascii="仿宋" w:hAnsi="仿宋" w:eastAsia="仿宋"/>
          <w:kern w:val="20"/>
          <w:sz w:val="28"/>
          <w:szCs w:val="28"/>
        </w:rPr>
        <w:t>（含招标文件补充文件、澄清文件、答疑文件等）</w:t>
      </w:r>
    </w:p>
    <w:p w14:paraId="6F6FB831">
      <w:pPr>
        <w:numPr>
          <w:ilvl w:val="0"/>
          <w:numId w:val="1"/>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标准、规范及有关技术文件</w:t>
      </w:r>
    </w:p>
    <w:p w14:paraId="5295560F">
      <w:pPr>
        <w:numPr>
          <w:ilvl w:val="0"/>
          <w:numId w:val="1"/>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 xml:space="preserve">甲方针对本项目工程建设而制订的各项管理制度； </w:t>
      </w:r>
    </w:p>
    <w:p w14:paraId="62245030">
      <w:pPr>
        <w:numPr>
          <w:ilvl w:val="0"/>
          <w:numId w:val="1"/>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组成合同的其他文件。</w:t>
      </w:r>
    </w:p>
    <w:p w14:paraId="36ED581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上述文件与合同具有同等法律效力</w:t>
      </w:r>
    </w:p>
    <w:p w14:paraId="7C9EF52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2.2本合同如有未尽事宜，甲、乙双方可另行签订补充协议。只有根据双方法定代表人或其授权代表共同签字并经双方盖章的书面文件才能对本合同进行更改和补充，这些更改和补充视为本合同不可分割的组成部分。</w:t>
      </w:r>
    </w:p>
    <w:p w14:paraId="18EF777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2.3在合同履行过程中，经双方法定代表人或其授权代表签字认可并经双方盖章的来往电报、信函、传真、会议纪要、有关本项目补充的书面协议以及经合同双方共同确认的文件等，均视为本合同组成部分，与本合同具有同等法律效力。</w:t>
      </w:r>
    </w:p>
    <w:p w14:paraId="09C37F2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2.4在合同的组成部分上，投标文件未列入偏离表者以招标文件为准。</w:t>
      </w:r>
    </w:p>
    <w:p w14:paraId="03BF8AA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2.5当合同文件内容含糊不清或不相一致时，在不影响项目正常进行的情况下，由甲、乙双方协商解决。双方协商不成时，按本合同条款有关争议解决的约定处理。</w:t>
      </w:r>
    </w:p>
    <w:p w14:paraId="13D1352C">
      <w:pPr>
        <w:spacing w:line="360" w:lineRule="auto"/>
        <w:ind w:firstLine="560" w:firstLineChars="200"/>
        <w:rPr>
          <w:rFonts w:ascii="仿宋" w:hAnsi="仿宋" w:eastAsia="仿宋"/>
          <w:kern w:val="20"/>
          <w:sz w:val="28"/>
          <w:szCs w:val="28"/>
        </w:rPr>
      </w:pPr>
    </w:p>
    <w:p w14:paraId="5B00525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3.语言及适用的法律、标准与规范</w:t>
      </w:r>
    </w:p>
    <w:p w14:paraId="6007C3C8">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3.1 约定适用的标准、规范的名称：</w:t>
      </w:r>
      <w:r>
        <w:rPr>
          <w:rFonts w:hint="eastAsia" w:ascii="仿宋" w:hAnsi="仿宋" w:eastAsia="仿宋"/>
          <w:kern w:val="20"/>
          <w:sz w:val="28"/>
          <w:szCs w:val="28"/>
          <w:u w:val="single"/>
        </w:rPr>
        <w:t>详见施工图纸。</w:t>
      </w:r>
    </w:p>
    <w:p w14:paraId="75ED348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3.2 通用条款与专用条款有冲突，以专用条款为准。</w:t>
      </w:r>
    </w:p>
    <w:p w14:paraId="49623113">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4．施工设计图纸</w:t>
      </w:r>
    </w:p>
    <w:p w14:paraId="42EC671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4.1  施工设计图纸由甲方提供</w:t>
      </w:r>
    </w:p>
    <w:p w14:paraId="1088E84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(1)施工设计图纸提供的时间：</w:t>
      </w:r>
      <w:r>
        <w:rPr>
          <w:rFonts w:hint="eastAsia" w:ascii="仿宋" w:hAnsi="仿宋" w:eastAsia="仿宋"/>
          <w:kern w:val="20"/>
          <w:sz w:val="28"/>
          <w:szCs w:val="28"/>
          <w:u w:val="single"/>
        </w:rPr>
        <w:t>合同生效后5个工作日内</w:t>
      </w:r>
      <w:r>
        <w:rPr>
          <w:rFonts w:hint="eastAsia" w:ascii="仿宋" w:hAnsi="仿宋" w:eastAsia="仿宋"/>
          <w:kern w:val="20"/>
          <w:sz w:val="28"/>
          <w:szCs w:val="28"/>
        </w:rPr>
        <w:t>。</w:t>
      </w:r>
    </w:p>
    <w:p w14:paraId="322D104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(2)施工设计图纸提供的数量：</w:t>
      </w:r>
      <w:r>
        <w:rPr>
          <w:rFonts w:hint="eastAsia" w:ascii="仿宋" w:hAnsi="仿宋" w:eastAsia="仿宋"/>
          <w:kern w:val="20"/>
          <w:sz w:val="28"/>
          <w:szCs w:val="28"/>
          <w:u w:val="single"/>
        </w:rPr>
        <w:t>一式两份</w:t>
      </w:r>
      <w:r>
        <w:rPr>
          <w:rFonts w:hint="eastAsia" w:ascii="仿宋" w:hAnsi="仿宋" w:eastAsia="仿宋"/>
          <w:kern w:val="20"/>
          <w:sz w:val="28"/>
          <w:szCs w:val="28"/>
        </w:rPr>
        <w:t>。</w:t>
      </w:r>
    </w:p>
    <w:p w14:paraId="07655563">
      <w:pPr>
        <w:spacing w:line="360" w:lineRule="auto"/>
        <w:ind w:firstLine="560" w:firstLineChars="200"/>
        <w:rPr>
          <w:rFonts w:ascii="仿宋" w:hAnsi="仿宋" w:eastAsia="仿宋"/>
          <w:kern w:val="20"/>
          <w:sz w:val="28"/>
          <w:szCs w:val="28"/>
        </w:rPr>
      </w:pPr>
    </w:p>
    <w:p w14:paraId="2A66F7B3">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5． 通讯联络</w:t>
      </w:r>
    </w:p>
    <w:p w14:paraId="2D00796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5.1各方通讯地址、收件人及其他送达方式</w:t>
      </w:r>
    </w:p>
    <w:p w14:paraId="1BBC913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(1)各方通讯地址和收件人：            </w:t>
      </w:r>
    </w:p>
    <w:p w14:paraId="1855BB7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甲方 ：</w:t>
      </w:r>
      <w:r>
        <w:rPr>
          <w:rFonts w:hint="eastAsia" w:ascii="仿宋" w:hAnsi="仿宋" w:eastAsia="仿宋"/>
          <w:kern w:val="20"/>
          <w:sz w:val="28"/>
          <w:szCs w:val="28"/>
          <w:u w:val="single"/>
        </w:rPr>
        <w:t xml:space="preserve">广东中烟工业有限责任公司 </w:t>
      </w:r>
      <w:r>
        <w:rPr>
          <w:rFonts w:hint="eastAsia" w:ascii="仿宋" w:hAnsi="仿宋" w:eastAsia="仿宋"/>
          <w:kern w:val="20"/>
          <w:sz w:val="28"/>
          <w:szCs w:val="28"/>
        </w:rPr>
        <w:t xml:space="preserve"> </w:t>
      </w:r>
    </w:p>
    <w:p w14:paraId="696792B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通讯地址：广州市荔湾区东沙环翠南路88号</w:t>
      </w:r>
    </w:p>
    <w:p w14:paraId="41F6E80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收件人：        </w:t>
      </w:r>
    </w:p>
    <w:p w14:paraId="0FD882F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邮政编码：</w:t>
      </w:r>
      <w:r>
        <w:rPr>
          <w:rFonts w:ascii="仿宋" w:hAnsi="仿宋" w:eastAsia="仿宋"/>
          <w:kern w:val="20"/>
          <w:sz w:val="28"/>
          <w:szCs w:val="28"/>
        </w:rPr>
        <w:t xml:space="preserve"> </w:t>
      </w:r>
    </w:p>
    <w:p w14:paraId="29B249E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乙方： </w:t>
      </w:r>
    </w:p>
    <w:p w14:paraId="5CB8662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通讯地址： </w:t>
      </w:r>
    </w:p>
    <w:p w14:paraId="4F05420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收件人： </w:t>
      </w:r>
    </w:p>
    <w:p w14:paraId="666B1FE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邮政编码：</w:t>
      </w:r>
    </w:p>
    <w:p w14:paraId="555FB96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设计单位： </w:t>
      </w:r>
    </w:p>
    <w:p w14:paraId="3090AA4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通讯地址：</w:t>
      </w:r>
    </w:p>
    <w:p w14:paraId="4E6D6EA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收件人：       </w:t>
      </w:r>
    </w:p>
    <w:p w14:paraId="48DD59F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邮政编码：</w:t>
      </w:r>
    </w:p>
    <w:p w14:paraId="0A4FB4D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监理单位： </w:t>
      </w:r>
    </w:p>
    <w:p w14:paraId="4FBBB2F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通讯地址：                       </w:t>
      </w:r>
    </w:p>
    <w:p w14:paraId="10DC8F3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收件人：       </w:t>
      </w:r>
    </w:p>
    <w:p w14:paraId="392812B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邮政编码：    </w:t>
      </w:r>
    </w:p>
    <w:p w14:paraId="7067241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造价咨询单位： /</w:t>
      </w:r>
    </w:p>
    <w:p w14:paraId="13DEBF2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通讯地址： /                      </w:t>
      </w:r>
    </w:p>
    <w:p w14:paraId="4836864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收件人：/       </w:t>
      </w:r>
    </w:p>
    <w:p w14:paraId="314EAA1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邮政编码：/</w:t>
      </w:r>
    </w:p>
    <w:p w14:paraId="5F2A9CF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第三方审计单位：</w:t>
      </w:r>
    </w:p>
    <w:p w14:paraId="7F10DEE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通讯地址：</w:t>
      </w:r>
    </w:p>
    <w:p w14:paraId="148AE17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收件人：       </w:t>
      </w:r>
    </w:p>
    <w:p w14:paraId="6AA3C7E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邮政编码：</w:t>
      </w:r>
    </w:p>
    <w:p w14:paraId="0AD6B17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  视为送达的其他方式：</w:t>
      </w:r>
      <w:r>
        <w:rPr>
          <w:rFonts w:hint="eastAsia" w:ascii="仿宋" w:hAnsi="仿宋" w:eastAsia="仿宋"/>
          <w:kern w:val="20"/>
          <w:sz w:val="28"/>
          <w:szCs w:val="28"/>
          <w:u w:val="single"/>
        </w:rPr>
        <w:t>无。</w:t>
      </w:r>
    </w:p>
    <w:p w14:paraId="780686B3">
      <w:pPr>
        <w:spacing w:line="360" w:lineRule="auto"/>
        <w:ind w:firstLine="560" w:firstLineChars="200"/>
        <w:rPr>
          <w:rFonts w:ascii="仿宋" w:hAnsi="仿宋" w:eastAsia="仿宋"/>
          <w:kern w:val="20"/>
          <w:sz w:val="28"/>
          <w:szCs w:val="28"/>
        </w:rPr>
      </w:pPr>
    </w:p>
    <w:p w14:paraId="2766BA8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6.工程分包</w:t>
      </w:r>
    </w:p>
    <w:p w14:paraId="50061E9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  指定分包工程：</w:t>
      </w:r>
      <w:r>
        <w:rPr>
          <w:rFonts w:hint="eastAsia" w:ascii="仿宋" w:hAnsi="仿宋" w:eastAsia="仿宋"/>
          <w:kern w:val="20"/>
          <w:sz w:val="28"/>
          <w:szCs w:val="28"/>
          <w:u w:val="single"/>
        </w:rPr>
        <w:t xml:space="preserve"> /</w:t>
      </w:r>
      <w:r>
        <w:rPr>
          <w:rFonts w:hint="eastAsia" w:ascii="仿宋" w:hAnsi="仿宋" w:eastAsia="仿宋"/>
          <w:kern w:val="20"/>
          <w:sz w:val="28"/>
          <w:szCs w:val="28"/>
        </w:rPr>
        <w:t>。</w:t>
      </w:r>
    </w:p>
    <w:p w14:paraId="51829DF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  分包工程价款的支付方式：</w:t>
      </w:r>
      <w:r>
        <w:rPr>
          <w:rFonts w:hint="eastAsia" w:ascii="仿宋" w:hAnsi="仿宋" w:eastAsia="仿宋"/>
          <w:kern w:val="20"/>
          <w:sz w:val="28"/>
          <w:szCs w:val="28"/>
          <w:u w:val="single"/>
        </w:rPr>
        <w:t xml:space="preserve"> /</w:t>
      </w:r>
      <w:r>
        <w:rPr>
          <w:rFonts w:hint="eastAsia" w:ascii="仿宋" w:hAnsi="仿宋" w:eastAsia="仿宋"/>
          <w:kern w:val="20"/>
          <w:sz w:val="28"/>
          <w:szCs w:val="28"/>
        </w:rPr>
        <w:t xml:space="preserve">。 </w:t>
      </w:r>
    </w:p>
    <w:p w14:paraId="39E522D0">
      <w:pPr>
        <w:spacing w:line="360" w:lineRule="auto"/>
        <w:ind w:firstLine="560" w:firstLineChars="200"/>
        <w:rPr>
          <w:rFonts w:ascii="仿宋" w:hAnsi="仿宋" w:eastAsia="仿宋"/>
          <w:kern w:val="20"/>
          <w:sz w:val="28"/>
          <w:szCs w:val="28"/>
        </w:rPr>
      </w:pPr>
    </w:p>
    <w:p w14:paraId="7B3519B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7．甲方</w:t>
      </w:r>
    </w:p>
    <w:p w14:paraId="48E0090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7.1 甲方完成下列工作的约定</w:t>
      </w:r>
    </w:p>
    <w:p w14:paraId="5691E25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(1)办理土地征用、拆迁、平整工作场地等工作，使施工场地具备施工条件的时间：</w:t>
      </w:r>
      <w:r>
        <w:rPr>
          <w:rFonts w:hint="eastAsia" w:ascii="仿宋" w:hAnsi="仿宋" w:eastAsia="仿宋"/>
          <w:kern w:val="20"/>
          <w:sz w:val="28"/>
          <w:szCs w:val="28"/>
          <w:u w:val="single"/>
        </w:rPr>
        <w:t>以甲方</w:t>
      </w:r>
      <w:r>
        <w:rPr>
          <w:rFonts w:ascii="仿宋" w:hAnsi="仿宋" w:eastAsia="仿宋"/>
          <w:kern w:val="20"/>
          <w:sz w:val="28"/>
          <w:szCs w:val="28"/>
          <w:u w:val="single"/>
        </w:rPr>
        <w:t>通知为准</w:t>
      </w:r>
      <w:r>
        <w:rPr>
          <w:rFonts w:hint="eastAsia" w:ascii="仿宋" w:hAnsi="仿宋" w:eastAsia="仿宋"/>
          <w:kern w:val="20"/>
          <w:sz w:val="28"/>
          <w:szCs w:val="28"/>
          <w:u w:val="single"/>
        </w:rPr>
        <w:t>。</w:t>
      </w:r>
    </w:p>
    <w:p w14:paraId="7441A9E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(2)完成施工所需水、电接驳的时间及地点：</w:t>
      </w:r>
      <w:r>
        <w:rPr>
          <w:rFonts w:hint="eastAsia" w:ascii="仿宋" w:hAnsi="仿宋" w:eastAsia="仿宋"/>
          <w:kern w:val="20"/>
          <w:sz w:val="28"/>
          <w:szCs w:val="28"/>
          <w:u w:val="single"/>
        </w:rPr>
        <w:t>甲方在1号、2号、3号、4号仓库均可提供临时用水用电接入点，其中临时用电最大负荷容量为22kw，具体接入点以甲方确认为准，乙方办理相关手续审批通过后进行接驳使用。场内的临时水电管线由施工单位自行铺设，铺设标准需满足甲方管理要求，在由此产生的费用已包含在乙方的投标报价中，甲方不另行支付。乙方应在合同签订后七个日历天内完成水、电接驳的详细方案，并在约定时间内完成接驳工作。</w:t>
      </w:r>
    </w:p>
    <w:p w14:paraId="04C7602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(3)开工施工现场与城乡公共道路间的通道的约定：</w:t>
      </w:r>
      <w:r>
        <w:rPr>
          <w:rFonts w:hint="eastAsia" w:ascii="仿宋" w:hAnsi="仿宋" w:eastAsia="仿宋"/>
          <w:kern w:val="20"/>
          <w:sz w:val="28"/>
          <w:szCs w:val="28"/>
          <w:u w:val="single"/>
        </w:rPr>
        <w:t>已实现</w:t>
      </w:r>
      <w:r>
        <w:rPr>
          <w:rFonts w:ascii="仿宋" w:hAnsi="仿宋" w:eastAsia="仿宋"/>
          <w:kern w:val="20"/>
          <w:sz w:val="28"/>
          <w:szCs w:val="28"/>
          <w:u w:val="single"/>
        </w:rPr>
        <w:t>三通一平</w:t>
      </w:r>
      <w:r>
        <w:rPr>
          <w:rFonts w:hint="eastAsia" w:ascii="仿宋" w:hAnsi="仿宋" w:eastAsia="仿宋"/>
          <w:kern w:val="20"/>
          <w:sz w:val="28"/>
          <w:szCs w:val="28"/>
          <w:u w:val="single"/>
        </w:rPr>
        <w:t>。</w:t>
      </w:r>
    </w:p>
    <w:p w14:paraId="12E64EF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(4)提供有关资料的时间：</w:t>
      </w:r>
      <w:r>
        <w:rPr>
          <w:rFonts w:hint="eastAsia" w:ascii="仿宋" w:hAnsi="仿宋" w:eastAsia="仿宋"/>
          <w:kern w:val="20"/>
          <w:sz w:val="28"/>
          <w:szCs w:val="28"/>
          <w:u w:val="single"/>
        </w:rPr>
        <w:t>根据施工进度及时提供</w:t>
      </w:r>
      <w:r>
        <w:rPr>
          <w:rFonts w:hint="eastAsia" w:ascii="仿宋" w:hAnsi="仿宋" w:eastAsia="仿宋"/>
          <w:kern w:val="20"/>
          <w:sz w:val="28"/>
          <w:szCs w:val="28"/>
        </w:rPr>
        <w:t>。</w:t>
      </w:r>
    </w:p>
    <w:p w14:paraId="73EC827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(5)办理有关所需证件的约定：</w:t>
      </w:r>
      <w:r>
        <w:rPr>
          <w:rFonts w:hint="eastAsia" w:ascii="仿宋" w:hAnsi="仿宋" w:eastAsia="仿宋"/>
          <w:kern w:val="20"/>
          <w:sz w:val="28"/>
          <w:szCs w:val="28"/>
          <w:u w:val="single"/>
        </w:rPr>
        <w:t>按</w:t>
      </w:r>
      <w:r>
        <w:rPr>
          <w:rFonts w:ascii="仿宋" w:hAnsi="仿宋" w:eastAsia="仿宋"/>
          <w:kern w:val="20"/>
          <w:sz w:val="28"/>
          <w:szCs w:val="28"/>
          <w:u w:val="single"/>
        </w:rPr>
        <w:t>甲方要求</w:t>
      </w:r>
      <w:r>
        <w:rPr>
          <w:rFonts w:hint="eastAsia" w:ascii="仿宋" w:hAnsi="仿宋" w:eastAsia="仿宋"/>
          <w:kern w:val="20"/>
          <w:sz w:val="28"/>
          <w:szCs w:val="28"/>
          <w:u w:val="single"/>
        </w:rPr>
        <w:t>。</w:t>
      </w:r>
    </w:p>
    <w:p w14:paraId="35D35BB6">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(6)现场交验的时间：</w:t>
      </w:r>
      <w:r>
        <w:rPr>
          <w:rFonts w:hint="eastAsia" w:ascii="仿宋" w:hAnsi="仿宋" w:eastAsia="仿宋"/>
          <w:kern w:val="20"/>
          <w:sz w:val="28"/>
          <w:szCs w:val="28"/>
          <w:u w:val="single"/>
        </w:rPr>
        <w:t>以甲方通知为准 。</w:t>
      </w:r>
    </w:p>
    <w:p w14:paraId="58C46AC2">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(7)提供施工设计图纸、设计文件的时间：</w:t>
      </w:r>
      <w:r>
        <w:rPr>
          <w:rFonts w:hint="eastAsia" w:ascii="仿宋" w:hAnsi="仿宋" w:eastAsia="仿宋"/>
          <w:kern w:val="20"/>
          <w:sz w:val="28"/>
          <w:szCs w:val="28"/>
          <w:u w:val="single"/>
        </w:rPr>
        <w:t>施工进场前 。</w:t>
      </w:r>
    </w:p>
    <w:p w14:paraId="6F8FCFBA">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(8)组织图纸会审和设计交底的约定：</w:t>
      </w:r>
      <w:r>
        <w:rPr>
          <w:rFonts w:hint="eastAsia" w:ascii="仿宋" w:hAnsi="仿宋" w:eastAsia="仿宋"/>
          <w:kern w:val="20"/>
          <w:sz w:val="28"/>
          <w:szCs w:val="28"/>
          <w:u w:val="single"/>
        </w:rPr>
        <w:t>施工进场前 。</w:t>
      </w:r>
    </w:p>
    <w:p w14:paraId="2641FA7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7.2提供施工场地的时间：</w:t>
      </w:r>
      <w:r>
        <w:rPr>
          <w:rFonts w:hint="eastAsia" w:ascii="仿宋" w:hAnsi="仿宋" w:eastAsia="仿宋"/>
          <w:kern w:val="20"/>
          <w:sz w:val="28"/>
          <w:szCs w:val="28"/>
          <w:u w:val="single"/>
        </w:rPr>
        <w:t>施工进场前 。</w:t>
      </w:r>
    </w:p>
    <w:p w14:paraId="63DF78EC">
      <w:pPr>
        <w:spacing w:line="360" w:lineRule="auto"/>
        <w:ind w:firstLine="560" w:firstLineChars="200"/>
        <w:rPr>
          <w:rFonts w:ascii="仿宋" w:hAnsi="仿宋" w:eastAsia="仿宋"/>
          <w:kern w:val="20"/>
          <w:sz w:val="28"/>
          <w:szCs w:val="28"/>
        </w:rPr>
      </w:pPr>
      <w:r>
        <w:rPr>
          <w:rFonts w:ascii="仿宋" w:hAnsi="仿宋" w:eastAsia="仿宋"/>
          <w:kern w:val="20"/>
          <w:sz w:val="28"/>
          <w:szCs w:val="28"/>
        </w:rPr>
        <w:t xml:space="preserve">7.3 </w:t>
      </w:r>
      <w:r>
        <w:rPr>
          <w:rFonts w:hint="eastAsia" w:ascii="仿宋" w:hAnsi="仿宋" w:eastAsia="仿宋"/>
          <w:kern w:val="20"/>
          <w:sz w:val="28"/>
          <w:szCs w:val="28"/>
        </w:rPr>
        <w:t>甲方向乙方提供标准与规范名称、图纸及技术要求的约定</w:t>
      </w:r>
    </w:p>
    <w:p w14:paraId="0EDCCDA3">
      <w:pPr>
        <w:spacing w:line="360" w:lineRule="auto"/>
        <w:ind w:firstLine="560" w:firstLineChars="200"/>
        <w:rPr>
          <w:rFonts w:ascii="仿宋" w:hAnsi="仿宋" w:eastAsia="仿宋"/>
          <w:kern w:val="20"/>
          <w:sz w:val="28"/>
          <w:szCs w:val="28"/>
        </w:rPr>
      </w:pPr>
      <w:r>
        <w:rPr>
          <w:rFonts w:ascii="仿宋" w:hAnsi="仿宋" w:eastAsia="仿宋"/>
          <w:kern w:val="20"/>
          <w:sz w:val="28"/>
          <w:szCs w:val="28"/>
        </w:rPr>
        <w:t>(1)提供的时间：</w:t>
      </w:r>
      <w:r>
        <w:rPr>
          <w:rFonts w:hint="eastAsia" w:ascii="仿宋" w:hAnsi="仿宋" w:eastAsia="仿宋"/>
          <w:kern w:val="20"/>
          <w:sz w:val="28"/>
          <w:szCs w:val="28"/>
          <w:u w:val="single"/>
        </w:rPr>
        <w:t>合同生效后5个工作日内</w:t>
      </w:r>
      <w:r>
        <w:rPr>
          <w:rFonts w:ascii="仿宋" w:hAnsi="仿宋" w:eastAsia="仿宋"/>
          <w:kern w:val="20"/>
          <w:sz w:val="28"/>
          <w:szCs w:val="28"/>
          <w:u w:val="single"/>
        </w:rPr>
        <w:t>。</w:t>
      </w:r>
    </w:p>
    <w:p w14:paraId="02EAE04A">
      <w:pPr>
        <w:spacing w:line="360" w:lineRule="auto"/>
        <w:ind w:firstLine="560" w:firstLineChars="200"/>
        <w:rPr>
          <w:rFonts w:ascii="仿宋" w:hAnsi="仿宋" w:eastAsia="仿宋"/>
          <w:kern w:val="20"/>
          <w:sz w:val="28"/>
          <w:szCs w:val="28"/>
        </w:rPr>
      </w:pPr>
      <w:r>
        <w:rPr>
          <w:rFonts w:ascii="仿宋" w:hAnsi="仿宋" w:eastAsia="仿宋"/>
          <w:kern w:val="20"/>
          <w:sz w:val="28"/>
          <w:szCs w:val="28"/>
        </w:rPr>
        <w:t>(2)提供的份数：</w:t>
      </w:r>
      <w:r>
        <w:rPr>
          <w:rFonts w:hint="eastAsia" w:ascii="仿宋" w:hAnsi="仿宋" w:eastAsia="仿宋"/>
          <w:kern w:val="20"/>
          <w:sz w:val="28"/>
          <w:szCs w:val="28"/>
          <w:u w:val="single"/>
        </w:rPr>
        <w:t>一式两份</w:t>
      </w:r>
      <w:r>
        <w:rPr>
          <w:rFonts w:ascii="仿宋" w:hAnsi="仿宋" w:eastAsia="仿宋"/>
          <w:kern w:val="20"/>
          <w:sz w:val="28"/>
          <w:szCs w:val="28"/>
          <w:u w:val="single"/>
        </w:rPr>
        <w:t>。</w:t>
      </w:r>
    </w:p>
    <w:p w14:paraId="0EEC441B">
      <w:pPr>
        <w:spacing w:line="360" w:lineRule="auto"/>
        <w:ind w:firstLine="560" w:firstLineChars="200"/>
        <w:rPr>
          <w:rFonts w:ascii="仿宋" w:hAnsi="仿宋" w:eastAsia="仿宋"/>
          <w:kern w:val="20"/>
          <w:sz w:val="28"/>
          <w:szCs w:val="28"/>
        </w:rPr>
      </w:pPr>
    </w:p>
    <w:p w14:paraId="4277CEE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8.乙方</w:t>
      </w:r>
    </w:p>
    <w:p w14:paraId="36C5A56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8.1 乙方完成下列工作的约定：</w:t>
      </w:r>
    </w:p>
    <w:p w14:paraId="65EB4CD2">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（1）需乙方办理的有关施工场地交通、环卫和施工噪音管理等手续：</w:t>
      </w:r>
      <w:r>
        <w:rPr>
          <w:rFonts w:hint="eastAsia" w:ascii="仿宋" w:hAnsi="仿宋" w:eastAsia="仿宋"/>
          <w:kern w:val="20"/>
          <w:sz w:val="28"/>
          <w:szCs w:val="28"/>
          <w:u w:val="single"/>
        </w:rPr>
        <w:t>按有关国家、地方、建筑行业规定，及甲方的企业规章制度要求办理 。</w:t>
      </w:r>
    </w:p>
    <w:p w14:paraId="700EB077">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（2）施工场地清洁卫生的要求：</w:t>
      </w:r>
      <w:r>
        <w:rPr>
          <w:rFonts w:hint="eastAsia" w:ascii="仿宋" w:hAnsi="仿宋" w:eastAsia="仿宋"/>
          <w:kern w:val="20"/>
          <w:sz w:val="28"/>
          <w:szCs w:val="28"/>
          <w:u w:val="single"/>
        </w:rPr>
        <w:t>施工场地清洁卫生工作由乙方负责，达到甲方主管部门的规定要求，所需费用由乙方负担 。</w:t>
      </w:r>
    </w:p>
    <w:p w14:paraId="6EE2C7E1">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（3）已完维修成品保护的特殊要求及费用承担：</w:t>
      </w:r>
      <w:r>
        <w:rPr>
          <w:rFonts w:hint="eastAsia" w:ascii="仿宋" w:hAnsi="仿宋" w:eastAsia="仿宋"/>
          <w:kern w:val="20"/>
          <w:sz w:val="28"/>
          <w:szCs w:val="28"/>
          <w:u w:val="single"/>
        </w:rPr>
        <w:t>项目交付使用前，所有已完工程成品保护工作由乙方负责，并承担费用，且不再另外计取。</w:t>
      </w:r>
    </w:p>
    <w:p w14:paraId="07C9DC86">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（4）如遇到维修的设计更改或增加的维修项目</w:t>
      </w:r>
      <w:r>
        <w:rPr>
          <w:rFonts w:hint="eastAsia" w:ascii="仿宋" w:hAnsi="仿宋" w:eastAsia="仿宋"/>
          <w:kern w:val="20"/>
          <w:sz w:val="28"/>
          <w:szCs w:val="28"/>
          <w:u w:val="single"/>
        </w:rPr>
        <w:t>：乙方必须按甲方要求实施 。</w:t>
      </w:r>
    </w:p>
    <w:p w14:paraId="3D2ADD6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5）施工期间乙方要确保承包项目内外场地清洁及道路畅通。如需使用他方道路，则还必须负责养护、保洁责任，否则责任自负。施工和警示标志明显，因施工造成第三人人身损害和财产损失的，由乙方承担责任。</w:t>
      </w:r>
    </w:p>
    <w:p w14:paraId="6A11443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6）乙方应加强防火、防盗、施工安全防护措施和加强对施工队伍的管理，遵守和执行安全、文明和深夜施工等的规定，否则，导致造成的损失和有关部门按规定给予的处罚或追究赔偿的经济损失均由乙方负责。</w:t>
      </w:r>
    </w:p>
    <w:p w14:paraId="0253B2B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（7）乙方必须遵守甲方的有关规章制度，如违反制度，所造成的损失由乙方负责。</w:t>
      </w:r>
    </w:p>
    <w:p w14:paraId="3EFD577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（8）乙方必须做好工地文明安全工作，施工现场不准吸烟，吸烟必须到指定吸烟点，如发现违规吸烟，发现第一宗予以警告处理，第二宗</w:t>
      </w:r>
      <w:r>
        <w:rPr>
          <w:rFonts w:hint="eastAsia" w:ascii="Calibri" w:hAnsi="Calibri" w:eastAsia="仿宋" w:cs="Calibri"/>
          <w:kern w:val="20"/>
          <w:sz w:val="28"/>
          <w:szCs w:val="28"/>
        </w:rPr>
        <w:t>起，每次乙方承担</w:t>
      </w:r>
      <w:r>
        <w:rPr>
          <w:rFonts w:hint="eastAsia" w:ascii="仿宋" w:hAnsi="仿宋" w:eastAsia="仿宋"/>
          <w:kern w:val="20"/>
          <w:sz w:val="28"/>
          <w:szCs w:val="28"/>
        </w:rPr>
        <w:t>1次一般违约责任。现场需派专人管理防火，施工现场要保持文明、清洁卫生。</w:t>
      </w:r>
    </w:p>
    <w:p w14:paraId="6F01CED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（9）乙方要做好施工安全和防火安全工作，一切安全事故，由乙方负责。</w:t>
      </w:r>
    </w:p>
    <w:p w14:paraId="5E6EC89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（10）乙方接到甲方维修通知，尽快组织施工人员到场施工；有紧急的维修，乙方施工人员必须在四小时内到达现场进行紧急维修。</w:t>
      </w:r>
    </w:p>
    <w:p w14:paraId="2912E20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（11）乙方在甲方提供的临时用水、用电接驳点安装用于计量的水、电表，施工过程的用水、用电费用由乙方承担，</w:t>
      </w:r>
      <w:r>
        <w:rPr>
          <w:rFonts w:hint="eastAsia" w:ascii="仿宋" w:hAnsi="仿宋" w:eastAsia="仿宋"/>
          <w:kern w:val="20"/>
          <w:sz w:val="28"/>
          <w:szCs w:val="28"/>
          <w:u w:val="single"/>
        </w:rPr>
        <w:t>按照本合同专用条款第</w:t>
      </w:r>
      <w:r>
        <w:rPr>
          <w:rFonts w:ascii="仿宋" w:hAnsi="仿宋" w:eastAsia="仿宋"/>
          <w:kern w:val="20"/>
          <w:sz w:val="28"/>
          <w:szCs w:val="28"/>
          <w:u w:val="single"/>
        </w:rPr>
        <w:t>36.2条约定</w:t>
      </w:r>
      <w:r>
        <w:rPr>
          <w:rFonts w:hint="eastAsia" w:ascii="仿宋" w:hAnsi="仿宋" w:eastAsia="仿宋"/>
          <w:kern w:val="20"/>
          <w:sz w:val="28"/>
          <w:szCs w:val="28"/>
        </w:rPr>
        <w:t>执行。</w:t>
      </w:r>
    </w:p>
    <w:p w14:paraId="5704B9D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9．甲方代表</w:t>
      </w:r>
    </w:p>
    <w:p w14:paraId="7CBB142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9.1 甲方代表及其权力的限制</w:t>
      </w:r>
    </w:p>
    <w:p w14:paraId="3A0B812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 甲方任命（    ）为甲方代表，其联络通讯地址如下：</w:t>
      </w:r>
    </w:p>
    <w:p w14:paraId="159A200B">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通讯地址：</w:t>
      </w:r>
      <w:r>
        <w:rPr>
          <w:rFonts w:hint="eastAsia" w:ascii="仿宋" w:hAnsi="仿宋" w:eastAsia="仿宋"/>
          <w:kern w:val="20"/>
          <w:sz w:val="28"/>
          <w:szCs w:val="28"/>
          <w:u w:val="single"/>
        </w:rPr>
        <w:t xml:space="preserve">                   </w:t>
      </w:r>
      <w:r>
        <w:rPr>
          <w:rFonts w:hint="eastAsia" w:ascii="仿宋" w:hAnsi="仿宋" w:eastAsia="仿宋"/>
          <w:kern w:val="20"/>
          <w:sz w:val="28"/>
          <w:szCs w:val="28"/>
        </w:rPr>
        <w:tab/>
      </w:r>
      <w:r>
        <w:rPr>
          <w:rFonts w:hint="eastAsia" w:ascii="仿宋" w:hAnsi="仿宋" w:eastAsia="仿宋"/>
          <w:kern w:val="20"/>
          <w:sz w:val="28"/>
          <w:szCs w:val="28"/>
        </w:rPr>
        <w:t>邮政编码：</w:t>
      </w:r>
      <w:r>
        <w:rPr>
          <w:rFonts w:hint="eastAsia" w:ascii="仿宋" w:hAnsi="仿宋" w:eastAsia="仿宋"/>
          <w:kern w:val="20"/>
          <w:sz w:val="28"/>
          <w:szCs w:val="28"/>
          <w:u w:val="single"/>
        </w:rPr>
        <w:t xml:space="preserve">        </w:t>
      </w:r>
    </w:p>
    <w:p w14:paraId="26A18CBF">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联系电话：</w:t>
      </w:r>
      <w:r>
        <w:rPr>
          <w:rFonts w:hint="eastAsia" w:ascii="仿宋" w:hAnsi="仿宋" w:eastAsia="仿宋"/>
          <w:kern w:val="20"/>
          <w:sz w:val="28"/>
          <w:szCs w:val="28"/>
          <w:u w:val="single"/>
        </w:rPr>
        <w:t xml:space="preserve">                   </w:t>
      </w:r>
      <w:r>
        <w:rPr>
          <w:rFonts w:hint="eastAsia" w:ascii="仿宋" w:hAnsi="仿宋" w:eastAsia="仿宋"/>
          <w:kern w:val="20"/>
          <w:sz w:val="28"/>
          <w:szCs w:val="28"/>
        </w:rPr>
        <w:tab/>
      </w:r>
      <w:r>
        <w:rPr>
          <w:rFonts w:hint="eastAsia" w:ascii="仿宋" w:hAnsi="仿宋" w:eastAsia="仿宋"/>
          <w:kern w:val="20"/>
          <w:sz w:val="28"/>
          <w:szCs w:val="28"/>
        </w:rPr>
        <w:t>传真号码：</w:t>
      </w:r>
      <w:r>
        <w:rPr>
          <w:rFonts w:hint="eastAsia" w:ascii="仿宋" w:hAnsi="仿宋" w:eastAsia="仿宋"/>
          <w:kern w:val="20"/>
          <w:sz w:val="28"/>
          <w:szCs w:val="28"/>
          <w:u w:val="single"/>
        </w:rPr>
        <w:t xml:space="preserve">        </w:t>
      </w:r>
    </w:p>
    <w:p w14:paraId="33C83444">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(2) 甲方对甲方代表权力做如下限制：</w:t>
      </w:r>
      <w:r>
        <w:rPr>
          <w:rFonts w:hint="eastAsia" w:ascii="仿宋" w:hAnsi="仿宋" w:eastAsia="仿宋"/>
          <w:kern w:val="20"/>
          <w:sz w:val="28"/>
          <w:szCs w:val="28"/>
          <w:u w:val="single"/>
        </w:rPr>
        <w:t>代表甲方全面履行本合同，具体负责协调施工现场所有的管理工作，包括隐蔽工程验收、工程工期顺延等事项，负责现场有关经济和技术方面的变更签证，与本项目相关的文件、资料须经甲方单位盖章确认后方为有效。</w:t>
      </w:r>
    </w:p>
    <w:p w14:paraId="16929313">
      <w:pPr>
        <w:spacing w:line="360" w:lineRule="auto"/>
        <w:ind w:firstLine="560" w:firstLineChars="200"/>
        <w:rPr>
          <w:rFonts w:ascii="仿宋" w:hAnsi="仿宋" w:eastAsia="仿宋"/>
          <w:kern w:val="20"/>
          <w:sz w:val="28"/>
          <w:szCs w:val="28"/>
        </w:rPr>
      </w:pPr>
    </w:p>
    <w:p w14:paraId="2D78918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10．乙方代表</w:t>
      </w:r>
    </w:p>
    <w:p w14:paraId="4A7D329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10.1 乙方任命（    ）为乙方代表，其联络通讯地址如下： </w:t>
      </w:r>
    </w:p>
    <w:p w14:paraId="3B48D8FD">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 xml:space="preserve">通讯地址： </w:t>
      </w:r>
      <w:r>
        <w:rPr>
          <w:rFonts w:hint="eastAsia" w:ascii="仿宋" w:hAnsi="仿宋" w:eastAsia="仿宋"/>
          <w:kern w:val="20"/>
          <w:sz w:val="28"/>
          <w:szCs w:val="28"/>
          <w:u w:val="single"/>
        </w:rPr>
        <w:t xml:space="preserve">                         </w:t>
      </w:r>
      <w:r>
        <w:rPr>
          <w:rFonts w:hint="eastAsia" w:ascii="仿宋" w:hAnsi="仿宋" w:eastAsia="仿宋"/>
          <w:kern w:val="20"/>
          <w:sz w:val="28"/>
          <w:szCs w:val="28"/>
        </w:rPr>
        <w:t xml:space="preserve">  邮政编码： </w:t>
      </w:r>
      <w:r>
        <w:rPr>
          <w:rFonts w:hint="eastAsia" w:ascii="仿宋" w:hAnsi="仿宋" w:eastAsia="仿宋"/>
          <w:kern w:val="20"/>
          <w:sz w:val="28"/>
          <w:szCs w:val="28"/>
          <w:u w:val="single"/>
        </w:rPr>
        <w:t xml:space="preserve">     </w:t>
      </w:r>
    </w:p>
    <w:p w14:paraId="4DC6A6F0">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联系电话：</w:t>
      </w:r>
      <w:r>
        <w:rPr>
          <w:rFonts w:hint="eastAsia" w:ascii="仿宋" w:hAnsi="仿宋" w:eastAsia="仿宋"/>
          <w:kern w:val="20"/>
          <w:sz w:val="28"/>
          <w:szCs w:val="28"/>
          <w:u w:val="single"/>
        </w:rPr>
        <w:tab/>
      </w:r>
      <w:r>
        <w:rPr>
          <w:rFonts w:hint="eastAsia" w:ascii="仿宋" w:hAnsi="仿宋" w:eastAsia="仿宋"/>
          <w:kern w:val="20"/>
          <w:sz w:val="28"/>
          <w:szCs w:val="28"/>
          <w:u w:val="single"/>
        </w:rPr>
        <w:tab/>
      </w:r>
      <w:r>
        <w:rPr>
          <w:rFonts w:hint="eastAsia" w:ascii="仿宋" w:hAnsi="仿宋" w:eastAsia="仿宋"/>
          <w:kern w:val="20"/>
          <w:sz w:val="28"/>
          <w:szCs w:val="28"/>
          <w:u w:val="single"/>
        </w:rPr>
        <w:t xml:space="preserve">                      </w:t>
      </w:r>
      <w:r>
        <w:rPr>
          <w:rFonts w:hint="eastAsia" w:ascii="仿宋" w:hAnsi="仿宋" w:eastAsia="仿宋"/>
          <w:kern w:val="20"/>
          <w:sz w:val="28"/>
          <w:szCs w:val="28"/>
        </w:rPr>
        <w:t xml:space="preserve">  传真号码：</w:t>
      </w:r>
      <w:r>
        <w:rPr>
          <w:rFonts w:hint="eastAsia" w:ascii="仿宋" w:hAnsi="仿宋" w:eastAsia="仿宋"/>
          <w:kern w:val="20"/>
          <w:sz w:val="28"/>
          <w:szCs w:val="28"/>
          <w:u w:val="single"/>
        </w:rPr>
        <w:t xml:space="preserve">      </w:t>
      </w:r>
    </w:p>
    <w:p w14:paraId="53FCAC8B">
      <w:pPr>
        <w:spacing w:line="360" w:lineRule="auto"/>
        <w:ind w:firstLine="560" w:firstLineChars="200"/>
        <w:rPr>
          <w:rFonts w:ascii="仿宋" w:hAnsi="仿宋" w:eastAsia="仿宋"/>
          <w:kern w:val="20"/>
          <w:sz w:val="28"/>
          <w:szCs w:val="28"/>
        </w:rPr>
      </w:pPr>
    </w:p>
    <w:p w14:paraId="72BDD24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11.工程担保</w:t>
      </w:r>
    </w:p>
    <w:p w14:paraId="345184E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11.1 乙方提供履约担保的约定</w:t>
      </w:r>
    </w:p>
    <w:p w14:paraId="1C2028D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（1）履约担保的金额（人民币）：</w:t>
      </w:r>
    </w:p>
    <w:p w14:paraId="1ABC1E2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（大写）</w:t>
      </w:r>
      <w:r>
        <w:rPr>
          <w:rFonts w:hint="eastAsia" w:ascii="仿宋" w:hAnsi="仿宋" w:eastAsia="仿宋"/>
          <w:kern w:val="20"/>
          <w:sz w:val="28"/>
          <w:szCs w:val="28"/>
          <w:u w:val="single"/>
        </w:rPr>
        <w:t xml:space="preserve">                  </w:t>
      </w:r>
      <w:r>
        <w:rPr>
          <w:rFonts w:hint="eastAsia" w:ascii="仿宋" w:hAnsi="仿宋" w:eastAsia="仿宋"/>
          <w:kern w:val="20"/>
          <w:sz w:val="28"/>
          <w:szCs w:val="28"/>
        </w:rPr>
        <w:t>（小写</w:t>
      </w:r>
      <w:r>
        <w:rPr>
          <w:rFonts w:hint="eastAsia" w:ascii="仿宋" w:hAnsi="仿宋" w:eastAsia="仿宋"/>
          <w:kern w:val="20"/>
          <w:sz w:val="28"/>
          <w:szCs w:val="28"/>
          <w:u w:val="single"/>
        </w:rPr>
        <w:t xml:space="preserve">            </w:t>
      </w:r>
      <w:r>
        <w:rPr>
          <w:rFonts w:hint="eastAsia" w:ascii="仿宋" w:hAnsi="仿宋" w:eastAsia="仿宋"/>
          <w:kern w:val="20"/>
          <w:sz w:val="28"/>
          <w:szCs w:val="28"/>
        </w:rPr>
        <w:t>）</w:t>
      </w:r>
    </w:p>
    <w:p w14:paraId="1C9E89D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（2）提供履约担保的时间：</w:t>
      </w:r>
    </w:p>
    <w:p w14:paraId="0C66C1DB">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签订本合同时。</w:t>
      </w:r>
    </w:p>
    <w:p w14:paraId="7C9F5945">
      <w:pPr>
        <w:spacing w:line="360" w:lineRule="auto"/>
        <w:ind w:firstLine="562" w:firstLineChars="200"/>
        <w:rPr>
          <w:rFonts w:ascii="仿宋" w:hAnsi="仿宋" w:eastAsia="仿宋"/>
          <w:kern w:val="20"/>
          <w:sz w:val="28"/>
          <w:szCs w:val="28"/>
          <w:u w:val="single"/>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其他时间：</w:t>
      </w:r>
      <w:r>
        <w:rPr>
          <w:rFonts w:hint="eastAsia" w:ascii="仿宋" w:hAnsi="仿宋" w:eastAsia="仿宋"/>
          <w:kern w:val="20"/>
          <w:sz w:val="28"/>
          <w:szCs w:val="28"/>
          <w:u w:val="single"/>
        </w:rPr>
        <w:t>合同签订后</w:t>
      </w:r>
      <w:r>
        <w:rPr>
          <w:rFonts w:ascii="仿宋" w:hAnsi="仿宋" w:eastAsia="仿宋"/>
          <w:kern w:val="20"/>
          <w:sz w:val="28"/>
          <w:szCs w:val="28"/>
          <w:u w:val="single"/>
        </w:rPr>
        <w:t>30</w:t>
      </w:r>
      <w:r>
        <w:rPr>
          <w:rFonts w:hint="eastAsia" w:ascii="仿宋" w:hAnsi="仿宋" w:eastAsia="仿宋"/>
          <w:kern w:val="20"/>
          <w:sz w:val="28"/>
          <w:szCs w:val="28"/>
          <w:u w:val="single"/>
        </w:rPr>
        <w:t>个日历天</w:t>
      </w:r>
      <w:r>
        <w:rPr>
          <w:rFonts w:ascii="仿宋" w:hAnsi="仿宋" w:eastAsia="仿宋"/>
          <w:kern w:val="20"/>
          <w:sz w:val="28"/>
          <w:szCs w:val="28"/>
          <w:u w:val="single"/>
        </w:rPr>
        <w:t>内提交</w:t>
      </w:r>
      <w:r>
        <w:rPr>
          <w:rFonts w:hint="eastAsia" w:ascii="仿宋" w:hAnsi="仿宋" w:eastAsia="仿宋"/>
          <w:kern w:val="20"/>
          <w:sz w:val="28"/>
          <w:szCs w:val="28"/>
          <w:u w:val="single"/>
        </w:rPr>
        <w:t>。乙方应于约定期限内提交履约担保，如乙方拒绝提交或超过提交期限未提交，甲方有权解除与乙方的合同，合同的解除不影响甲方另行解决争议和索赔的权利。</w:t>
      </w:r>
    </w:p>
    <w:p w14:paraId="71B9160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（3）履约担保其他事项的约定：</w:t>
      </w:r>
    </w:p>
    <w:p w14:paraId="6F52713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履约担保可采用金融机构保函、保证保险、专业担保公司担保、转账、电汇的形式提交。</w:t>
      </w:r>
    </w:p>
    <w:p w14:paraId="3041B39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以金融机构保函、保证保险、专业担保公司担保的形式提交履约担保的，履约担保必须是无条件、不可撤销、见索即付的等额履约担保，且保证在项目竣工验收合格前一直有效，如履约担保有效期到期前项目尚未竣工验收合格，乙方必须在履约担保到期前延展有效期。</w:t>
      </w:r>
    </w:p>
    <w:p w14:paraId="4E39597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以转账形式提交履约担保的，在退还履约担保时，将同时退还保证金本金和银行同期存款利息，其中银行同期存款利息按保证金本金×计息天数×活期存款年利率÷3</w:t>
      </w:r>
      <w:r>
        <w:rPr>
          <w:rFonts w:ascii="仿宋" w:hAnsi="仿宋" w:eastAsia="仿宋"/>
          <w:kern w:val="20"/>
          <w:sz w:val="28"/>
          <w:szCs w:val="28"/>
        </w:rPr>
        <w:t>65计算。计息天数指实际收到保证金或者应付账款转为保证金次日，至保证金达到退还条件当天计算的天数;活期存款年利率指实际收到保证金或者应付账款转为保证金次日适用的人民银行公布的金融机构人民币（活期）存款基准利率。</w:t>
      </w:r>
    </w:p>
    <w:p w14:paraId="1008DA89">
      <w:pPr>
        <w:spacing w:line="360" w:lineRule="auto"/>
        <w:ind w:firstLine="560" w:firstLineChars="200"/>
      </w:pPr>
      <w:r>
        <w:rPr>
          <w:rFonts w:hint="eastAsia" w:ascii="仿宋" w:hAnsi="仿宋" w:eastAsia="仿宋"/>
          <w:kern w:val="20"/>
          <w:sz w:val="28"/>
          <w:szCs w:val="28"/>
        </w:rPr>
        <w:t>（</w:t>
      </w:r>
      <w:r>
        <w:rPr>
          <w:rFonts w:ascii="仿宋" w:hAnsi="仿宋" w:eastAsia="仿宋"/>
          <w:kern w:val="20"/>
          <w:sz w:val="28"/>
          <w:szCs w:val="28"/>
        </w:rPr>
        <w:t>4</w:t>
      </w:r>
      <w:r>
        <w:rPr>
          <w:rFonts w:hint="eastAsia" w:ascii="仿宋" w:hAnsi="仿宋" w:eastAsia="仿宋"/>
          <w:kern w:val="20"/>
          <w:sz w:val="28"/>
          <w:szCs w:val="28"/>
        </w:rPr>
        <w:t>）本合同履约担保约定以转账或银行保函形式提交。</w:t>
      </w:r>
    </w:p>
    <w:p w14:paraId="141095DA">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11.2 履约担保退还时间的约定：</w:t>
      </w:r>
      <w:r>
        <w:rPr>
          <w:rFonts w:hint="eastAsia" w:ascii="仿宋" w:hAnsi="仿宋" w:eastAsia="仿宋"/>
          <w:kern w:val="20"/>
          <w:sz w:val="28"/>
          <w:szCs w:val="28"/>
          <w:u w:val="single"/>
        </w:rPr>
        <w:t>自应当交付该保证金之日始至工程竣工验收合格之日止，乙方未发生应被扣收履约保证金情形的，甲方在工程竣工验收合格,且收到乙方的退还申请后3</w:t>
      </w:r>
      <w:r>
        <w:rPr>
          <w:rFonts w:ascii="仿宋" w:hAnsi="仿宋" w:eastAsia="仿宋"/>
          <w:kern w:val="20"/>
          <w:sz w:val="28"/>
          <w:szCs w:val="28"/>
          <w:u w:val="single"/>
        </w:rPr>
        <w:t>0</w:t>
      </w:r>
      <w:r>
        <w:rPr>
          <w:rFonts w:hint="eastAsia" w:ascii="仿宋" w:hAnsi="仿宋" w:eastAsia="仿宋"/>
          <w:kern w:val="20"/>
          <w:sz w:val="28"/>
          <w:szCs w:val="28"/>
          <w:u w:val="single"/>
        </w:rPr>
        <w:t>个日历天</w:t>
      </w:r>
      <w:r>
        <w:rPr>
          <w:rFonts w:ascii="仿宋" w:hAnsi="仿宋" w:eastAsia="仿宋"/>
          <w:kern w:val="20"/>
          <w:sz w:val="28"/>
          <w:szCs w:val="28"/>
          <w:u w:val="single"/>
        </w:rPr>
        <w:t>内</w:t>
      </w:r>
      <w:r>
        <w:rPr>
          <w:rFonts w:hint="eastAsia" w:ascii="仿宋" w:hAnsi="仿宋" w:eastAsia="仿宋"/>
          <w:kern w:val="20"/>
          <w:sz w:val="28"/>
          <w:szCs w:val="28"/>
          <w:u w:val="single"/>
        </w:rPr>
        <w:t>退还履约担保。</w:t>
      </w:r>
    </w:p>
    <w:p w14:paraId="01CE4B4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11.3 甲方向乙方不提供任何形式的支付担保。</w:t>
      </w:r>
    </w:p>
    <w:p w14:paraId="0DB633C5">
      <w:pPr>
        <w:spacing w:line="360" w:lineRule="auto"/>
        <w:ind w:firstLine="560" w:firstLineChars="200"/>
        <w:rPr>
          <w:rFonts w:ascii="仿宋" w:hAnsi="仿宋" w:eastAsia="仿宋"/>
          <w:kern w:val="20"/>
          <w:sz w:val="28"/>
          <w:szCs w:val="28"/>
        </w:rPr>
      </w:pPr>
    </w:p>
    <w:p w14:paraId="16652EA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12.不可抗力</w:t>
      </w:r>
    </w:p>
    <w:p w14:paraId="181B0E6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12.1不可抗力的其他情形：</w:t>
      </w:r>
    </w:p>
    <w:p w14:paraId="26965675">
      <w:pPr>
        <w:numPr>
          <w:ilvl w:val="0"/>
          <w:numId w:val="2"/>
        </w:numPr>
        <w:spacing w:line="360" w:lineRule="auto"/>
        <w:ind w:left="0" w:firstLine="560" w:firstLineChars="200"/>
        <w:rPr>
          <w:rFonts w:ascii="仿宋" w:hAnsi="仿宋" w:eastAsia="仿宋"/>
          <w:kern w:val="20"/>
          <w:sz w:val="28"/>
          <w:szCs w:val="28"/>
        </w:rPr>
      </w:pPr>
      <w:bookmarkStart w:id="0" w:name="地震级数"/>
      <w:r>
        <w:rPr>
          <w:rFonts w:hint="eastAsia" w:ascii="仿宋" w:hAnsi="仿宋" w:eastAsia="仿宋"/>
          <w:kern w:val="20"/>
          <w:sz w:val="28"/>
          <w:szCs w:val="28"/>
        </w:rPr>
        <w:t>7</w:t>
      </w:r>
      <w:bookmarkEnd w:id="0"/>
      <w:r>
        <w:rPr>
          <w:rFonts w:hint="eastAsia" w:ascii="仿宋" w:hAnsi="仿宋" w:eastAsia="仿宋"/>
          <w:kern w:val="20"/>
          <w:sz w:val="28"/>
          <w:szCs w:val="28"/>
        </w:rPr>
        <w:t>级以上的地震（政府部门公开发布的正式信息为准）；</w:t>
      </w:r>
    </w:p>
    <w:p w14:paraId="703A0DC9">
      <w:pPr>
        <w:numPr>
          <w:ilvl w:val="0"/>
          <w:numId w:val="2"/>
        </w:numPr>
        <w:spacing w:line="360" w:lineRule="auto"/>
        <w:ind w:left="0" w:firstLine="560" w:firstLineChars="200"/>
        <w:rPr>
          <w:rFonts w:ascii="仿宋" w:hAnsi="仿宋" w:eastAsia="仿宋"/>
          <w:kern w:val="20"/>
          <w:sz w:val="28"/>
          <w:szCs w:val="28"/>
        </w:rPr>
      </w:pPr>
      <w:bookmarkStart w:id="1" w:name="大风级数"/>
      <w:r>
        <w:rPr>
          <w:rFonts w:hint="eastAsia" w:ascii="仿宋" w:hAnsi="仿宋" w:eastAsia="仿宋"/>
          <w:kern w:val="20"/>
          <w:sz w:val="28"/>
          <w:szCs w:val="28"/>
        </w:rPr>
        <w:t>10</w:t>
      </w:r>
      <w:bookmarkEnd w:id="1"/>
      <w:r>
        <w:rPr>
          <w:rFonts w:hint="eastAsia" w:ascii="仿宋" w:hAnsi="仿宋" w:eastAsia="仿宋"/>
          <w:kern w:val="20"/>
          <w:sz w:val="28"/>
          <w:szCs w:val="28"/>
        </w:rPr>
        <w:t>级以上的大风（气象部门公开发布的正式信息为准）；</w:t>
      </w:r>
    </w:p>
    <w:p w14:paraId="2BF251ED">
      <w:pPr>
        <w:numPr>
          <w:ilvl w:val="0"/>
          <w:numId w:val="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 xml:space="preserve">持续降水24小时且降雨量为 </w:t>
      </w:r>
      <w:bookmarkStart w:id="2" w:name="降水量"/>
      <w:r>
        <w:rPr>
          <w:rFonts w:hint="eastAsia" w:ascii="仿宋" w:hAnsi="仿宋" w:eastAsia="仿宋"/>
          <w:kern w:val="20"/>
          <w:sz w:val="28"/>
          <w:szCs w:val="28"/>
        </w:rPr>
        <w:t>100</w:t>
      </w:r>
      <w:bookmarkEnd w:id="2"/>
      <w:r>
        <w:rPr>
          <w:rFonts w:hint="eastAsia" w:ascii="仿宋" w:hAnsi="仿宋" w:eastAsia="仿宋"/>
          <w:kern w:val="20"/>
          <w:sz w:val="28"/>
          <w:szCs w:val="28"/>
        </w:rPr>
        <w:t xml:space="preserve"> mm以上（气象部门公开发布的正式信息为准）；</w:t>
      </w:r>
    </w:p>
    <w:p w14:paraId="100CE740">
      <w:pPr>
        <w:numPr>
          <w:ilvl w:val="0"/>
          <w:numId w:val="2"/>
        </w:numPr>
        <w:spacing w:line="360" w:lineRule="auto"/>
        <w:ind w:left="0" w:firstLine="560" w:firstLineChars="200"/>
        <w:rPr>
          <w:rFonts w:ascii="仿宋" w:hAnsi="仿宋" w:eastAsia="仿宋"/>
          <w:kern w:val="20"/>
          <w:sz w:val="28"/>
          <w:szCs w:val="28"/>
        </w:rPr>
      </w:pPr>
      <w:bookmarkStart w:id="3" w:name="高温度数"/>
      <w:r>
        <w:rPr>
          <w:rFonts w:hint="eastAsia" w:ascii="仿宋" w:hAnsi="仿宋" w:eastAsia="仿宋"/>
          <w:kern w:val="20"/>
          <w:sz w:val="28"/>
          <w:szCs w:val="28"/>
        </w:rPr>
        <w:t>40</w:t>
      </w:r>
      <w:bookmarkEnd w:id="3"/>
      <w:r>
        <w:rPr>
          <w:rFonts w:hint="eastAsia" w:ascii="仿宋" w:hAnsi="仿宋" w:eastAsia="仿宋"/>
          <w:kern w:val="20"/>
          <w:sz w:val="28"/>
          <w:szCs w:val="28"/>
        </w:rPr>
        <w:t>摄氏度以上并持续2天的高温天气（气象部门公开发布的正式信息为准）。</w:t>
      </w:r>
    </w:p>
    <w:p w14:paraId="41777E87">
      <w:pPr>
        <w:spacing w:line="360" w:lineRule="auto"/>
        <w:ind w:firstLine="560" w:firstLineChars="200"/>
        <w:rPr>
          <w:rFonts w:ascii="仿宋" w:hAnsi="仿宋" w:eastAsia="仿宋"/>
          <w:kern w:val="20"/>
          <w:sz w:val="28"/>
          <w:szCs w:val="28"/>
        </w:rPr>
      </w:pPr>
    </w:p>
    <w:p w14:paraId="09724DA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13.保险</w:t>
      </w:r>
    </w:p>
    <w:p w14:paraId="7BF5C5D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13.1 甲方委托乙方办理保险事项有：</w:t>
      </w:r>
    </w:p>
    <w:p w14:paraId="6CE53EF0">
      <w:pPr>
        <w:spacing w:line="360" w:lineRule="auto"/>
        <w:ind w:firstLine="560" w:firstLineChars="200"/>
        <w:rPr>
          <w:rFonts w:ascii="仿宋" w:hAnsi="仿宋" w:eastAsia="仿宋"/>
          <w:kern w:val="20"/>
          <w:sz w:val="28"/>
          <w:szCs w:val="28"/>
          <w:u w:val="single"/>
        </w:rPr>
      </w:pPr>
      <w:r>
        <w:rPr>
          <w:rFonts w:ascii="Segoe UI Symbol" w:hAnsi="Segoe UI Symbol" w:eastAsia="仿宋" w:cs="Segoe UI Symbol"/>
          <w:kern w:val="20"/>
          <w:sz w:val="28"/>
          <w:szCs w:val="28"/>
        </w:rPr>
        <w:t>☑</w:t>
      </w:r>
      <w:r>
        <w:rPr>
          <w:rFonts w:ascii="仿宋" w:hAnsi="仿宋" w:eastAsia="仿宋"/>
          <w:kern w:val="20"/>
          <w:sz w:val="28"/>
          <w:szCs w:val="28"/>
        </w:rPr>
        <w:t xml:space="preserve"> </w:t>
      </w:r>
      <w:r>
        <w:rPr>
          <w:rFonts w:hint="eastAsia" w:ascii="仿宋" w:hAnsi="仿宋" w:eastAsia="仿宋"/>
          <w:kern w:val="20"/>
          <w:sz w:val="28"/>
          <w:szCs w:val="28"/>
        </w:rPr>
        <w:t>无</w:t>
      </w:r>
    </w:p>
    <w:p w14:paraId="3F1615F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13.2对保险事项的其他约定：</w:t>
      </w:r>
    </w:p>
    <w:p w14:paraId="39EDC9A9">
      <w:pPr>
        <w:numPr>
          <w:ilvl w:val="0"/>
          <w:numId w:val="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乙方应对任何为甲方工作的职员在工作期间的人身意外伤害承担全部责任并为其投保雇主责任保险。乙方应设定与其职员薪酬符合的赔偿限额或赔偿期限。此保险费用应由乙方自行承担。</w:t>
      </w:r>
    </w:p>
    <w:p w14:paraId="337623F7">
      <w:pPr>
        <w:numPr>
          <w:ilvl w:val="0"/>
          <w:numId w:val="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乙方应对其在本项目工地中使用的自有设备及机器的损坏、灭失承担全部责任并为其投保乙方机具险。此保险费用应由乙方自行承担。</w:t>
      </w:r>
    </w:p>
    <w:p w14:paraId="2D40608E">
      <w:pPr>
        <w:numPr>
          <w:ilvl w:val="0"/>
          <w:numId w:val="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乙方应保证在整个项目期限内上述保险始终有效，并且不得随意取消上述保单，除非经过甲方的书面同意。此约定以保险条款形式写入保单文件。</w:t>
      </w:r>
    </w:p>
    <w:p w14:paraId="2669D362">
      <w:pPr>
        <w:spacing w:line="360" w:lineRule="auto"/>
        <w:ind w:firstLine="560" w:firstLineChars="200"/>
        <w:rPr>
          <w:rFonts w:ascii="仿宋" w:hAnsi="仿宋" w:eastAsia="仿宋"/>
          <w:kern w:val="20"/>
          <w:sz w:val="28"/>
          <w:szCs w:val="28"/>
        </w:rPr>
      </w:pPr>
    </w:p>
    <w:p w14:paraId="786D44B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14.进度计划和报告</w:t>
      </w:r>
    </w:p>
    <w:p w14:paraId="2BFA9B3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 14.1 乙方编制施工进度报告和修订进度计划的时间要求：</w:t>
      </w:r>
    </w:p>
    <w:p w14:paraId="75798E4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合同文件签订后7天内，将施工组织设计和工程进度计划提交给监理单位，乙方必须按监理单位确认的进度计划组织施工，接受监理单位对进度的检查和监督。在施工过程中，工程实际进度与经确认的进度不符时，乙方应按现场监理单位的要求提出改进措施，并定期修订施工网络计划，标注关键工作和关键路线，报监理单位、甲方确认后执行。</w:t>
      </w:r>
    </w:p>
    <w:p w14:paraId="16ED70B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（2）监理单位确认的时间：监理单位收到乙方提交的施工组织设计和工程进度计划后7天内，予以确认或提出修改意见，逾期不确认也不提出书面意见的，视为监理单位同意。</w:t>
      </w:r>
    </w:p>
    <w:p w14:paraId="095A0FA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（3）乙方须于每月</w:t>
      </w:r>
      <w:r>
        <w:rPr>
          <w:rFonts w:hint="eastAsia" w:ascii="仿宋" w:hAnsi="仿宋" w:eastAsia="仿宋"/>
          <w:kern w:val="20"/>
          <w:sz w:val="28"/>
          <w:szCs w:val="28"/>
          <w:u w:val="single"/>
        </w:rPr>
        <w:t>25</w:t>
      </w:r>
      <w:r>
        <w:rPr>
          <w:rFonts w:hint="eastAsia" w:ascii="仿宋" w:hAnsi="仿宋" w:eastAsia="仿宋"/>
          <w:kern w:val="20"/>
          <w:sz w:val="28"/>
          <w:szCs w:val="28"/>
        </w:rPr>
        <w:t>日前向监理工程师提供如下报表、计划，经监理单位审核后，报甲方批准后实施。</w:t>
      </w:r>
    </w:p>
    <w:p w14:paraId="639F397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（4）当月应完成的工程进度和实际完成进度统计报表一式肆份，说明提前或拖延原因，时间从上月</w:t>
      </w:r>
      <w:r>
        <w:rPr>
          <w:rFonts w:hint="eastAsia" w:ascii="仿宋" w:hAnsi="仿宋" w:eastAsia="仿宋"/>
          <w:kern w:val="20"/>
          <w:sz w:val="28"/>
          <w:szCs w:val="28"/>
          <w:u w:val="single"/>
        </w:rPr>
        <w:t xml:space="preserve">  25</w:t>
      </w:r>
      <w:r>
        <w:rPr>
          <w:rFonts w:hint="eastAsia" w:ascii="仿宋" w:hAnsi="仿宋" w:eastAsia="仿宋"/>
          <w:kern w:val="20"/>
          <w:sz w:val="28"/>
          <w:szCs w:val="28"/>
        </w:rPr>
        <w:t>日至当月</w:t>
      </w:r>
      <w:r>
        <w:rPr>
          <w:rFonts w:hint="eastAsia" w:ascii="仿宋" w:hAnsi="仿宋" w:eastAsia="仿宋"/>
          <w:kern w:val="20"/>
          <w:sz w:val="28"/>
          <w:szCs w:val="28"/>
          <w:u w:val="single"/>
        </w:rPr>
        <w:t>24</w:t>
      </w:r>
      <w:r>
        <w:rPr>
          <w:rFonts w:hint="eastAsia" w:ascii="仿宋" w:hAnsi="仿宋" w:eastAsia="仿宋"/>
          <w:kern w:val="20"/>
          <w:sz w:val="28"/>
          <w:szCs w:val="28"/>
        </w:rPr>
        <w:t>日。</w:t>
      </w:r>
    </w:p>
    <w:p w14:paraId="472A8D1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（5）当月完成的工程量申报，并有完成金额一式肆份，时间从上月</w:t>
      </w:r>
      <w:r>
        <w:rPr>
          <w:rFonts w:hint="eastAsia" w:ascii="仿宋" w:hAnsi="仿宋" w:eastAsia="仿宋"/>
          <w:kern w:val="20"/>
          <w:sz w:val="28"/>
          <w:szCs w:val="28"/>
          <w:u w:val="single"/>
        </w:rPr>
        <w:t>25</w:t>
      </w:r>
      <w:r>
        <w:rPr>
          <w:rFonts w:hint="eastAsia" w:ascii="仿宋" w:hAnsi="仿宋" w:eastAsia="仿宋"/>
          <w:kern w:val="20"/>
          <w:sz w:val="28"/>
          <w:szCs w:val="28"/>
        </w:rPr>
        <w:t>日至当月</w:t>
      </w:r>
      <w:r>
        <w:rPr>
          <w:rFonts w:hint="eastAsia" w:ascii="仿宋" w:hAnsi="仿宋" w:eastAsia="仿宋"/>
          <w:kern w:val="20"/>
          <w:sz w:val="28"/>
          <w:szCs w:val="28"/>
          <w:u w:val="single"/>
        </w:rPr>
        <w:t>24</w:t>
      </w:r>
      <w:r>
        <w:rPr>
          <w:rFonts w:hint="eastAsia" w:ascii="仿宋" w:hAnsi="仿宋" w:eastAsia="仿宋"/>
          <w:kern w:val="20"/>
          <w:sz w:val="28"/>
          <w:szCs w:val="28"/>
        </w:rPr>
        <w:t>日。</w:t>
      </w:r>
    </w:p>
    <w:p w14:paraId="0E8D1CE2">
      <w:pPr>
        <w:spacing w:line="360" w:lineRule="auto"/>
        <w:ind w:firstLine="560" w:firstLineChars="200"/>
        <w:rPr>
          <w:rFonts w:ascii="仿宋" w:hAnsi="仿宋" w:eastAsia="仿宋"/>
          <w:kern w:val="20"/>
          <w:sz w:val="28"/>
          <w:szCs w:val="28"/>
        </w:rPr>
      </w:pPr>
    </w:p>
    <w:p w14:paraId="34AF8AD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15．开工</w:t>
      </w:r>
    </w:p>
    <w:p w14:paraId="5830798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 监理单位在本合同签订后的（/）天内签发开工令。</w:t>
      </w:r>
    </w:p>
    <w:p w14:paraId="21439B25">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按甲方通知时间开工。</w:t>
      </w:r>
    </w:p>
    <w:p w14:paraId="49C76DD7">
      <w:pPr>
        <w:spacing w:line="360" w:lineRule="auto"/>
        <w:ind w:firstLine="560" w:firstLineChars="200"/>
        <w:rPr>
          <w:rFonts w:ascii="仿宋" w:hAnsi="仿宋" w:eastAsia="仿宋"/>
          <w:kern w:val="20"/>
          <w:sz w:val="28"/>
          <w:szCs w:val="28"/>
        </w:rPr>
      </w:pPr>
    </w:p>
    <w:p w14:paraId="30CCD85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16．工期及工期延误</w:t>
      </w:r>
    </w:p>
    <w:p w14:paraId="30E905A6">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16.1 工期根据合同第一部分协议书第三条合同工期执行。</w:t>
      </w:r>
    </w:p>
    <w:p w14:paraId="0773EE7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16.2工期延误：合同履行期间，由于下列原因造成工期延误的，乙方有权要求甲方顺延工期。</w:t>
      </w:r>
    </w:p>
    <w:p w14:paraId="4304D96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 xml:space="preserve">1） </w:t>
      </w:r>
      <w:r>
        <w:rPr>
          <w:rFonts w:hint="eastAsia" w:ascii="仿宋" w:hAnsi="仿宋" w:eastAsia="仿宋" w:cs="仿宋"/>
          <w:sz w:val="28"/>
          <w:szCs w:val="28"/>
        </w:rPr>
        <w:t>甲方未能按照专用条款的约定提供施工设计图纸及其他开工条件</w:t>
      </w:r>
      <w:r>
        <w:rPr>
          <w:rFonts w:ascii="仿宋" w:hAnsi="仿宋" w:eastAsia="仿宋" w:cs="仿宋"/>
          <w:sz w:val="28"/>
          <w:szCs w:val="28"/>
        </w:rPr>
        <w:t>(包括提供施工现场、施工条件、基础资料、许可、批准等)</w:t>
      </w:r>
      <w:r>
        <w:rPr>
          <w:rFonts w:hint="eastAsia" w:ascii="仿宋" w:hAnsi="仿宋" w:eastAsia="仿宋" w:cs="仿宋"/>
          <w:sz w:val="28"/>
          <w:szCs w:val="28"/>
        </w:rPr>
        <w:t>；</w:t>
      </w:r>
    </w:p>
    <w:p w14:paraId="45B3FA1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 xml:space="preserve">）监理工程师未按照合同约定及时提供所需指令、回复等； </w:t>
      </w:r>
    </w:p>
    <w:p w14:paraId="56262DC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 xml:space="preserve">3）工程变更（含增加合同工作内容、改变合同的任何一项工作等）； </w:t>
      </w:r>
    </w:p>
    <w:p w14:paraId="72C7076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 xml:space="preserve">4）工程量增加； </w:t>
      </w:r>
    </w:p>
    <w:p w14:paraId="757BD1C0">
      <w:pPr>
        <w:spacing w:line="420" w:lineRule="exact"/>
        <w:ind w:firstLine="560" w:firstLineChars="200"/>
        <w:jc w:val="left"/>
        <w:rPr>
          <w:rFonts w:ascii="仿宋" w:hAnsi="仿宋" w:eastAsia="仿宋"/>
          <w:sz w:val="28"/>
          <w:szCs w:val="28"/>
        </w:rPr>
      </w:pPr>
      <w:r>
        <w:rPr>
          <w:rFonts w:ascii="仿宋" w:hAnsi="仿宋" w:eastAsia="仿宋"/>
          <w:sz w:val="28"/>
          <w:szCs w:val="28"/>
        </w:rPr>
        <w:t>（</w:t>
      </w:r>
      <w:r>
        <w:rPr>
          <w:rFonts w:ascii="仿宋" w:hAnsi="仿宋" w:eastAsia="仿宋" w:cs="仿宋"/>
          <w:sz w:val="28"/>
          <w:szCs w:val="28"/>
        </w:rPr>
        <w:t>5</w:t>
      </w:r>
      <w:r>
        <w:rPr>
          <w:rFonts w:ascii="仿宋" w:hAnsi="仿宋" w:eastAsia="仿宋"/>
          <w:sz w:val="28"/>
          <w:szCs w:val="28"/>
        </w:rPr>
        <w:t>）</w:t>
      </w:r>
      <w:r>
        <w:rPr>
          <w:rFonts w:hint="eastAsia" w:ascii="仿宋" w:hAnsi="仿宋" w:eastAsia="仿宋"/>
          <w:sz w:val="28"/>
          <w:szCs w:val="28"/>
        </w:rPr>
        <w:t>一天内非乙方原因停水、停电造成停工累计超过</w:t>
      </w:r>
      <w:r>
        <w:rPr>
          <w:rFonts w:ascii="仿宋" w:hAnsi="仿宋" w:eastAsia="仿宋"/>
          <w:sz w:val="28"/>
          <w:szCs w:val="28"/>
        </w:rPr>
        <w:t>4小时；</w:t>
      </w:r>
    </w:p>
    <w:p w14:paraId="511F2D8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 xml:space="preserve">）不可抗力； </w:t>
      </w:r>
    </w:p>
    <w:p w14:paraId="09890D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 xml:space="preserve">）因甲方原因导致的暂停施工； </w:t>
      </w:r>
    </w:p>
    <w:p w14:paraId="418D8FC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）非乙方失误、违约，以及监理工程师同意的工期顺延</w:t>
      </w:r>
      <w:r>
        <w:rPr>
          <w:rFonts w:hint="eastAsia" w:ascii="仿宋" w:hAnsi="仿宋" w:eastAsia="仿宋" w:cs="仿宋"/>
          <w:sz w:val="28"/>
          <w:szCs w:val="28"/>
        </w:rPr>
        <w:t>；</w:t>
      </w:r>
    </w:p>
    <w:p w14:paraId="0A0915B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w:t>
      </w:r>
      <w:r>
        <w:rPr>
          <w:rFonts w:ascii="仿宋" w:hAnsi="仿宋" w:eastAsia="仿宋" w:cs="仿宋"/>
          <w:sz w:val="28"/>
          <w:szCs w:val="28"/>
        </w:rPr>
        <w:t>）甲方造成工期延误的其他原因</w:t>
      </w:r>
      <w:r>
        <w:rPr>
          <w:rFonts w:hint="eastAsia" w:ascii="仿宋" w:hAnsi="仿宋" w:eastAsia="仿宋" w:cs="仿宋"/>
          <w:sz w:val="28"/>
          <w:szCs w:val="28"/>
        </w:rPr>
        <w:t>；</w:t>
      </w:r>
    </w:p>
    <w:p w14:paraId="271A82F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0</w:t>
      </w:r>
      <w:r>
        <w:rPr>
          <w:rFonts w:ascii="仿宋" w:hAnsi="仿宋" w:eastAsia="仿宋" w:cs="仿宋"/>
          <w:sz w:val="28"/>
          <w:szCs w:val="28"/>
        </w:rPr>
        <w:t>）政府部门提出的相关停工要求（非乙方原因造成的），</w:t>
      </w:r>
      <w:r>
        <w:rPr>
          <w:rFonts w:hint="eastAsia" w:ascii="仿宋" w:hAnsi="仿宋" w:eastAsia="仿宋" w:cs="仿宋"/>
          <w:sz w:val="28"/>
          <w:szCs w:val="28"/>
        </w:rPr>
        <w:t>包括书面及非书面</w:t>
      </w:r>
      <w:r>
        <w:rPr>
          <w:rFonts w:ascii="仿宋" w:hAnsi="仿宋" w:eastAsia="仿宋" w:cs="仿宋"/>
          <w:sz w:val="28"/>
          <w:szCs w:val="28"/>
        </w:rPr>
        <w:t>（</w:t>
      </w:r>
      <w:r>
        <w:rPr>
          <w:rFonts w:hint="eastAsia" w:ascii="仿宋" w:hAnsi="仿宋" w:eastAsia="仿宋" w:cs="仿宋"/>
          <w:sz w:val="28"/>
          <w:szCs w:val="28"/>
        </w:rPr>
        <w:t>口头</w:t>
      </w:r>
      <w:r>
        <w:rPr>
          <w:rFonts w:ascii="仿宋" w:hAnsi="仿宋" w:eastAsia="仿宋" w:cs="仿宋"/>
          <w:sz w:val="28"/>
          <w:szCs w:val="28"/>
        </w:rPr>
        <w:t>、</w:t>
      </w:r>
      <w:r>
        <w:rPr>
          <w:rFonts w:hint="eastAsia" w:ascii="仿宋" w:hAnsi="仿宋" w:eastAsia="仿宋" w:cs="仿宋"/>
          <w:sz w:val="28"/>
          <w:szCs w:val="28"/>
        </w:rPr>
        <w:t>电话等方式</w:t>
      </w:r>
      <w:r>
        <w:rPr>
          <w:rFonts w:ascii="仿宋" w:hAnsi="仿宋" w:eastAsia="仿宋" w:cs="仿宋"/>
          <w:sz w:val="28"/>
          <w:szCs w:val="28"/>
        </w:rPr>
        <w:t>），</w:t>
      </w:r>
      <w:r>
        <w:rPr>
          <w:rFonts w:hint="eastAsia" w:ascii="仿宋" w:hAnsi="仿宋" w:eastAsia="仿宋" w:cs="仿宋"/>
          <w:sz w:val="28"/>
          <w:szCs w:val="28"/>
        </w:rPr>
        <w:t>经监理工程师同意的工期顺延；</w:t>
      </w:r>
    </w:p>
    <w:p w14:paraId="051C99A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1</w:t>
      </w:r>
      <w:r>
        <w:rPr>
          <w:rFonts w:ascii="仿宋" w:hAnsi="仿宋" w:eastAsia="仿宋" w:cs="仿宋"/>
          <w:sz w:val="28"/>
          <w:szCs w:val="28"/>
        </w:rPr>
        <w:t>）出于安全、</w:t>
      </w:r>
      <w:r>
        <w:rPr>
          <w:rFonts w:hint="eastAsia" w:ascii="仿宋" w:hAnsi="仿宋" w:eastAsia="仿宋" w:cs="仿宋"/>
          <w:sz w:val="28"/>
          <w:szCs w:val="28"/>
        </w:rPr>
        <w:t>质量考虑</w:t>
      </w:r>
      <w:r>
        <w:rPr>
          <w:rFonts w:ascii="仿宋" w:hAnsi="仿宋" w:eastAsia="仿宋" w:cs="仿宋"/>
          <w:sz w:val="28"/>
          <w:szCs w:val="28"/>
        </w:rPr>
        <w:t>（</w:t>
      </w:r>
      <w:r>
        <w:rPr>
          <w:rFonts w:hint="eastAsia" w:ascii="仿宋" w:hAnsi="仿宋" w:eastAsia="仿宋" w:cs="仿宋"/>
          <w:sz w:val="28"/>
          <w:szCs w:val="28"/>
        </w:rPr>
        <w:t>非乙方原因造成的</w:t>
      </w:r>
      <w:r>
        <w:rPr>
          <w:rFonts w:ascii="仿宋" w:hAnsi="仿宋" w:eastAsia="仿宋" w:cs="仿宋"/>
          <w:sz w:val="28"/>
          <w:szCs w:val="28"/>
        </w:rPr>
        <w:t>），</w:t>
      </w:r>
      <w:r>
        <w:rPr>
          <w:rFonts w:hint="eastAsia" w:ascii="仿宋" w:hAnsi="仿宋" w:eastAsia="仿宋" w:cs="仿宋"/>
          <w:sz w:val="28"/>
          <w:szCs w:val="28"/>
        </w:rPr>
        <w:t>经监理工程师论证确需暂时停工的工期顺延；</w:t>
      </w:r>
    </w:p>
    <w:p w14:paraId="1AB7AA0B">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cs="仿宋"/>
          <w:sz w:val="28"/>
          <w:szCs w:val="28"/>
        </w:rPr>
        <w:t>12</w:t>
      </w:r>
      <w:r>
        <w:rPr>
          <w:rFonts w:hint="eastAsia" w:ascii="仿宋" w:hAnsi="仿宋" w:eastAsia="仿宋"/>
          <w:sz w:val="28"/>
          <w:szCs w:val="28"/>
        </w:rPr>
        <w:t>）如遇高温天气，日最高气温达</w:t>
      </w:r>
      <w:r>
        <w:rPr>
          <w:rFonts w:ascii="仿宋" w:hAnsi="仿宋" w:eastAsia="仿宋"/>
          <w:sz w:val="28"/>
          <w:szCs w:val="28"/>
        </w:rPr>
        <w:t>39</w:t>
      </w:r>
      <w:r>
        <w:rPr>
          <w:rFonts w:hint="eastAsia" w:ascii="仿宋" w:hAnsi="仿宋" w:eastAsia="仿宋"/>
          <w:sz w:val="28"/>
          <w:szCs w:val="28"/>
        </w:rPr>
        <w:t>℃以上，应停止户外露天工作，</w:t>
      </w:r>
      <w:r>
        <w:rPr>
          <w:rFonts w:hint="eastAsia" w:ascii="仿宋" w:hAnsi="仿宋" w:eastAsia="仿宋" w:cs="仿宋"/>
          <w:sz w:val="28"/>
          <w:szCs w:val="28"/>
        </w:rPr>
        <w:t>经监理工程师同意的工期顺延</w:t>
      </w:r>
      <w:r>
        <w:rPr>
          <w:rFonts w:hint="eastAsia" w:ascii="仿宋" w:hAnsi="仿宋" w:eastAsia="仿宋"/>
          <w:sz w:val="28"/>
          <w:szCs w:val="28"/>
        </w:rPr>
        <w:t>；日最高气温达到</w:t>
      </w:r>
      <w:r>
        <w:rPr>
          <w:rFonts w:ascii="仿宋" w:hAnsi="仿宋" w:eastAsia="仿宋"/>
          <w:sz w:val="28"/>
          <w:szCs w:val="28"/>
        </w:rPr>
        <w:t>35℃以上时，乙方应采取</w:t>
      </w:r>
      <w:r>
        <w:rPr>
          <w:rFonts w:hint="eastAsia" w:ascii="仿宋" w:hAnsi="仿宋" w:eastAsia="仿宋" w:cs="仿宋"/>
          <w:sz w:val="28"/>
          <w:szCs w:val="28"/>
        </w:rPr>
        <w:t>错峰等</w:t>
      </w:r>
      <w:r>
        <w:rPr>
          <w:rFonts w:hint="eastAsia" w:ascii="仿宋" w:hAnsi="仿宋" w:eastAsia="仿宋"/>
          <w:sz w:val="28"/>
          <w:szCs w:val="28"/>
        </w:rPr>
        <w:t>措施合理安排施工时间，如现场确实不具备合理</w:t>
      </w:r>
      <w:r>
        <w:rPr>
          <w:rFonts w:hint="eastAsia" w:ascii="仿宋" w:hAnsi="仿宋" w:eastAsia="仿宋" w:cs="仿宋"/>
          <w:sz w:val="28"/>
          <w:szCs w:val="28"/>
        </w:rPr>
        <w:t>安排</w:t>
      </w:r>
      <w:r>
        <w:rPr>
          <w:rFonts w:hint="eastAsia" w:ascii="仿宋" w:hAnsi="仿宋" w:eastAsia="仿宋"/>
          <w:sz w:val="28"/>
          <w:szCs w:val="28"/>
        </w:rPr>
        <w:t>施工时间</w:t>
      </w:r>
      <w:r>
        <w:rPr>
          <w:rFonts w:hint="eastAsia" w:ascii="仿宋" w:hAnsi="仿宋" w:eastAsia="仿宋" w:cs="仿宋"/>
          <w:sz w:val="28"/>
          <w:szCs w:val="28"/>
        </w:rPr>
        <w:t>的条件</w:t>
      </w:r>
      <w:r>
        <w:rPr>
          <w:rFonts w:hint="eastAsia" w:ascii="仿宋" w:hAnsi="仿宋" w:eastAsia="仿宋"/>
          <w:sz w:val="28"/>
          <w:szCs w:val="28"/>
        </w:rPr>
        <w:t>，</w:t>
      </w:r>
      <w:r>
        <w:rPr>
          <w:rFonts w:hint="eastAsia" w:ascii="仿宋" w:hAnsi="仿宋" w:eastAsia="仿宋" w:cs="仿宋"/>
          <w:sz w:val="28"/>
          <w:szCs w:val="28"/>
        </w:rPr>
        <w:t>经监理工程师同意的工期顺延。</w:t>
      </w:r>
    </w:p>
    <w:p w14:paraId="3E41AC3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上述情况，监理单位均应出具相应的停工通知单予以确认。</w:t>
      </w:r>
    </w:p>
    <w:p w14:paraId="6D27B1D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以上事项确定工期顺延后，乙方不得向甲方索取任何工期顺延所涉及的相关费用或进行索赔。</w:t>
      </w:r>
    </w:p>
    <w:p w14:paraId="38D73262">
      <w:pPr>
        <w:spacing w:line="360" w:lineRule="auto"/>
        <w:ind w:firstLine="560" w:firstLineChars="200"/>
        <w:rPr>
          <w:rFonts w:ascii="仿宋" w:hAnsi="仿宋" w:eastAsia="仿宋" w:cs="仿宋"/>
          <w:sz w:val="28"/>
          <w:szCs w:val="28"/>
        </w:rPr>
      </w:pPr>
    </w:p>
    <w:p w14:paraId="6E11CA1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17．质量目标</w:t>
      </w:r>
    </w:p>
    <w:p w14:paraId="5BBDF83E">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17.1 项目质量标准：</w:t>
      </w:r>
      <w:r>
        <w:rPr>
          <w:rFonts w:hint="eastAsia" w:ascii="仿宋" w:hAnsi="仿宋" w:eastAsia="仿宋"/>
          <w:kern w:val="20"/>
          <w:sz w:val="28"/>
          <w:szCs w:val="28"/>
          <w:u w:val="single"/>
        </w:rPr>
        <w:t>按合同第一部分协议书第四条质量标准执行。</w:t>
      </w:r>
    </w:p>
    <w:p w14:paraId="5EBD2DCA">
      <w:pPr>
        <w:spacing w:line="360" w:lineRule="auto"/>
        <w:ind w:firstLine="560" w:firstLineChars="200"/>
        <w:rPr>
          <w:rFonts w:ascii="仿宋" w:hAnsi="仿宋" w:eastAsia="仿宋"/>
          <w:kern w:val="20"/>
          <w:sz w:val="28"/>
          <w:szCs w:val="28"/>
          <w:u w:val="single"/>
        </w:rPr>
      </w:pPr>
    </w:p>
    <w:p w14:paraId="1EA9CBE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18．安全文明施工与环境保护</w:t>
      </w:r>
    </w:p>
    <w:p w14:paraId="6DA5435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18.1安全文明施工的内容</w:t>
      </w:r>
    </w:p>
    <w:p w14:paraId="333BA82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18.1.1确保安全生产的技术组织要求</w:t>
      </w:r>
    </w:p>
    <w:p w14:paraId="63A758B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（1）确立安全目标：杜绝一切重大责任事故损害。</w:t>
      </w:r>
    </w:p>
    <w:p w14:paraId="198EF6E4">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（2）安全生产基本规范：</w:t>
      </w:r>
      <w:r>
        <w:rPr>
          <w:rFonts w:hint="eastAsia" w:ascii="仿宋" w:hAnsi="仿宋" w:eastAsia="仿宋"/>
          <w:kern w:val="20"/>
          <w:sz w:val="28"/>
          <w:szCs w:val="28"/>
          <w:u w:val="single"/>
        </w:rPr>
        <w:t>严格执行《中华人民共和国建筑法》、《建设工程施工现场消防安全技术规范》（GB50720）、《建筑施工现场环境与卫生标准》（JGJ146）、《施工现场临时建筑物技术规范》（JGJ/T 188）《建筑机械使用安全技术规程》（JGJ33）和《建筑施工安全检查标准》（JGJ 59）等有关法律法规及甲方的各项安全管理制度及规定。</w:t>
      </w:r>
    </w:p>
    <w:p w14:paraId="4D74995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（3）安全生产措施</w:t>
      </w:r>
    </w:p>
    <w:p w14:paraId="0773A9A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1）建立由项目经理领导的安全生产管理网络，对安全实行重点横向到边，纵向到底的层层管理，做到责任落实到人。</w:t>
      </w:r>
    </w:p>
    <w:p w14:paraId="259AB2A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2）对项目全面分析，确定安全关键控制点及薄弱环节进行重点管理，形成点面结合的管理模式。</w:t>
      </w:r>
    </w:p>
    <w:p w14:paraId="4743033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3）加强对参加职工的安全思想教育，自觉进行安全操作规程的学习。</w:t>
      </w:r>
    </w:p>
    <w:p w14:paraId="5DF7AF8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4）场内设立的安全警告牌等，开展现场安全生产大宣传，营造安全处于受控制状态的气氛。</w:t>
      </w:r>
    </w:p>
    <w:p w14:paraId="79A4FBA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5）执行安全生产责任制、安全检查制、实行安全交底制、事故报告制度，严格执行安全上岗制度，特种作业人员和特种设备作业人员必须持证上岗。</w:t>
      </w:r>
    </w:p>
    <w:p w14:paraId="395454E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6）注意工地用电安全，专业电工不定期检查线路、电箱等用电设施。</w:t>
      </w:r>
    </w:p>
    <w:p w14:paraId="04CFF45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7）分部分项工程安全技术交底进行全面的针对性安全技术交底，受交底者履行签字手续。</w:t>
      </w:r>
    </w:p>
    <w:p w14:paraId="5229676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8）特种作业人员、特种设备作业人员等国家要求需持证的工种必须经培训考试合格后持证上岗。</w:t>
      </w:r>
    </w:p>
    <w:p w14:paraId="69617EC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9）施工单位应对从事危险作业人员做好投保工作。</w:t>
      </w:r>
    </w:p>
    <w:p w14:paraId="6A405D7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10）遵守守纪，严禁违章指挥、违章作业。</w:t>
      </w:r>
    </w:p>
    <w:p w14:paraId="3875A1D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11）机组人员上岗操作的安全技术交底书、机械设备检查资料应定期检查。</w:t>
      </w:r>
    </w:p>
    <w:p w14:paraId="7E625F2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12）施工单位应当在施工现场显著位置设置施工单位告示牌、房屋拆除安全生产和文明施工牌，标明工程项目名称、建设单位、施工单位和项目负责人等内容。</w:t>
      </w:r>
    </w:p>
    <w:p w14:paraId="02C37B9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13）施工单位应当划定施工危险区域，在危险部位设置明显的安全警告标志，做好安全防护工作。夜间作业应当设置警示灯光，采取必要的安全防护措施。</w:t>
      </w:r>
    </w:p>
    <w:p w14:paraId="381826E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18.1.2确保工程质量的技术组织要求</w:t>
      </w:r>
    </w:p>
    <w:p w14:paraId="5BBF3AD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本工程设立现场项目部，作为本工程驻现场的指挥机构。项目主管负责全权处理整个工程拆除中的各项事物，接受甲方的指令，并严格执行，统筹安排施工生产，保证工程进度，按计划竣工。工程项目部必须做好以下工作：</w:t>
      </w:r>
    </w:p>
    <w:p w14:paraId="1E66E89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（1）严格按照招标文件、有关规定、规范，工程合同的要求组织施工。</w:t>
      </w:r>
    </w:p>
    <w:p w14:paraId="7DC0B84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（2）不定期举行工程例会，由项目主管主持，各部门负责人及施工组负责人共同参加，检查生产情况，布置下一步的施工工作。</w:t>
      </w:r>
    </w:p>
    <w:p w14:paraId="2F03728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（3）岗位职责明确，各岗位人员必须严格履行各自的岗位职责，对项目负责 ，确保实现项目部的各种施工任务。</w:t>
      </w:r>
    </w:p>
    <w:p w14:paraId="5A9067C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（4）定期组织有关人员对工程进度、工程质量、文明施工、安全施工、治安保卫等进行检查。 </w:t>
      </w:r>
    </w:p>
    <w:p w14:paraId="06E4B5A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18.1.3确保文明施工的技术组织要求</w:t>
      </w:r>
    </w:p>
    <w:p w14:paraId="403235F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（1）施工现场文明施工管理执行场容管理规定，文明施工负责管理。</w:t>
      </w:r>
    </w:p>
    <w:p w14:paraId="563EB49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（2）操作地点周围要做到整洁。</w:t>
      </w:r>
    </w:p>
    <w:p w14:paraId="44721F2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（3）加强现场文明施工，坚决贯彻“安全第一，预防为主”的方针，严格执行安全施工六大纪律等有关安全规章制度。</w:t>
      </w:r>
    </w:p>
    <w:p w14:paraId="77E1EBB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（4）施工现场堆放的材料要整齐，以免影响地区景观。</w:t>
      </w:r>
    </w:p>
    <w:p w14:paraId="4F60A6B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（5）施工机械及电气房屋须符合使用安全规程，非专业人员不得随意操作。</w:t>
      </w:r>
    </w:p>
    <w:p w14:paraId="3EA72C9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（6）施工现场用的临时电力系统，严禁用零线等，并须在房屋负载线的首端处加设漏电保护装置。</w:t>
      </w:r>
    </w:p>
    <w:p w14:paraId="6B3C674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（7）加强施工现场治安综合治理，做到目标管理、制度落实、责任到人。施工现场治安防范措施有力，重点要害部位防范设施有效到位。</w:t>
      </w:r>
    </w:p>
    <w:p w14:paraId="4257F84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18.1.4确保工期的技术组织要求</w:t>
      </w:r>
    </w:p>
    <w:p w14:paraId="49764C2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（1）进场准备：组织人员安排好办公用房和民工宿舍，并落实临时用水、电，甲方不提供民工宿舍，由乙方自行解决。</w:t>
      </w:r>
    </w:p>
    <w:p w14:paraId="21CA50F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（2）进场后，根据具体情况，分成若干个小组展开拆除任务。</w:t>
      </w:r>
    </w:p>
    <w:p w14:paraId="1F858DB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 </w:t>
      </w:r>
    </w:p>
    <w:p w14:paraId="0B0F83A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19．甲方供应材料和维修设备</w:t>
      </w:r>
    </w:p>
    <w:p w14:paraId="5A6997C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19.1 甲方是否供应材料设备</w:t>
      </w:r>
    </w:p>
    <w:p w14:paraId="319AC2C0">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甲方不供应材料和维修设备，本条不适用。</w:t>
      </w:r>
    </w:p>
    <w:p w14:paraId="7FDFEB5A">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甲方供应材料和维修设备的，约定“甲方供应材料设备一览表”，作为本合同的附件。</w:t>
      </w:r>
    </w:p>
    <w:p w14:paraId="4524E0B1">
      <w:pPr>
        <w:spacing w:line="360" w:lineRule="auto"/>
        <w:ind w:firstLine="560" w:firstLineChars="200"/>
        <w:rPr>
          <w:rFonts w:ascii="仿宋" w:hAnsi="仿宋" w:eastAsia="仿宋"/>
          <w:kern w:val="20"/>
          <w:sz w:val="28"/>
          <w:szCs w:val="28"/>
        </w:rPr>
      </w:pPr>
    </w:p>
    <w:p w14:paraId="299F4FE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20．乙方采购材料和维修设备</w:t>
      </w:r>
    </w:p>
    <w:p w14:paraId="5F34D82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20.1为保证主要材料和设备的质量，乙方按照下列条款执行：</w:t>
      </w:r>
    </w:p>
    <w:p w14:paraId="7B1BAAF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为保证主要材料和设备的质量，甲方已在招标阶段推荐的不少于3家生产厂家或供应商供应材料设备（简称甲控乙供）；若乙方选择甲方推荐以外的其他满足项目需求的产品，应按照下列条款执行；</w:t>
      </w:r>
    </w:p>
    <w:p w14:paraId="65D6107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（1）乙方应根据投标文件中明确的设备材料的品牌、型号、规格、产地、技术指标、价格和供货商进行采购。</w:t>
      </w:r>
    </w:p>
    <w:p w14:paraId="5490E9A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（2）甲方发现乙方采购或使用不符合设计或标准要求的材料时，可要求乙方在限定的时间运出施工场地，并由乙方承担由此发生的一切费用，延误的工期不予顺延。</w:t>
      </w:r>
    </w:p>
    <w:p w14:paraId="11C54BA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由于特殊原因，已选定的品牌无法满足本工程的供货和施工需要，则乙方应呈送专项申请报告说明原因，另推荐三种以上与原推荐品牌同等档次的品牌供甲方选择代用，经报监理人并经甲方确认后才能使用；甲方有权另行推荐相同档次的品牌进行调剂，供乙方选用。费用调整原则：按照投标文件该项目的自报材料单价和市场报价孰低的原则。</w:t>
      </w:r>
    </w:p>
    <w:p w14:paraId="25BF9DD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（4）本工程所需的主要材料、设备均需由甲方定版选样后，乙方才能采购及使用。</w:t>
      </w:r>
    </w:p>
    <w:p w14:paraId="5B45AE6E">
      <w:pPr>
        <w:spacing w:line="360" w:lineRule="auto"/>
        <w:ind w:firstLine="560" w:firstLineChars="200"/>
        <w:rPr>
          <w:rFonts w:ascii="仿宋" w:hAnsi="仿宋" w:eastAsia="仿宋"/>
          <w:kern w:val="20"/>
          <w:sz w:val="28"/>
          <w:szCs w:val="28"/>
        </w:rPr>
      </w:pPr>
    </w:p>
    <w:p w14:paraId="3560A1A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21.隐蔽工程和中间验收</w:t>
      </w:r>
    </w:p>
    <w:p w14:paraId="0A97ABB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21.1</w:t>
      </w:r>
      <w:r>
        <w:rPr>
          <w:rFonts w:ascii="仿宋" w:hAnsi="仿宋" w:eastAsia="仿宋"/>
          <w:kern w:val="20"/>
          <w:sz w:val="28"/>
          <w:szCs w:val="28"/>
        </w:rPr>
        <w:t xml:space="preserve"> </w:t>
      </w:r>
      <w:r>
        <w:rPr>
          <w:rFonts w:hint="eastAsia" w:ascii="仿宋" w:hAnsi="仿宋" w:eastAsia="仿宋"/>
          <w:kern w:val="20"/>
          <w:sz w:val="28"/>
          <w:szCs w:val="28"/>
        </w:rPr>
        <w:t>验收程序：</w:t>
      </w:r>
    </w:p>
    <w:p w14:paraId="78BA8DD6">
      <w:pPr>
        <w:numPr>
          <w:ilvl w:val="0"/>
          <w:numId w:val="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工程具备隐蔽条件或达到本合同约定的中间验收部位，乙方进行自检，并在隐蔽或中间验收前</w:t>
      </w:r>
      <w:r>
        <w:rPr>
          <w:rFonts w:ascii="仿宋" w:hAnsi="仿宋" w:eastAsia="仿宋"/>
          <w:kern w:val="20"/>
          <w:sz w:val="28"/>
          <w:szCs w:val="28"/>
        </w:rPr>
        <w:t>48</w:t>
      </w:r>
      <w:r>
        <w:rPr>
          <w:rFonts w:hint="eastAsia" w:ascii="仿宋" w:hAnsi="仿宋" w:eastAsia="仿宋"/>
          <w:kern w:val="20"/>
          <w:sz w:val="28"/>
          <w:szCs w:val="28"/>
        </w:rPr>
        <w:t>小时以书面形式通知监理单位验收。通知包括隐蔽和中间验收的内容、验收时间和地点。乙方准备验收记录，验收合格，监理单位在验收记录上签字后，乙方可进行隐蔽和继续施工。验收不合格，乙方在监理单位限定的时间内修改后重新验收。</w:t>
      </w:r>
    </w:p>
    <w:p w14:paraId="0A5E06D9">
      <w:pPr>
        <w:numPr>
          <w:ilvl w:val="0"/>
          <w:numId w:val="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监理单位不能按时进行验收，应在验收前</w:t>
      </w:r>
      <w:r>
        <w:rPr>
          <w:rFonts w:ascii="仿宋" w:hAnsi="仿宋" w:eastAsia="仿宋"/>
          <w:kern w:val="20"/>
          <w:sz w:val="28"/>
          <w:szCs w:val="28"/>
        </w:rPr>
        <w:t>24</w:t>
      </w:r>
      <w:r>
        <w:rPr>
          <w:rFonts w:hint="eastAsia" w:ascii="仿宋" w:hAnsi="仿宋" w:eastAsia="仿宋"/>
          <w:kern w:val="20"/>
          <w:sz w:val="28"/>
          <w:szCs w:val="28"/>
        </w:rPr>
        <w:t>小时以书面形式向乙方提出延期要求，延期不能超过</w:t>
      </w:r>
      <w:r>
        <w:rPr>
          <w:rFonts w:ascii="仿宋" w:hAnsi="仿宋" w:eastAsia="仿宋"/>
          <w:kern w:val="20"/>
          <w:sz w:val="28"/>
          <w:szCs w:val="28"/>
        </w:rPr>
        <w:t>48</w:t>
      </w:r>
      <w:r>
        <w:rPr>
          <w:rFonts w:hint="eastAsia" w:ascii="仿宋" w:hAnsi="仿宋" w:eastAsia="仿宋"/>
          <w:kern w:val="20"/>
          <w:sz w:val="28"/>
          <w:szCs w:val="28"/>
        </w:rPr>
        <w:t>小时。监理单位未能按以上时间提出延期要求，不进行验收，乙方可自行组织验收，监理单位应承认验收记录。</w:t>
      </w:r>
    </w:p>
    <w:p w14:paraId="2367910C">
      <w:pPr>
        <w:numPr>
          <w:ilvl w:val="0"/>
          <w:numId w:val="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经监理单位验收，工程质量符合标准、规范和设计图纸等要求，验收</w:t>
      </w:r>
      <w:r>
        <w:rPr>
          <w:rFonts w:ascii="仿宋" w:hAnsi="仿宋" w:eastAsia="仿宋"/>
          <w:kern w:val="20"/>
          <w:sz w:val="28"/>
          <w:szCs w:val="28"/>
        </w:rPr>
        <w:t>24</w:t>
      </w:r>
      <w:r>
        <w:rPr>
          <w:rFonts w:hint="eastAsia" w:ascii="仿宋" w:hAnsi="仿宋" w:eastAsia="仿宋"/>
          <w:kern w:val="20"/>
          <w:sz w:val="28"/>
          <w:szCs w:val="28"/>
        </w:rPr>
        <w:t>小时后，监理单位不在验收记录上签字，视为监理单位已经认可验收记录，乙方可进行隐蔽或继续施工。</w:t>
      </w:r>
    </w:p>
    <w:p w14:paraId="33BFBC4B">
      <w:pPr>
        <w:numPr>
          <w:ilvl w:val="0"/>
          <w:numId w:val="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验收人员组成：甲方、监理单位、机电设备管理负责人、乙方及后续关联工程承建等有关单位。</w:t>
      </w:r>
    </w:p>
    <w:p w14:paraId="20172338">
      <w:pPr>
        <w:numPr>
          <w:ilvl w:val="0"/>
          <w:numId w:val="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中间验收部位未经监理单位验收合格，不得继续施工，否则该部分工程被视为不合格，由此所产生的返工及相关费用由乙方承担。</w:t>
      </w:r>
    </w:p>
    <w:p w14:paraId="1E1A0005">
      <w:pPr>
        <w:numPr>
          <w:ilvl w:val="0"/>
          <w:numId w:val="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验收依据和标准：施工图纸，图纸说明，有关设计变更资料和图纸，技术交底及会议纪要，国家颁布的施工验收规范、规定。</w:t>
      </w:r>
    </w:p>
    <w:p w14:paraId="1E62C465">
      <w:pPr>
        <w:numPr>
          <w:ilvl w:val="0"/>
          <w:numId w:val="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基本完工后，乙方在预验收完成后，认为满足工程竣工验收条件时，方可向监理单位提出单位工程预验收申请。监理单位预验合格后，甲方、乙方及监理单位协商确定竣工验收时间，由甲方、乙方、设计单位、监理单位、质监站等有关部门共同组织工程整体验收。</w:t>
      </w:r>
    </w:p>
    <w:p w14:paraId="601942A8">
      <w:pPr>
        <w:numPr>
          <w:ilvl w:val="0"/>
          <w:numId w:val="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经验收评定，工程质量及工程内容符合合同要求的，甲方、乙方、监理单位及设计单位均应在工程竣工验收证明书上盖章签字：工程质量不合格或工程内容有尚未完成者，由乙方在商定的期限内进行修补后，再进行竣工验收，直至达到完全符合合同要求为止，并按最后验收合格的日期作为竣工日期，由此产生的一切费用均由乙方负责。甲方逾期组织验收的，除应向乙方偿付违约金外，工期顺延。</w:t>
      </w:r>
    </w:p>
    <w:p w14:paraId="2883D7E8">
      <w:pPr>
        <w:numPr>
          <w:ilvl w:val="0"/>
          <w:numId w:val="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甲方、乙方应于竣工验收合格后</w:t>
      </w:r>
      <w:r>
        <w:rPr>
          <w:rFonts w:ascii="仿宋" w:hAnsi="仿宋" w:eastAsia="仿宋"/>
          <w:kern w:val="20"/>
          <w:sz w:val="28"/>
          <w:szCs w:val="28"/>
        </w:rPr>
        <w:t>10</w:t>
      </w:r>
      <w:r>
        <w:rPr>
          <w:rFonts w:hint="eastAsia" w:ascii="仿宋" w:hAnsi="仿宋" w:eastAsia="仿宋"/>
          <w:kern w:val="20"/>
          <w:sz w:val="28"/>
          <w:szCs w:val="28"/>
        </w:rPr>
        <w:t>天内签署工程交接验收证明文件，乙方将场地清理干净后将工程移交给甲方管理。</w:t>
      </w:r>
    </w:p>
    <w:p w14:paraId="2AE5C457">
      <w:pPr>
        <w:numPr>
          <w:ilvl w:val="0"/>
          <w:numId w:val="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w:t>
      </w:r>
      <w:r>
        <w:rPr>
          <w:rFonts w:ascii="仿宋" w:hAnsi="仿宋" w:eastAsia="仿宋"/>
          <w:kern w:val="20"/>
          <w:sz w:val="28"/>
          <w:szCs w:val="28"/>
        </w:rPr>
        <w:t>(</w:t>
      </w:r>
      <w:r>
        <w:rPr>
          <w:rFonts w:hint="eastAsia" w:ascii="仿宋" w:hAnsi="仿宋" w:eastAsia="仿宋"/>
          <w:kern w:val="20"/>
          <w:sz w:val="28"/>
          <w:szCs w:val="28"/>
        </w:rPr>
        <w:t>包括中间验收工程</w:t>
      </w:r>
      <w:r>
        <w:rPr>
          <w:rFonts w:ascii="仿宋" w:hAnsi="仿宋" w:eastAsia="仿宋"/>
          <w:kern w:val="20"/>
          <w:sz w:val="28"/>
          <w:szCs w:val="28"/>
        </w:rPr>
        <w:t>)</w:t>
      </w:r>
      <w:r>
        <w:rPr>
          <w:rFonts w:hint="eastAsia" w:ascii="仿宋" w:hAnsi="仿宋" w:eastAsia="仿宋"/>
          <w:kern w:val="20"/>
          <w:sz w:val="28"/>
          <w:szCs w:val="28"/>
        </w:rPr>
        <w:t>未经验收，甲方提前使用或擅自使用，由此而发生的质量或其他问题，由甲方承担。</w:t>
      </w:r>
    </w:p>
    <w:p w14:paraId="624F8B9B">
      <w:pPr>
        <w:spacing w:line="360" w:lineRule="auto"/>
        <w:ind w:firstLine="560" w:firstLineChars="200"/>
        <w:rPr>
          <w:rFonts w:ascii="仿宋" w:hAnsi="仿宋" w:eastAsia="仿宋"/>
          <w:kern w:val="20"/>
          <w:sz w:val="28"/>
          <w:szCs w:val="28"/>
        </w:rPr>
      </w:pPr>
    </w:p>
    <w:p w14:paraId="6EF31A4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22.工程试车</w:t>
      </w:r>
    </w:p>
    <w:p w14:paraId="7529DDF3">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22.1 是否需要试车</w:t>
      </w:r>
    </w:p>
    <w:p w14:paraId="388DD0D6">
      <w:pPr>
        <w:spacing w:line="360" w:lineRule="auto"/>
        <w:ind w:firstLine="560" w:firstLineChars="200"/>
        <w:rPr>
          <w:rFonts w:ascii="仿宋" w:hAnsi="仿宋" w:eastAsia="仿宋"/>
          <w:kern w:val="20"/>
          <w:sz w:val="28"/>
          <w:szCs w:val="28"/>
        </w:rPr>
      </w:pPr>
      <w:r>
        <w:rPr>
          <w:rFonts w:ascii="Segoe UI Symbol" w:hAnsi="Segoe UI Symbol" w:eastAsia="仿宋" w:cs="Segoe UI Symbol"/>
          <w:kern w:val="20"/>
          <w:sz w:val="28"/>
          <w:szCs w:val="28"/>
        </w:rPr>
        <w:t>☑</w:t>
      </w:r>
      <w:r>
        <w:rPr>
          <w:rFonts w:hint="eastAsia" w:ascii="仿宋" w:hAnsi="仿宋" w:eastAsia="仿宋"/>
          <w:kern w:val="20"/>
          <w:sz w:val="28"/>
          <w:szCs w:val="28"/>
        </w:rPr>
        <w:t xml:space="preserve"> 不需要试车的，本条不适用。</w:t>
      </w:r>
    </w:p>
    <w:p w14:paraId="53A16D47">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需要试车的，试车的内容和要求</w:t>
      </w:r>
    </w:p>
    <w:p w14:paraId="31906853">
      <w:pPr>
        <w:numPr>
          <w:ilvl w:val="0"/>
          <w:numId w:val="5"/>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负责机电系统的整体试车工作，包括：系统范围内的供水、供电、冷凝水、排水等设备设施，其中设备的试车必须在设备供应商指导下进行；并提供试车记录和报告。</w:t>
      </w:r>
    </w:p>
    <w:p w14:paraId="2C35D63C">
      <w:pPr>
        <w:numPr>
          <w:ilvl w:val="0"/>
          <w:numId w:val="5"/>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负责空调末端风系统、水系统的整体试车工作，包括：系统范围内管网、风口、保温、阀门、冷冻水水力平衡、风机盘管等设备及配套设施，其中设备的试车必须在设备供应商指导下进行；并提供试车记录和报告。</w:t>
      </w:r>
    </w:p>
    <w:p w14:paraId="5CB26293">
      <w:pPr>
        <w:numPr>
          <w:ilvl w:val="0"/>
          <w:numId w:val="5"/>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负责通排风和消防排烟系统整体试车工作，包括：系统范围内的排风机、排烟风机、送风机等设备设施，其中设备的试车必须在设备供应商指导下进行；并提供试车记录和报告。</w:t>
      </w:r>
    </w:p>
    <w:p w14:paraId="7DB32E11">
      <w:pPr>
        <w:numPr>
          <w:ilvl w:val="0"/>
          <w:numId w:val="5"/>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负责整个消防系统的全面调试，包括各联动系统的控制调试，协助消防检测公司做好检测工作，并负责办理向当地消防部门报建验收等工作。</w:t>
      </w:r>
    </w:p>
    <w:p w14:paraId="678663A7">
      <w:pPr>
        <w:numPr>
          <w:ilvl w:val="0"/>
          <w:numId w:val="5"/>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负责电力系统的试车工作，包括：电气设备、材料的检测、验收。</w:t>
      </w:r>
    </w:p>
    <w:p w14:paraId="37ED97A9">
      <w:pPr>
        <w:numPr>
          <w:ilvl w:val="0"/>
          <w:numId w:val="5"/>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调试费及调试用水、用电费用由乙方承担。</w:t>
      </w:r>
    </w:p>
    <w:p w14:paraId="1F054A96">
      <w:pPr>
        <w:numPr>
          <w:ilvl w:val="0"/>
          <w:numId w:val="5"/>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乙方负责其所承包范围内（不限于上述）的所有系统的单机、联动无负荷试车工作，协助配合甲方进行指定工程的系统调试验收和试运行工作。</w:t>
      </w:r>
    </w:p>
    <w:p w14:paraId="5B605126">
      <w:pPr>
        <w:spacing w:line="360" w:lineRule="auto"/>
        <w:ind w:firstLine="560" w:firstLineChars="200"/>
        <w:rPr>
          <w:rFonts w:ascii="仿宋" w:hAnsi="仿宋" w:eastAsia="仿宋"/>
          <w:kern w:val="20"/>
          <w:sz w:val="28"/>
          <w:szCs w:val="28"/>
        </w:rPr>
      </w:pPr>
    </w:p>
    <w:p w14:paraId="4BE0F95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23．竣工验收</w:t>
      </w:r>
    </w:p>
    <w:p w14:paraId="6D3726F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23.1</w:t>
      </w:r>
      <w:r>
        <w:rPr>
          <w:rFonts w:hint="eastAsia" w:ascii="仿宋" w:hAnsi="仿宋" w:eastAsia="仿宋"/>
          <w:kern w:val="20"/>
          <w:sz w:val="28"/>
          <w:szCs w:val="28"/>
        </w:rPr>
        <w:tab/>
      </w:r>
      <w:r>
        <w:rPr>
          <w:rFonts w:hint="eastAsia" w:ascii="仿宋" w:hAnsi="仿宋" w:eastAsia="仿宋"/>
          <w:kern w:val="20"/>
          <w:sz w:val="28"/>
          <w:szCs w:val="28"/>
        </w:rPr>
        <w:t>单位维修和维修部位的验收</w:t>
      </w:r>
    </w:p>
    <w:p w14:paraId="040FEEE2">
      <w:pPr>
        <w:spacing w:line="360" w:lineRule="auto"/>
        <w:ind w:firstLine="560" w:firstLineChars="200"/>
        <w:rPr>
          <w:rFonts w:ascii="仿宋" w:hAnsi="仿宋" w:eastAsia="仿宋"/>
          <w:kern w:val="20"/>
          <w:sz w:val="28"/>
          <w:szCs w:val="28"/>
        </w:rPr>
      </w:pPr>
      <w:r>
        <w:rPr>
          <w:rFonts w:ascii="Segoe UI Symbol" w:hAnsi="Segoe UI Symbol" w:eastAsia="仿宋" w:cs="Segoe UI Symbol"/>
          <w:kern w:val="20"/>
          <w:sz w:val="28"/>
          <w:szCs w:val="28"/>
        </w:rPr>
        <w:t>☑</w:t>
      </w:r>
      <w:r>
        <w:rPr>
          <w:rFonts w:hint="eastAsia" w:ascii="仿宋" w:hAnsi="仿宋" w:eastAsia="仿宋"/>
          <w:kern w:val="20"/>
          <w:sz w:val="28"/>
          <w:szCs w:val="28"/>
        </w:rPr>
        <w:t xml:space="preserve">  合同项目无单位维修和维修部位的，本款不适用。</w:t>
      </w:r>
    </w:p>
    <w:p w14:paraId="02B94EA9">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合同项目有单位维修和维修部位的，各单位维修和维修部位的范围、计划竣工时间如下：</w:t>
      </w:r>
    </w:p>
    <w:p w14:paraId="2B90C290">
      <w:pPr>
        <w:spacing w:line="360" w:lineRule="auto"/>
        <w:ind w:firstLine="560" w:firstLineChars="200"/>
        <w:rPr>
          <w:rFonts w:ascii="仿宋" w:hAnsi="仿宋" w:eastAsia="仿宋"/>
          <w:kern w:val="20"/>
          <w:sz w:val="28"/>
          <w:szCs w:val="28"/>
        </w:rPr>
      </w:pPr>
      <w:r>
        <w:rPr>
          <w:rFonts w:ascii="仿宋" w:hAnsi="仿宋" w:eastAsia="仿宋"/>
          <w:kern w:val="20"/>
          <w:sz w:val="28"/>
          <w:szCs w:val="28"/>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433705</wp:posOffset>
                </wp:positionV>
                <wp:extent cx="571500" cy="198120"/>
                <wp:effectExtent l="0" t="0" r="19050" b="30480"/>
                <wp:wrapNone/>
                <wp:docPr id="12"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 cy="198120"/>
                        </a:xfrm>
                        <a:prstGeom prst="line">
                          <a:avLst/>
                        </a:prstGeom>
                        <a:noFill/>
                        <a:ln w="9525">
                          <a:solidFill>
                            <a:srgbClr val="000000"/>
                          </a:solidFill>
                          <a:round/>
                        </a:ln>
                      </wps:spPr>
                      <wps:bodyPr/>
                    </wps:wsp>
                  </a:graphicData>
                </a:graphic>
              </wp:anchor>
            </w:drawing>
          </mc:Choice>
          <mc:Fallback>
            <w:pict>
              <v:line id="Line 5" o:spid="_x0000_s1026" o:spt="20" style="position:absolute;left:0pt;flip:y;margin-left:11.5pt;margin-top:34.15pt;height:15.6pt;width:45pt;z-index:251660288;mso-width-relative:page;mso-height-relative:page;" filled="f" stroked="t" coordsize="21600,21600" o:gfxdata="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vyqntUAAAAIAQAADwAAAAAAAAABACAAAAAi&#10;AAAAZHJzL2Rvd25yZXYueG1sUEsBAhQAFAAAAAgAh07iQF3GCwLUAQAArgMAAA4AAAAAAAAAAQAg&#10;AAAAJAEAAGRycy9lMm9Eb2MueG1sUEsFBgAAAAAGAAYAWQEAAGoFAAAAAA==&#10;">
                <v:fill on="f" focussize="0,0"/>
                <v:stroke color="#000000" joinstyle="round"/>
                <v:imagedata o:title=""/>
                <o:lock v:ext="edit" aspectratio="f"/>
              </v:line>
            </w:pict>
          </mc:Fallback>
        </mc:AlternateContent>
      </w:r>
      <w:r>
        <w:rPr>
          <w:rFonts w:ascii="仿宋" w:hAnsi="仿宋" w:eastAsia="仿宋"/>
          <w:kern w:val="20"/>
          <w:sz w:val="28"/>
          <w:szCs w:val="28"/>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83185</wp:posOffset>
                </wp:positionV>
                <wp:extent cx="571500" cy="198120"/>
                <wp:effectExtent l="0" t="0" r="19050" b="30480"/>
                <wp:wrapNone/>
                <wp:docPr id="11" name="Line 4"/>
                <wp:cNvGraphicFramePr/>
                <a:graphic xmlns:a="http://schemas.openxmlformats.org/drawingml/2006/main">
                  <a:graphicData uri="http://schemas.microsoft.com/office/word/2010/wordprocessingShape">
                    <wps:wsp>
                      <wps:cNvCnPr>
                        <a:cxnSpLocks noChangeShapeType="1"/>
                      </wps:cNvCnPr>
                      <wps:spPr bwMode="auto">
                        <a:xfrm flipV="1">
                          <a:off x="0" y="0"/>
                          <a:ext cx="571500" cy="198120"/>
                        </a:xfrm>
                        <a:prstGeom prst="line">
                          <a:avLst/>
                        </a:prstGeom>
                        <a:noFill/>
                        <a:ln w="9525">
                          <a:solidFill>
                            <a:srgbClr val="000000"/>
                          </a:solidFill>
                          <a:round/>
                        </a:ln>
                      </wps:spPr>
                      <wps:bodyPr/>
                    </wps:wsp>
                  </a:graphicData>
                </a:graphic>
              </wp:anchor>
            </w:drawing>
          </mc:Choice>
          <mc:Fallback>
            <w:pict>
              <v:line id="Line 4" o:spid="_x0000_s1026" o:spt="20" style="position:absolute;left:0pt;flip:y;margin-left:63pt;margin-top:6.55pt;height:15.6pt;width:45pt;z-index:251659264;mso-width-relative:page;mso-height-relative:page;" filled="f" stroked="t" coordsize="21600,21600" o:gfxdata="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GjTTc1gAAAAkBAAAPAAAAAAAAAAEAIAAA&#10;ACIAAABkcnMvZG93bnJldi54bWxQSwECFAAUAAAACACHTuJAKqLALtUBAACuAwAADgAAAAAAAAAB&#10;ACAAAAAlAQAAZHJzL2Uyb0RvYy54bWxQSwUGAAAAAAYABgBZAQAAbAUAAAAA&#10;">
                <v:fill on="f" focussize="0,0"/>
                <v:stroke color="#000000" joinstyle="round"/>
                <v:imagedata o:title=""/>
                <o:lock v:ext="edit" aspectratio="f"/>
              </v:line>
            </w:pict>
          </mc:Fallback>
        </mc:AlternateContent>
      </w:r>
      <w:r>
        <w:rPr>
          <w:rFonts w:hint="eastAsia" w:ascii="仿宋" w:hAnsi="仿宋" w:eastAsia="仿宋"/>
          <w:kern w:val="20"/>
          <w:sz w:val="28"/>
          <w:szCs w:val="28"/>
        </w:rPr>
        <w:t>(1)</w:t>
      </w:r>
      <w:r>
        <w:rPr>
          <w:rFonts w:hint="eastAsia" w:ascii="仿宋" w:hAnsi="仿宋" w:eastAsia="仿宋"/>
          <w:kern w:val="20"/>
          <w:sz w:val="28"/>
          <w:szCs w:val="28"/>
          <w:u w:val="single"/>
        </w:rPr>
        <w:t xml:space="preserve">            </w:t>
      </w:r>
      <w:r>
        <w:rPr>
          <w:rFonts w:hint="eastAsia" w:ascii="仿宋" w:hAnsi="仿宋" w:eastAsia="仿宋"/>
          <w:kern w:val="20"/>
          <w:sz w:val="28"/>
          <w:szCs w:val="28"/>
          <w:u w:val="single"/>
        </w:rPr>
        <w:tab/>
      </w:r>
      <w:r>
        <w:rPr>
          <w:rFonts w:hint="eastAsia" w:ascii="仿宋" w:hAnsi="仿宋" w:eastAsia="仿宋"/>
          <w:kern w:val="20"/>
          <w:sz w:val="28"/>
          <w:szCs w:val="28"/>
        </w:rPr>
        <w:t>（项目名称）项目，计划竣工时间为</w:t>
      </w:r>
      <w:r>
        <w:rPr>
          <w:rFonts w:hint="eastAsia" w:ascii="仿宋" w:hAnsi="仿宋" w:eastAsia="仿宋"/>
          <w:kern w:val="20"/>
          <w:sz w:val="28"/>
          <w:szCs w:val="28"/>
          <w:u w:val="single"/>
        </w:rPr>
        <w:t xml:space="preserve">           </w:t>
      </w:r>
      <w:r>
        <w:rPr>
          <w:rFonts w:hint="eastAsia" w:ascii="仿宋" w:hAnsi="仿宋" w:eastAsia="仿宋"/>
          <w:kern w:val="20"/>
          <w:sz w:val="28"/>
          <w:szCs w:val="28"/>
          <w:u w:val="single"/>
        </w:rPr>
        <w:tab/>
      </w:r>
      <w:r>
        <w:rPr>
          <w:rFonts w:hint="eastAsia" w:ascii="仿宋" w:hAnsi="仿宋" w:eastAsia="仿宋"/>
          <w:kern w:val="20"/>
          <w:sz w:val="28"/>
          <w:szCs w:val="28"/>
          <w:u w:val="single"/>
        </w:rPr>
        <w:t xml:space="preserve">         </w:t>
      </w:r>
      <w:r>
        <w:rPr>
          <w:rFonts w:hint="eastAsia" w:ascii="仿宋" w:hAnsi="仿宋" w:eastAsia="仿宋"/>
          <w:kern w:val="20"/>
          <w:sz w:val="28"/>
          <w:szCs w:val="28"/>
        </w:rPr>
        <w:t>，其范围包括：</w:t>
      </w:r>
    </w:p>
    <w:p w14:paraId="2C167D85">
      <w:pPr>
        <w:spacing w:line="360" w:lineRule="auto"/>
        <w:ind w:firstLine="560" w:firstLineChars="200"/>
        <w:rPr>
          <w:rFonts w:ascii="仿宋" w:hAnsi="仿宋" w:eastAsia="仿宋"/>
          <w:kern w:val="20"/>
          <w:sz w:val="28"/>
          <w:szCs w:val="28"/>
        </w:rPr>
      </w:pPr>
      <w:r>
        <w:rPr>
          <w:rFonts w:ascii="仿宋" w:hAnsi="仿宋" w:eastAsia="仿宋"/>
          <w:kern w:val="20"/>
          <w:sz w:val="28"/>
          <w:szCs w:val="28"/>
        </w:rPr>
        <mc:AlternateContent>
          <mc:Choice Requires="wps">
            <w:drawing>
              <wp:anchor distT="0" distB="0" distL="114300" distR="114300" simplePos="0" relativeHeight="251662336" behindDoc="0" locked="0" layoutInCell="1" allowOverlap="1">
                <wp:simplePos x="0" y="0"/>
                <wp:positionH relativeFrom="column">
                  <wp:posOffset>200660</wp:posOffset>
                </wp:positionH>
                <wp:positionV relativeFrom="paragraph">
                  <wp:posOffset>458470</wp:posOffset>
                </wp:positionV>
                <wp:extent cx="685800" cy="198120"/>
                <wp:effectExtent l="0" t="0" r="19050" b="30480"/>
                <wp:wrapNone/>
                <wp:docPr id="10" name="Line 7"/>
                <wp:cNvGraphicFramePr/>
                <a:graphic xmlns:a="http://schemas.openxmlformats.org/drawingml/2006/main">
                  <a:graphicData uri="http://schemas.microsoft.com/office/word/2010/wordprocessingShape">
                    <wps:wsp>
                      <wps:cNvCnPr>
                        <a:cxnSpLocks noChangeShapeType="1"/>
                      </wps:cNvCnPr>
                      <wps:spPr bwMode="auto">
                        <a:xfrm flipV="1">
                          <a:off x="0" y="0"/>
                          <a:ext cx="685800" cy="198120"/>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15.8pt;margin-top:36.1pt;height:15.6pt;width:54pt;z-index:251662336;mso-width-relative:page;mso-height-relative:page;" filled="f" stroked="t" coordsize="21600,21600" o:gfxdata="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3DkwvWAAAACQEAAA8AAAAAAAAAAQAgAAAA&#10;IgAAAGRycy9kb3ducmV2LnhtbFBLAQIUABQAAAAIAIdO4kD6a0eZ1AEAAK4DAAAOAAAAAAAAAAEA&#10;IAAAACUBAABkcnMvZTJvRG9jLnhtbFBLBQYAAAAABgAGAFkBAABrBQAAAAA=&#10;">
                <v:fill on="f" focussize="0,0"/>
                <v:stroke color="#000000" joinstyle="round"/>
                <v:imagedata o:title=""/>
                <o:lock v:ext="edit" aspectratio="f"/>
              </v:line>
            </w:pict>
          </mc:Fallback>
        </mc:AlternateContent>
      </w:r>
      <w:r>
        <w:rPr>
          <w:rFonts w:ascii="仿宋" w:hAnsi="仿宋" w:eastAsia="仿宋"/>
          <w:kern w:val="20"/>
          <w:sz w:val="28"/>
          <w:szCs w:val="28"/>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62865</wp:posOffset>
                </wp:positionV>
                <wp:extent cx="571500" cy="198120"/>
                <wp:effectExtent l="0" t="0" r="19050" b="30480"/>
                <wp:wrapNone/>
                <wp:docPr id="9" name="Line 6"/>
                <wp:cNvGraphicFramePr/>
                <a:graphic xmlns:a="http://schemas.openxmlformats.org/drawingml/2006/main">
                  <a:graphicData uri="http://schemas.microsoft.com/office/word/2010/wordprocessingShape">
                    <wps:wsp>
                      <wps:cNvCnPr>
                        <a:cxnSpLocks noChangeShapeType="1"/>
                      </wps:cNvCnPr>
                      <wps:spPr bwMode="auto">
                        <a:xfrm flipV="1">
                          <a:off x="0" y="0"/>
                          <a:ext cx="571500" cy="198120"/>
                        </a:xfrm>
                        <a:prstGeom prst="line">
                          <a:avLst/>
                        </a:prstGeom>
                        <a:noFill/>
                        <a:ln w="9525">
                          <a:solidFill>
                            <a:srgbClr val="000000"/>
                          </a:solidFill>
                          <a:round/>
                        </a:ln>
                      </wps:spPr>
                      <wps:bodyPr/>
                    </wps:wsp>
                  </a:graphicData>
                </a:graphic>
              </wp:anchor>
            </w:drawing>
          </mc:Choice>
          <mc:Fallback>
            <w:pict>
              <v:line id="Line 6" o:spid="_x0000_s1026" o:spt="20" style="position:absolute;left:0pt;flip:y;margin-left:63pt;margin-top:4.95pt;height:15.6pt;width:45pt;z-index:251661312;mso-width-relative:page;mso-height-relative:page;" filled="f" stroked="t" coordsize="21600,21600" o:gfxdata="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pD29jUAAAACAEAAA8AAAAAAAAAAQAgAAAAIgAA&#10;AGRycy9kb3ducmV2LnhtbFBLAQIUABQAAAAIAIdO4kAKrLRg0wEAAK0DAAAOAAAAAAAAAAEAIAAA&#10;ACMBAABkcnMvZTJvRG9jLnhtbFBLBQYAAAAABgAGAFkBAABoBQAAAAA=&#10;">
                <v:fill on="f" focussize="0,0"/>
                <v:stroke color="#000000" joinstyle="round"/>
                <v:imagedata o:title=""/>
                <o:lock v:ext="edit" aspectratio="f"/>
              </v:line>
            </w:pict>
          </mc:Fallback>
        </mc:AlternateContent>
      </w:r>
      <w:r>
        <w:rPr>
          <w:rFonts w:hint="eastAsia" w:ascii="仿宋" w:hAnsi="仿宋" w:eastAsia="仿宋"/>
          <w:kern w:val="20"/>
          <w:sz w:val="28"/>
          <w:szCs w:val="28"/>
        </w:rPr>
        <w:t>(2)</w:t>
      </w:r>
      <w:r>
        <w:rPr>
          <w:rFonts w:hint="eastAsia" w:ascii="仿宋" w:hAnsi="仿宋" w:eastAsia="仿宋"/>
          <w:kern w:val="20"/>
          <w:sz w:val="28"/>
          <w:szCs w:val="28"/>
          <w:u w:val="single"/>
        </w:rPr>
        <w:t xml:space="preserve">           </w:t>
      </w:r>
      <w:r>
        <w:rPr>
          <w:rFonts w:hint="eastAsia" w:ascii="仿宋" w:hAnsi="仿宋" w:eastAsia="仿宋"/>
          <w:kern w:val="20"/>
          <w:sz w:val="28"/>
          <w:szCs w:val="28"/>
          <w:u w:val="single"/>
        </w:rPr>
        <w:tab/>
      </w:r>
      <w:r>
        <w:rPr>
          <w:rFonts w:hint="eastAsia" w:ascii="仿宋" w:hAnsi="仿宋" w:eastAsia="仿宋"/>
          <w:kern w:val="20"/>
          <w:sz w:val="28"/>
          <w:szCs w:val="28"/>
        </w:rPr>
        <w:t>（项目名称）项目，计划竣工时间为</w:t>
      </w:r>
      <w:r>
        <w:rPr>
          <w:rFonts w:hint="eastAsia" w:ascii="仿宋" w:hAnsi="仿宋" w:eastAsia="仿宋"/>
          <w:kern w:val="20"/>
          <w:sz w:val="28"/>
          <w:szCs w:val="28"/>
          <w:u w:val="single"/>
        </w:rPr>
        <w:t xml:space="preserve">          </w:t>
      </w:r>
      <w:r>
        <w:rPr>
          <w:rFonts w:hint="eastAsia" w:ascii="仿宋" w:hAnsi="仿宋" w:eastAsia="仿宋"/>
          <w:kern w:val="20"/>
          <w:sz w:val="28"/>
          <w:szCs w:val="28"/>
          <w:u w:val="single"/>
        </w:rPr>
        <w:tab/>
      </w:r>
      <w:r>
        <w:rPr>
          <w:rFonts w:hint="eastAsia" w:ascii="仿宋" w:hAnsi="仿宋" w:eastAsia="仿宋"/>
          <w:kern w:val="20"/>
          <w:sz w:val="28"/>
          <w:szCs w:val="28"/>
          <w:u w:val="single"/>
        </w:rPr>
        <w:t xml:space="preserve">        </w:t>
      </w:r>
      <w:r>
        <w:rPr>
          <w:rFonts w:hint="eastAsia" w:ascii="仿宋" w:hAnsi="仿宋" w:eastAsia="仿宋"/>
          <w:kern w:val="20"/>
          <w:sz w:val="28"/>
          <w:szCs w:val="28"/>
        </w:rPr>
        <w:t>， 其范围包括：</w:t>
      </w:r>
    </w:p>
    <w:p w14:paraId="646AD4CF">
      <w:pPr>
        <w:spacing w:line="360" w:lineRule="auto"/>
        <w:ind w:firstLine="560" w:firstLineChars="200"/>
        <w:rPr>
          <w:rFonts w:ascii="仿宋" w:hAnsi="仿宋" w:eastAsia="仿宋"/>
          <w:kern w:val="20"/>
          <w:sz w:val="28"/>
          <w:szCs w:val="28"/>
        </w:rPr>
      </w:pPr>
    </w:p>
    <w:p w14:paraId="6361D08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24．质量保修</w:t>
      </w:r>
    </w:p>
    <w:p w14:paraId="44988403">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24.1缺陷责任期的约定：</w:t>
      </w:r>
      <w:r>
        <w:rPr>
          <w:rFonts w:hint="eastAsia" w:ascii="仿宋" w:hAnsi="仿宋" w:eastAsia="仿宋"/>
          <w:kern w:val="20"/>
          <w:sz w:val="28"/>
          <w:szCs w:val="28"/>
          <w:u w:val="single"/>
        </w:rPr>
        <w:t>按24.2条款执行。</w:t>
      </w:r>
    </w:p>
    <w:p w14:paraId="23B3068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24.2</w:t>
      </w:r>
      <w:r>
        <w:rPr>
          <w:rFonts w:hint="eastAsia" w:ascii="仿宋" w:hAnsi="仿宋" w:eastAsia="仿宋"/>
          <w:kern w:val="20"/>
          <w:sz w:val="28"/>
          <w:szCs w:val="28"/>
        </w:rPr>
        <w:tab/>
      </w:r>
      <w:r>
        <w:rPr>
          <w:rFonts w:hint="eastAsia" w:ascii="仿宋" w:hAnsi="仿宋" w:eastAsia="仿宋"/>
          <w:kern w:val="20"/>
          <w:sz w:val="28"/>
          <w:szCs w:val="28"/>
        </w:rPr>
        <w:t>工程质量保修的约定：</w:t>
      </w:r>
      <w:r>
        <w:rPr>
          <w:rFonts w:hint="eastAsia" w:ascii="仿宋" w:hAnsi="仿宋" w:eastAsia="仿宋"/>
          <w:kern w:val="20"/>
          <w:sz w:val="28"/>
          <w:szCs w:val="28"/>
          <w:u w:val="single"/>
        </w:rPr>
        <w:t>见合同附件四</w:t>
      </w:r>
      <w:r>
        <w:rPr>
          <w:rFonts w:ascii="仿宋" w:hAnsi="仿宋" w:eastAsia="仿宋"/>
          <w:kern w:val="20"/>
          <w:sz w:val="28"/>
          <w:szCs w:val="28"/>
          <w:u w:val="single"/>
        </w:rPr>
        <w:t xml:space="preserve"> </w:t>
      </w:r>
      <w:r>
        <w:rPr>
          <w:rFonts w:hint="eastAsia" w:ascii="仿宋" w:hAnsi="仿宋" w:eastAsia="仿宋"/>
          <w:kern w:val="20"/>
          <w:sz w:val="28"/>
          <w:szCs w:val="28"/>
          <w:u w:val="single"/>
        </w:rPr>
        <w:t>工程质量保修书。</w:t>
      </w:r>
    </w:p>
    <w:p w14:paraId="41E78829">
      <w:pPr>
        <w:spacing w:line="360" w:lineRule="auto"/>
        <w:ind w:firstLine="560" w:firstLineChars="200"/>
        <w:rPr>
          <w:rFonts w:ascii="仿宋" w:hAnsi="仿宋" w:eastAsia="仿宋"/>
          <w:kern w:val="20"/>
          <w:sz w:val="28"/>
          <w:szCs w:val="28"/>
        </w:rPr>
      </w:pPr>
    </w:p>
    <w:p w14:paraId="5863CF5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25.暂列金额</w:t>
      </w:r>
    </w:p>
    <w:p w14:paraId="2351ADD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25.1 合同工程的暂列金额为（人民币）</w:t>
      </w:r>
      <w:r>
        <w:rPr>
          <w:rFonts w:hint="eastAsia" w:ascii="仿宋" w:hAnsi="仿宋" w:eastAsia="仿宋"/>
          <w:kern w:val="20"/>
          <w:sz w:val="28"/>
          <w:szCs w:val="28"/>
          <w:u w:val="single"/>
        </w:rPr>
        <w:t xml:space="preserve">           </w:t>
      </w:r>
      <w:r>
        <w:rPr>
          <w:rFonts w:hint="eastAsia" w:ascii="仿宋" w:hAnsi="仿宋" w:eastAsia="仿宋"/>
          <w:kern w:val="20"/>
          <w:sz w:val="28"/>
          <w:szCs w:val="28"/>
        </w:rPr>
        <w:t xml:space="preserve">元。               </w:t>
      </w:r>
    </w:p>
    <w:p w14:paraId="1C875F50">
      <w:pPr>
        <w:spacing w:line="360" w:lineRule="auto"/>
        <w:ind w:firstLine="560" w:firstLineChars="200"/>
        <w:rPr>
          <w:rFonts w:ascii="仿宋" w:hAnsi="仿宋" w:eastAsia="仿宋"/>
          <w:kern w:val="20"/>
          <w:sz w:val="28"/>
          <w:szCs w:val="28"/>
        </w:rPr>
      </w:pPr>
    </w:p>
    <w:p w14:paraId="480A674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 xml:space="preserve">26.暂估价 </w:t>
      </w:r>
    </w:p>
    <w:p w14:paraId="0EA4E9AB">
      <w:pPr>
        <w:spacing w:line="360" w:lineRule="auto"/>
        <w:ind w:firstLine="560" w:firstLineChars="200"/>
        <w:rPr>
          <w:rFonts w:ascii="仿宋" w:hAnsi="仿宋" w:eastAsia="仿宋"/>
          <w:kern w:val="20"/>
          <w:sz w:val="28"/>
          <w:szCs w:val="28"/>
          <w:u w:val="single"/>
        </w:rPr>
      </w:pPr>
      <w:r>
        <w:rPr>
          <w:rFonts w:ascii="仿宋" w:hAnsi="仿宋" w:eastAsia="仿宋"/>
          <w:kern w:val="20"/>
          <w:sz w:val="28"/>
          <w:szCs w:val="28"/>
        </w:rPr>
        <mc:AlternateContent>
          <mc:Choice Requires="wps">
            <w:drawing>
              <wp:anchor distT="0" distB="0" distL="114300" distR="114300" simplePos="0" relativeHeight="251666432" behindDoc="0" locked="0" layoutInCell="1" allowOverlap="1">
                <wp:simplePos x="0" y="0"/>
                <wp:positionH relativeFrom="column">
                  <wp:posOffset>3653790</wp:posOffset>
                </wp:positionH>
                <wp:positionV relativeFrom="paragraph">
                  <wp:posOffset>50800</wp:posOffset>
                </wp:positionV>
                <wp:extent cx="685800" cy="198120"/>
                <wp:effectExtent l="0" t="0" r="19050" b="30480"/>
                <wp:wrapNone/>
                <wp:docPr id="8" name="直线 33"/>
                <wp:cNvGraphicFramePr/>
                <a:graphic xmlns:a="http://schemas.openxmlformats.org/drawingml/2006/main">
                  <a:graphicData uri="http://schemas.microsoft.com/office/word/2010/wordprocessingShape">
                    <wps:wsp>
                      <wps:cNvCnPr>
                        <a:cxnSpLocks noChangeShapeType="1"/>
                      </wps:cNvCnPr>
                      <wps:spPr bwMode="auto">
                        <a:xfrm flipV="1">
                          <a:off x="0" y="0"/>
                          <a:ext cx="685800" cy="198120"/>
                        </a:xfrm>
                        <a:prstGeom prst="line">
                          <a:avLst/>
                        </a:prstGeom>
                        <a:noFill/>
                        <a:ln w="9525">
                          <a:solidFill>
                            <a:srgbClr val="000000"/>
                          </a:solidFill>
                          <a:round/>
                        </a:ln>
                      </wps:spPr>
                      <wps:bodyPr/>
                    </wps:wsp>
                  </a:graphicData>
                </a:graphic>
              </wp:anchor>
            </w:drawing>
          </mc:Choice>
          <mc:Fallback>
            <w:pict>
              <v:line id="直线 33" o:spid="_x0000_s1026" o:spt="20" style="position:absolute;left:0pt;flip:y;margin-left:287.7pt;margin-top:4pt;height:15.6pt;width:54pt;z-index:251666432;mso-width-relative:page;mso-height-relative:page;" filled="f" stroked="t" coordsize="21600,21600" o:gfxdata="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a6Zt1wAAAAgB&#10;AAAPAAAAAAAAAAEAIAAAACIAAABkcnMvZG93bnJldi54bWxQSwECFAAUAAAACACHTuJAeSk8JeMB&#10;AACwAwAADgAAAAAAAAABACAAAAAmAQAAZHJzL2Uyb0RvYy54bWxQSwUGAAAAAAYABgBZAQAAewUA&#10;AAAA&#10;">
                <v:fill on="f" focussize="0,0"/>
                <v:stroke color="#000000" joinstyle="round"/>
                <v:imagedata o:title=""/>
                <o:lock v:ext="edit" aspectratio="f"/>
              </v:line>
            </w:pict>
          </mc:Fallback>
        </mc:AlternateContent>
      </w:r>
      <w:r>
        <w:rPr>
          <w:rFonts w:hint="eastAsia" w:ascii="仿宋" w:hAnsi="仿宋" w:eastAsia="仿宋"/>
          <w:kern w:val="20"/>
          <w:sz w:val="28"/>
          <w:szCs w:val="28"/>
        </w:rPr>
        <w:t>26.1非招标专业工程的暂估价金额为</w:t>
      </w:r>
      <w:r>
        <w:rPr>
          <w:rFonts w:hint="eastAsia" w:ascii="仿宋" w:hAnsi="仿宋" w:eastAsia="仿宋"/>
          <w:kern w:val="20"/>
          <w:sz w:val="28"/>
          <w:szCs w:val="28"/>
          <w:u w:val="single"/>
        </w:rPr>
        <w:t xml:space="preserve">      </w:t>
      </w:r>
      <w:r>
        <w:rPr>
          <w:rFonts w:hint="eastAsia" w:ascii="仿宋" w:hAnsi="仿宋" w:eastAsia="仿宋"/>
          <w:kern w:val="20"/>
          <w:sz w:val="28"/>
          <w:szCs w:val="28"/>
        </w:rPr>
        <w:t>（人民币）</w:t>
      </w:r>
      <w:r>
        <w:rPr>
          <w:rFonts w:hint="eastAsia" w:ascii="仿宋" w:hAnsi="仿宋" w:eastAsia="仿宋"/>
          <w:kern w:val="20"/>
          <w:sz w:val="28"/>
          <w:szCs w:val="28"/>
          <w:u w:val="single"/>
        </w:rPr>
        <w:t xml:space="preserve">             </w:t>
      </w:r>
      <w:r>
        <w:rPr>
          <w:rFonts w:hint="eastAsia" w:ascii="仿宋" w:hAnsi="仿宋" w:eastAsia="仿宋"/>
          <w:kern w:val="20"/>
          <w:sz w:val="28"/>
          <w:szCs w:val="28"/>
        </w:rPr>
        <w:t>元。</w:t>
      </w:r>
    </w:p>
    <w:p w14:paraId="5E7FC92E">
      <w:pPr>
        <w:spacing w:line="360" w:lineRule="auto"/>
        <w:ind w:firstLine="560" w:firstLineChars="200"/>
        <w:rPr>
          <w:rFonts w:ascii="仿宋" w:hAnsi="仿宋" w:eastAsia="仿宋"/>
          <w:kern w:val="20"/>
          <w:sz w:val="28"/>
          <w:szCs w:val="28"/>
        </w:rPr>
      </w:pPr>
    </w:p>
    <w:p w14:paraId="0B677CC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27．提前竣工奖与误期赔偿费</w:t>
      </w:r>
    </w:p>
    <w:p w14:paraId="62E3FBD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27.1</w:t>
      </w:r>
      <w:r>
        <w:rPr>
          <w:rFonts w:hint="eastAsia" w:ascii="仿宋" w:hAnsi="仿宋" w:eastAsia="仿宋"/>
          <w:kern w:val="20"/>
          <w:sz w:val="28"/>
          <w:szCs w:val="28"/>
        </w:rPr>
        <w:tab/>
      </w:r>
      <w:r>
        <w:rPr>
          <w:rFonts w:hint="eastAsia" w:ascii="仿宋" w:hAnsi="仿宋" w:eastAsia="仿宋"/>
          <w:kern w:val="20"/>
          <w:sz w:val="28"/>
          <w:szCs w:val="28"/>
        </w:rPr>
        <w:t>提前竣工奖的约定：</w:t>
      </w:r>
    </w:p>
    <w:p w14:paraId="1BD30A0C">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没约定提前竣工奖的，本款不适用。</w:t>
      </w:r>
    </w:p>
    <w:p w14:paraId="0E88AF48">
      <w:pPr>
        <w:spacing w:line="360" w:lineRule="auto"/>
        <w:ind w:firstLine="560" w:firstLineChars="200"/>
        <w:rPr>
          <w:rFonts w:ascii="仿宋" w:hAnsi="仿宋" w:eastAsia="仿宋"/>
          <w:kern w:val="20"/>
          <w:sz w:val="28"/>
          <w:szCs w:val="28"/>
        </w:rPr>
      </w:pPr>
      <w:r>
        <w:rPr>
          <w:rFonts w:ascii="仿宋" w:hAnsi="仿宋" w:eastAsia="仿宋"/>
          <w:kern w:val="20"/>
          <w:sz w:val="28"/>
          <w:szCs w:val="28"/>
        </w:rPr>
        <mc:AlternateContent>
          <mc:Choice Requires="wps">
            <w:drawing>
              <wp:anchor distT="0" distB="0" distL="114300" distR="114300" simplePos="0" relativeHeight="251663360" behindDoc="0" locked="0" layoutInCell="1" allowOverlap="1">
                <wp:simplePos x="0" y="0"/>
                <wp:positionH relativeFrom="column">
                  <wp:posOffset>3985260</wp:posOffset>
                </wp:positionH>
                <wp:positionV relativeFrom="paragraph">
                  <wp:posOffset>22860</wp:posOffset>
                </wp:positionV>
                <wp:extent cx="685800" cy="198120"/>
                <wp:effectExtent l="0" t="0" r="19050" b="30480"/>
                <wp:wrapNone/>
                <wp:docPr id="7" name="Line 8"/>
                <wp:cNvGraphicFramePr/>
                <a:graphic xmlns:a="http://schemas.openxmlformats.org/drawingml/2006/main">
                  <a:graphicData uri="http://schemas.microsoft.com/office/word/2010/wordprocessingShape">
                    <wps:wsp>
                      <wps:cNvCnPr>
                        <a:cxnSpLocks noChangeShapeType="1"/>
                      </wps:cNvCnPr>
                      <wps:spPr bwMode="auto">
                        <a:xfrm flipV="1">
                          <a:off x="0" y="0"/>
                          <a:ext cx="685800" cy="198120"/>
                        </a:xfrm>
                        <a:prstGeom prst="line">
                          <a:avLst/>
                        </a:prstGeom>
                        <a:noFill/>
                        <a:ln w="9525">
                          <a:solidFill>
                            <a:srgbClr val="000000"/>
                          </a:solidFill>
                          <a:round/>
                        </a:ln>
                      </wps:spPr>
                      <wps:bodyPr/>
                    </wps:wsp>
                  </a:graphicData>
                </a:graphic>
              </wp:anchor>
            </w:drawing>
          </mc:Choice>
          <mc:Fallback>
            <w:pict>
              <v:line id="Line 8" o:spid="_x0000_s1026" o:spt="20" style="position:absolute;left:0pt;flip:y;margin-left:313.8pt;margin-top:1.8pt;height:15.6pt;width:54pt;z-index:251663360;mso-width-relative:page;mso-height-relative:page;" filled="f" stroked="t" coordsize="21600,21600" o:gfxdata="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fUhRzWAAAACAEAAA8AAAAAAAAAAQAgAAAA&#10;IgAAAGRycy9kb3ducmV2LnhtbFBLAQIUABQAAAAIAIdO4kAoIosU1AEAAK0DAAAOAAAAAAAAAAEA&#10;IAAAACUBAABkcnMvZTJvRG9jLnhtbFBLBQYAAAAABgAGAFkBAABrBQAAAAA=&#10;">
                <v:fill on="f" focussize="0,0"/>
                <v:stroke color="#000000" joinstyle="round"/>
                <v:imagedata o:title=""/>
                <o:lock v:ext="edit" aspectratio="f"/>
              </v:line>
            </w:pict>
          </mc:Fallback>
        </mc:AlternateContent>
      </w:r>
      <w:r>
        <w:rPr>
          <w:rFonts w:ascii="Wingdings" w:hAnsi="Wingdings" w:eastAsia="仿宋"/>
          <w:kern w:val="20"/>
          <w:sz w:val="28"/>
          <w:szCs w:val="28"/>
        </w:rPr>
        <w:sym w:font="Wingdings" w:char="F0A8"/>
      </w:r>
      <w:r>
        <w:rPr>
          <w:rFonts w:hint="eastAsia" w:ascii="仿宋" w:hAnsi="仿宋" w:eastAsia="仿宋"/>
          <w:kern w:val="20"/>
          <w:sz w:val="28"/>
          <w:szCs w:val="28"/>
        </w:rPr>
        <w:t xml:space="preserve"> 约定提前竣工奖的，每日历天应奖额度为</w:t>
      </w:r>
      <w:r>
        <w:rPr>
          <w:rFonts w:hint="eastAsia" w:ascii="仿宋" w:hAnsi="仿宋" w:eastAsia="仿宋"/>
          <w:kern w:val="20"/>
          <w:sz w:val="28"/>
          <w:szCs w:val="28"/>
          <w:u w:val="single"/>
        </w:rPr>
        <w:t xml:space="preserve">         </w:t>
      </w:r>
      <w:r>
        <w:rPr>
          <w:rFonts w:hint="eastAsia" w:ascii="仿宋" w:hAnsi="仿宋" w:eastAsia="仿宋"/>
          <w:kern w:val="20"/>
          <w:sz w:val="28"/>
          <w:szCs w:val="28"/>
          <w:u w:val="single"/>
        </w:rPr>
        <w:tab/>
      </w:r>
      <w:r>
        <w:rPr>
          <w:rFonts w:hint="eastAsia" w:ascii="仿宋" w:hAnsi="仿宋" w:eastAsia="仿宋"/>
          <w:kern w:val="20"/>
          <w:sz w:val="28"/>
          <w:szCs w:val="28"/>
        </w:rPr>
        <w:t>元；</w:t>
      </w:r>
    </w:p>
    <w:p w14:paraId="25176022">
      <w:pPr>
        <w:spacing w:line="360" w:lineRule="auto"/>
        <w:ind w:firstLine="560" w:firstLineChars="200"/>
        <w:rPr>
          <w:rFonts w:ascii="仿宋" w:hAnsi="仿宋" w:eastAsia="仿宋"/>
          <w:kern w:val="20"/>
          <w:sz w:val="28"/>
          <w:szCs w:val="28"/>
        </w:rPr>
      </w:pPr>
      <w:r>
        <w:rPr>
          <w:rFonts w:ascii="仿宋" w:hAnsi="仿宋" w:eastAsia="仿宋"/>
          <w:kern w:val="20"/>
          <w:sz w:val="28"/>
          <w:szCs w:val="28"/>
        </w:rPr>
        <mc:AlternateContent>
          <mc:Choice Requires="wps">
            <w:drawing>
              <wp:anchor distT="0" distB="0" distL="114300" distR="114300" simplePos="0" relativeHeight="251665408" behindDoc="0" locked="0" layoutInCell="1" allowOverlap="1">
                <wp:simplePos x="0" y="0"/>
                <wp:positionH relativeFrom="column">
                  <wp:posOffset>2378075</wp:posOffset>
                </wp:positionH>
                <wp:positionV relativeFrom="paragraph">
                  <wp:posOffset>60325</wp:posOffset>
                </wp:positionV>
                <wp:extent cx="685800" cy="198120"/>
                <wp:effectExtent l="0" t="0" r="19050" b="30480"/>
                <wp:wrapNone/>
                <wp:docPr id="6" name="直线 19"/>
                <wp:cNvGraphicFramePr/>
                <a:graphic xmlns:a="http://schemas.openxmlformats.org/drawingml/2006/main">
                  <a:graphicData uri="http://schemas.microsoft.com/office/word/2010/wordprocessingShape">
                    <wps:wsp>
                      <wps:cNvCnPr>
                        <a:cxnSpLocks noChangeShapeType="1"/>
                      </wps:cNvCnPr>
                      <wps:spPr bwMode="auto">
                        <a:xfrm flipV="1">
                          <a:off x="0" y="0"/>
                          <a:ext cx="685800" cy="198120"/>
                        </a:xfrm>
                        <a:prstGeom prst="line">
                          <a:avLst/>
                        </a:prstGeom>
                        <a:noFill/>
                        <a:ln w="9525">
                          <a:solidFill>
                            <a:srgbClr val="000000"/>
                          </a:solidFill>
                          <a:round/>
                        </a:ln>
                      </wps:spPr>
                      <wps:bodyPr/>
                    </wps:wsp>
                  </a:graphicData>
                </a:graphic>
              </wp:anchor>
            </w:drawing>
          </mc:Choice>
          <mc:Fallback>
            <w:pict>
              <v:line id="直线 19" o:spid="_x0000_s1026" o:spt="20" style="position:absolute;left:0pt;flip:y;margin-left:187.25pt;margin-top:4.75pt;height:15.6pt;width:54pt;z-index:251665408;mso-width-relative:page;mso-height-relative:page;" filled="f" stroked="t" coordsize="21600,21600" o:gfxdata="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6egTtYAAAAIAQAA&#10;DwAAAAAAAAABACAAAAAiAAAAZHJzL2Rvd25yZXYueG1sUEsBAhQAFAAAAAgAh07iQKc3g8TiAQAA&#10;sAMAAA4AAAAAAAAAAQAgAAAAJQEAAGRycy9lMm9Eb2MueG1sUEsFBgAAAAAGAAYAWQEAAHkFAAAA&#10;AA==&#10;">
                <v:fill on="f" focussize="0,0"/>
                <v:stroke color="#000000" joinstyle="round"/>
                <v:imagedata o:title=""/>
                <o:lock v:ext="edit" aspectratio="f"/>
              </v:line>
            </w:pict>
          </mc:Fallback>
        </mc:AlternateContent>
      </w:r>
      <w:r>
        <w:rPr>
          <w:rFonts w:hint="eastAsia" w:ascii="仿宋" w:hAnsi="仿宋" w:eastAsia="仿宋"/>
          <w:kern w:val="20"/>
          <w:sz w:val="28"/>
          <w:szCs w:val="28"/>
        </w:rPr>
        <w:t>提前竣工奖的最高限额是</w:t>
      </w:r>
      <w:r>
        <w:rPr>
          <w:rFonts w:hint="eastAsia" w:ascii="仿宋" w:hAnsi="仿宋" w:eastAsia="仿宋"/>
          <w:kern w:val="20"/>
          <w:sz w:val="28"/>
          <w:szCs w:val="28"/>
          <w:u w:val="single"/>
        </w:rPr>
        <w:t xml:space="preserve">            </w:t>
      </w:r>
      <w:r>
        <w:rPr>
          <w:rFonts w:hint="eastAsia" w:ascii="仿宋" w:hAnsi="仿宋" w:eastAsia="仿宋"/>
          <w:kern w:val="20"/>
          <w:sz w:val="28"/>
          <w:szCs w:val="28"/>
        </w:rPr>
        <w:t>元。</w:t>
      </w:r>
    </w:p>
    <w:p w14:paraId="1485486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27.2</w:t>
      </w:r>
      <w:r>
        <w:rPr>
          <w:rFonts w:hint="eastAsia" w:ascii="仿宋" w:hAnsi="仿宋" w:eastAsia="仿宋"/>
          <w:kern w:val="20"/>
          <w:sz w:val="28"/>
          <w:szCs w:val="28"/>
        </w:rPr>
        <w:tab/>
      </w:r>
      <w:r>
        <w:rPr>
          <w:rFonts w:hint="eastAsia" w:ascii="仿宋" w:hAnsi="仿宋" w:eastAsia="仿宋"/>
          <w:kern w:val="20"/>
          <w:sz w:val="28"/>
          <w:szCs w:val="28"/>
        </w:rPr>
        <w:t xml:space="preserve">误期赔偿费的约定： </w:t>
      </w:r>
    </w:p>
    <w:p w14:paraId="01E9271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因甲方原因造成工期延误或工期顺延，甲方无需为此支付误工费等相关费用。因天气原因造成工期延误，乙方应在延误的当天或次日，向甲方通报，甲方确认后，相应的工期可顺延。乙方必须严格按照招标文件要求的工期完成，每项施工工期自接到甲方通知之日三天后计，乙方逾期完成的，每逾期一日，按</w:t>
      </w:r>
      <w:r>
        <w:rPr>
          <w:rFonts w:ascii="仿宋" w:hAnsi="仿宋" w:eastAsia="仿宋"/>
          <w:kern w:val="20"/>
          <w:sz w:val="28"/>
          <w:szCs w:val="28"/>
          <w:u w:val="single"/>
        </w:rPr>
        <w:t>5000</w:t>
      </w:r>
      <w:r>
        <w:rPr>
          <w:rFonts w:hint="eastAsia" w:ascii="仿宋" w:hAnsi="仿宋" w:eastAsia="仿宋"/>
          <w:kern w:val="20"/>
          <w:sz w:val="28"/>
          <w:szCs w:val="28"/>
        </w:rPr>
        <w:t>元向甲方支付违约金，计至完成之日止。如乙方逾期30天仍未完成的，甲方有权终止合同。</w:t>
      </w:r>
    </w:p>
    <w:p w14:paraId="5AC4FF82">
      <w:pPr>
        <w:spacing w:line="360" w:lineRule="auto"/>
        <w:ind w:firstLine="560" w:firstLineChars="200"/>
        <w:rPr>
          <w:rFonts w:ascii="仿宋" w:hAnsi="仿宋" w:eastAsia="仿宋"/>
          <w:kern w:val="20"/>
          <w:sz w:val="28"/>
          <w:szCs w:val="28"/>
        </w:rPr>
      </w:pPr>
    </w:p>
    <w:p w14:paraId="7FB1E25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28．优质优价奖</w:t>
      </w:r>
    </w:p>
    <w:p w14:paraId="4C23F5E3">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28.1</w:t>
      </w:r>
      <w:r>
        <w:rPr>
          <w:rFonts w:hint="eastAsia" w:ascii="仿宋" w:hAnsi="仿宋" w:eastAsia="仿宋"/>
          <w:kern w:val="20"/>
          <w:sz w:val="28"/>
          <w:szCs w:val="28"/>
        </w:rPr>
        <w:tab/>
      </w:r>
      <w:r>
        <w:rPr>
          <w:rFonts w:hint="eastAsia" w:ascii="仿宋" w:hAnsi="仿宋" w:eastAsia="仿宋"/>
          <w:kern w:val="20"/>
          <w:sz w:val="28"/>
          <w:szCs w:val="28"/>
        </w:rPr>
        <w:t>优质优价奖的约定：</w:t>
      </w:r>
    </w:p>
    <w:p w14:paraId="529834A3">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没约定优质优价奖的，本款不适用；</w:t>
      </w:r>
    </w:p>
    <w:p w14:paraId="6192642D">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约定优质优价奖的等级：</w:t>
      </w:r>
    </w:p>
    <w:p w14:paraId="2E6AF78E">
      <w:pPr>
        <w:spacing w:line="360" w:lineRule="auto"/>
        <w:ind w:firstLine="560" w:firstLineChars="200"/>
        <w:rPr>
          <w:rFonts w:ascii="仿宋" w:hAnsi="仿宋" w:eastAsia="仿宋"/>
          <w:kern w:val="20"/>
          <w:sz w:val="28"/>
          <w:szCs w:val="28"/>
        </w:rPr>
      </w:pPr>
    </w:p>
    <w:p w14:paraId="0A74735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29．合同价款的约定与调整</w:t>
      </w:r>
    </w:p>
    <w:p w14:paraId="7175AA9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29.1</w:t>
      </w:r>
      <w:r>
        <w:rPr>
          <w:rFonts w:hint="eastAsia" w:ascii="仿宋" w:hAnsi="仿宋" w:eastAsia="仿宋"/>
          <w:kern w:val="20"/>
          <w:sz w:val="28"/>
          <w:szCs w:val="28"/>
        </w:rPr>
        <w:tab/>
      </w:r>
      <w:r>
        <w:rPr>
          <w:rFonts w:hint="eastAsia" w:ascii="仿宋" w:hAnsi="仿宋" w:eastAsia="仿宋"/>
          <w:kern w:val="20"/>
          <w:sz w:val="28"/>
          <w:szCs w:val="28"/>
        </w:rPr>
        <w:t>合同价款的调整因素包括：</w:t>
      </w:r>
    </w:p>
    <w:p w14:paraId="7A26B895">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工程量的偏差；</w:t>
      </w:r>
    </w:p>
    <w:p w14:paraId="0601493B">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维修变更；</w:t>
      </w:r>
    </w:p>
    <w:p w14:paraId="7955C00C">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物价及后继法律法规的变化；</w:t>
      </w:r>
    </w:p>
    <w:p w14:paraId="4CF8E24D">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费用索赔事件或甲方负责的其他情况；</w:t>
      </w:r>
    </w:p>
    <w:p w14:paraId="5D013D5C">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工程造价管理机构发布的造价调整；</w:t>
      </w:r>
    </w:p>
    <w:p w14:paraId="0A2AAC57">
      <w:pPr>
        <w:numPr>
          <w:ilvl w:val="0"/>
          <w:numId w:val="6"/>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其他调整因素：</w:t>
      </w:r>
    </w:p>
    <w:p w14:paraId="17686CA7">
      <w:pPr>
        <w:spacing w:line="360" w:lineRule="auto"/>
        <w:ind w:firstLine="560" w:firstLineChars="200"/>
        <w:rPr>
          <w:rFonts w:ascii="仿宋" w:hAnsi="仿宋" w:eastAsia="仿宋"/>
          <w:kern w:val="20"/>
          <w:sz w:val="28"/>
          <w:szCs w:val="28"/>
        </w:rPr>
      </w:pPr>
    </w:p>
    <w:p w14:paraId="7BF27573">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30．工程变更事件</w:t>
      </w:r>
    </w:p>
    <w:p w14:paraId="1193B995">
      <w:pPr>
        <w:spacing w:line="360" w:lineRule="auto"/>
        <w:ind w:left="567"/>
        <w:rPr>
          <w:rFonts w:ascii="仿宋" w:hAnsi="仿宋" w:eastAsia="仿宋"/>
          <w:kern w:val="20"/>
          <w:sz w:val="28"/>
          <w:szCs w:val="28"/>
        </w:rPr>
      </w:pPr>
      <w:r>
        <w:rPr>
          <w:rFonts w:hint="eastAsia" w:ascii="仿宋" w:hAnsi="仿宋" w:eastAsia="仿宋"/>
          <w:kern w:val="20"/>
          <w:sz w:val="28"/>
          <w:szCs w:val="28"/>
        </w:rPr>
        <w:t>3</w:t>
      </w:r>
      <w:r>
        <w:rPr>
          <w:rFonts w:ascii="仿宋" w:hAnsi="仿宋" w:eastAsia="仿宋"/>
          <w:kern w:val="20"/>
          <w:sz w:val="28"/>
          <w:szCs w:val="28"/>
        </w:rPr>
        <w:t xml:space="preserve">0.1 </w:t>
      </w:r>
      <w:r>
        <w:rPr>
          <w:rFonts w:hint="eastAsia" w:ascii="仿宋" w:hAnsi="仿宋" w:eastAsia="仿宋"/>
          <w:kern w:val="20"/>
          <w:sz w:val="28"/>
          <w:szCs w:val="28"/>
        </w:rPr>
        <w:t>已标价工程量清单项目综合单价确定方式：</w:t>
      </w:r>
    </w:p>
    <w:p w14:paraId="7DA93216">
      <w:pPr>
        <w:pStyle w:val="20"/>
        <w:numPr>
          <w:ilvl w:val="0"/>
          <w:numId w:val="7"/>
        </w:numPr>
        <w:spacing w:line="360" w:lineRule="auto"/>
        <w:ind w:left="0" w:firstLine="567" w:firstLineChars="0"/>
        <w:rPr>
          <w:rFonts w:ascii="仿宋" w:hAnsi="仿宋" w:eastAsia="仿宋"/>
          <w:kern w:val="20"/>
          <w:sz w:val="28"/>
          <w:szCs w:val="28"/>
        </w:rPr>
      </w:pPr>
      <w:r>
        <w:rPr>
          <w:rFonts w:hint="eastAsia" w:ascii="仿宋" w:hAnsi="仿宋" w:eastAsia="仿宋"/>
          <w:kern w:val="20"/>
          <w:sz w:val="28"/>
          <w:szCs w:val="28"/>
        </w:rPr>
        <w:t>当出现已标价工程量清单项目变更、洽商，且该变更、洽商仅增减工程量，但不改变原有项目的其他内容时，纳入工程量的偏差事件按照合同条款第31款确定其价格。</w:t>
      </w:r>
    </w:p>
    <w:p w14:paraId="102AD577">
      <w:pPr>
        <w:pStyle w:val="20"/>
        <w:numPr>
          <w:ilvl w:val="0"/>
          <w:numId w:val="7"/>
        </w:numPr>
        <w:spacing w:line="360" w:lineRule="auto"/>
        <w:ind w:left="0" w:firstLine="567" w:firstLineChars="0"/>
        <w:rPr>
          <w:rFonts w:ascii="仿宋" w:hAnsi="仿宋" w:eastAsia="仿宋"/>
          <w:kern w:val="20"/>
          <w:sz w:val="28"/>
          <w:szCs w:val="28"/>
        </w:rPr>
      </w:pPr>
      <w:r>
        <w:rPr>
          <w:rFonts w:hint="eastAsia" w:ascii="仿宋" w:hAnsi="仿宋" w:eastAsia="仿宋"/>
          <w:kern w:val="20"/>
          <w:sz w:val="28"/>
          <w:szCs w:val="28"/>
        </w:rPr>
        <w:t>当出现已标价工程量清单项目变更、洽商，且该变更、洽商须要改变原有项目除工程量外的其他内容时，按新增项目综合单价确定方式确定其价格。</w:t>
      </w:r>
    </w:p>
    <w:p w14:paraId="407A10C4">
      <w:pPr>
        <w:spacing w:line="360" w:lineRule="auto"/>
        <w:ind w:firstLine="560" w:firstLineChars="200"/>
        <w:rPr>
          <w:rFonts w:ascii="仿宋" w:hAnsi="仿宋" w:eastAsia="仿宋"/>
          <w:kern w:val="20"/>
          <w:sz w:val="28"/>
          <w:szCs w:val="28"/>
        </w:rPr>
      </w:pPr>
    </w:p>
    <w:p w14:paraId="5AC50CAB">
      <w:pPr>
        <w:spacing w:line="360" w:lineRule="auto"/>
        <w:ind w:left="567"/>
        <w:rPr>
          <w:rFonts w:ascii="仿宋" w:hAnsi="仿宋" w:eastAsia="仿宋"/>
          <w:kern w:val="20"/>
          <w:sz w:val="28"/>
          <w:szCs w:val="28"/>
        </w:rPr>
      </w:pPr>
      <w:r>
        <w:rPr>
          <w:rFonts w:hint="eastAsia" w:ascii="仿宋" w:hAnsi="仿宋" w:eastAsia="仿宋"/>
          <w:kern w:val="20"/>
          <w:sz w:val="28"/>
          <w:szCs w:val="28"/>
        </w:rPr>
        <w:t>3</w:t>
      </w:r>
      <w:r>
        <w:rPr>
          <w:rFonts w:ascii="仿宋" w:hAnsi="仿宋" w:eastAsia="仿宋"/>
          <w:kern w:val="20"/>
          <w:sz w:val="28"/>
          <w:szCs w:val="28"/>
        </w:rPr>
        <w:t xml:space="preserve">0.2 </w:t>
      </w:r>
      <w:r>
        <w:rPr>
          <w:rFonts w:hint="eastAsia" w:ascii="仿宋" w:hAnsi="仿宋" w:eastAsia="仿宋"/>
          <w:kern w:val="20"/>
          <w:sz w:val="28"/>
          <w:szCs w:val="28"/>
        </w:rPr>
        <w:t>新增项目综合单价确定方式：</w:t>
      </w:r>
    </w:p>
    <w:p w14:paraId="70A467B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当出现新增项目变更、洽商后，首先按照回标分析报告修正后的综合单价确定其价格，当回标分析报告修正后的子项中有相同者，按其回标分析报告修正后的子项价格执行；没有相同者按照下列原则确定其综合单价：</w:t>
      </w:r>
    </w:p>
    <w:p w14:paraId="57EF349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 投标报价中有相同的清单项目，执行原投标报价的综合单价。</w:t>
      </w:r>
    </w:p>
    <w:p w14:paraId="3A0A17E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 投标报价中没有相同的清单项目，但有类似的项目，可参照类似的项目综合单价，进行重新组价。</w:t>
      </w:r>
    </w:p>
    <w:p w14:paraId="340410B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 投标报价中既没有相同的项目，也没有类似的项目，可按照</w:t>
      </w:r>
      <w:r>
        <w:rPr>
          <w:rFonts w:hint="eastAsia" w:ascii="仿宋" w:hAnsi="仿宋" w:eastAsia="仿宋"/>
          <w:kern w:val="20"/>
          <w:sz w:val="28"/>
          <w:szCs w:val="28"/>
          <w:u w:val="single"/>
        </w:rPr>
        <w:t>《建设工程工程量清单计价规范》（GB50500-2013），《广东省房屋建筑与装饰工程综合定额》2018、《广东省通用安装工程综合定额》2018、《广东省通用市政工程综合定额》2018等规范文件重新组价</w:t>
      </w:r>
      <w:r>
        <w:rPr>
          <w:rFonts w:hint="eastAsia" w:ascii="仿宋" w:hAnsi="仿宋" w:eastAsia="仿宋"/>
          <w:kern w:val="20"/>
          <w:sz w:val="28"/>
          <w:szCs w:val="28"/>
        </w:rPr>
        <w:t>，并结合乙方的最低投标下浮率计取。材料价格的确定方式按下列第（</w:t>
      </w:r>
      <w:r>
        <w:rPr>
          <w:rFonts w:ascii="仿宋" w:hAnsi="仿宋" w:eastAsia="仿宋"/>
          <w:kern w:val="20"/>
          <w:sz w:val="28"/>
          <w:szCs w:val="28"/>
        </w:rPr>
        <w:t>3</w:t>
      </w:r>
      <w:r>
        <w:rPr>
          <w:rFonts w:hint="eastAsia" w:ascii="仿宋" w:hAnsi="仿宋" w:eastAsia="仿宋"/>
          <w:kern w:val="20"/>
          <w:sz w:val="28"/>
          <w:szCs w:val="28"/>
        </w:rPr>
        <w:t>）条材料价格的确定方式中的有关条款执行。</w:t>
      </w:r>
    </w:p>
    <w:p w14:paraId="1375B2B9">
      <w:pPr>
        <w:spacing w:line="360" w:lineRule="auto"/>
        <w:rPr>
          <w:rFonts w:ascii="仿宋" w:hAnsi="仿宋" w:eastAsia="仿宋"/>
          <w:kern w:val="20"/>
          <w:sz w:val="28"/>
          <w:szCs w:val="28"/>
        </w:rPr>
      </w:pPr>
      <m:oMathPara>
        <m:oMath>
          <m:r>
            <m:rPr>
              <m:sty m:val="p"/>
            </m:rPr>
            <w:rPr>
              <w:rFonts w:hint="eastAsia" w:ascii="Cambria Math" w:hAnsi="Cambria Math" w:eastAsia="仿宋"/>
              <w:kern w:val="20"/>
              <w:sz w:val="28"/>
              <w:szCs w:val="28"/>
            </w:rPr>
            <m:t>投标下浮率</m:t>
          </m:r>
          <m:r>
            <m:rPr>
              <m:sty m:val="p"/>
            </m:rPr>
            <w:rPr>
              <w:rFonts w:ascii="Cambria Math" w:hAnsi="Cambria Math" w:eastAsia="仿宋"/>
              <w:kern w:val="20"/>
              <w:sz w:val="28"/>
              <w:szCs w:val="28"/>
            </w:rPr>
            <m:t>=1−</m:t>
          </m:r>
          <m:f>
            <m:fPr>
              <m:ctrlPr>
                <w:rPr>
                  <w:rFonts w:ascii="Cambria Math" w:hAnsi="Cambria Math" w:eastAsia="仿宋"/>
                  <w:kern w:val="20"/>
                  <w:sz w:val="28"/>
                  <w:szCs w:val="28"/>
                </w:rPr>
              </m:ctrlPr>
            </m:fPr>
            <m:num>
              <m:r>
                <m:rPr>
                  <m:sty m:val="p"/>
                </m:rPr>
                <w:rPr>
                  <w:rFonts w:hint="eastAsia" w:ascii="Cambria Math" w:hAnsi="Cambria Math" w:eastAsia="仿宋"/>
                  <w:kern w:val="20"/>
                  <w:sz w:val="28"/>
                  <w:szCs w:val="28"/>
                </w:rPr>
                <m:t>投标总价（含增值税）</m:t>
              </m:r>
              <m:ctrlPr>
                <w:rPr>
                  <w:rFonts w:ascii="Cambria Math" w:hAnsi="Cambria Math" w:eastAsia="仿宋"/>
                  <w:kern w:val="20"/>
                  <w:sz w:val="28"/>
                  <w:szCs w:val="28"/>
                </w:rPr>
              </m:ctrlPr>
            </m:num>
            <m:den>
              <m:r>
                <m:rPr>
                  <m:sty m:val="p"/>
                </m:rPr>
                <w:rPr>
                  <w:rFonts w:hint="eastAsia" w:ascii="Cambria Math" w:hAnsi="Cambria Math" w:eastAsia="仿宋"/>
                  <w:kern w:val="20"/>
                  <w:sz w:val="28"/>
                  <w:szCs w:val="28"/>
                </w:rPr>
                <m:t>含税最高限价</m:t>
              </m:r>
              <m:ctrlPr>
                <w:rPr>
                  <w:rFonts w:ascii="Cambria Math" w:hAnsi="Cambria Math" w:eastAsia="仿宋"/>
                  <w:kern w:val="20"/>
                  <w:sz w:val="28"/>
                  <w:szCs w:val="28"/>
                </w:rPr>
              </m:ctrlPr>
            </m:den>
          </m:f>
          <m:r>
            <m:rPr>
              <m:sty m:val="p"/>
            </m:rPr>
            <w:rPr>
              <w:rFonts w:hint="eastAsia" w:ascii="Cambria Math" w:hAnsi="Cambria Math" w:eastAsia="仿宋"/>
              <w:kern w:val="20"/>
              <w:sz w:val="28"/>
              <w:szCs w:val="28"/>
            </w:rPr>
            <m:t>×</m:t>
          </m:r>
          <m:r>
            <m:rPr>
              <m:sty m:val="p"/>
            </m:rPr>
            <w:rPr>
              <w:rFonts w:ascii="Cambria Math" w:hAnsi="Cambria Math" w:eastAsia="仿宋"/>
              <w:kern w:val="20"/>
              <w:sz w:val="28"/>
              <w:szCs w:val="28"/>
            </w:rPr>
            <m:t>100%</m:t>
          </m:r>
        </m:oMath>
      </m:oMathPara>
    </w:p>
    <w:p w14:paraId="705D8F60">
      <w:pPr>
        <w:pStyle w:val="17"/>
        <w:numPr>
          <w:ilvl w:val="1"/>
          <w:numId w:val="8"/>
        </w:numPr>
        <w:spacing w:line="360" w:lineRule="auto"/>
        <w:ind w:firstLineChars="0"/>
        <w:rPr>
          <w:rFonts w:ascii="仿宋" w:hAnsi="仿宋" w:eastAsia="仿宋"/>
          <w:kern w:val="20"/>
          <w:sz w:val="28"/>
          <w:szCs w:val="28"/>
        </w:rPr>
      </w:pPr>
      <w:r>
        <w:rPr>
          <w:rFonts w:hint="eastAsia" w:ascii="仿宋" w:hAnsi="仿宋" w:eastAsia="仿宋"/>
          <w:kern w:val="20"/>
          <w:sz w:val="28"/>
          <w:szCs w:val="28"/>
        </w:rPr>
        <w:t>材料价格的确定方式：</w:t>
      </w:r>
      <w:r>
        <w:rPr>
          <w:rFonts w:ascii="仿宋" w:hAnsi="仿宋" w:eastAsia="仿宋"/>
          <w:kern w:val="20"/>
          <w:sz w:val="28"/>
          <w:szCs w:val="28"/>
        </w:rPr>
        <w:t xml:space="preserve"> </w:t>
      </w:r>
    </w:p>
    <w:p w14:paraId="0C83974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 已标价工程量清单中已有适用的材料价格，按其回标分析报告修正后的价格执行。</w:t>
      </w:r>
    </w:p>
    <w:p w14:paraId="74112DE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 已标价工程量清单中有类似的材料价格，可以参照其回标分析报告修正后的价格执行。</w:t>
      </w:r>
    </w:p>
    <w:p w14:paraId="1575E94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 若已标价工程量清单中没有适用或类似的材料价格，结算时按施工期的《广州市建设工程价格信息》中的价格执行。</w:t>
      </w:r>
    </w:p>
    <w:p w14:paraId="7604397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 若《广州市建设工程价格信息》中没有相应价格，可参考《广州地区建设工程材料（设备）厂商价格信息》，若《广州地区建设工程材料（设备）厂商价格信息》也没有相应价格，则由施工单位申报，监理单位审核后报甲方最后审批，最终的结算价格以甲方最终审核的价格为准。</w:t>
      </w:r>
    </w:p>
    <w:p w14:paraId="6FA0556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（5）无论是按施工时《广州市建设工程价格信息》、《广州地区建设工程材料（设备）厂商价格信息》确定的材料价格，还是甲方和乙方协商确定的材料价格，均要由甲方认可材料样板后才确定价格。</w:t>
      </w:r>
    </w:p>
    <w:p w14:paraId="15A27A13">
      <w:pPr>
        <w:spacing w:line="360" w:lineRule="auto"/>
        <w:ind w:left="567"/>
        <w:rPr>
          <w:rFonts w:ascii="仿宋" w:hAnsi="仿宋" w:eastAsia="仿宋"/>
          <w:kern w:val="20"/>
          <w:sz w:val="28"/>
          <w:szCs w:val="28"/>
        </w:rPr>
      </w:pPr>
      <w:r>
        <w:rPr>
          <w:rFonts w:hint="eastAsia" w:ascii="仿宋" w:hAnsi="仿宋" w:eastAsia="仿宋"/>
          <w:kern w:val="20"/>
          <w:sz w:val="28"/>
          <w:szCs w:val="28"/>
        </w:rPr>
        <w:t>3</w:t>
      </w:r>
      <w:r>
        <w:rPr>
          <w:rFonts w:ascii="仿宋" w:hAnsi="仿宋" w:eastAsia="仿宋"/>
          <w:kern w:val="20"/>
          <w:sz w:val="28"/>
          <w:szCs w:val="28"/>
        </w:rPr>
        <w:t xml:space="preserve">0.4 </w:t>
      </w:r>
      <w:r>
        <w:rPr>
          <w:rFonts w:hint="eastAsia" w:ascii="仿宋" w:hAnsi="仿宋" w:eastAsia="仿宋"/>
          <w:kern w:val="20"/>
          <w:sz w:val="28"/>
          <w:szCs w:val="28"/>
        </w:rPr>
        <w:t>回标分析工作</w:t>
      </w:r>
    </w:p>
    <w:p w14:paraId="026D9CD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乙方须在收到中标通知书</w:t>
      </w:r>
      <w:r>
        <w:rPr>
          <w:rFonts w:ascii="仿宋" w:hAnsi="仿宋" w:eastAsia="仿宋"/>
          <w:kern w:val="20"/>
          <w:sz w:val="28"/>
          <w:szCs w:val="28"/>
        </w:rPr>
        <w:t>14</w:t>
      </w:r>
      <w:r>
        <w:rPr>
          <w:rFonts w:hint="eastAsia" w:ascii="仿宋" w:hAnsi="仿宋" w:eastAsia="仿宋"/>
          <w:kern w:val="20"/>
          <w:sz w:val="28"/>
          <w:szCs w:val="28"/>
        </w:rPr>
        <w:t>天内配合甲方完成回标分析工作。</w:t>
      </w:r>
    </w:p>
    <w:p w14:paraId="27ADADE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 回标分析工作的约定：</w:t>
      </w:r>
    </w:p>
    <w:p w14:paraId="1214B45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乙方的综合单价与招标控制价的综合单价相比，乙方的综合单价高出招标控制价的10%（含10%）以上的清单项目均视为不平衡报价，对不平衡报价对应子项目的综合单价进行调整。</w:t>
      </w:r>
    </w:p>
    <w:p w14:paraId="7BFAC38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 调整方式如下：</w:t>
      </w:r>
    </w:p>
    <w:p w14:paraId="0FA22B4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不平衡报价的子项目应按招标控制价中子项目的综合单价作为合同对应子项目的综合单价。</w:t>
      </w:r>
    </w:p>
    <w:p w14:paraId="012DB03B">
      <w:pPr>
        <w:pStyle w:val="17"/>
        <w:numPr>
          <w:ilvl w:val="1"/>
          <w:numId w:val="9"/>
        </w:numPr>
        <w:spacing w:line="360" w:lineRule="auto"/>
        <w:ind w:left="0" w:firstLine="560" w:firstLineChars="0"/>
        <w:rPr>
          <w:rFonts w:ascii="仿宋" w:hAnsi="仿宋" w:eastAsia="仿宋"/>
          <w:kern w:val="20"/>
          <w:sz w:val="28"/>
          <w:szCs w:val="28"/>
        </w:rPr>
      </w:pPr>
      <w:r>
        <w:rPr>
          <w:rFonts w:hint="eastAsia" w:ascii="仿宋" w:hAnsi="仿宋" w:eastAsia="仿宋"/>
          <w:kern w:val="20"/>
          <w:sz w:val="28"/>
          <w:szCs w:val="28"/>
        </w:rPr>
        <w:t>回标分析后的综合单价适用原则：</w:t>
      </w:r>
    </w:p>
    <w:p w14:paraId="6C1CA79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 回标分析调整后的综合单价作为合同附件的一部分，作为最终结算的依据，与合同具有同等效力；</w:t>
      </w:r>
    </w:p>
    <w:p w14:paraId="4118F2B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 超出合同数量的工程量，超出部分按照回标分析后的综合单价执行。</w:t>
      </w:r>
    </w:p>
    <w:p w14:paraId="30997A20">
      <w:pPr>
        <w:spacing w:line="360" w:lineRule="auto"/>
        <w:ind w:firstLine="560" w:firstLineChars="200"/>
        <w:rPr>
          <w:rFonts w:ascii="仿宋" w:hAnsi="仿宋" w:eastAsia="仿宋"/>
          <w:kern w:val="20"/>
          <w:sz w:val="28"/>
          <w:szCs w:val="28"/>
        </w:rPr>
      </w:pPr>
    </w:p>
    <w:p w14:paraId="3219DED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31．工程量的偏差事件</w:t>
      </w:r>
    </w:p>
    <w:p w14:paraId="291BFBD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31.1 工程量的偏差，导致分部分项结算价调整的方法：</w:t>
      </w:r>
    </w:p>
    <w:p w14:paraId="6F20EF6D">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按合同通用条款的规定调整。</w:t>
      </w:r>
    </w:p>
    <w:p w14:paraId="05485EEE">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按以下方法调整：</w:t>
      </w:r>
    </w:p>
    <w:p w14:paraId="46ACAFD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由于工程量的减少，导致已标价工程量清单项目的综合单价的变化，本合同约定不做任何调整。</w:t>
      </w:r>
    </w:p>
    <w:p w14:paraId="14FC8EE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由于工程量的增加，导致已标价工程量清单项目的综合单价的变化，本合同约定调整方式如下：</w:t>
      </w:r>
    </w:p>
    <w:p w14:paraId="7EA05F89">
      <w:pPr>
        <w:numPr>
          <w:ilvl w:val="1"/>
          <w:numId w:val="10"/>
        </w:numPr>
        <w:spacing w:line="360" w:lineRule="auto"/>
        <w:ind w:left="0" w:firstLine="567"/>
        <w:rPr>
          <w:rFonts w:ascii="仿宋" w:hAnsi="仿宋" w:eastAsia="仿宋"/>
          <w:kern w:val="20"/>
          <w:sz w:val="28"/>
          <w:szCs w:val="28"/>
        </w:rPr>
      </w:pPr>
      <w:r>
        <w:rPr>
          <w:rFonts w:hint="eastAsia" w:ascii="仿宋" w:hAnsi="仿宋" w:eastAsia="仿宋"/>
          <w:kern w:val="20"/>
          <w:sz w:val="28"/>
          <w:szCs w:val="28"/>
        </w:rPr>
        <w:t>工程量未超出已标价工程量清单部分，按已标价工程量清单相应子项的综合单价确定其价格。</w:t>
      </w:r>
    </w:p>
    <w:p w14:paraId="2B85F95B">
      <w:pPr>
        <w:numPr>
          <w:ilvl w:val="1"/>
          <w:numId w:val="10"/>
        </w:numPr>
        <w:spacing w:line="360" w:lineRule="auto"/>
        <w:ind w:left="0" w:firstLine="567"/>
        <w:rPr>
          <w:rFonts w:ascii="仿宋" w:hAnsi="仿宋" w:eastAsia="仿宋"/>
          <w:kern w:val="20"/>
          <w:sz w:val="28"/>
          <w:szCs w:val="28"/>
        </w:rPr>
      </w:pPr>
      <w:r>
        <w:rPr>
          <w:rFonts w:hint="eastAsia" w:ascii="仿宋" w:hAnsi="仿宋" w:eastAsia="仿宋"/>
          <w:kern w:val="20"/>
          <w:sz w:val="28"/>
          <w:szCs w:val="28"/>
        </w:rPr>
        <w:t>工程量超出已标价工程量清单部分，按回标分析确定后的子项价格确定其价格。</w:t>
      </w:r>
    </w:p>
    <w:p w14:paraId="7851DDA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31.2</w:t>
      </w:r>
      <w:r>
        <w:rPr>
          <w:rFonts w:hint="eastAsia" w:ascii="仿宋" w:hAnsi="仿宋" w:eastAsia="仿宋"/>
          <w:kern w:val="20"/>
          <w:sz w:val="28"/>
          <w:szCs w:val="28"/>
        </w:rPr>
        <w:tab/>
      </w:r>
      <w:r>
        <w:rPr>
          <w:rFonts w:hint="eastAsia" w:ascii="仿宋" w:hAnsi="仿宋" w:eastAsia="仿宋"/>
          <w:kern w:val="20"/>
          <w:sz w:val="28"/>
          <w:szCs w:val="28"/>
        </w:rPr>
        <w:t xml:space="preserve">工程量的偏差，导致措施项目费调整的方法： </w:t>
      </w:r>
    </w:p>
    <w:p w14:paraId="752EF5A2">
      <w:pPr>
        <w:pStyle w:val="20"/>
        <w:numPr>
          <w:ilvl w:val="0"/>
          <w:numId w:val="11"/>
        </w:numPr>
        <w:spacing w:line="360" w:lineRule="auto"/>
        <w:ind w:left="0" w:firstLine="567" w:firstLineChars="0"/>
        <w:rPr>
          <w:rFonts w:ascii="仿宋" w:hAnsi="仿宋" w:eastAsia="仿宋"/>
          <w:kern w:val="20"/>
          <w:sz w:val="28"/>
          <w:szCs w:val="28"/>
        </w:rPr>
      </w:pPr>
      <w:r>
        <w:rPr>
          <w:rFonts w:hint="eastAsia" w:ascii="仿宋" w:hAnsi="仿宋" w:eastAsia="仿宋"/>
          <w:kern w:val="20"/>
          <w:sz w:val="28"/>
          <w:szCs w:val="28"/>
        </w:rPr>
        <w:t>由于工程量的偏差和增减，导致采用单价计算的措施项目费的变化，按合同条款第</w:t>
      </w:r>
      <w:r>
        <w:rPr>
          <w:rFonts w:ascii="仿宋" w:hAnsi="仿宋" w:eastAsia="仿宋"/>
          <w:kern w:val="20"/>
          <w:sz w:val="28"/>
          <w:szCs w:val="28"/>
        </w:rPr>
        <w:t>31.1</w:t>
      </w:r>
      <w:r>
        <w:rPr>
          <w:rFonts w:hint="eastAsia" w:ascii="仿宋" w:hAnsi="仿宋" w:eastAsia="仿宋"/>
          <w:kern w:val="20"/>
          <w:sz w:val="28"/>
          <w:szCs w:val="28"/>
        </w:rPr>
        <w:t>款方法调整确定其价格。绿色施工安全防护措施费除外，绿色施工安全防护措施费总价包干，结算不作调整。</w:t>
      </w:r>
    </w:p>
    <w:p w14:paraId="66C07693">
      <w:pPr>
        <w:pStyle w:val="20"/>
        <w:numPr>
          <w:ilvl w:val="0"/>
          <w:numId w:val="11"/>
        </w:numPr>
        <w:spacing w:line="360" w:lineRule="auto"/>
        <w:ind w:left="0" w:firstLine="567" w:firstLineChars="0"/>
        <w:rPr>
          <w:rFonts w:ascii="仿宋" w:hAnsi="仿宋" w:eastAsia="仿宋"/>
          <w:kern w:val="20"/>
          <w:sz w:val="28"/>
          <w:szCs w:val="28"/>
        </w:rPr>
      </w:pPr>
      <w:r>
        <w:rPr>
          <w:rFonts w:hint="eastAsia" w:ascii="仿宋" w:hAnsi="仿宋" w:eastAsia="仿宋"/>
          <w:kern w:val="20"/>
          <w:sz w:val="28"/>
          <w:szCs w:val="28"/>
        </w:rPr>
        <w:t>由于工程量的偏差和增减，导致采用系数计算的措施项目费及预算包干费的变化，本合同约定其系数不做任何调整。</w:t>
      </w:r>
    </w:p>
    <w:p w14:paraId="2C34C812">
      <w:pPr>
        <w:spacing w:line="360" w:lineRule="auto"/>
        <w:ind w:firstLine="560" w:firstLineChars="200"/>
        <w:rPr>
          <w:rFonts w:ascii="仿宋" w:hAnsi="仿宋" w:eastAsia="仿宋"/>
          <w:kern w:val="20"/>
          <w:sz w:val="28"/>
          <w:szCs w:val="28"/>
        </w:rPr>
      </w:pPr>
    </w:p>
    <w:p w14:paraId="1D5D85D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32．物价涨落事件</w:t>
      </w:r>
    </w:p>
    <w:p w14:paraId="3C19D4A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32.1</w:t>
      </w:r>
      <w:r>
        <w:rPr>
          <w:rFonts w:hint="eastAsia" w:ascii="仿宋" w:hAnsi="仿宋" w:eastAsia="仿宋"/>
          <w:kern w:val="20"/>
          <w:sz w:val="28"/>
          <w:szCs w:val="28"/>
        </w:rPr>
        <w:tab/>
      </w:r>
      <w:r>
        <w:rPr>
          <w:rFonts w:hint="eastAsia" w:ascii="仿宋" w:hAnsi="仿宋" w:eastAsia="仿宋"/>
          <w:kern w:val="20"/>
          <w:sz w:val="28"/>
          <w:szCs w:val="28"/>
        </w:rPr>
        <w:t>调整乙方采购材料设备的材料设备、施工机械费的方法：</w:t>
      </w:r>
    </w:p>
    <w:p w14:paraId="1C53799E">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t>本</w:t>
      </w:r>
      <w:r>
        <w:rPr>
          <w:rFonts w:hint="eastAsia" w:ascii="仿宋" w:hAnsi="仿宋" w:eastAsia="仿宋"/>
          <w:kern w:val="20"/>
          <w:sz w:val="28"/>
          <w:szCs w:val="28"/>
        </w:rPr>
        <w:t>合同价款不因物价涨落而调整。</w:t>
      </w:r>
    </w:p>
    <w:p w14:paraId="0DC342B7">
      <w:pPr>
        <w:spacing w:line="360" w:lineRule="auto"/>
        <w:ind w:firstLine="560" w:firstLineChars="200"/>
        <w:rPr>
          <w:rFonts w:ascii="仿宋" w:hAnsi="仿宋" w:eastAsia="仿宋"/>
          <w:kern w:val="20"/>
          <w:sz w:val="28"/>
          <w:szCs w:val="28"/>
        </w:rPr>
      </w:pPr>
    </w:p>
    <w:p w14:paraId="363D1AD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33．预付款</w:t>
      </w:r>
    </w:p>
    <w:p w14:paraId="4EAE2CB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33.1</w:t>
      </w:r>
      <w:r>
        <w:rPr>
          <w:rFonts w:hint="eastAsia" w:ascii="仿宋" w:hAnsi="仿宋" w:eastAsia="仿宋"/>
          <w:kern w:val="20"/>
          <w:sz w:val="28"/>
          <w:szCs w:val="28"/>
        </w:rPr>
        <w:tab/>
      </w:r>
      <w:r>
        <w:rPr>
          <w:rFonts w:hint="eastAsia" w:ascii="仿宋" w:hAnsi="仿宋" w:eastAsia="仿宋"/>
          <w:kern w:val="20"/>
          <w:sz w:val="28"/>
          <w:szCs w:val="28"/>
        </w:rPr>
        <w:t>预付款的约定</w:t>
      </w:r>
    </w:p>
    <w:p w14:paraId="480ACB83">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没约定预付款的，本款不适用。</w:t>
      </w:r>
    </w:p>
    <w:p w14:paraId="3029CD3D">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约定预付款的，其支付办法、预付款金额及抵扣方式按本条有关规定确定。</w:t>
      </w:r>
    </w:p>
    <w:p w14:paraId="149B053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33.2 预付款支付申请的约定</w:t>
      </w:r>
    </w:p>
    <w:p w14:paraId="54ED0FAE">
      <w:pPr>
        <w:ind w:firstLine="560" w:firstLineChars="200"/>
        <w:rPr>
          <w:rFonts w:ascii="仿宋_GB2312" w:hAnsi="仿宋" w:eastAsia="仿宋_GB2312"/>
          <w:sz w:val="28"/>
        </w:rPr>
      </w:pPr>
      <w:r>
        <w:rPr>
          <w:rFonts w:hint="eastAsia" w:ascii="仿宋" w:hAnsi="仿宋" w:eastAsia="仿宋"/>
          <w:kern w:val="20"/>
          <w:sz w:val="28"/>
          <w:szCs w:val="28"/>
        </w:rPr>
        <w:t>（1）</w:t>
      </w:r>
      <w:r>
        <w:rPr>
          <w:rFonts w:hint="eastAsia" w:ascii="仿宋_GB2312" w:hAnsi="仿宋" w:eastAsia="仿宋_GB2312"/>
          <w:sz w:val="28"/>
        </w:rPr>
        <w:t>合同生效</w:t>
      </w:r>
      <w:r>
        <w:rPr>
          <w:rFonts w:hint="eastAsia" w:ascii="仿宋" w:hAnsi="仿宋" w:eastAsia="仿宋" w:cs="仿宋_GB2312"/>
          <w:bCs/>
          <w:sz w:val="28"/>
          <w:szCs w:val="28"/>
        </w:rPr>
        <w:t>并开工后，</w:t>
      </w:r>
      <w:r>
        <w:rPr>
          <w:rFonts w:hint="eastAsia" w:ascii="仿宋_GB2312" w:hAnsi="仿宋" w:eastAsia="仿宋_GB2312"/>
          <w:sz w:val="28"/>
        </w:rPr>
        <w:t>乙方向甲方申请办理预付款申请手续；甲方收到履约担保及预付款申请并完成审核</w:t>
      </w:r>
      <w:r>
        <w:rPr>
          <w:rFonts w:hint="eastAsia" w:ascii="仿宋" w:hAnsi="仿宋" w:eastAsia="仿宋"/>
          <w:kern w:val="20"/>
          <w:sz w:val="28"/>
          <w:szCs w:val="28"/>
        </w:rPr>
        <w:t>后</w:t>
      </w:r>
      <w:r>
        <w:rPr>
          <w:rFonts w:ascii="仿宋" w:hAnsi="仿宋" w:eastAsia="仿宋"/>
          <w:kern w:val="20"/>
          <w:sz w:val="28"/>
          <w:szCs w:val="28"/>
        </w:rPr>
        <w:t>30</w:t>
      </w:r>
      <w:r>
        <w:rPr>
          <w:rFonts w:hint="eastAsia" w:ascii="仿宋" w:hAnsi="仿宋" w:eastAsia="仿宋"/>
          <w:kern w:val="20"/>
          <w:sz w:val="28"/>
          <w:szCs w:val="28"/>
        </w:rPr>
        <w:t>个日历天内，</w:t>
      </w:r>
      <w:r>
        <w:rPr>
          <w:rFonts w:hint="eastAsia" w:ascii="仿宋_GB2312" w:hAnsi="仿宋" w:eastAsia="仿宋_GB2312"/>
          <w:sz w:val="28"/>
        </w:rPr>
        <w:t>支付绿色施工安全防护措施费的8</w:t>
      </w:r>
      <w:r>
        <w:rPr>
          <w:rFonts w:ascii="仿宋_GB2312" w:hAnsi="仿宋" w:eastAsia="仿宋_GB2312"/>
          <w:sz w:val="28"/>
        </w:rPr>
        <w:t>0%</w:t>
      </w:r>
      <w:r>
        <w:rPr>
          <w:rFonts w:hint="eastAsia" w:ascii="仿宋_GB2312" w:hAnsi="仿宋" w:eastAsia="仿宋_GB2312"/>
          <w:sz w:val="28"/>
        </w:rPr>
        <w:t>。即小写¥</w:t>
      </w:r>
      <w:r>
        <w:rPr>
          <w:rFonts w:ascii="仿宋_GB2312" w:hAnsi="仿宋" w:eastAsia="仿宋_GB2312"/>
          <w:sz w:val="28"/>
          <w:u w:val="single"/>
        </w:rPr>
        <w:t xml:space="preserve"> </w:t>
      </w:r>
      <w:r>
        <w:rPr>
          <w:rFonts w:hint="eastAsia" w:ascii="仿宋_GB2312" w:hAnsi="仿宋" w:eastAsia="仿宋_GB2312"/>
          <w:sz w:val="28"/>
        </w:rPr>
        <w:t>元（含税）、大写人民币</w:t>
      </w:r>
      <w:r>
        <w:rPr>
          <w:rFonts w:hint="eastAsia" w:ascii="仿宋_GB2312" w:hAnsi="仿宋" w:eastAsia="仿宋_GB2312"/>
          <w:sz w:val="28"/>
          <w:u w:val="single"/>
        </w:rPr>
        <w:t xml:space="preserve"> </w:t>
      </w:r>
      <w:r>
        <w:rPr>
          <w:rFonts w:ascii="仿宋_GB2312" w:hAnsi="仿宋" w:eastAsia="仿宋_GB2312"/>
          <w:sz w:val="28"/>
          <w:u w:val="single"/>
        </w:rPr>
        <w:t xml:space="preserve"> </w:t>
      </w:r>
      <w:r>
        <w:rPr>
          <w:rFonts w:ascii="仿宋_GB2312" w:hAnsi="仿宋" w:eastAsia="仿宋_GB2312"/>
          <w:sz w:val="28"/>
        </w:rPr>
        <w:t>元</w:t>
      </w:r>
      <w:r>
        <w:rPr>
          <w:rFonts w:hint="eastAsia" w:ascii="仿宋_GB2312" w:hAnsi="仿宋" w:eastAsia="仿宋_GB2312"/>
          <w:sz w:val="28"/>
        </w:rPr>
        <w:t>。</w:t>
      </w:r>
    </w:p>
    <w:p w14:paraId="6A2DBFA9">
      <w:pPr>
        <w:spacing w:line="360" w:lineRule="auto"/>
        <w:ind w:firstLine="560" w:firstLineChars="200"/>
        <w:rPr>
          <w:rFonts w:ascii="仿宋" w:hAnsi="仿宋" w:eastAsia="仿宋"/>
          <w:kern w:val="20"/>
          <w:sz w:val="28"/>
          <w:szCs w:val="28"/>
          <w:u w:val="single"/>
        </w:rPr>
      </w:pPr>
      <w:r>
        <w:rPr>
          <w:rFonts w:hint="eastAsia" w:ascii="仿宋" w:hAnsi="仿宋" w:eastAsia="仿宋"/>
          <w:kern w:val="20"/>
          <w:sz w:val="28"/>
          <w:szCs w:val="28"/>
        </w:rPr>
        <w:t>（2）预付款担保形式：</w:t>
      </w:r>
      <w:r>
        <w:rPr>
          <w:rFonts w:hint="eastAsia" w:ascii="仿宋" w:hAnsi="仿宋" w:eastAsia="仿宋"/>
          <w:kern w:val="20"/>
          <w:sz w:val="28"/>
          <w:szCs w:val="28"/>
          <w:u w:val="single"/>
        </w:rPr>
        <w:t xml:space="preserve">    /   。</w:t>
      </w:r>
    </w:p>
    <w:p w14:paraId="3236F12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（3）甲方在收到履约担保及预付款</w:t>
      </w:r>
      <w:r>
        <w:rPr>
          <w:rFonts w:ascii="仿宋" w:hAnsi="仿宋" w:eastAsia="仿宋"/>
          <w:kern w:val="20"/>
          <w:sz w:val="28"/>
          <w:szCs w:val="28"/>
        </w:rPr>
        <w:t>申请，经审核后</w:t>
      </w:r>
      <w:r>
        <w:rPr>
          <w:rFonts w:hint="eastAsia" w:ascii="仿宋" w:hAnsi="仿宋" w:eastAsia="仿宋"/>
          <w:kern w:val="20"/>
          <w:sz w:val="28"/>
          <w:szCs w:val="28"/>
        </w:rPr>
        <w:t>向乙方支付预付款。</w:t>
      </w:r>
    </w:p>
    <w:p w14:paraId="06B042E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（4）乙方应将预付款专用于实施本合同所需的施工机械、工程设备、材料及人员等费用,确保预付款确实专款专用。</w:t>
      </w:r>
    </w:p>
    <w:p w14:paraId="158D9FD1">
      <w:pPr>
        <w:spacing w:line="360" w:lineRule="auto"/>
        <w:ind w:firstLine="560" w:firstLineChars="200"/>
        <w:rPr>
          <w:rFonts w:ascii="仿宋" w:hAnsi="仿宋" w:eastAsia="仿宋"/>
          <w:kern w:val="20"/>
          <w:sz w:val="28"/>
          <w:szCs w:val="28"/>
        </w:rPr>
      </w:pPr>
    </w:p>
    <w:p w14:paraId="2726224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34．绿色施工安全防护措施费</w:t>
      </w:r>
    </w:p>
    <w:p w14:paraId="7F3A0F7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34.1</w:t>
      </w:r>
      <w:r>
        <w:rPr>
          <w:rFonts w:hint="eastAsia" w:ascii="仿宋" w:hAnsi="仿宋" w:eastAsia="仿宋"/>
          <w:kern w:val="20"/>
          <w:sz w:val="28"/>
          <w:szCs w:val="28"/>
        </w:rPr>
        <w:tab/>
      </w:r>
      <w:r>
        <w:rPr>
          <w:rFonts w:hint="eastAsia" w:ascii="仿宋" w:hAnsi="仿宋" w:eastAsia="仿宋"/>
          <w:kern w:val="20"/>
          <w:sz w:val="28"/>
          <w:szCs w:val="28"/>
        </w:rPr>
        <w:t>绿色施工安全防护措施费的内容、范围和金额的约定</w:t>
      </w:r>
    </w:p>
    <w:p w14:paraId="5460212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w:t>
      </w:r>
      <w:r>
        <w:rPr>
          <w:rFonts w:hint="eastAsia" w:ascii="仿宋" w:hAnsi="仿宋" w:eastAsia="仿宋"/>
          <w:kern w:val="20"/>
          <w:sz w:val="28"/>
          <w:szCs w:val="28"/>
        </w:rPr>
        <w:tab/>
      </w:r>
      <w:r>
        <w:rPr>
          <w:rFonts w:hint="eastAsia" w:ascii="仿宋" w:hAnsi="仿宋" w:eastAsia="仿宋"/>
          <w:kern w:val="20"/>
          <w:sz w:val="28"/>
          <w:szCs w:val="28"/>
        </w:rPr>
        <w:t>安全文明施工的内容和范围</w:t>
      </w:r>
    </w:p>
    <w:p w14:paraId="2D9B3B9D">
      <w:pPr>
        <w:spacing w:line="360" w:lineRule="auto"/>
        <w:ind w:firstLine="560" w:firstLineChars="200"/>
        <w:rPr>
          <w:rFonts w:ascii="仿宋" w:hAnsi="仿宋" w:eastAsia="仿宋"/>
          <w:kern w:val="20"/>
          <w:sz w:val="28"/>
          <w:szCs w:val="28"/>
        </w:rPr>
      </w:pPr>
      <w:r>
        <w:rPr>
          <w:rFonts w:ascii="Segoe UI Symbol" w:hAnsi="Segoe UI Symbol" w:eastAsia="仿宋" w:cs="Segoe UI Symbol"/>
          <w:kern w:val="20"/>
          <w:sz w:val="28"/>
          <w:szCs w:val="28"/>
        </w:rPr>
        <w:t>☑</w:t>
      </w:r>
      <w:r>
        <w:rPr>
          <w:rFonts w:hint="eastAsia" w:ascii="仿宋" w:hAnsi="仿宋" w:eastAsia="仿宋"/>
          <w:kern w:val="20"/>
          <w:sz w:val="28"/>
          <w:szCs w:val="28"/>
        </w:rPr>
        <w:t xml:space="preserve">  按合同通用条款的规定，以现行广东省统一工程计价依据规定为准。</w:t>
      </w:r>
    </w:p>
    <w:p w14:paraId="7A694572">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合同双方的其他要求：</w:t>
      </w:r>
    </w:p>
    <w:p w14:paraId="420C5FC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w:t>
      </w:r>
      <w:r>
        <w:rPr>
          <w:rFonts w:hint="eastAsia" w:ascii="仿宋" w:hAnsi="仿宋" w:eastAsia="仿宋"/>
          <w:kern w:val="20"/>
          <w:sz w:val="28"/>
          <w:szCs w:val="28"/>
        </w:rPr>
        <w:tab/>
      </w:r>
      <w:r>
        <w:rPr>
          <w:rFonts w:hint="eastAsia" w:ascii="仿宋" w:hAnsi="仿宋" w:eastAsia="仿宋"/>
          <w:kern w:val="20"/>
          <w:sz w:val="28"/>
          <w:szCs w:val="28"/>
        </w:rPr>
        <w:t>安全文明施工费的总金额为（人民币）</w:t>
      </w:r>
      <w:r>
        <w:rPr>
          <w:rFonts w:hint="eastAsia" w:ascii="仿宋" w:hAnsi="仿宋" w:eastAsia="仿宋"/>
          <w:kern w:val="20"/>
          <w:sz w:val="28"/>
          <w:szCs w:val="28"/>
          <w:u w:val="single"/>
        </w:rPr>
        <w:t xml:space="preserve">           </w:t>
      </w:r>
      <w:r>
        <w:rPr>
          <w:rFonts w:hint="eastAsia" w:ascii="仿宋" w:hAnsi="仿宋" w:eastAsia="仿宋"/>
          <w:kern w:val="20"/>
          <w:sz w:val="28"/>
          <w:szCs w:val="28"/>
        </w:rPr>
        <w:t>元。</w:t>
      </w:r>
    </w:p>
    <w:p w14:paraId="140ED0C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34.2</w:t>
      </w:r>
      <w:r>
        <w:rPr>
          <w:rFonts w:hint="eastAsia" w:ascii="仿宋" w:hAnsi="仿宋" w:eastAsia="仿宋"/>
          <w:kern w:val="20"/>
          <w:sz w:val="28"/>
          <w:szCs w:val="28"/>
        </w:rPr>
        <w:tab/>
      </w:r>
      <w:r>
        <w:rPr>
          <w:rFonts w:hint="eastAsia" w:ascii="仿宋" w:hAnsi="仿宋" w:eastAsia="仿宋"/>
          <w:kern w:val="20"/>
          <w:sz w:val="28"/>
          <w:szCs w:val="28"/>
        </w:rPr>
        <w:t>绿色施工安全防护措施费的预付金额、支付办法和抵扣方式：</w:t>
      </w:r>
    </w:p>
    <w:p w14:paraId="4E1A1EA9">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按合同通用条款的规定。</w:t>
      </w:r>
    </w:p>
    <w:p w14:paraId="37865B1B">
      <w:pPr>
        <w:spacing w:line="360" w:lineRule="auto"/>
        <w:ind w:firstLine="560" w:firstLineChars="200"/>
        <w:rPr>
          <w:rFonts w:ascii="仿宋" w:hAnsi="仿宋" w:eastAsia="仿宋"/>
          <w:kern w:val="20"/>
          <w:sz w:val="28"/>
          <w:szCs w:val="28"/>
        </w:rPr>
      </w:pPr>
      <w:r>
        <w:rPr>
          <w:rFonts w:ascii="Segoe UI Symbol" w:hAnsi="Segoe UI Symbol" w:eastAsia="仿宋" w:cs="Segoe UI Symbol"/>
          <w:kern w:val="20"/>
          <w:sz w:val="28"/>
          <w:szCs w:val="28"/>
        </w:rPr>
        <w:t>☑</w:t>
      </w:r>
      <w:r>
        <w:rPr>
          <w:rFonts w:hint="eastAsia" w:ascii="仿宋" w:hAnsi="仿宋" w:eastAsia="仿宋"/>
          <w:kern w:val="20"/>
          <w:sz w:val="28"/>
          <w:szCs w:val="28"/>
        </w:rPr>
        <w:t xml:space="preserve">  其他：</w:t>
      </w:r>
    </w:p>
    <w:p w14:paraId="20CB5FF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第一笔</w:t>
      </w:r>
      <w:r>
        <w:rPr>
          <w:rFonts w:ascii="仿宋" w:hAnsi="仿宋" w:eastAsia="仿宋"/>
          <w:kern w:val="20"/>
          <w:sz w:val="28"/>
          <w:szCs w:val="28"/>
        </w:rPr>
        <w:t>绿色施工安全防护措施费详见本合同</w:t>
      </w:r>
      <w:r>
        <w:rPr>
          <w:rFonts w:hint="eastAsia" w:ascii="仿宋" w:hAnsi="仿宋" w:eastAsia="仿宋"/>
          <w:kern w:val="20"/>
          <w:sz w:val="28"/>
          <w:szCs w:val="28"/>
        </w:rPr>
        <w:t>33.2 预付款支付申请的约定，</w:t>
      </w:r>
      <w:r>
        <w:rPr>
          <w:rFonts w:ascii="仿宋" w:hAnsi="仿宋" w:eastAsia="仿宋"/>
          <w:kern w:val="20"/>
          <w:sz w:val="28"/>
          <w:szCs w:val="28"/>
        </w:rPr>
        <w:t>绿色施工安全防护措施费</w:t>
      </w:r>
      <w:r>
        <w:rPr>
          <w:rFonts w:hint="eastAsia" w:ascii="仿宋" w:hAnsi="仿宋" w:eastAsia="仿宋"/>
          <w:kern w:val="20"/>
          <w:sz w:val="28"/>
          <w:szCs w:val="28"/>
        </w:rPr>
        <w:t>的剩余部分包含在第一期款项中一并支付。</w:t>
      </w:r>
    </w:p>
    <w:p w14:paraId="21BA23B4">
      <w:pPr>
        <w:spacing w:line="360" w:lineRule="auto"/>
        <w:ind w:firstLine="560" w:firstLineChars="200"/>
        <w:rPr>
          <w:rFonts w:ascii="仿宋" w:hAnsi="仿宋" w:eastAsia="仿宋"/>
          <w:kern w:val="20"/>
          <w:sz w:val="28"/>
          <w:szCs w:val="28"/>
        </w:rPr>
      </w:pPr>
    </w:p>
    <w:p w14:paraId="59C1AEB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35．进度款</w:t>
      </w:r>
    </w:p>
    <w:p w14:paraId="726FD563">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35.1 支付期间</w:t>
      </w:r>
    </w:p>
    <w:p w14:paraId="299F2D5D">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以月为单位。</w:t>
      </w:r>
    </w:p>
    <w:p w14:paraId="21FBCEE8">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以季度为单位。</w:t>
      </w:r>
    </w:p>
    <w:p w14:paraId="08730767">
      <w:pPr>
        <w:spacing w:line="360" w:lineRule="auto"/>
        <w:ind w:firstLine="560" w:firstLineChars="200"/>
        <w:rPr>
          <w:rFonts w:ascii="仿宋" w:hAnsi="仿宋" w:eastAsia="仿宋"/>
          <w:kern w:val="20"/>
          <w:sz w:val="28"/>
          <w:szCs w:val="28"/>
        </w:rPr>
      </w:pPr>
      <w:r>
        <w:rPr>
          <w:rFonts w:ascii="Segoe UI Symbol" w:hAnsi="Segoe UI Symbol" w:eastAsia="仿宋" w:cs="Segoe UI Symbol"/>
          <w:kern w:val="20"/>
          <w:sz w:val="28"/>
          <w:szCs w:val="28"/>
        </w:rPr>
        <w:t>☑</w:t>
      </w:r>
      <w:r>
        <w:rPr>
          <w:rFonts w:hint="eastAsia" w:ascii="仿宋" w:hAnsi="仿宋" w:eastAsia="仿宋"/>
          <w:kern w:val="20"/>
          <w:sz w:val="28"/>
          <w:szCs w:val="28"/>
        </w:rPr>
        <w:t xml:space="preserve"> 以形象进度为准，具体为：</w:t>
      </w:r>
    </w:p>
    <w:p w14:paraId="0BE07E5C">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其他：本项目不设进度款。</w:t>
      </w:r>
    </w:p>
    <w:p w14:paraId="08D8525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35.2支付办法</w:t>
      </w:r>
    </w:p>
    <w:p w14:paraId="5CEBC24E">
      <w:pPr>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）第一期款项</w:t>
      </w:r>
      <w:r>
        <w:rPr>
          <w:rFonts w:ascii="仿宋" w:hAnsi="仿宋" w:eastAsia="仿宋"/>
          <w:sz w:val="28"/>
        </w:rPr>
        <w:t>：</w:t>
      </w:r>
      <w:r>
        <w:rPr>
          <w:rFonts w:hint="eastAsia" w:ascii="仿宋" w:hAnsi="仿宋" w:eastAsia="仿宋"/>
          <w:sz w:val="28"/>
        </w:rPr>
        <w:t>本期已完成的工程价款（含变更签证，剔除绿色施工安全防护措施费）与合同价（剔除暂列金额及绿色施工安全防护措施费）的比例达到25%时，支付本期已完成的工程价款（含变更签证、剔除绿色施工安全防护措施费）的80%，本期款项包含合同约定的20%的绿色施工安全防护措施费。乙方开具支付申请书（含支付至工人工资支付专用账户金额）并且分别开具预付款金额及本期款项金额的增值税专用发票</w:t>
      </w:r>
      <w:r>
        <w:rPr>
          <w:rFonts w:ascii="仿宋" w:hAnsi="仿宋" w:eastAsia="仿宋"/>
          <w:sz w:val="28"/>
        </w:rPr>
        <w:t>。乙方按本期应付款项</w:t>
      </w:r>
      <w:r>
        <w:rPr>
          <w:rFonts w:hint="eastAsia" w:ascii="仿宋" w:hAnsi="仿宋" w:eastAsia="仿宋"/>
          <w:sz w:val="28"/>
        </w:rPr>
        <w:t>的</w:t>
      </w:r>
      <w:r>
        <w:rPr>
          <w:rFonts w:hint="eastAsia" w:ascii="仿宋" w:hAnsi="仿宋" w:eastAsia="仿宋"/>
          <w:sz w:val="28"/>
          <w:u w:val="single"/>
        </w:rPr>
        <w:t xml:space="preserve"> </w:t>
      </w:r>
      <w:r>
        <w:rPr>
          <w:rFonts w:ascii="仿宋" w:hAnsi="仿宋" w:eastAsia="仿宋"/>
          <w:sz w:val="28"/>
          <w:u w:val="single"/>
        </w:rPr>
        <w:t xml:space="preserve"> </w:t>
      </w:r>
      <w:r>
        <w:rPr>
          <w:rFonts w:ascii="仿宋" w:hAnsi="仿宋" w:eastAsia="仿宋"/>
          <w:sz w:val="28"/>
        </w:rPr>
        <w:t>%（</w:t>
      </w:r>
      <w:r>
        <w:rPr>
          <w:rFonts w:hint="eastAsia" w:ascii="仿宋" w:hAnsi="仿宋" w:eastAsia="仿宋"/>
          <w:sz w:val="28"/>
        </w:rPr>
        <w:t>《中标通知书》中单列的人工费金额除以中标金额计算</w:t>
      </w:r>
      <w:r>
        <w:rPr>
          <w:rFonts w:ascii="仿宋" w:hAnsi="仿宋" w:eastAsia="仿宋"/>
          <w:sz w:val="28"/>
        </w:rPr>
        <w:t>）支付至工人工资支付专用账户，剩余部分支付至合同专用银行账户。</w:t>
      </w:r>
      <w:r>
        <w:rPr>
          <w:rFonts w:hint="eastAsia" w:ascii="仿宋" w:hAnsi="仿宋" w:eastAsia="仿宋"/>
          <w:sz w:val="28"/>
        </w:rPr>
        <w:t>甲方收到发票并审核通过全部支付资料后</w:t>
      </w:r>
      <w:r>
        <w:rPr>
          <w:rFonts w:ascii="仿宋" w:hAnsi="仿宋" w:eastAsia="仿宋"/>
          <w:sz w:val="28"/>
        </w:rPr>
        <w:t>30</w:t>
      </w:r>
      <w:r>
        <w:rPr>
          <w:rFonts w:hint="eastAsia" w:ascii="仿宋" w:hAnsi="仿宋" w:eastAsia="仿宋"/>
          <w:sz w:val="28"/>
        </w:rPr>
        <w:t>个</w:t>
      </w:r>
      <w:r>
        <w:rPr>
          <w:rFonts w:ascii="仿宋" w:hAnsi="仿宋" w:eastAsia="仿宋"/>
          <w:sz w:val="28"/>
        </w:rPr>
        <w:t>日历天内通过银行转账方式支付。</w:t>
      </w:r>
    </w:p>
    <w:p w14:paraId="62047A2B">
      <w:pPr>
        <w:rPr>
          <w:rFonts w:ascii="宋体" w:hAnsi="宋体" w:cs="宋体"/>
          <w:color w:val="FF0000"/>
          <w:kern w:val="0"/>
          <w:sz w:val="32"/>
        </w:rPr>
      </w:pPr>
      <w:r>
        <w:rPr>
          <w:rFonts w:ascii="仿宋" w:hAnsi="仿宋" w:eastAsia="仿宋"/>
          <w:sz w:val="28"/>
        </w:rPr>
        <w:t>（2</w:t>
      </w:r>
      <w:r>
        <w:rPr>
          <w:rFonts w:hint="eastAsia" w:ascii="仿宋" w:hAnsi="仿宋" w:eastAsia="仿宋"/>
          <w:sz w:val="28"/>
        </w:rPr>
        <w:t>）第二期款项</w:t>
      </w:r>
      <w:r>
        <w:rPr>
          <w:rFonts w:ascii="仿宋" w:hAnsi="仿宋" w:eastAsia="仿宋"/>
          <w:sz w:val="28"/>
        </w:rPr>
        <w:t>：</w:t>
      </w:r>
      <w:r>
        <w:rPr>
          <w:rFonts w:hint="eastAsia" w:ascii="仿宋" w:hAnsi="仿宋" w:eastAsia="仿宋"/>
          <w:sz w:val="28"/>
        </w:rPr>
        <w:t>本期已完成的工程价款（含变更签证，剔除绿色施工安全防护措施费）与合同价（剔除暂列金额及绿色施工安全防护措施费）的比例达到50%时，支付本期已完成的工程价款（含变更签证、剔除绿色施工安全防护措施费）的80%</w:t>
      </w:r>
      <w:r>
        <w:rPr>
          <w:rFonts w:ascii="仿宋" w:hAnsi="仿宋" w:eastAsia="仿宋"/>
          <w:sz w:val="28"/>
        </w:rPr>
        <w:t>。</w:t>
      </w:r>
      <w:r>
        <w:rPr>
          <w:rFonts w:hint="eastAsia" w:ascii="仿宋" w:hAnsi="仿宋" w:eastAsia="仿宋"/>
          <w:sz w:val="28"/>
        </w:rPr>
        <w:t>乙方开具支付申请书（含支付至工人工资支付专用账户金额）及相应金额的增值税专用发票</w:t>
      </w:r>
      <w:r>
        <w:rPr>
          <w:rFonts w:ascii="仿宋" w:hAnsi="仿宋" w:eastAsia="仿宋"/>
          <w:sz w:val="28"/>
        </w:rPr>
        <w:t>。本期应付款项</w:t>
      </w:r>
      <w:r>
        <w:rPr>
          <w:rFonts w:hint="eastAsia" w:ascii="仿宋" w:hAnsi="仿宋" w:eastAsia="仿宋"/>
          <w:sz w:val="28"/>
        </w:rPr>
        <w:t>的</w:t>
      </w:r>
      <w:r>
        <w:rPr>
          <w:rFonts w:hint="eastAsia" w:ascii="仿宋" w:hAnsi="仿宋" w:eastAsia="仿宋"/>
          <w:sz w:val="28"/>
          <w:u w:val="single"/>
        </w:rPr>
        <w:t xml:space="preserve"> </w:t>
      </w:r>
      <w:r>
        <w:rPr>
          <w:rFonts w:ascii="仿宋" w:hAnsi="仿宋" w:eastAsia="仿宋"/>
          <w:sz w:val="28"/>
          <w:u w:val="single"/>
        </w:rPr>
        <w:t xml:space="preserve"> </w:t>
      </w:r>
      <w:r>
        <w:rPr>
          <w:rFonts w:ascii="仿宋" w:hAnsi="仿宋" w:eastAsia="仿宋"/>
          <w:sz w:val="28"/>
        </w:rPr>
        <w:t>%（</w:t>
      </w:r>
      <w:r>
        <w:rPr>
          <w:rFonts w:hint="eastAsia" w:ascii="仿宋" w:hAnsi="仿宋" w:eastAsia="仿宋"/>
          <w:sz w:val="28"/>
        </w:rPr>
        <w:t>《中标通知书》中单列的人工费金额除以中标金额计算</w:t>
      </w:r>
      <w:r>
        <w:rPr>
          <w:rFonts w:ascii="仿宋" w:hAnsi="仿宋" w:eastAsia="仿宋"/>
          <w:sz w:val="28"/>
        </w:rPr>
        <w:t>）支付至工人工资支付专用账户，剩余部分支付至合同专用银行账户。</w:t>
      </w:r>
      <w:r>
        <w:rPr>
          <w:rFonts w:hint="eastAsia" w:ascii="仿宋" w:hAnsi="仿宋" w:eastAsia="仿宋"/>
          <w:sz w:val="28"/>
        </w:rPr>
        <w:t>甲方收到发票并审核通过全部支付资料后</w:t>
      </w:r>
      <w:r>
        <w:rPr>
          <w:rFonts w:ascii="仿宋" w:hAnsi="仿宋" w:eastAsia="仿宋"/>
          <w:sz w:val="28"/>
          <w:u w:val="single"/>
        </w:rPr>
        <w:t>30</w:t>
      </w:r>
      <w:r>
        <w:rPr>
          <w:rFonts w:hint="eastAsia" w:ascii="仿宋" w:hAnsi="仿宋" w:eastAsia="仿宋"/>
          <w:sz w:val="28"/>
        </w:rPr>
        <w:t>个</w:t>
      </w:r>
      <w:r>
        <w:rPr>
          <w:rFonts w:ascii="仿宋" w:hAnsi="仿宋" w:eastAsia="仿宋"/>
          <w:sz w:val="28"/>
        </w:rPr>
        <w:t>日历天内通过银行转账方式支付。</w:t>
      </w:r>
    </w:p>
    <w:p w14:paraId="6C008D59">
      <w:pPr>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）第三期款项</w:t>
      </w:r>
      <w:r>
        <w:rPr>
          <w:rFonts w:ascii="仿宋" w:hAnsi="仿宋" w:eastAsia="仿宋"/>
          <w:sz w:val="28"/>
        </w:rPr>
        <w:t>：</w:t>
      </w:r>
      <w:r>
        <w:rPr>
          <w:rFonts w:hint="eastAsia" w:ascii="仿宋" w:hAnsi="仿宋" w:eastAsia="仿宋"/>
          <w:sz w:val="28"/>
        </w:rPr>
        <w:t>本期已完成的工程价款（含变更签证，剔除绿色施工安全防护措施费）与合同价（剔除暂列金额及绿色施工安全防护措施费）的比例达到75%时，支付本期已完成的工程价款（含变更签证、剔除绿色施工安全防护措施费）的80%。乙方开具支付申请书（含支付至工人工资支付专用账户金额）及相应金额的增值税专用发票</w:t>
      </w:r>
      <w:r>
        <w:rPr>
          <w:rFonts w:ascii="仿宋" w:hAnsi="仿宋" w:eastAsia="仿宋"/>
          <w:sz w:val="28"/>
        </w:rPr>
        <w:t>。本期应付款项</w:t>
      </w:r>
      <w:r>
        <w:rPr>
          <w:rFonts w:hint="eastAsia" w:ascii="仿宋" w:hAnsi="仿宋" w:eastAsia="仿宋"/>
          <w:sz w:val="28"/>
        </w:rPr>
        <w:t>的</w:t>
      </w:r>
      <w:r>
        <w:rPr>
          <w:rFonts w:hint="eastAsia" w:ascii="仿宋" w:hAnsi="仿宋" w:eastAsia="仿宋"/>
          <w:sz w:val="28"/>
          <w:u w:val="single"/>
        </w:rPr>
        <w:t xml:space="preserve"> </w:t>
      </w:r>
      <w:r>
        <w:rPr>
          <w:rFonts w:ascii="仿宋" w:hAnsi="仿宋" w:eastAsia="仿宋"/>
          <w:sz w:val="28"/>
          <w:u w:val="single"/>
        </w:rPr>
        <w:t xml:space="preserve"> </w:t>
      </w:r>
      <w:r>
        <w:rPr>
          <w:rFonts w:ascii="仿宋" w:hAnsi="仿宋" w:eastAsia="仿宋"/>
          <w:sz w:val="28"/>
        </w:rPr>
        <w:t>%（</w:t>
      </w:r>
      <w:r>
        <w:rPr>
          <w:rFonts w:hint="eastAsia" w:ascii="仿宋" w:hAnsi="仿宋" w:eastAsia="仿宋"/>
          <w:sz w:val="28"/>
        </w:rPr>
        <w:t>《中标通知书》中单列的人工费金额除以中标金额计算</w:t>
      </w:r>
      <w:r>
        <w:rPr>
          <w:rFonts w:ascii="仿宋" w:hAnsi="仿宋" w:eastAsia="仿宋"/>
          <w:sz w:val="28"/>
        </w:rPr>
        <w:t>）支付至工人工资支付专用账户，剩余部分支付至合同专用银行账户。</w:t>
      </w:r>
      <w:r>
        <w:rPr>
          <w:rFonts w:hint="eastAsia" w:ascii="仿宋" w:hAnsi="仿宋" w:eastAsia="仿宋"/>
          <w:sz w:val="28"/>
        </w:rPr>
        <w:t>甲方收到发票并审核通过全部支付资料后</w:t>
      </w:r>
      <w:r>
        <w:rPr>
          <w:rFonts w:ascii="仿宋" w:hAnsi="仿宋" w:eastAsia="仿宋"/>
          <w:sz w:val="28"/>
          <w:u w:val="single"/>
        </w:rPr>
        <w:t>30</w:t>
      </w:r>
      <w:r>
        <w:rPr>
          <w:rFonts w:hint="eastAsia" w:ascii="仿宋" w:hAnsi="仿宋" w:eastAsia="仿宋"/>
          <w:sz w:val="28"/>
        </w:rPr>
        <w:t>个</w:t>
      </w:r>
      <w:r>
        <w:rPr>
          <w:rFonts w:ascii="仿宋" w:hAnsi="仿宋" w:eastAsia="仿宋"/>
          <w:sz w:val="28"/>
        </w:rPr>
        <w:t>日历天内通过银行转账方式支付。</w:t>
      </w:r>
    </w:p>
    <w:p w14:paraId="554BE45C">
      <w:pPr>
        <w:ind w:firstLine="560" w:firstLineChars="200"/>
        <w:rPr>
          <w:rFonts w:ascii="仿宋" w:hAnsi="仿宋" w:eastAsia="仿宋"/>
          <w:sz w:val="28"/>
        </w:rPr>
      </w:pPr>
      <w:r>
        <w:rPr>
          <w:rFonts w:ascii="仿宋" w:hAnsi="仿宋" w:eastAsia="仿宋"/>
          <w:sz w:val="28"/>
        </w:rPr>
        <w:t>（4</w:t>
      </w:r>
      <w:r>
        <w:rPr>
          <w:rFonts w:hint="eastAsia" w:ascii="仿宋" w:hAnsi="仿宋" w:eastAsia="仿宋"/>
          <w:sz w:val="28"/>
        </w:rPr>
        <w:t>）第四期款项</w:t>
      </w:r>
      <w:r>
        <w:rPr>
          <w:rFonts w:ascii="仿宋" w:hAnsi="仿宋" w:eastAsia="仿宋"/>
          <w:sz w:val="28"/>
        </w:rPr>
        <w:t>：</w:t>
      </w:r>
      <w:r>
        <w:rPr>
          <w:rFonts w:hint="eastAsia" w:ascii="仿宋" w:hAnsi="仿宋" w:eastAsia="仿宋"/>
          <w:sz w:val="28"/>
        </w:rPr>
        <w:t>项目全部完工验收合格后，支付本期已完成的工程价款（含变更签证、剔除绿色施工安全防护措施费）的80%。乙方开具支付申请书（含支付至工人工资支付专用账户金额）及相应金额的增值税专用发票</w:t>
      </w:r>
      <w:r>
        <w:rPr>
          <w:rFonts w:ascii="仿宋" w:hAnsi="仿宋" w:eastAsia="仿宋"/>
          <w:sz w:val="28"/>
        </w:rPr>
        <w:t>。合</w:t>
      </w:r>
      <w:r>
        <w:rPr>
          <w:rFonts w:hint="eastAsia" w:ascii="仿宋" w:hAnsi="仿宋" w:eastAsia="仿宋"/>
          <w:sz w:val="28"/>
        </w:rPr>
        <w:t>同约定的剩余未支付的人工工资费用</w:t>
      </w:r>
      <w:r>
        <w:rPr>
          <w:rFonts w:ascii="仿宋" w:hAnsi="仿宋" w:eastAsia="仿宋"/>
          <w:sz w:val="28"/>
        </w:rPr>
        <w:t>支付至工人工资支付专用账户，</w:t>
      </w:r>
      <w:r>
        <w:rPr>
          <w:rFonts w:hint="eastAsia" w:ascii="仿宋" w:hAnsi="仿宋" w:eastAsia="仿宋"/>
          <w:sz w:val="28"/>
        </w:rPr>
        <w:t>合同约定的全部工人工资至此全部支付完成，剩余</w:t>
      </w:r>
      <w:r>
        <w:rPr>
          <w:rFonts w:ascii="仿宋" w:hAnsi="仿宋" w:eastAsia="仿宋"/>
          <w:sz w:val="28"/>
        </w:rPr>
        <w:t>部分支付至合同专用银行账户。</w:t>
      </w:r>
      <w:r>
        <w:rPr>
          <w:rFonts w:hint="eastAsia" w:ascii="仿宋" w:hAnsi="仿宋" w:eastAsia="仿宋"/>
          <w:sz w:val="28"/>
        </w:rPr>
        <w:t>甲方收到发票并审核通过全部支付资料后</w:t>
      </w:r>
      <w:r>
        <w:rPr>
          <w:rFonts w:ascii="仿宋" w:hAnsi="仿宋" w:eastAsia="仿宋"/>
          <w:sz w:val="28"/>
        </w:rPr>
        <w:t>30</w:t>
      </w:r>
      <w:r>
        <w:rPr>
          <w:rFonts w:hint="eastAsia" w:ascii="仿宋" w:hAnsi="仿宋" w:eastAsia="仿宋"/>
          <w:sz w:val="28"/>
        </w:rPr>
        <w:t>个</w:t>
      </w:r>
      <w:r>
        <w:rPr>
          <w:rFonts w:ascii="仿宋" w:hAnsi="仿宋" w:eastAsia="仿宋"/>
          <w:sz w:val="28"/>
        </w:rPr>
        <w:t>日历天内通过银行转账方式支付。</w:t>
      </w:r>
    </w:p>
    <w:p w14:paraId="4DAC435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w:t>
      </w:r>
      <w:r>
        <w:rPr>
          <w:rFonts w:ascii="仿宋" w:hAnsi="仿宋" w:eastAsia="仿宋"/>
          <w:kern w:val="20"/>
          <w:sz w:val="28"/>
          <w:szCs w:val="28"/>
        </w:rPr>
        <w:t>5.3</w:t>
      </w:r>
      <w:r>
        <w:rPr>
          <w:rFonts w:hint="eastAsia" w:ascii="仿宋" w:hAnsi="仿宋" w:eastAsia="仿宋"/>
          <w:kern w:val="20"/>
          <w:sz w:val="28"/>
          <w:szCs w:val="28"/>
        </w:rPr>
        <w:t>工程款（进度款及绿色施工安全防护措施费）支付已达合同价（剔除暂列金额）的80%后停止付款，待项目工程竣工结算后（验收合格）再按合同专用条款第36条约定支付余款。</w:t>
      </w:r>
    </w:p>
    <w:p w14:paraId="0DE749AA">
      <w:pPr>
        <w:spacing w:line="360" w:lineRule="auto"/>
        <w:ind w:firstLine="560" w:firstLineChars="200"/>
        <w:rPr>
          <w:rFonts w:ascii="仿宋" w:hAnsi="仿宋" w:eastAsia="仿宋"/>
          <w:sz w:val="28"/>
        </w:rPr>
      </w:pPr>
      <w:r>
        <w:rPr>
          <w:rFonts w:ascii="仿宋" w:hAnsi="仿宋" w:eastAsia="仿宋"/>
          <w:kern w:val="20"/>
          <w:sz w:val="28"/>
          <w:szCs w:val="28"/>
        </w:rPr>
        <w:t>35.4</w:t>
      </w:r>
      <w:r>
        <w:rPr>
          <w:rFonts w:hint="eastAsia" w:ascii="仿宋" w:hAnsi="仿宋" w:eastAsia="仿宋" w:cs="仿宋_GB2312"/>
          <w:sz w:val="28"/>
          <w:szCs w:val="28"/>
          <w:lang w:val="zh-CN"/>
        </w:rPr>
        <w:t>根据《关于印发广州市建设领域工人工资支付分账管理实施细则的通知》(穗建规字</w:t>
      </w:r>
      <w:r>
        <w:rPr>
          <w:rFonts w:ascii="仿宋" w:hAnsi="仿宋" w:eastAsia="仿宋" w:cs="仿宋_GB2312"/>
          <w:sz w:val="28"/>
          <w:szCs w:val="28"/>
          <w:lang w:val="zh-CN"/>
        </w:rPr>
        <w:t>[2020]37</w:t>
      </w:r>
      <w:r>
        <w:rPr>
          <w:rFonts w:hint="eastAsia" w:ascii="仿宋" w:hAnsi="仿宋" w:eastAsia="仿宋" w:cs="仿宋_GB2312"/>
          <w:sz w:val="28"/>
          <w:szCs w:val="28"/>
          <w:lang w:val="zh-CN"/>
        </w:rPr>
        <w:t>号)、广州市住房和城乡建设局关于印发《广州市建筑施工实名制管理办法》的通知（穗建规字[</w:t>
      </w:r>
      <w:r>
        <w:rPr>
          <w:rFonts w:ascii="仿宋" w:hAnsi="仿宋" w:eastAsia="仿宋" w:cs="仿宋_GB2312"/>
          <w:sz w:val="28"/>
          <w:szCs w:val="28"/>
          <w:lang w:val="zh-CN"/>
        </w:rPr>
        <w:t>2020]18</w:t>
      </w:r>
      <w:r>
        <w:rPr>
          <w:rFonts w:hint="eastAsia" w:ascii="仿宋" w:hAnsi="仿宋" w:eastAsia="仿宋" w:cs="仿宋_GB2312"/>
          <w:sz w:val="28"/>
          <w:szCs w:val="28"/>
          <w:lang w:val="zh-CN"/>
        </w:rPr>
        <w:t>号）等有关规定，乙方须按要求做好施工实名制管理和工人工资支付分账管理。</w:t>
      </w:r>
      <w:r>
        <w:rPr>
          <w:rFonts w:hint="eastAsia" w:ascii="仿宋" w:hAnsi="仿宋" w:eastAsia="仿宋"/>
          <w:kern w:val="20"/>
          <w:sz w:val="28"/>
          <w:szCs w:val="28"/>
        </w:rPr>
        <w:t>乙方应在进度款支付申请书中，按照政府最新政策法规要求，明确</w:t>
      </w:r>
      <w:r>
        <w:rPr>
          <w:rFonts w:ascii="仿宋" w:hAnsi="仿宋" w:eastAsia="仿宋"/>
          <w:sz w:val="28"/>
        </w:rPr>
        <w:t>支付至工人工资支付专用账户</w:t>
      </w:r>
      <w:r>
        <w:rPr>
          <w:rFonts w:hint="eastAsia" w:ascii="仿宋" w:hAnsi="仿宋" w:eastAsia="仿宋"/>
          <w:sz w:val="28"/>
        </w:rPr>
        <w:t>及</w:t>
      </w:r>
      <w:r>
        <w:rPr>
          <w:rFonts w:ascii="仿宋" w:hAnsi="仿宋" w:eastAsia="仿宋"/>
          <w:sz w:val="28"/>
        </w:rPr>
        <w:t>合同专用银行账户</w:t>
      </w:r>
      <w:r>
        <w:rPr>
          <w:rFonts w:hint="eastAsia" w:ascii="仿宋" w:hAnsi="仿宋" w:eastAsia="仿宋"/>
          <w:sz w:val="28"/>
        </w:rPr>
        <w:t>的具体金额</w:t>
      </w:r>
      <w:r>
        <w:rPr>
          <w:rFonts w:ascii="仿宋" w:hAnsi="仿宋" w:eastAsia="仿宋"/>
          <w:sz w:val="28"/>
        </w:rPr>
        <w:t>。</w:t>
      </w:r>
    </w:p>
    <w:p w14:paraId="0DA9A43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36. 竣工结算与结算款</w:t>
      </w:r>
    </w:p>
    <w:p w14:paraId="63ED174C">
      <w:pPr>
        <w:pStyle w:val="17"/>
        <w:spacing w:line="660" w:lineRule="exact"/>
        <w:ind w:firstLine="560"/>
        <w:rPr>
          <w:rFonts w:ascii="仿宋" w:hAnsi="仿宋" w:eastAsia="仿宋"/>
          <w:kern w:val="2"/>
          <w:sz w:val="28"/>
        </w:rPr>
      </w:pPr>
      <w:r>
        <w:rPr>
          <w:rFonts w:hint="eastAsia" w:ascii="仿宋" w:hAnsi="仿宋" w:eastAsia="仿宋"/>
          <w:kern w:val="20"/>
          <w:sz w:val="28"/>
          <w:szCs w:val="28"/>
        </w:rPr>
        <w:t>36.1结算方式：</w:t>
      </w:r>
      <w:r>
        <w:rPr>
          <w:rFonts w:hint="eastAsia" w:ascii="仿宋" w:hAnsi="仿宋" w:eastAsia="仿宋"/>
          <w:kern w:val="2"/>
          <w:sz w:val="28"/>
          <w:u w:val="single"/>
        </w:rPr>
        <w:t>采用综合单价包干的合同，绿色施工安全防护措施费总价包干，按实际工程量结算。竣工结算以竣工图为准，最终结算金额以甲方以及后审计（如有）审定为准</w:t>
      </w:r>
      <w:r>
        <w:rPr>
          <w:rFonts w:hint="eastAsia" w:ascii="仿宋" w:hAnsi="仿宋" w:eastAsia="仿宋"/>
          <w:kern w:val="2"/>
          <w:sz w:val="28"/>
        </w:rPr>
        <w:t>。</w:t>
      </w:r>
    </w:p>
    <w:p w14:paraId="6C975258">
      <w:pPr>
        <w:spacing w:line="360" w:lineRule="auto"/>
        <w:ind w:firstLine="560" w:firstLineChars="200"/>
        <w:rPr>
          <w:rFonts w:ascii="仿宋" w:hAnsi="仿宋" w:eastAsia="仿宋"/>
          <w:kern w:val="20"/>
          <w:sz w:val="28"/>
          <w:szCs w:val="28"/>
        </w:rPr>
      </w:pPr>
      <w:r>
        <w:rPr>
          <w:rFonts w:hint="eastAsia" w:ascii="仿宋" w:hAnsi="仿宋" w:eastAsia="仿宋"/>
          <w:bCs/>
          <w:kern w:val="20"/>
          <w:sz w:val="28"/>
          <w:szCs w:val="28"/>
        </w:rPr>
        <w:t>36.2本项目合同价已包含施工所需水电等费用，施工期间如使用甲方提供的水电接入点，应按经甲方检查确认的水电表进行计量。乙方根据水电用量情况，按由甲方代缴的水电费单价计算每月应付水电费，以次月1日为截止，7个工作日向甲方支付水电费用，甲方在收到乙方支付的费用后</w:t>
      </w:r>
      <w:r>
        <w:rPr>
          <w:rFonts w:hint="eastAsia" w:ascii="仿宋" w:hAnsi="仿宋" w:eastAsia="仿宋"/>
          <w:bCs/>
          <w:kern w:val="20"/>
          <w:sz w:val="28"/>
          <w:szCs w:val="28"/>
          <w:u w:val="single"/>
        </w:rPr>
        <w:t>30</w:t>
      </w:r>
      <w:r>
        <w:rPr>
          <w:rFonts w:hint="eastAsia" w:ascii="仿宋" w:hAnsi="仿宋" w:eastAsia="仿宋"/>
          <w:bCs/>
          <w:kern w:val="20"/>
          <w:sz w:val="28"/>
          <w:szCs w:val="28"/>
        </w:rPr>
        <w:t>天内开具相应税率（水费税率为9%，电费税率为13%）的增值税专用发票。</w:t>
      </w:r>
    </w:p>
    <w:p w14:paraId="345A378D">
      <w:pPr>
        <w:spacing w:line="360" w:lineRule="auto"/>
        <w:ind w:firstLine="560" w:firstLineChars="200"/>
        <w:rPr>
          <w:rFonts w:ascii="仿宋" w:hAnsi="仿宋" w:eastAsia="仿宋"/>
          <w:bCs/>
          <w:kern w:val="20"/>
          <w:sz w:val="28"/>
          <w:szCs w:val="28"/>
        </w:rPr>
      </w:pPr>
      <w:r>
        <w:rPr>
          <w:rFonts w:hint="eastAsia" w:ascii="仿宋" w:hAnsi="仿宋" w:eastAsia="仿宋"/>
          <w:bCs/>
          <w:kern w:val="20"/>
          <w:sz w:val="28"/>
          <w:szCs w:val="28"/>
        </w:rPr>
        <w:t>36.3当出现变更、洽商导致新增项目，新增项目的综合单价的确认按照合同条款第30款执行。</w:t>
      </w:r>
    </w:p>
    <w:p w14:paraId="0852C66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36.4乙方提交结算报告的时间：竣工验收合格后</w:t>
      </w:r>
      <w:r>
        <w:rPr>
          <w:rFonts w:ascii="仿宋" w:hAnsi="仿宋" w:eastAsia="仿宋"/>
          <w:kern w:val="20"/>
          <w:sz w:val="28"/>
          <w:szCs w:val="28"/>
          <w:u w:val="single"/>
        </w:rPr>
        <w:t>60</w:t>
      </w:r>
      <w:r>
        <w:rPr>
          <w:rFonts w:hint="eastAsia" w:ascii="仿宋" w:hAnsi="仿宋" w:eastAsia="仿宋"/>
          <w:kern w:val="20"/>
          <w:sz w:val="28"/>
          <w:szCs w:val="28"/>
        </w:rPr>
        <w:t>天内。</w:t>
      </w:r>
    </w:p>
    <w:p w14:paraId="0059011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36.5甲方批准结算报告的时间：乙方提交结算报告后须经监理单位审核，监理单位收到结算报告后在</w:t>
      </w:r>
      <w:r>
        <w:rPr>
          <w:rFonts w:ascii="仿宋" w:hAnsi="仿宋" w:eastAsia="仿宋"/>
          <w:kern w:val="20"/>
          <w:sz w:val="28"/>
          <w:szCs w:val="28"/>
          <w:u w:val="single"/>
        </w:rPr>
        <w:t>30</w:t>
      </w:r>
      <w:r>
        <w:rPr>
          <w:rFonts w:hint="eastAsia" w:ascii="仿宋" w:hAnsi="仿宋" w:eastAsia="仿宋"/>
          <w:kern w:val="20"/>
          <w:sz w:val="28"/>
          <w:szCs w:val="28"/>
        </w:rPr>
        <w:t>天内出具审核报告；甲方收到监理单位出具的审核合格报告后</w:t>
      </w:r>
      <w:r>
        <w:rPr>
          <w:rFonts w:ascii="仿宋" w:hAnsi="仿宋" w:eastAsia="仿宋"/>
          <w:kern w:val="20"/>
          <w:sz w:val="28"/>
          <w:szCs w:val="28"/>
          <w:u w:val="single"/>
        </w:rPr>
        <w:t>45</w:t>
      </w:r>
      <w:r>
        <w:rPr>
          <w:rFonts w:hint="eastAsia" w:ascii="仿宋" w:hAnsi="仿宋" w:eastAsia="仿宋"/>
          <w:kern w:val="20"/>
          <w:sz w:val="28"/>
          <w:szCs w:val="28"/>
        </w:rPr>
        <w:t>天内审核完毕。乙方提交的结算资料需具备审核条件。若甲方通知乙方补充结算资料，则乙方补充资料的时间应从甲方审核时间中剔除。甲方有权将结算报告外审，时间另行规定，并及时报上级部门批准。</w:t>
      </w:r>
    </w:p>
    <w:p w14:paraId="5B6F5F3F">
      <w:pPr>
        <w:pStyle w:val="2"/>
        <w:ind w:firstLine="560" w:firstLineChars="200"/>
        <w:rPr>
          <w:color w:val="000000" w:themeColor="text1"/>
          <w14:textFill>
            <w14:solidFill>
              <w14:schemeClr w14:val="tx1"/>
            </w14:solidFill>
          </w14:textFill>
        </w:rPr>
      </w:pPr>
      <w:r>
        <w:rPr>
          <w:rFonts w:hint="eastAsia" w:ascii="仿宋" w:hAnsi="仿宋" w:eastAsia="仿宋"/>
          <w:kern w:val="20"/>
          <w:sz w:val="28"/>
          <w:szCs w:val="28"/>
        </w:rPr>
        <w:t>36.6工程完成竣工联合验收，经甲、乙双方确认后</w:t>
      </w:r>
      <w:r>
        <w:rPr>
          <w:rFonts w:hint="eastAsia" w:ascii="仿宋" w:hAnsi="仿宋" w:eastAsia="仿宋"/>
          <w:color w:val="000000" w:themeColor="text1"/>
          <w:kern w:val="20"/>
          <w:sz w:val="28"/>
          <w:szCs w:val="28"/>
          <w14:textFill>
            <w14:solidFill>
              <w14:schemeClr w14:val="tx1"/>
            </w14:solidFill>
          </w14:textFill>
        </w:rPr>
        <w:t>，乙方提交合格完整的竣工资料。甲方在收到乙方有关竣工结算资料，经监理单位、第三方全过程审计单位审核后，</w:t>
      </w:r>
      <w:r>
        <w:rPr>
          <w:rFonts w:hint="eastAsia" w:ascii="仿宋" w:hAnsi="仿宋" w:eastAsia="仿宋" w:cs="微软雅黑 Light"/>
          <w:color w:val="000000" w:themeColor="text1"/>
          <w:sz w:val="28"/>
          <w:szCs w:val="28"/>
          <w14:textFill>
            <w14:solidFill>
              <w14:schemeClr w14:val="tx1"/>
            </w14:solidFill>
          </w14:textFill>
        </w:rPr>
        <w:t>全过程审计单位出具结算审核报告</w:t>
      </w:r>
      <w:r>
        <w:rPr>
          <w:rFonts w:hint="eastAsia" w:ascii="仿宋" w:hAnsi="仿宋" w:eastAsia="仿宋"/>
          <w:color w:val="000000" w:themeColor="text1"/>
          <w:kern w:val="20"/>
          <w:sz w:val="28"/>
          <w:szCs w:val="28"/>
          <w14:textFill>
            <w14:solidFill>
              <w14:schemeClr w14:val="tx1"/>
            </w14:solidFill>
          </w14:textFill>
        </w:rPr>
        <w:t>并由甲方有关部门审定后支付至审定后工程结算价款的90%，乙方提供相应金额、合法、有效税率为</w:t>
      </w:r>
      <w:r>
        <w:rPr>
          <w:rFonts w:ascii="仿宋" w:hAnsi="仿宋" w:eastAsia="仿宋"/>
          <w:color w:val="000000" w:themeColor="text1"/>
          <w:kern w:val="20"/>
          <w:sz w:val="28"/>
          <w:szCs w:val="28"/>
          <w14:textFill>
            <w14:solidFill>
              <w14:schemeClr w14:val="tx1"/>
            </w14:solidFill>
          </w14:textFill>
        </w:rPr>
        <w:t xml:space="preserve"> </w:t>
      </w:r>
      <w:r>
        <w:rPr>
          <w:rFonts w:hint="eastAsia" w:ascii="仿宋" w:hAnsi="仿宋" w:eastAsia="仿宋"/>
          <w:color w:val="000000" w:themeColor="text1"/>
          <w:kern w:val="20"/>
          <w:sz w:val="28"/>
          <w:szCs w:val="28"/>
          <w14:textFill>
            <w14:solidFill>
              <w14:schemeClr w14:val="tx1"/>
            </w14:solidFill>
          </w14:textFill>
        </w:rPr>
        <w:t>%的增值税专用发票，达到支付条件并收到发票后，甲方于</w:t>
      </w:r>
      <w:r>
        <w:rPr>
          <w:rFonts w:hint="eastAsia" w:ascii="仿宋" w:hAnsi="仿宋" w:eastAsia="仿宋"/>
          <w:color w:val="000000" w:themeColor="text1"/>
          <w:kern w:val="20"/>
          <w:sz w:val="28"/>
          <w:szCs w:val="28"/>
          <w:u w:val="single"/>
          <w14:textFill>
            <w14:solidFill>
              <w14:schemeClr w14:val="tx1"/>
            </w14:solidFill>
          </w14:textFill>
        </w:rPr>
        <w:t xml:space="preserve"> </w:t>
      </w:r>
      <w:r>
        <w:rPr>
          <w:rFonts w:hint="eastAsia" w:ascii="仿宋" w:hAnsi="仿宋" w:eastAsia="仿宋"/>
          <w:color w:val="000000" w:themeColor="text1"/>
          <w:kern w:val="20"/>
          <w:sz w:val="28"/>
          <w:szCs w:val="28"/>
          <w14:textFill>
            <w14:solidFill>
              <w14:schemeClr w14:val="tx1"/>
            </w14:solidFill>
          </w14:textFill>
        </w:rPr>
        <w:t>天内以银行转账方式支付该款项。</w:t>
      </w:r>
    </w:p>
    <w:p w14:paraId="7EBA3D69">
      <w:pPr>
        <w:pStyle w:val="2"/>
        <w:ind w:firstLine="560" w:firstLineChars="200"/>
        <w:rPr>
          <w:color w:val="FF0000"/>
        </w:rPr>
      </w:pPr>
      <w:r>
        <w:rPr>
          <w:rFonts w:hint="eastAsia" w:ascii="仿宋" w:hAnsi="仿宋" w:eastAsia="仿宋"/>
          <w:kern w:val="20"/>
          <w:sz w:val="28"/>
          <w:szCs w:val="28"/>
        </w:rPr>
        <w:t xml:space="preserve">36.7乙方完成本项目相应的文件材料整理办理归档移交手续，由甲方的专职归档人员签名确认并完成后审计（如有）后，甲方收到乙方开出的全额余款的有效等额的税率为 </w:t>
      </w:r>
      <w:r>
        <w:rPr>
          <w:rFonts w:ascii="仿宋" w:hAnsi="仿宋" w:eastAsia="仿宋"/>
          <w:kern w:val="20"/>
          <w:sz w:val="28"/>
          <w:szCs w:val="28"/>
          <w:u w:val="single"/>
        </w:rPr>
        <w:t xml:space="preserve"> </w:t>
      </w:r>
      <w:r>
        <w:rPr>
          <w:rFonts w:hint="eastAsia" w:ascii="仿宋" w:hAnsi="仿宋" w:eastAsia="仿宋"/>
          <w:kern w:val="20"/>
          <w:sz w:val="28"/>
          <w:szCs w:val="28"/>
          <w:u w:val="single"/>
        </w:rPr>
        <w:t xml:space="preserve"> </w:t>
      </w:r>
      <w:r>
        <w:rPr>
          <w:rFonts w:hint="eastAsia" w:ascii="仿宋" w:hAnsi="仿宋" w:eastAsia="仿宋"/>
          <w:kern w:val="20"/>
          <w:sz w:val="28"/>
          <w:szCs w:val="28"/>
        </w:rPr>
        <w:t>%的增值税专用发票及无条件、不可撤销、见索即付的最终结算金额的</w:t>
      </w:r>
      <w:r>
        <w:rPr>
          <w:rFonts w:hint="eastAsia" w:ascii="仿宋" w:hAnsi="仿宋" w:eastAsia="仿宋"/>
          <w:kern w:val="20"/>
          <w:sz w:val="28"/>
          <w:szCs w:val="28"/>
          <w:u w:val="single"/>
        </w:rPr>
        <w:t xml:space="preserve"> </w:t>
      </w:r>
      <w:r>
        <w:rPr>
          <w:rFonts w:ascii="仿宋" w:hAnsi="仿宋" w:eastAsia="仿宋"/>
          <w:kern w:val="20"/>
          <w:sz w:val="28"/>
          <w:szCs w:val="28"/>
          <w:u w:val="single"/>
        </w:rPr>
        <w:t xml:space="preserve"> </w:t>
      </w:r>
      <w:r>
        <w:rPr>
          <w:rFonts w:hint="eastAsia" w:ascii="仿宋" w:hAnsi="仿宋" w:eastAsia="仿宋"/>
          <w:kern w:val="20"/>
          <w:sz w:val="28"/>
          <w:szCs w:val="28"/>
          <w:u w:val="single"/>
        </w:rPr>
        <w:t xml:space="preserve"> </w:t>
      </w:r>
      <w:r>
        <w:rPr>
          <w:rFonts w:hint="eastAsia" w:ascii="仿宋" w:hAnsi="仿宋" w:eastAsia="仿宋"/>
          <w:kern w:val="20"/>
          <w:sz w:val="28"/>
          <w:szCs w:val="28"/>
        </w:rPr>
        <w:t>%质量保证金银行保函或质量保证金，甲方向乙方支付至最终结算金额的 100 %。甲方收到发票后</w:t>
      </w:r>
      <w:r>
        <w:rPr>
          <w:rFonts w:ascii="仿宋" w:hAnsi="仿宋" w:eastAsia="仿宋"/>
          <w:kern w:val="20"/>
          <w:sz w:val="28"/>
          <w:szCs w:val="28"/>
        </w:rPr>
        <w:t>30</w:t>
      </w:r>
      <w:r>
        <w:rPr>
          <w:rFonts w:hint="eastAsia" w:ascii="仿宋" w:hAnsi="仿宋" w:eastAsia="仿宋"/>
          <w:kern w:val="20"/>
          <w:sz w:val="28"/>
          <w:szCs w:val="28"/>
        </w:rPr>
        <w:t>个日历天内支付，</w:t>
      </w:r>
      <w:r>
        <w:rPr>
          <w:rFonts w:hint="eastAsia" w:ascii="仿宋" w:hAnsi="仿宋" w:eastAsia="仿宋"/>
          <w:color w:val="000000" w:themeColor="text1"/>
          <w:kern w:val="20"/>
          <w:sz w:val="28"/>
          <w:szCs w:val="28"/>
          <w14:textFill>
            <w14:solidFill>
              <w14:schemeClr w14:val="tx1"/>
            </w14:solidFill>
          </w14:textFill>
        </w:rPr>
        <w:t>最终结算金额由甲方委托第三方审计单位以及后审计（如有）审定的金额为准。结算审核的咨询费用支付要求按照甲方与第三方审计单位签订的咨询合同执行。第三方审计单位设置效益收费，</w:t>
      </w:r>
      <w:r>
        <w:rPr>
          <w:rFonts w:hint="eastAsia" w:ascii="仿宋" w:hAnsi="仿宋" w:eastAsia="仿宋" w:cs="仿宋_GB2312"/>
          <w:color w:val="000000" w:themeColor="text1"/>
          <w:sz w:val="28"/>
          <w:szCs w:val="28"/>
          <w:lang w:val="zh-CN"/>
          <w14:textFill>
            <w14:solidFill>
              <w14:schemeClr w14:val="tx1"/>
            </w14:solidFill>
          </w14:textFill>
        </w:rPr>
        <w:t>审减乙方送审</w:t>
      </w:r>
      <w:r>
        <w:rPr>
          <w:rFonts w:hint="eastAsia" w:ascii="仿宋" w:hAnsi="仿宋" w:eastAsia="仿宋"/>
          <w:color w:val="000000" w:themeColor="text1"/>
          <w:kern w:val="20"/>
          <w:sz w:val="28"/>
          <w:szCs w:val="28"/>
          <w14:textFill>
            <w14:solidFill>
              <w14:schemeClr w14:val="tx1"/>
            </w14:solidFill>
          </w14:textFill>
        </w:rPr>
        <w:t>结算金额超过10%时，效益费用=（审减额-送审额*10%）*</w:t>
      </w:r>
      <w:r>
        <w:rPr>
          <w:rFonts w:ascii="仿宋" w:hAnsi="仿宋" w:eastAsia="仿宋"/>
          <w:color w:val="000000" w:themeColor="text1"/>
          <w:kern w:val="20"/>
          <w:sz w:val="28"/>
          <w:szCs w:val="28"/>
          <w14:textFill>
            <w14:solidFill>
              <w14:schemeClr w14:val="tx1"/>
            </w14:solidFill>
          </w14:textFill>
        </w:rPr>
        <w:t>7</w:t>
      </w:r>
      <w:r>
        <w:rPr>
          <w:rFonts w:hint="eastAsia" w:ascii="仿宋" w:hAnsi="仿宋" w:eastAsia="仿宋"/>
          <w:color w:val="000000" w:themeColor="text1"/>
          <w:kern w:val="20"/>
          <w:sz w:val="28"/>
          <w:szCs w:val="28"/>
          <w14:textFill>
            <w14:solidFill>
              <w14:schemeClr w14:val="tx1"/>
            </w14:solidFill>
          </w14:textFill>
        </w:rPr>
        <w:t>%，费用由乙方承担，并由乙方直接支付给第三方审计单位，</w:t>
      </w:r>
      <w:r>
        <w:rPr>
          <w:rFonts w:hint="eastAsia" w:ascii="仿宋" w:hAnsi="仿宋" w:eastAsia="仿宋" w:cs="仿宋_GB2312"/>
          <w:color w:val="000000" w:themeColor="text1"/>
          <w:sz w:val="28"/>
          <w:szCs w:val="28"/>
          <w:lang w:val="zh-CN"/>
          <w14:textFill>
            <w14:solidFill>
              <w14:schemeClr w14:val="tx1"/>
            </w14:solidFill>
          </w14:textFill>
        </w:rPr>
        <w:t>审减额在10%以内的，不计算效益费用</w:t>
      </w:r>
      <w:r>
        <w:rPr>
          <w:rFonts w:hint="eastAsia" w:ascii="仿宋" w:hAnsi="仿宋" w:eastAsia="仿宋"/>
          <w:color w:val="000000" w:themeColor="text1"/>
          <w:kern w:val="20"/>
          <w:sz w:val="28"/>
          <w:szCs w:val="28"/>
          <w14:textFill>
            <w14:solidFill>
              <w14:schemeClr w14:val="tx1"/>
            </w14:solidFill>
          </w14:textFill>
        </w:rPr>
        <w:t>。</w:t>
      </w:r>
    </w:p>
    <w:p w14:paraId="7C5D1773">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36.8乙方应当向甲方提供如下竣工结算资料（按预结算管理办法）但不限于以下内容：</w:t>
      </w:r>
    </w:p>
    <w:p w14:paraId="053F6983">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工程结算书；</w:t>
      </w:r>
    </w:p>
    <w:p w14:paraId="64985F01">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工程量计算书</w:t>
      </w:r>
      <w:r>
        <w:rPr>
          <w:rFonts w:ascii="仿宋" w:hAnsi="仿宋" w:eastAsia="仿宋"/>
          <w:kern w:val="20"/>
          <w:sz w:val="28"/>
          <w:szCs w:val="28"/>
        </w:rPr>
        <w:t>(</w:t>
      </w:r>
      <w:r>
        <w:rPr>
          <w:rFonts w:hint="eastAsia" w:ascii="仿宋" w:hAnsi="仿宋" w:eastAsia="仿宋"/>
          <w:kern w:val="20"/>
          <w:sz w:val="28"/>
          <w:szCs w:val="28"/>
        </w:rPr>
        <w:t>即计算底稿</w:t>
      </w:r>
      <w:r>
        <w:rPr>
          <w:rFonts w:ascii="仿宋" w:hAnsi="仿宋" w:eastAsia="仿宋"/>
          <w:kern w:val="20"/>
          <w:sz w:val="28"/>
          <w:szCs w:val="28"/>
        </w:rPr>
        <w:t>)</w:t>
      </w:r>
      <w:r>
        <w:rPr>
          <w:rFonts w:hint="eastAsia" w:ascii="仿宋" w:hAnsi="仿宋" w:eastAsia="仿宋"/>
          <w:kern w:val="20"/>
          <w:sz w:val="28"/>
          <w:szCs w:val="28"/>
        </w:rPr>
        <w:t>；</w:t>
      </w:r>
    </w:p>
    <w:p w14:paraId="69CB9302">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工程承包合同；</w:t>
      </w:r>
    </w:p>
    <w:p w14:paraId="5992FD48">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招标文件</w:t>
      </w:r>
    </w:p>
    <w:p w14:paraId="3C83FE57">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投标文件</w:t>
      </w:r>
    </w:p>
    <w:p w14:paraId="0667091D">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工程竣工图</w:t>
      </w:r>
      <w:r>
        <w:rPr>
          <w:rFonts w:ascii="仿宋" w:hAnsi="仿宋" w:eastAsia="仿宋"/>
          <w:kern w:val="20"/>
          <w:sz w:val="28"/>
          <w:szCs w:val="28"/>
        </w:rPr>
        <w:t>(</w:t>
      </w:r>
      <w:r>
        <w:rPr>
          <w:rFonts w:hint="eastAsia" w:ascii="仿宋" w:hAnsi="仿宋" w:eastAsia="仿宋"/>
          <w:kern w:val="20"/>
          <w:sz w:val="28"/>
          <w:szCs w:val="28"/>
        </w:rPr>
        <w:t>含电子版</w:t>
      </w:r>
      <w:r>
        <w:rPr>
          <w:rFonts w:ascii="仿宋" w:hAnsi="仿宋" w:eastAsia="仿宋"/>
          <w:kern w:val="20"/>
          <w:sz w:val="28"/>
          <w:szCs w:val="28"/>
        </w:rPr>
        <w:t>)</w:t>
      </w:r>
      <w:r>
        <w:rPr>
          <w:rFonts w:hint="eastAsia" w:ascii="仿宋" w:hAnsi="仿宋" w:eastAsia="仿宋"/>
          <w:kern w:val="20"/>
          <w:sz w:val="28"/>
          <w:szCs w:val="28"/>
        </w:rPr>
        <w:t>；</w:t>
      </w:r>
    </w:p>
    <w:p w14:paraId="1D2CF887">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工程竣工资料</w:t>
      </w:r>
      <w:r>
        <w:rPr>
          <w:rFonts w:ascii="仿宋" w:hAnsi="仿宋" w:eastAsia="仿宋"/>
          <w:kern w:val="20"/>
          <w:sz w:val="28"/>
          <w:szCs w:val="28"/>
        </w:rPr>
        <w:t>(</w:t>
      </w:r>
      <w:r>
        <w:rPr>
          <w:rFonts w:hint="eastAsia" w:ascii="仿宋" w:hAnsi="仿宋" w:eastAsia="仿宋"/>
          <w:kern w:val="20"/>
          <w:sz w:val="28"/>
          <w:szCs w:val="28"/>
        </w:rPr>
        <w:t>含电子版</w:t>
      </w:r>
      <w:r>
        <w:rPr>
          <w:rFonts w:ascii="仿宋" w:hAnsi="仿宋" w:eastAsia="仿宋"/>
          <w:kern w:val="20"/>
          <w:sz w:val="28"/>
          <w:szCs w:val="28"/>
        </w:rPr>
        <w:t>)</w:t>
      </w:r>
      <w:r>
        <w:rPr>
          <w:rFonts w:hint="eastAsia" w:ascii="仿宋" w:hAnsi="仿宋" w:eastAsia="仿宋"/>
          <w:kern w:val="20"/>
          <w:sz w:val="28"/>
          <w:szCs w:val="28"/>
        </w:rPr>
        <w:t>；</w:t>
      </w:r>
    </w:p>
    <w:p w14:paraId="459576D0">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图纸会审纪录：</w:t>
      </w:r>
    </w:p>
    <w:p w14:paraId="07B32133">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设计变更单；</w:t>
      </w:r>
    </w:p>
    <w:p w14:paraId="2DF9D1F5">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工程洽商记录：</w:t>
      </w:r>
    </w:p>
    <w:p w14:paraId="0357B0D2">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监理单位通知或甲方施工指令；</w:t>
      </w:r>
    </w:p>
    <w:p w14:paraId="7209320D">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会议纪要；</w:t>
      </w:r>
    </w:p>
    <w:p w14:paraId="7C4E7927">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现场签证单；</w:t>
      </w:r>
    </w:p>
    <w:p w14:paraId="73B67F60">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材料设备单价呈批审核单；</w:t>
      </w:r>
    </w:p>
    <w:p w14:paraId="35197736">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综合单价呈批审核单；</w:t>
      </w:r>
    </w:p>
    <w:p w14:paraId="16604279">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乙供材料合格证，甲供材料证明；</w:t>
      </w:r>
    </w:p>
    <w:p w14:paraId="44038693">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其他结算资料；</w:t>
      </w:r>
    </w:p>
    <w:p w14:paraId="1B5F8FDA">
      <w:pPr>
        <w:numPr>
          <w:ilvl w:val="0"/>
          <w:numId w:val="12"/>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移交资料签收表。</w:t>
      </w:r>
    </w:p>
    <w:p w14:paraId="7B0F8F1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36.9甲方对送审结算资料的具体要求，但不限于以下内容：</w:t>
      </w:r>
    </w:p>
    <w:p w14:paraId="35C514BC">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结算书：每项工程的结算书要求分两部分编制：第一部分是合同价为主要部分，第二部分包括图纸会审记录、设计变更、监理单位或甲方施工指令、现场签证、工程洽商记录以及其它有关费用（最终施工图纸未含部分）为依据编制部分。上述两部分不应有重复列项的内容，用电脑编制的结算书要求提供相应的拷贝磁盘。</w:t>
      </w:r>
    </w:p>
    <w:p w14:paraId="5ED6A214">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量计算书(即计算底稿)：工程量计算书应由工程量汇总表和详细的工程量计算式组成，工程量应有详细的计算表达式，施工图、图纸会审记录、设计变更、工程洽商记录、现场签证单，监理单位通知或甲方施工指令等部分的内容应在工程量计算式中一次计算。用电脑编制的工程量计算书应提供相应的拷贝磁盘。</w:t>
      </w:r>
    </w:p>
    <w:p w14:paraId="48B5077B">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工程施工合同：包括甲方与乙方签订的工程施工合同经甲方确认的乙方与第三方签订的分包合同、各类补充合同、合同附件等，要求将上述合同文件列出总目录按顺序整理装订成册。</w:t>
      </w:r>
    </w:p>
    <w:p w14:paraId="5F432588">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 xml:space="preserve">竣工图：由乙方负责绘制 </w:t>
      </w:r>
      <w:r>
        <w:rPr>
          <w:rFonts w:hint="eastAsia" w:ascii="仿宋" w:hAnsi="仿宋" w:eastAsia="仿宋"/>
          <w:kern w:val="20"/>
          <w:sz w:val="28"/>
          <w:szCs w:val="28"/>
          <w:u w:val="single"/>
        </w:rPr>
        <w:t>6 套</w:t>
      </w:r>
      <w:r>
        <w:rPr>
          <w:rFonts w:hint="eastAsia" w:ascii="仿宋" w:hAnsi="仿宋" w:eastAsia="仿宋"/>
          <w:kern w:val="20"/>
          <w:sz w:val="28"/>
          <w:szCs w:val="28"/>
        </w:rPr>
        <w:t>竣工图。用于结算的竣工图必须有乙方竣工图专用章及其相关人员签字，有监理单位和甲方的审核人签字和单位盖章确认。经甲方、设计、监理等单位确认的图纸会审记录、设计变更、工程洽商记录、监理单位通知或甲方施工指令等内容均应反映在相应的竣工图上。对未在竣工图上反映的图纸会审记录、设计变更和工程洽商记录等，其费用的增减，在结算评审中不予考虑。</w:t>
      </w:r>
    </w:p>
    <w:p w14:paraId="717B3C98">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竣工资料：指在进行工程竣工验收和资料归档时所需的资料。由乙方负责整理三</w:t>
      </w:r>
      <w:r>
        <w:rPr>
          <w:rFonts w:hint="eastAsia" w:ascii="仿宋" w:hAnsi="仿宋" w:eastAsia="仿宋"/>
          <w:kern w:val="20"/>
          <w:sz w:val="28"/>
          <w:szCs w:val="28"/>
          <w:u w:val="single"/>
        </w:rPr>
        <w:t>套</w:t>
      </w:r>
      <w:r>
        <w:rPr>
          <w:rFonts w:hint="eastAsia" w:ascii="仿宋" w:hAnsi="仿宋" w:eastAsia="仿宋"/>
          <w:kern w:val="20"/>
          <w:sz w:val="28"/>
          <w:szCs w:val="28"/>
        </w:rPr>
        <w:t>完整的施工管理资料和质量保证资料（其中确保有</w:t>
      </w:r>
      <w:r>
        <w:rPr>
          <w:rFonts w:hint="eastAsia" w:ascii="仿宋" w:hAnsi="仿宋" w:eastAsia="仿宋"/>
          <w:kern w:val="20"/>
          <w:sz w:val="28"/>
          <w:szCs w:val="28"/>
          <w:u w:val="single"/>
        </w:rPr>
        <w:t>两套</w:t>
      </w:r>
      <w:r>
        <w:rPr>
          <w:rFonts w:hint="eastAsia" w:ascii="仿宋" w:hAnsi="仿宋" w:eastAsia="仿宋"/>
          <w:kern w:val="20"/>
          <w:sz w:val="28"/>
          <w:szCs w:val="28"/>
        </w:rPr>
        <w:t>原件）。具体包括开工报告、竣工报告、工程质量验收评定证书、材料检验报告、产品质量合格证、经甲方批准的施工组织设计或施工方案、隐蔽工程验收记录、安装工程的调试方案和调试记录等。竣工资料要求监理单位和甲方在确认表上盖章确认，以证明竣工资料上的相关内容与该项目送审资料的实际内容相一致。整理装订成册的竣工资料需编制总目录，并在每一页的下方统一编号，以便于查找。</w:t>
      </w:r>
    </w:p>
    <w:p w14:paraId="448533DD">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图纸会审记录：要求按图纸会审的时间先后整理装订成册，图纸会审记录须有各单位参加会审人员签字及会审单位盖章确认。</w:t>
      </w:r>
    </w:p>
    <w:p w14:paraId="6209A1A3">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设计变更单：要求按设计变更的时间先后整理(安装工程要分专业)装订成册。设计变更单要求有设计人员的签名及设计单位的盖章，同时要求有甲方同意按相关的设计变更进行施工的签认意见和盖章确认。</w:t>
      </w:r>
    </w:p>
    <w:p w14:paraId="4CD6DF4C">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工程洽商记录：要求根据工程洽商记录的时间先后整理装订成册，然后在每一页的下方统一编号，以便于查找。工程洽商记录要求有监理单位和甲方相关人员的签字和单位盖章确认。</w:t>
      </w:r>
    </w:p>
    <w:p w14:paraId="37F48EAE">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监理单位通知或甲方施工指令：要求根据监理单位通知或甲方施工指令的时间先后整理装订成册，然后在每一页的下方统一编号。监理单位通知要求有监理单位和甲方相关人员的签字和单位盖章确认，甲方施工指令要求有甲方相关人员的签字和单位盖章确认。</w:t>
      </w:r>
    </w:p>
    <w:p w14:paraId="5DDC05C0">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会议纪要：指工程质量、安全、技术、经济等现场协调会会议纪要等。要求根据会议纪要的时间先后整理装订成册，然后在每一页的下方统一编号。会议纪要要求有参与会议的各方代表签字，并有监理单位和甲方盖章确认。</w:t>
      </w:r>
    </w:p>
    <w:p w14:paraId="1C846253">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现场签证单：要求根据现场签证单的时间先后整理装订成册，然后在每一页的下方统一连续编号，现场签证单上应有工程数量的计算过程和施工简图，由乙方盖章确认，并有监理单位和甲方相关人员签字和单位盖章确认，并且有上述单位对工程造价送行审核的签字和盖章。</w:t>
      </w:r>
    </w:p>
    <w:p w14:paraId="698D6059">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材料设备单价呈批审核单：凡在工程招标文件或工程承包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录、材料发票、购买合同等有效材料设备价格凭证等。每份审核单手续必需完备，要求有监理单位和甲方相关人员的签字和单位盖章确认。</w:t>
      </w:r>
    </w:p>
    <w:p w14:paraId="1D7C2406">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综合单价呈批审核单：应由乙方编制单价分析表，盖章确认后报监理单位和甲方审核综合单价。在结算资料送审时，要求按综合单价呈批审核单的编号顺序整理装订成册。每项审核单应附有相关的资料或注明相关资料在送审结算资料的哪一部分和哪一页位置上，如材料设备专题会议纪录、设计变更、工程洽商记录、监理单位通知等。每份综合单价呈批审核单手续必需完备，要求有监理单位和甲方有关人员的签字和单位盖章确认，并且有上述单位对综合单价进行审核的签字和盖章。</w:t>
      </w:r>
    </w:p>
    <w:p w14:paraId="491EDE0F">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甲方供应材料收货验收签收单：按甲方供应材料收货验收签收单的编号顺序及不同材料分类整理装订成册。要求甲方供应材料收货验收签收单上有乙方、材料供货单位、监理单位、甲方代表签字和单位盖章确认。</w:t>
      </w:r>
    </w:p>
    <w:p w14:paraId="19A0B1BC">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其他结算资料：凡上述未提及而在结算评审中需要的资料均需提供，例如：施工日记、地质勘察报告、非常用的标准图集、应由乙方承担而由建设单位支付的费用证明如甲方方代缴施工水电费票据、余泥排放费证明等。</w:t>
      </w:r>
    </w:p>
    <w:p w14:paraId="61F2951D">
      <w:pPr>
        <w:numPr>
          <w:ilvl w:val="0"/>
          <w:numId w:val="13"/>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双方单位的印章。</w:t>
      </w:r>
    </w:p>
    <w:p w14:paraId="4E6549BB">
      <w:pPr>
        <w:spacing w:line="360" w:lineRule="auto"/>
        <w:ind w:firstLine="560" w:firstLineChars="200"/>
        <w:rPr>
          <w:rFonts w:ascii="仿宋" w:hAnsi="仿宋" w:eastAsia="仿宋"/>
          <w:kern w:val="20"/>
          <w:sz w:val="28"/>
          <w:szCs w:val="28"/>
        </w:rPr>
      </w:pPr>
    </w:p>
    <w:p w14:paraId="4CF607B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37．质量保证金</w:t>
      </w:r>
    </w:p>
    <w:p w14:paraId="776ED8E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37.1</w:t>
      </w:r>
      <w:r>
        <w:rPr>
          <w:rFonts w:hint="eastAsia" w:ascii="仿宋" w:hAnsi="仿宋" w:eastAsia="仿宋"/>
          <w:kern w:val="20"/>
          <w:sz w:val="28"/>
          <w:szCs w:val="28"/>
        </w:rPr>
        <w:tab/>
      </w:r>
      <w:r>
        <w:rPr>
          <w:rFonts w:hint="eastAsia" w:ascii="仿宋" w:hAnsi="仿宋" w:eastAsia="仿宋"/>
          <w:kern w:val="20"/>
          <w:sz w:val="28"/>
          <w:szCs w:val="28"/>
        </w:rPr>
        <w:t>质量保证金的金额及扣留</w:t>
      </w:r>
    </w:p>
    <w:p w14:paraId="70852B2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(1)  质量保证金的金额</w:t>
      </w:r>
    </w:p>
    <w:p w14:paraId="00BC1C3A">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按合同通用条款的规定执行。</w:t>
      </w:r>
    </w:p>
    <w:p w14:paraId="56F1838A">
      <w:pPr>
        <w:spacing w:line="360" w:lineRule="auto"/>
        <w:ind w:firstLine="560" w:firstLineChars="200"/>
        <w:rPr>
          <w:rFonts w:ascii="仿宋" w:hAnsi="仿宋" w:eastAsia="仿宋"/>
          <w:kern w:val="20"/>
          <w:sz w:val="28"/>
          <w:szCs w:val="28"/>
        </w:rPr>
      </w:pPr>
      <w:r>
        <w:rPr>
          <w:rFonts w:ascii="Segoe UI Symbol" w:hAnsi="Segoe UI Symbol" w:eastAsia="仿宋" w:cs="Segoe UI Symbol"/>
          <w:kern w:val="20"/>
          <w:sz w:val="28"/>
          <w:szCs w:val="28"/>
        </w:rPr>
        <w:t>☑</w:t>
      </w:r>
      <w:r>
        <w:rPr>
          <w:rFonts w:hint="eastAsia" w:ascii="仿宋" w:hAnsi="仿宋" w:eastAsia="仿宋"/>
          <w:kern w:val="20"/>
          <w:sz w:val="28"/>
          <w:szCs w:val="28"/>
        </w:rPr>
        <w:t xml:space="preserve">  其他：质量保证金为</w:t>
      </w:r>
      <w:r>
        <w:rPr>
          <w:rFonts w:hint="eastAsia" w:ascii="仿宋" w:hAnsi="仿宋" w:eastAsia="仿宋"/>
          <w:kern w:val="20"/>
          <w:sz w:val="28"/>
          <w:szCs w:val="28"/>
          <w:u w:val="single"/>
        </w:rPr>
        <w:t xml:space="preserve">最终结算金额的  3  ％ </w:t>
      </w:r>
      <w:r>
        <w:rPr>
          <w:rFonts w:hint="eastAsia" w:ascii="仿宋" w:hAnsi="仿宋" w:eastAsia="仿宋"/>
          <w:kern w:val="20"/>
          <w:sz w:val="28"/>
          <w:szCs w:val="28"/>
        </w:rPr>
        <w:t>。</w:t>
      </w:r>
    </w:p>
    <w:p w14:paraId="238BD91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(2)  质量保证金的扣留</w:t>
      </w:r>
    </w:p>
    <w:p w14:paraId="16291874">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按合同通用条款的规定执行。</w:t>
      </w:r>
    </w:p>
    <w:p w14:paraId="2F6DECAD">
      <w:pPr>
        <w:spacing w:line="360" w:lineRule="auto"/>
        <w:ind w:firstLine="560" w:firstLineChars="200"/>
        <w:rPr>
          <w:rFonts w:ascii="仿宋" w:hAnsi="仿宋" w:eastAsia="仿宋"/>
          <w:kern w:val="20"/>
          <w:sz w:val="28"/>
          <w:szCs w:val="28"/>
        </w:rPr>
      </w:pPr>
      <w:r>
        <w:rPr>
          <w:rFonts w:ascii="Segoe UI Symbol" w:hAnsi="Segoe UI Symbol" w:eastAsia="仿宋" w:cs="Segoe UI Symbol"/>
          <w:kern w:val="20"/>
          <w:sz w:val="28"/>
          <w:szCs w:val="28"/>
        </w:rPr>
        <w:t>☑</w:t>
      </w:r>
      <w:r>
        <w:rPr>
          <w:rFonts w:hint="eastAsia" w:ascii="仿宋" w:hAnsi="仿宋" w:eastAsia="仿宋"/>
          <w:kern w:val="20"/>
          <w:sz w:val="28"/>
          <w:szCs w:val="28"/>
        </w:rPr>
        <w:t xml:space="preserve">  其他方式：</w:t>
      </w:r>
    </w:p>
    <w:p w14:paraId="3B4C60E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按照合同条款第36款竣工结算与结算款的方式扣留。</w:t>
      </w:r>
    </w:p>
    <w:p w14:paraId="1734ACE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37.2质量保证金的返还时间：</w:t>
      </w:r>
    </w:p>
    <w:p w14:paraId="55FBCEE1">
      <w:pPr>
        <w:spacing w:line="360" w:lineRule="auto"/>
        <w:ind w:firstLine="560" w:firstLineChars="200"/>
        <w:rPr>
          <w:rStyle w:val="11"/>
          <w:highlight w:val="yellow"/>
        </w:rPr>
      </w:pPr>
      <w:r>
        <w:rPr>
          <w:rFonts w:hint="eastAsia" w:ascii="仿宋" w:hAnsi="仿宋" w:eastAsia="仿宋"/>
          <w:kern w:val="20"/>
          <w:sz w:val="28"/>
          <w:szCs w:val="28"/>
        </w:rPr>
        <w:t>缺陷责任期到期（以最长缺陷责任期计算），且全部质量保修完成并通过甲方组织验收合格后，乙方应主动向甲方书面申请退还，甲方在收到乙方书面申请并审核通过后</w:t>
      </w:r>
      <w:r>
        <w:rPr>
          <w:rFonts w:ascii="仿宋" w:hAnsi="仿宋" w:eastAsia="仿宋"/>
          <w:kern w:val="20"/>
          <w:sz w:val="28"/>
          <w:szCs w:val="28"/>
        </w:rPr>
        <w:t>30</w:t>
      </w:r>
      <w:r>
        <w:rPr>
          <w:rFonts w:hint="eastAsia" w:ascii="仿宋" w:hAnsi="仿宋" w:eastAsia="仿宋"/>
          <w:kern w:val="20"/>
          <w:sz w:val="28"/>
          <w:szCs w:val="28"/>
        </w:rPr>
        <w:t>个日历天内退还工程质量保证金</w:t>
      </w:r>
      <w:r>
        <w:rPr>
          <w:rFonts w:ascii="仿宋" w:hAnsi="仿宋" w:eastAsia="仿宋"/>
          <w:kern w:val="20"/>
          <w:sz w:val="28"/>
          <w:szCs w:val="28"/>
        </w:rPr>
        <w:t>（</w:t>
      </w:r>
      <w:r>
        <w:rPr>
          <w:rFonts w:hint="eastAsia" w:ascii="仿宋" w:hAnsi="仿宋" w:eastAsia="仿宋"/>
          <w:kern w:val="20"/>
          <w:sz w:val="28"/>
          <w:szCs w:val="28"/>
        </w:rPr>
        <w:t>银行保函或银行转帐</w:t>
      </w:r>
      <w:r>
        <w:rPr>
          <w:rFonts w:ascii="仿宋" w:hAnsi="仿宋" w:eastAsia="仿宋"/>
          <w:kern w:val="20"/>
          <w:sz w:val="28"/>
          <w:szCs w:val="28"/>
        </w:rPr>
        <w:t>）</w:t>
      </w:r>
      <w:r>
        <w:rPr>
          <w:rFonts w:hint="eastAsia" w:ascii="仿宋" w:hAnsi="仿宋" w:eastAsia="仿宋"/>
          <w:kern w:val="20"/>
          <w:sz w:val="28"/>
          <w:szCs w:val="28"/>
        </w:rPr>
        <w:t>。</w:t>
      </w:r>
    </w:p>
    <w:p w14:paraId="5B8CB98C">
      <w:pPr>
        <w:spacing w:line="360" w:lineRule="auto"/>
        <w:ind w:firstLine="560" w:firstLineChars="200"/>
        <w:rPr>
          <w:rFonts w:ascii="仿宋" w:hAnsi="仿宋" w:eastAsia="仿宋"/>
          <w:kern w:val="20"/>
          <w:sz w:val="28"/>
          <w:szCs w:val="28"/>
        </w:rPr>
      </w:pPr>
      <w:r>
        <w:rPr>
          <w:rFonts w:ascii="仿宋" w:hAnsi="仿宋" w:eastAsia="仿宋"/>
          <w:kern w:val="20"/>
          <w:sz w:val="28"/>
          <w:szCs w:val="28"/>
        </w:rPr>
        <w:t>37.3</w:t>
      </w:r>
      <w:r>
        <w:rPr>
          <w:rFonts w:hint="eastAsia" w:ascii="仿宋" w:hAnsi="仿宋" w:eastAsia="仿宋"/>
          <w:kern w:val="20"/>
          <w:sz w:val="28"/>
          <w:szCs w:val="28"/>
        </w:rPr>
        <w:t>质量保证金的其他约定</w:t>
      </w:r>
    </w:p>
    <w:p w14:paraId="1C21067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质量保证金可采用金融机构保函、保证保险、专业担保公司担保、转账、电汇的形式提交。</w:t>
      </w:r>
    </w:p>
    <w:p w14:paraId="650C086C">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以金融机构保函、保证保险、专业担保公司担保的形式提交质量保证金的，质量保证金必须是无条件、不可撤销、见索即付的等额质量保证金，且质量保证金应在缺陷责任期内一直有效。</w:t>
      </w:r>
    </w:p>
    <w:p w14:paraId="5D0EB46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以转账形式提交质量保证金的，在退还质量保证金时，将同时退还质量保证金本金和银行同期存款利息，其中银行同期存款利息按保证金本金×计息天数×活期存款年利率÷365计算。计息天数指实际收到保证金或者应付账款转为保证金次日，至保证金达到退还条件当天计算的天数;活期存款年利率指实际收到保证金或者应付账款转为保证金次日适用的人民银行公布的金融机构人民币(活期)存款基准利率。</w:t>
      </w:r>
    </w:p>
    <w:p w14:paraId="6CD09BC5">
      <w:pPr>
        <w:spacing w:line="360" w:lineRule="auto"/>
        <w:ind w:firstLine="560" w:firstLineChars="200"/>
        <w:rPr>
          <w:rFonts w:ascii="仿宋" w:hAnsi="仿宋" w:eastAsia="仿宋"/>
          <w:kern w:val="20"/>
          <w:sz w:val="28"/>
          <w:szCs w:val="28"/>
        </w:rPr>
      </w:pPr>
    </w:p>
    <w:p w14:paraId="3DBA7F9B">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38．合同争议</w:t>
      </w:r>
    </w:p>
    <w:p w14:paraId="4265DFB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38.1</w:t>
      </w:r>
      <w:r>
        <w:rPr>
          <w:rFonts w:hint="eastAsia" w:ascii="仿宋" w:hAnsi="仿宋" w:eastAsia="仿宋"/>
          <w:kern w:val="20"/>
          <w:sz w:val="28"/>
          <w:szCs w:val="28"/>
        </w:rPr>
        <w:tab/>
      </w:r>
      <w:r>
        <w:rPr>
          <w:rFonts w:hint="eastAsia" w:ascii="仿宋" w:hAnsi="仿宋" w:eastAsia="仿宋"/>
          <w:kern w:val="20"/>
          <w:sz w:val="28"/>
          <w:szCs w:val="28"/>
        </w:rPr>
        <w:t>双方同意选择下列一种方式解决争议：</w:t>
      </w:r>
    </w:p>
    <w:p w14:paraId="38736B99">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向</w:t>
      </w:r>
      <w:r>
        <w:rPr>
          <w:rFonts w:hint="eastAsia" w:ascii="仿宋" w:hAnsi="仿宋" w:eastAsia="仿宋"/>
          <w:kern w:val="20"/>
          <w:sz w:val="28"/>
          <w:szCs w:val="28"/>
          <w:u w:val="single"/>
        </w:rPr>
        <w:t>广州仲裁委员会</w:t>
      </w:r>
      <w:r>
        <w:rPr>
          <w:rFonts w:hint="eastAsia" w:ascii="仿宋" w:hAnsi="仿宋" w:eastAsia="仿宋"/>
          <w:kern w:val="20"/>
          <w:sz w:val="28"/>
          <w:szCs w:val="28"/>
          <w:u w:val="single"/>
        </w:rPr>
        <w:tab/>
      </w:r>
      <w:r>
        <w:rPr>
          <w:rFonts w:hint="eastAsia" w:ascii="仿宋" w:hAnsi="仿宋" w:eastAsia="仿宋"/>
          <w:kern w:val="20"/>
          <w:sz w:val="28"/>
          <w:szCs w:val="28"/>
        </w:rPr>
        <w:t>申请仲裁，仲裁地为</w:t>
      </w:r>
      <w:r>
        <w:rPr>
          <w:rFonts w:hint="eastAsia" w:ascii="仿宋" w:hAnsi="仿宋" w:eastAsia="仿宋"/>
          <w:kern w:val="20"/>
          <w:sz w:val="28"/>
          <w:szCs w:val="28"/>
          <w:u w:val="single"/>
        </w:rPr>
        <w:t>广州</w:t>
      </w:r>
      <w:r>
        <w:rPr>
          <w:rFonts w:hint="eastAsia" w:ascii="仿宋" w:hAnsi="仿宋" w:eastAsia="仿宋"/>
          <w:kern w:val="20"/>
          <w:sz w:val="28"/>
          <w:szCs w:val="28"/>
        </w:rPr>
        <w:t>。</w:t>
      </w:r>
    </w:p>
    <w:p w14:paraId="1880A189">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向项目所在地的人民法院提起诉讼。</w:t>
      </w:r>
    </w:p>
    <w:p w14:paraId="32E8E733">
      <w:pPr>
        <w:spacing w:line="360" w:lineRule="auto"/>
        <w:ind w:firstLine="560" w:firstLineChars="200"/>
        <w:rPr>
          <w:rFonts w:ascii="仿宋" w:hAnsi="仿宋" w:eastAsia="仿宋"/>
          <w:kern w:val="20"/>
          <w:sz w:val="28"/>
          <w:szCs w:val="28"/>
        </w:rPr>
      </w:pPr>
    </w:p>
    <w:p w14:paraId="3A8585FE">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39．保密要求</w:t>
      </w:r>
    </w:p>
    <w:p w14:paraId="2ED1A738">
      <w:pPr>
        <w:spacing w:line="360" w:lineRule="auto"/>
        <w:ind w:firstLine="560" w:firstLineChars="200"/>
        <w:rPr>
          <w:rFonts w:ascii="仿宋" w:hAnsi="仿宋" w:eastAsia="仿宋"/>
          <w:kern w:val="20"/>
          <w:sz w:val="28"/>
          <w:szCs w:val="28"/>
          <w:u w:val="single"/>
        </w:rPr>
      </w:pPr>
      <w:r>
        <w:rPr>
          <w:rFonts w:ascii="仿宋" w:hAnsi="仿宋" w:eastAsia="仿宋"/>
          <w:kern w:val="20"/>
          <w:sz w:val="28"/>
          <w:szCs w:val="28"/>
        </w:rPr>
        <mc:AlternateContent>
          <mc:Choice Requires="wps">
            <w:drawing>
              <wp:anchor distT="0" distB="0" distL="114300" distR="114300" simplePos="0" relativeHeight="251664384" behindDoc="0" locked="0" layoutInCell="1" allowOverlap="1">
                <wp:simplePos x="0" y="0"/>
                <wp:positionH relativeFrom="column">
                  <wp:posOffset>2590165</wp:posOffset>
                </wp:positionH>
                <wp:positionV relativeFrom="paragraph">
                  <wp:posOffset>52705</wp:posOffset>
                </wp:positionV>
                <wp:extent cx="571500" cy="198120"/>
                <wp:effectExtent l="0" t="0" r="19050" b="30480"/>
                <wp:wrapNone/>
                <wp:docPr id="1" name="Line 32"/>
                <wp:cNvGraphicFramePr/>
                <a:graphic xmlns:a="http://schemas.openxmlformats.org/drawingml/2006/main">
                  <a:graphicData uri="http://schemas.microsoft.com/office/word/2010/wordprocessingShape">
                    <wps:wsp>
                      <wps:cNvCnPr>
                        <a:cxnSpLocks noChangeShapeType="1"/>
                      </wps:cNvCnPr>
                      <wps:spPr bwMode="auto">
                        <a:xfrm flipV="1">
                          <a:off x="0" y="0"/>
                          <a:ext cx="571500" cy="198120"/>
                        </a:xfrm>
                        <a:prstGeom prst="line">
                          <a:avLst/>
                        </a:prstGeom>
                        <a:noFill/>
                        <a:ln w="9525">
                          <a:solidFill>
                            <a:srgbClr val="000000"/>
                          </a:solidFill>
                          <a:round/>
                        </a:ln>
                      </wps:spPr>
                      <wps:bodyPr/>
                    </wps:wsp>
                  </a:graphicData>
                </a:graphic>
              </wp:anchor>
            </w:drawing>
          </mc:Choice>
          <mc:Fallback>
            <w:pict>
              <v:line id="Line 32" o:spid="_x0000_s1026" o:spt="20" style="position:absolute;left:0pt;flip:y;margin-left:203.95pt;margin-top:4.15pt;height:15.6pt;width:45pt;z-index:251664384;mso-width-relative:page;mso-height-relative:page;" filled="f" stroked="t" coordsize="21600,21600" o:gfxdata="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fp6x1gAAAAgBAAAPAAAAAAAAAAEAIAAA&#10;ACIAAABkcnMvZG93bnJldi54bWxQSwECFAAUAAAACACHTuJA1bMEXdUBAACuAwAADgAAAAAAAAAB&#10;ACAAAAAlAQAAZHJzL2Uyb0RvYy54bWxQSwUGAAAAAAYABgBZAQAAbAUAAAAA&#10;">
                <v:fill on="f" focussize="0,0"/>
                <v:stroke color="#000000" joinstyle="round"/>
                <v:imagedata o:title=""/>
                <o:lock v:ext="edit" aspectratio="f"/>
              </v:line>
            </w:pict>
          </mc:Fallback>
        </mc:AlternateContent>
      </w:r>
      <w:r>
        <w:rPr>
          <w:rFonts w:hint="eastAsia" w:ascii="仿宋" w:hAnsi="仿宋" w:eastAsia="仿宋"/>
          <w:kern w:val="20"/>
          <w:sz w:val="28"/>
          <w:szCs w:val="28"/>
        </w:rPr>
        <w:t>39.1 提供保密信息的期限：</w:t>
      </w:r>
      <w:r>
        <w:rPr>
          <w:rFonts w:hint="eastAsia" w:ascii="仿宋" w:hAnsi="仿宋" w:eastAsia="仿宋"/>
          <w:kern w:val="20"/>
          <w:sz w:val="28"/>
          <w:szCs w:val="28"/>
          <w:u w:val="single"/>
        </w:rPr>
        <w:t xml:space="preserve">        </w:t>
      </w:r>
    </w:p>
    <w:p w14:paraId="0F101617">
      <w:pPr>
        <w:spacing w:line="360" w:lineRule="auto"/>
        <w:ind w:firstLine="560" w:firstLineChars="200"/>
        <w:rPr>
          <w:rFonts w:ascii="仿宋" w:hAnsi="仿宋" w:eastAsia="仿宋"/>
          <w:kern w:val="20"/>
          <w:sz w:val="28"/>
          <w:szCs w:val="28"/>
        </w:rPr>
      </w:pPr>
    </w:p>
    <w:p w14:paraId="61B298F5">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40.合同份数</w:t>
      </w:r>
    </w:p>
    <w:p w14:paraId="30BB9E3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40.1 提供合同文本</w:t>
      </w:r>
    </w:p>
    <w:p w14:paraId="341C653C">
      <w:pPr>
        <w:spacing w:line="360" w:lineRule="auto"/>
        <w:ind w:firstLine="560" w:firstLineChars="200"/>
        <w:rPr>
          <w:rFonts w:ascii="仿宋" w:hAnsi="仿宋" w:eastAsia="仿宋"/>
          <w:kern w:val="20"/>
          <w:sz w:val="28"/>
          <w:szCs w:val="28"/>
        </w:rPr>
      </w:pPr>
      <w:r>
        <w:rPr>
          <w:rFonts w:ascii="Wingdings" w:hAnsi="Wingdings" w:eastAsia="仿宋"/>
          <w:kern w:val="20"/>
          <w:sz w:val="28"/>
          <w:szCs w:val="28"/>
        </w:rPr>
        <w:sym w:font="Wingdings" w:char="F0A8"/>
      </w:r>
      <w:r>
        <w:rPr>
          <w:rFonts w:hint="eastAsia" w:ascii="仿宋" w:hAnsi="仿宋" w:eastAsia="仿宋"/>
          <w:kern w:val="20"/>
          <w:sz w:val="28"/>
          <w:szCs w:val="28"/>
        </w:rPr>
        <w:t xml:space="preserve">  按合同通用条款的规定，由甲方提供。</w:t>
      </w:r>
    </w:p>
    <w:p w14:paraId="71B60BC5">
      <w:pPr>
        <w:spacing w:line="360" w:lineRule="auto"/>
        <w:ind w:firstLine="562" w:firstLineChars="200"/>
        <w:rPr>
          <w:rFonts w:ascii="仿宋" w:hAnsi="仿宋" w:eastAsia="仿宋"/>
          <w:kern w:val="20"/>
          <w:sz w:val="28"/>
          <w:szCs w:val="28"/>
        </w:rPr>
      </w:pPr>
      <w:r>
        <w:rPr>
          <w:rFonts w:ascii="Wingdings 2" w:hAnsi="Wingdings 2" w:eastAsia="仿宋"/>
          <w:b/>
          <w:kern w:val="20"/>
          <w:sz w:val="28"/>
          <w:szCs w:val="28"/>
        </w:rPr>
        <w:sym w:font="Wingdings 2" w:char="F052"/>
      </w:r>
      <w:r>
        <w:rPr>
          <w:rFonts w:hint="eastAsia" w:ascii="仿宋" w:hAnsi="仿宋" w:eastAsia="仿宋"/>
          <w:kern w:val="20"/>
          <w:sz w:val="28"/>
          <w:szCs w:val="28"/>
        </w:rPr>
        <w:t xml:space="preserve">  不按合同通用条款的规定，其他提供方式为：</w:t>
      </w:r>
    </w:p>
    <w:p w14:paraId="2805574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按本合同第一部分 协议书第十八条条款执行。</w:t>
      </w:r>
    </w:p>
    <w:p w14:paraId="5E7A1FFD">
      <w:pPr>
        <w:spacing w:line="360" w:lineRule="auto"/>
        <w:ind w:firstLine="560" w:firstLineChars="200"/>
        <w:rPr>
          <w:rFonts w:ascii="仿宋" w:hAnsi="仿宋" w:eastAsia="仿宋"/>
          <w:kern w:val="20"/>
          <w:sz w:val="28"/>
          <w:szCs w:val="28"/>
        </w:rPr>
      </w:pPr>
    </w:p>
    <w:p w14:paraId="256DF70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41. 甲方违约责任</w:t>
      </w:r>
      <w:r>
        <w:rPr>
          <w:rFonts w:ascii="仿宋" w:hAnsi="仿宋" w:eastAsia="仿宋"/>
          <w:kern w:val="20"/>
          <w:sz w:val="28"/>
          <w:szCs w:val="28"/>
        </w:rPr>
        <w:t xml:space="preserve"> </w:t>
      </w:r>
    </w:p>
    <w:p w14:paraId="1687A1F1">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甲方违约的情形限于违反《合同专用条款》的相关条款及《合同通用条款》的相关条款之约定三种，承担违约责任方式如下：</w:t>
      </w:r>
    </w:p>
    <w:p w14:paraId="4BD1CDB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41.1工程开工后，甲方不按时支付工程预付款的，除支付本合同约定的工程预付款外，还应按同期银行活期存款利率给乙方计付利息；造成乙方停工的，工期顺延。</w:t>
      </w:r>
    </w:p>
    <w:p w14:paraId="5AF4F748">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41.2甲方不按合同约定支付工程款的，除应支付本合同约定的工程进度款外，还应按同期银行活期存款利率给乙方计付利息；造成乙方不能按合同约定进行施工，工期应按甲方延迟支付工程进度款的时间予以顺延。</w:t>
      </w:r>
    </w:p>
    <w:p w14:paraId="1FB860A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41.3</w:t>
      </w:r>
      <w:r>
        <w:rPr>
          <w:rFonts w:hint="eastAsia" w:ascii="仿宋" w:hAnsi="仿宋" w:eastAsia="仿宋"/>
          <w:kern w:val="20"/>
          <w:sz w:val="28"/>
          <w:szCs w:val="28"/>
        </w:rPr>
        <w:tab/>
      </w:r>
      <w:r>
        <w:rPr>
          <w:rFonts w:hint="eastAsia" w:ascii="仿宋" w:hAnsi="仿宋" w:eastAsia="仿宋"/>
          <w:kern w:val="20"/>
          <w:sz w:val="28"/>
          <w:szCs w:val="28"/>
        </w:rPr>
        <w:t>甲方无正当理由不支付给乙方工程竣工结算款的，除应支付乙方工程竣工结算款外，还应按同期银行活期存款利率给乙方计付拖欠工程价款期间的利息。</w:t>
      </w:r>
    </w:p>
    <w:p w14:paraId="29723021">
      <w:pPr>
        <w:spacing w:line="360" w:lineRule="auto"/>
        <w:ind w:firstLine="560" w:firstLineChars="200"/>
        <w:rPr>
          <w:rFonts w:ascii="仿宋" w:hAnsi="仿宋" w:eastAsia="仿宋"/>
          <w:kern w:val="20"/>
          <w:sz w:val="28"/>
          <w:szCs w:val="28"/>
        </w:rPr>
      </w:pPr>
    </w:p>
    <w:p w14:paraId="37DC7F44">
      <w:pPr>
        <w:spacing w:line="360" w:lineRule="auto"/>
        <w:ind w:firstLine="560" w:firstLineChars="200"/>
        <w:rPr>
          <w:rFonts w:ascii="仿宋" w:hAnsi="仿宋" w:eastAsia="仿宋"/>
          <w:b/>
          <w:kern w:val="20"/>
          <w:sz w:val="28"/>
          <w:szCs w:val="28"/>
        </w:rPr>
      </w:pPr>
      <w:r>
        <w:rPr>
          <w:rFonts w:hint="eastAsia" w:ascii="仿宋" w:hAnsi="仿宋" w:eastAsia="仿宋"/>
          <w:kern w:val="20"/>
          <w:sz w:val="28"/>
          <w:szCs w:val="28"/>
        </w:rPr>
        <w:t>42. 乙方违约责任</w:t>
      </w:r>
    </w:p>
    <w:p w14:paraId="1628158D">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42.1乙方未能正确完成本合同约定的全部义务，导致拖延了工期和(或)增加了费用，其增加的费用由乙方承担，工期不予顺延；给甲方造成损失的，乙方应予赔偿并承担法律规定或双方约定的其他违约责任。</w:t>
      </w:r>
    </w:p>
    <w:p w14:paraId="64B23783">
      <w:pPr>
        <w:spacing w:line="360" w:lineRule="auto"/>
        <w:ind w:left="426"/>
        <w:rPr>
          <w:rFonts w:ascii="仿宋" w:hAnsi="仿宋" w:eastAsia="仿宋"/>
          <w:kern w:val="20"/>
          <w:sz w:val="28"/>
          <w:szCs w:val="28"/>
        </w:rPr>
      </w:pPr>
      <w:r>
        <w:rPr>
          <w:rFonts w:hint="eastAsia" w:ascii="仿宋" w:hAnsi="仿宋" w:eastAsia="仿宋"/>
          <w:kern w:val="20"/>
          <w:sz w:val="28"/>
          <w:szCs w:val="28"/>
        </w:rPr>
        <w:t>42.2乙方违约的情形及承担违约的方式（包括但不限于）：</w:t>
      </w:r>
    </w:p>
    <w:p w14:paraId="5482568B">
      <w:pPr>
        <w:numPr>
          <w:ilvl w:val="0"/>
          <w:numId w:val="1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限期改正不到位。监理单位或甲方在日常工作检查中发现乙方未履行或未按时履行或未按质履行义务等违约行为，监理单位或甲方有权向乙方发出监理通知或书面警告，要求乙方必须在监理单位或甲方限定的时间内改正违约行为。如乙方到期未改正或未达到相关要求，乙方应当向甲方支付违约金人民币</w:t>
      </w:r>
      <w:r>
        <w:rPr>
          <w:rFonts w:hint="eastAsia" w:ascii="仿宋" w:hAnsi="仿宋" w:eastAsia="仿宋"/>
          <w:kern w:val="20"/>
          <w:sz w:val="28"/>
          <w:szCs w:val="28"/>
          <w:u w:val="single"/>
        </w:rPr>
        <w:t>1000</w:t>
      </w:r>
      <w:r>
        <w:rPr>
          <w:rFonts w:hint="eastAsia" w:ascii="仿宋" w:hAnsi="仿宋" w:eastAsia="仿宋"/>
          <w:kern w:val="20"/>
          <w:sz w:val="28"/>
          <w:szCs w:val="28"/>
        </w:rPr>
        <w:t>元/次，监理单位或甲方有权责令乙方局部或全部停工整顿，工期不予顺延，由此对甲方造成损失的由乙方按实际情况进行赔偿。</w:t>
      </w:r>
    </w:p>
    <w:p w14:paraId="1D818F7A">
      <w:pPr>
        <w:numPr>
          <w:ilvl w:val="0"/>
          <w:numId w:val="1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一般违约责任。乙方违反本合同的约定须承担一般违约责任时，必须向甲方交纳违约金人民币</w:t>
      </w:r>
      <w:r>
        <w:rPr>
          <w:rFonts w:hint="eastAsia" w:ascii="仿宋" w:hAnsi="仿宋" w:eastAsia="仿宋"/>
          <w:kern w:val="20"/>
          <w:sz w:val="28"/>
          <w:szCs w:val="28"/>
          <w:u w:val="single"/>
        </w:rPr>
        <w:t>2000</w:t>
      </w:r>
      <w:r>
        <w:rPr>
          <w:rFonts w:hint="eastAsia" w:ascii="仿宋" w:hAnsi="仿宋" w:eastAsia="仿宋"/>
          <w:kern w:val="20"/>
          <w:sz w:val="28"/>
          <w:szCs w:val="28"/>
        </w:rPr>
        <w:t>元；若乙方第2次承担一般违约责任时，必须向甲方交纳违约金人民币</w:t>
      </w:r>
      <w:r>
        <w:rPr>
          <w:rFonts w:ascii="仿宋" w:hAnsi="仿宋" w:eastAsia="仿宋"/>
          <w:kern w:val="20"/>
          <w:sz w:val="28"/>
          <w:szCs w:val="28"/>
          <w:u w:val="single"/>
        </w:rPr>
        <w:t>5</w:t>
      </w:r>
      <w:r>
        <w:rPr>
          <w:rFonts w:hint="eastAsia" w:ascii="仿宋" w:hAnsi="仿宋" w:eastAsia="仿宋"/>
          <w:kern w:val="20"/>
          <w:sz w:val="28"/>
          <w:szCs w:val="28"/>
          <w:u w:val="single"/>
        </w:rPr>
        <w:t>000</w:t>
      </w:r>
      <w:r>
        <w:rPr>
          <w:rFonts w:hint="eastAsia" w:ascii="仿宋" w:hAnsi="仿宋" w:eastAsia="仿宋"/>
          <w:kern w:val="20"/>
          <w:sz w:val="28"/>
          <w:szCs w:val="28"/>
        </w:rPr>
        <w:t>元；第3次及以后每次均</w:t>
      </w:r>
      <w:r>
        <w:rPr>
          <w:rFonts w:hint="eastAsia" w:ascii="仿宋" w:hAnsi="仿宋" w:eastAsia="仿宋"/>
          <w:kern w:val="20"/>
          <w:sz w:val="28"/>
          <w:szCs w:val="28"/>
          <w:u w:val="single"/>
        </w:rPr>
        <w:t xml:space="preserve">  1 </w:t>
      </w:r>
      <w:r>
        <w:rPr>
          <w:rFonts w:hint="eastAsia" w:ascii="仿宋" w:hAnsi="仿宋" w:eastAsia="仿宋"/>
          <w:kern w:val="20"/>
          <w:sz w:val="28"/>
          <w:szCs w:val="28"/>
        </w:rPr>
        <w:t>万元。</w:t>
      </w:r>
    </w:p>
    <w:p w14:paraId="621B9CB9">
      <w:pPr>
        <w:numPr>
          <w:ilvl w:val="0"/>
          <w:numId w:val="1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严重违约责任。乙方违反本合同的约定须承担严重违约责任时，必须向甲方交纳违约金人民币</w:t>
      </w:r>
      <w:r>
        <w:rPr>
          <w:rFonts w:hint="eastAsia" w:ascii="仿宋" w:hAnsi="仿宋" w:eastAsia="仿宋"/>
          <w:kern w:val="20"/>
          <w:sz w:val="28"/>
          <w:szCs w:val="28"/>
          <w:u w:val="single"/>
        </w:rPr>
        <w:t xml:space="preserve">  1 </w:t>
      </w:r>
      <w:r>
        <w:rPr>
          <w:rFonts w:hint="eastAsia" w:ascii="仿宋" w:hAnsi="仿宋" w:eastAsia="仿宋"/>
          <w:kern w:val="20"/>
          <w:sz w:val="28"/>
          <w:szCs w:val="28"/>
        </w:rPr>
        <w:t>万元/次。</w:t>
      </w:r>
    </w:p>
    <w:p w14:paraId="386D7152">
      <w:pPr>
        <w:numPr>
          <w:ilvl w:val="0"/>
          <w:numId w:val="1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发生三次限期改正不到位情况相当于一次一般违约责任；三次一般违约责任相当于一次严重违约责任；累计五次严重违约责任，甲方有权单方部分或全部解除合同。</w:t>
      </w:r>
    </w:p>
    <w:p w14:paraId="4F8A4295">
      <w:pPr>
        <w:numPr>
          <w:ilvl w:val="0"/>
          <w:numId w:val="1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部分解除合同。当乙方违反本合同的约定符合解除部分合同的条件时，甲方有权向乙方发出书面解除部分合同的通知，该通知在送达乙方时部分解除合同即生效。</w:t>
      </w:r>
    </w:p>
    <w:p w14:paraId="18520856">
      <w:pPr>
        <w:numPr>
          <w:ilvl w:val="0"/>
          <w:numId w:val="1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解除合同。当乙方违反本合同的约定符合解除全部合同的条件时，甲方有权向乙方发出书面解除全部合同的通知，该通知在送达乙方时解除合同即生效。</w:t>
      </w:r>
    </w:p>
    <w:p w14:paraId="4B817625">
      <w:pPr>
        <w:numPr>
          <w:ilvl w:val="0"/>
          <w:numId w:val="14"/>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赔偿损失。因乙方原因造成甲方经济损失的，乙方应向甲方赔偿全部损失，包括直接损失和间接损失，但不超过乙方在订立合同时预见或应预见到的因违反合同可能造成的损失。</w:t>
      </w:r>
    </w:p>
    <w:p w14:paraId="10520A7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42.3 根据违约责任条款各项的规定，乙方违约须向甲方支付违约金或赔偿金时，甲方有权从应支付给乙方的工程款中直接抵扣，乙方不得有异议。如在当期工程款无法扣付，或扣除当期工程款会影响工程正常施工时，可直接从履约保证金中扣除。</w:t>
      </w:r>
    </w:p>
    <w:p w14:paraId="29E97799">
      <w:pPr>
        <w:spacing w:line="360" w:lineRule="auto"/>
        <w:ind w:left="426"/>
        <w:rPr>
          <w:rFonts w:ascii="仿宋" w:hAnsi="仿宋" w:eastAsia="仿宋"/>
          <w:kern w:val="20"/>
          <w:sz w:val="28"/>
          <w:szCs w:val="28"/>
        </w:rPr>
      </w:pPr>
      <w:r>
        <w:rPr>
          <w:rFonts w:hint="eastAsia" w:ascii="仿宋" w:hAnsi="仿宋" w:eastAsia="仿宋"/>
          <w:kern w:val="20"/>
          <w:sz w:val="28"/>
          <w:szCs w:val="28"/>
        </w:rPr>
        <w:t>42.4工程质量方面的违约责任</w:t>
      </w:r>
    </w:p>
    <w:p w14:paraId="1408C279">
      <w:pPr>
        <w:numPr>
          <w:ilvl w:val="0"/>
          <w:numId w:val="15"/>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甲方和监理单位按照相关条款的约定抽查乙方的工程材料时，发现所检查的材料与相关条款约定的标准的任何一项不符合时，乙方除必须将该宗材料全部清退出场、对涉及的施工部位返工，由此发生的全部费用乙方自行承担，工期不予顺延，并赔偿由此造成甲方的实际损失外，乙方应当按照该批次材料的价值，按照如下方式承担违约责任：</w:t>
      </w:r>
    </w:p>
    <w:p w14:paraId="4AE3EDF5">
      <w:pPr>
        <w:numPr>
          <w:ilvl w:val="0"/>
          <w:numId w:val="16"/>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单宗或批次材料价值在</w:t>
      </w:r>
      <w:r>
        <w:rPr>
          <w:rFonts w:hint="eastAsia" w:ascii="仿宋" w:hAnsi="仿宋" w:eastAsia="仿宋"/>
          <w:kern w:val="20"/>
          <w:sz w:val="28"/>
          <w:szCs w:val="28"/>
          <w:u w:val="single"/>
        </w:rPr>
        <w:t xml:space="preserve"> 1 </w:t>
      </w:r>
      <w:r>
        <w:rPr>
          <w:rFonts w:hint="eastAsia" w:ascii="仿宋" w:hAnsi="仿宋" w:eastAsia="仿宋"/>
          <w:kern w:val="20"/>
          <w:sz w:val="28"/>
          <w:szCs w:val="28"/>
        </w:rPr>
        <w:t>万元以上</w:t>
      </w:r>
      <w:r>
        <w:rPr>
          <w:rFonts w:hint="eastAsia" w:ascii="仿宋" w:hAnsi="仿宋" w:eastAsia="仿宋"/>
          <w:kern w:val="20"/>
          <w:sz w:val="28"/>
          <w:szCs w:val="28"/>
          <w:u w:val="single"/>
        </w:rPr>
        <w:t xml:space="preserve">  10 </w:t>
      </w:r>
      <w:r>
        <w:rPr>
          <w:rFonts w:hint="eastAsia" w:ascii="仿宋" w:hAnsi="仿宋" w:eastAsia="仿宋"/>
          <w:kern w:val="20"/>
          <w:sz w:val="28"/>
          <w:szCs w:val="28"/>
        </w:rPr>
        <w:t>万元以下（含</w:t>
      </w:r>
      <w:r>
        <w:rPr>
          <w:rFonts w:hint="eastAsia" w:ascii="仿宋" w:hAnsi="仿宋" w:eastAsia="仿宋"/>
          <w:kern w:val="20"/>
          <w:sz w:val="28"/>
          <w:szCs w:val="28"/>
          <w:u w:val="single"/>
        </w:rPr>
        <w:t xml:space="preserve">   10</w:t>
      </w:r>
      <w:r>
        <w:rPr>
          <w:rFonts w:hint="eastAsia" w:ascii="仿宋" w:hAnsi="仿宋" w:eastAsia="仿宋"/>
          <w:kern w:val="20"/>
          <w:sz w:val="28"/>
          <w:szCs w:val="28"/>
        </w:rPr>
        <w:t>万元），乙方承担</w:t>
      </w:r>
      <w:r>
        <w:rPr>
          <w:rFonts w:hint="eastAsia" w:ascii="仿宋" w:hAnsi="仿宋" w:eastAsia="仿宋"/>
          <w:kern w:val="20"/>
          <w:sz w:val="28"/>
          <w:szCs w:val="28"/>
          <w:u w:val="single"/>
        </w:rPr>
        <w:t xml:space="preserve"> 1 </w:t>
      </w:r>
      <w:r>
        <w:rPr>
          <w:rFonts w:hint="eastAsia" w:ascii="仿宋" w:hAnsi="仿宋" w:eastAsia="仿宋"/>
          <w:kern w:val="20"/>
          <w:sz w:val="28"/>
          <w:szCs w:val="28"/>
        </w:rPr>
        <w:t>次一般违约责任。</w:t>
      </w:r>
    </w:p>
    <w:p w14:paraId="72DA5AC8">
      <w:pPr>
        <w:numPr>
          <w:ilvl w:val="0"/>
          <w:numId w:val="16"/>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单宗或批次材料价值</w:t>
      </w:r>
      <w:r>
        <w:rPr>
          <w:rFonts w:hint="eastAsia" w:ascii="仿宋" w:hAnsi="仿宋" w:eastAsia="仿宋"/>
          <w:kern w:val="20"/>
          <w:sz w:val="28"/>
          <w:szCs w:val="28"/>
          <w:u w:val="single"/>
        </w:rPr>
        <w:t xml:space="preserve"> 10万-50  </w:t>
      </w:r>
      <w:r>
        <w:rPr>
          <w:rFonts w:hint="eastAsia" w:ascii="仿宋" w:hAnsi="仿宋" w:eastAsia="仿宋"/>
          <w:kern w:val="20"/>
          <w:sz w:val="28"/>
          <w:szCs w:val="28"/>
        </w:rPr>
        <w:t>万元（含</w:t>
      </w:r>
      <w:r>
        <w:rPr>
          <w:rFonts w:hint="eastAsia" w:ascii="仿宋" w:hAnsi="仿宋" w:eastAsia="仿宋"/>
          <w:kern w:val="20"/>
          <w:sz w:val="28"/>
          <w:szCs w:val="28"/>
          <w:u w:val="single"/>
        </w:rPr>
        <w:t xml:space="preserve">  50 </w:t>
      </w:r>
      <w:r>
        <w:rPr>
          <w:rFonts w:hint="eastAsia" w:ascii="仿宋" w:hAnsi="仿宋" w:eastAsia="仿宋"/>
          <w:kern w:val="20"/>
          <w:sz w:val="28"/>
          <w:szCs w:val="28"/>
        </w:rPr>
        <w:t>万元），乙方承担</w:t>
      </w:r>
      <w:r>
        <w:rPr>
          <w:rFonts w:hint="eastAsia" w:ascii="仿宋" w:hAnsi="仿宋" w:eastAsia="仿宋"/>
          <w:kern w:val="20"/>
          <w:sz w:val="28"/>
          <w:szCs w:val="28"/>
          <w:u w:val="single"/>
        </w:rPr>
        <w:t xml:space="preserve"> 1 </w:t>
      </w:r>
      <w:r>
        <w:rPr>
          <w:rFonts w:hint="eastAsia" w:ascii="仿宋" w:hAnsi="仿宋" w:eastAsia="仿宋"/>
          <w:kern w:val="20"/>
          <w:sz w:val="28"/>
          <w:szCs w:val="28"/>
        </w:rPr>
        <w:t>次严重违约责任。</w:t>
      </w:r>
    </w:p>
    <w:p w14:paraId="0968A437">
      <w:pPr>
        <w:numPr>
          <w:ilvl w:val="0"/>
          <w:numId w:val="16"/>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单宗或批次材料价值在</w:t>
      </w:r>
      <w:r>
        <w:rPr>
          <w:rFonts w:hint="eastAsia" w:ascii="仿宋" w:hAnsi="仿宋" w:eastAsia="仿宋"/>
          <w:kern w:val="20"/>
          <w:sz w:val="28"/>
          <w:szCs w:val="28"/>
          <w:u w:val="single"/>
        </w:rPr>
        <w:t xml:space="preserve"> 50  </w:t>
      </w:r>
      <w:r>
        <w:rPr>
          <w:rFonts w:hint="eastAsia" w:ascii="仿宋" w:hAnsi="仿宋" w:eastAsia="仿宋"/>
          <w:kern w:val="20"/>
          <w:sz w:val="28"/>
          <w:szCs w:val="28"/>
        </w:rPr>
        <w:t xml:space="preserve"> 万元以上的，甲方有权部分解除合同或解除合同，并要求乙方赔偿甲方由此遭受的实际损失。</w:t>
      </w:r>
    </w:p>
    <w:p w14:paraId="38DA4FF4">
      <w:pPr>
        <w:numPr>
          <w:ilvl w:val="0"/>
          <w:numId w:val="16"/>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对于单宗或批次材料价值不高于</w:t>
      </w:r>
      <w:r>
        <w:rPr>
          <w:rFonts w:hint="eastAsia" w:ascii="仿宋" w:hAnsi="仿宋" w:eastAsia="仿宋"/>
          <w:kern w:val="20"/>
          <w:sz w:val="28"/>
          <w:szCs w:val="28"/>
          <w:u w:val="single"/>
        </w:rPr>
        <w:t xml:space="preserve">  1 </w:t>
      </w:r>
      <w:r>
        <w:rPr>
          <w:rFonts w:hint="eastAsia" w:ascii="仿宋" w:hAnsi="仿宋" w:eastAsia="仿宋"/>
          <w:kern w:val="20"/>
          <w:sz w:val="28"/>
          <w:szCs w:val="28"/>
        </w:rPr>
        <w:t>万元的（含</w:t>
      </w:r>
      <w:r>
        <w:rPr>
          <w:rFonts w:hint="eastAsia" w:ascii="仿宋" w:hAnsi="仿宋" w:eastAsia="仿宋"/>
          <w:kern w:val="20"/>
          <w:sz w:val="28"/>
          <w:szCs w:val="28"/>
          <w:u w:val="single"/>
        </w:rPr>
        <w:t xml:space="preserve"> 1 </w:t>
      </w:r>
      <w:r>
        <w:rPr>
          <w:rFonts w:hint="eastAsia" w:ascii="仿宋" w:hAnsi="仿宋" w:eastAsia="仿宋"/>
          <w:kern w:val="20"/>
          <w:sz w:val="28"/>
          <w:szCs w:val="28"/>
        </w:rPr>
        <w:t>万元），但累计抽检不合格达</w:t>
      </w:r>
      <w:r>
        <w:rPr>
          <w:rFonts w:hint="eastAsia" w:ascii="仿宋" w:hAnsi="仿宋" w:eastAsia="仿宋"/>
          <w:kern w:val="20"/>
          <w:sz w:val="28"/>
          <w:szCs w:val="28"/>
          <w:u w:val="single"/>
        </w:rPr>
        <w:t xml:space="preserve">  3 </w:t>
      </w:r>
      <w:r>
        <w:rPr>
          <w:rFonts w:hint="eastAsia" w:ascii="仿宋" w:hAnsi="仿宋" w:eastAsia="仿宋"/>
          <w:kern w:val="20"/>
          <w:sz w:val="28"/>
          <w:szCs w:val="28"/>
        </w:rPr>
        <w:t>次，乙方承担</w:t>
      </w:r>
      <w:r>
        <w:rPr>
          <w:rFonts w:hint="eastAsia" w:ascii="仿宋" w:hAnsi="仿宋" w:eastAsia="仿宋"/>
          <w:kern w:val="20"/>
          <w:sz w:val="28"/>
          <w:szCs w:val="28"/>
          <w:u w:val="single"/>
        </w:rPr>
        <w:t xml:space="preserve">  1 </w:t>
      </w:r>
      <w:r>
        <w:rPr>
          <w:rFonts w:hint="eastAsia" w:ascii="仿宋" w:hAnsi="仿宋" w:eastAsia="仿宋"/>
          <w:kern w:val="20"/>
          <w:sz w:val="28"/>
          <w:szCs w:val="28"/>
        </w:rPr>
        <w:t>次一般违约责任。</w:t>
      </w:r>
    </w:p>
    <w:p w14:paraId="01EA71FC">
      <w:pPr>
        <w:numPr>
          <w:ilvl w:val="0"/>
          <w:numId w:val="15"/>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按相关条款的约定，需全面做好施工质量管理工作。监理单位或甲方日常检查中在质量控制点、工序、检验批、分项工程等施工过程实施时发现的任何质量隐患或不合格问题，乙方必须对隐患或不合格部分进行限期整改或返工，后经检查合格才准进入下一工序，乙方原因引起的整改或返工全部费用乙方自理，工期不予顺延；复检仍不合格，承担一次限期改正不到位违约责任。乙方不及时报验或报验需提交的相关内业资料不全、不真实，上道工序不合格即进入下道工序施工，隐蔽工程未经验收即行隐蔽等情况一经发现，乙方承担一次一般违约责任；发生质量事故按严重违约责任执行。根据质量事故的严重程度，甲方有权部分解除合同，将该部分工程另行发包，并不免除乙方应承担的违约赔偿责任。</w:t>
      </w:r>
    </w:p>
    <w:p w14:paraId="31233B1C">
      <w:pPr>
        <w:numPr>
          <w:ilvl w:val="0"/>
          <w:numId w:val="15"/>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 xml:space="preserve"> 工程保修期内发现重大质量不合格问题（该重大质量问题应界定为达不到要求的质量标准，属质量保修的问题除外），乙方必须在规定的期限返工并达到合同约定的质量等级，并按该不合格项目所处分项工程造价</w:t>
      </w:r>
      <w:r>
        <w:rPr>
          <w:rFonts w:hint="eastAsia" w:ascii="仿宋" w:hAnsi="仿宋" w:eastAsia="仿宋"/>
          <w:kern w:val="20"/>
          <w:sz w:val="28"/>
          <w:szCs w:val="28"/>
          <w:u w:val="single"/>
        </w:rPr>
        <w:t xml:space="preserve">  5 </w:t>
      </w:r>
      <w:r>
        <w:rPr>
          <w:rFonts w:hint="eastAsia" w:ascii="仿宋" w:hAnsi="仿宋" w:eastAsia="仿宋"/>
          <w:kern w:val="20"/>
          <w:sz w:val="28"/>
          <w:szCs w:val="28"/>
        </w:rPr>
        <w:t>%计算向甲方承担支付违约金的责任。</w:t>
      </w:r>
    </w:p>
    <w:p w14:paraId="2013517D">
      <w:pPr>
        <w:spacing w:line="360" w:lineRule="auto"/>
        <w:ind w:left="426"/>
        <w:rPr>
          <w:rFonts w:ascii="仿宋" w:hAnsi="仿宋" w:eastAsia="仿宋"/>
          <w:kern w:val="20"/>
          <w:sz w:val="28"/>
          <w:szCs w:val="28"/>
        </w:rPr>
      </w:pPr>
      <w:r>
        <w:rPr>
          <w:rFonts w:hint="eastAsia" w:ascii="仿宋" w:hAnsi="仿宋" w:eastAsia="仿宋"/>
          <w:kern w:val="20"/>
          <w:sz w:val="28"/>
          <w:szCs w:val="28"/>
        </w:rPr>
        <w:t>42.5安全生产方面的违约责任</w:t>
      </w:r>
    </w:p>
    <w:p w14:paraId="3C70A4DD">
      <w:pPr>
        <w:numPr>
          <w:ilvl w:val="0"/>
          <w:numId w:val="17"/>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乙方在政府行政主管部门组织的质量安全检查中，被发现存在严重的安全隐患，被通报批评，或被新闻媒体曝光造成不良影响的，被通报或被曝光</w:t>
      </w:r>
      <w:r>
        <w:rPr>
          <w:rFonts w:hint="eastAsia" w:ascii="仿宋" w:hAnsi="仿宋" w:eastAsia="仿宋"/>
          <w:kern w:val="20"/>
          <w:sz w:val="28"/>
          <w:szCs w:val="28"/>
          <w:u w:val="single"/>
        </w:rPr>
        <w:t xml:space="preserve"> 1 </w:t>
      </w:r>
      <w:r>
        <w:rPr>
          <w:rFonts w:hint="eastAsia" w:ascii="仿宋" w:hAnsi="仿宋" w:eastAsia="仿宋"/>
          <w:kern w:val="20"/>
          <w:sz w:val="28"/>
          <w:szCs w:val="28"/>
        </w:rPr>
        <w:t>次，乙方必须承担严重违约责任；造成严重社会影响或累计被通报或被曝光</w:t>
      </w:r>
      <w:r>
        <w:rPr>
          <w:rFonts w:hint="eastAsia" w:ascii="仿宋" w:hAnsi="仿宋" w:eastAsia="仿宋"/>
          <w:kern w:val="20"/>
          <w:sz w:val="28"/>
          <w:szCs w:val="28"/>
          <w:u w:val="single"/>
        </w:rPr>
        <w:t xml:space="preserve"> 2 </w:t>
      </w:r>
      <w:r>
        <w:rPr>
          <w:rFonts w:hint="eastAsia" w:ascii="仿宋" w:hAnsi="仿宋" w:eastAsia="仿宋"/>
          <w:kern w:val="20"/>
          <w:sz w:val="28"/>
          <w:szCs w:val="28"/>
        </w:rPr>
        <w:t>次以上（含</w:t>
      </w:r>
      <w:r>
        <w:rPr>
          <w:rFonts w:hint="eastAsia" w:ascii="仿宋" w:hAnsi="仿宋" w:eastAsia="仿宋"/>
          <w:kern w:val="20"/>
          <w:sz w:val="28"/>
          <w:szCs w:val="28"/>
          <w:u w:val="single"/>
        </w:rPr>
        <w:t xml:space="preserve"> 2 </w:t>
      </w:r>
      <w:r>
        <w:rPr>
          <w:rFonts w:hint="eastAsia" w:ascii="仿宋" w:hAnsi="仿宋" w:eastAsia="仿宋"/>
          <w:kern w:val="20"/>
          <w:sz w:val="28"/>
          <w:szCs w:val="28"/>
        </w:rPr>
        <w:t>次）的，甲方有权解除合同，将本工程另行发包，并不免除乙方应承担的违约赔偿责任。</w:t>
      </w:r>
    </w:p>
    <w:p w14:paraId="5BCE4084">
      <w:pPr>
        <w:numPr>
          <w:ilvl w:val="0"/>
          <w:numId w:val="17"/>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乙方在甲方、监理单位进行的日常质量安全检查中，被发现存在安全隐患的，乙方应限期改正。复查仍未改正或同类隐患多次发生，甲方、监理单位有权对乙方按第一次</w:t>
      </w:r>
      <w:r>
        <w:rPr>
          <w:rFonts w:hint="eastAsia" w:ascii="仿宋" w:hAnsi="仿宋" w:eastAsia="仿宋"/>
          <w:kern w:val="20"/>
          <w:sz w:val="28"/>
          <w:szCs w:val="28"/>
          <w:u w:val="single"/>
        </w:rPr>
        <w:t xml:space="preserve"> 1000</w:t>
      </w:r>
      <w:r>
        <w:rPr>
          <w:rFonts w:hint="eastAsia" w:ascii="仿宋" w:hAnsi="仿宋" w:eastAsia="仿宋"/>
          <w:kern w:val="20"/>
          <w:sz w:val="28"/>
          <w:szCs w:val="28"/>
        </w:rPr>
        <w:t>元以后每次递增1000元进行处罚；此类问题的认定，以甲方、监理单位书面通知、指令、通报和会议纪要为准。</w:t>
      </w:r>
    </w:p>
    <w:p w14:paraId="7679A559">
      <w:pPr>
        <w:numPr>
          <w:ilvl w:val="0"/>
          <w:numId w:val="17"/>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乙方因自身原因造成的重大安全事故（含工程质量事故）的，除按国家规定由行政主管部门处罚外，乙方必须依照下列约定承担违约责任：</w:t>
      </w:r>
    </w:p>
    <w:p w14:paraId="1BC567DB">
      <w:pPr>
        <w:numPr>
          <w:ilvl w:val="0"/>
          <w:numId w:val="18"/>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发生特别重大生产安全事故，乙方按事故所处分项工程总价</w:t>
      </w:r>
      <w:r>
        <w:rPr>
          <w:rFonts w:hint="eastAsia" w:ascii="仿宋" w:hAnsi="仿宋" w:eastAsia="仿宋"/>
          <w:kern w:val="20"/>
          <w:sz w:val="28"/>
          <w:szCs w:val="28"/>
          <w:u w:val="single"/>
        </w:rPr>
        <w:t xml:space="preserve"> 6  </w:t>
      </w:r>
      <w:r>
        <w:rPr>
          <w:rFonts w:hint="eastAsia" w:ascii="仿宋" w:hAnsi="仿宋" w:eastAsia="仿宋"/>
          <w:kern w:val="20"/>
          <w:sz w:val="28"/>
          <w:szCs w:val="28"/>
        </w:rPr>
        <w:t>%，向甲方支付违约金，违约金的数额不得低于</w:t>
      </w:r>
      <w:r>
        <w:rPr>
          <w:rFonts w:hint="eastAsia" w:ascii="仿宋" w:hAnsi="仿宋" w:eastAsia="仿宋"/>
          <w:kern w:val="20"/>
          <w:sz w:val="28"/>
          <w:szCs w:val="28"/>
          <w:u w:val="single"/>
        </w:rPr>
        <w:t xml:space="preserve"> 100 </w:t>
      </w:r>
      <w:r>
        <w:rPr>
          <w:rFonts w:hint="eastAsia" w:ascii="仿宋" w:hAnsi="仿宋" w:eastAsia="仿宋"/>
          <w:kern w:val="20"/>
          <w:sz w:val="28"/>
          <w:szCs w:val="28"/>
        </w:rPr>
        <w:t xml:space="preserve"> 万元；</w:t>
      </w:r>
    </w:p>
    <w:p w14:paraId="67CBAF1A">
      <w:pPr>
        <w:numPr>
          <w:ilvl w:val="0"/>
          <w:numId w:val="18"/>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发生特大生产安全事故，乙方按事故所处分项工程总价</w:t>
      </w:r>
      <w:r>
        <w:rPr>
          <w:rFonts w:hint="eastAsia" w:ascii="仿宋" w:hAnsi="仿宋" w:eastAsia="仿宋"/>
          <w:kern w:val="20"/>
          <w:sz w:val="28"/>
          <w:szCs w:val="28"/>
          <w:u w:val="single"/>
        </w:rPr>
        <w:t xml:space="preserve"> 4 </w:t>
      </w:r>
      <w:r>
        <w:rPr>
          <w:rFonts w:hint="eastAsia" w:ascii="仿宋" w:hAnsi="仿宋" w:eastAsia="仿宋"/>
          <w:kern w:val="20"/>
          <w:sz w:val="28"/>
          <w:szCs w:val="28"/>
        </w:rPr>
        <w:t>%，向甲方支付违约金，违约金的数额不得低于</w:t>
      </w:r>
      <w:r>
        <w:rPr>
          <w:rFonts w:hint="eastAsia" w:ascii="仿宋" w:hAnsi="仿宋" w:eastAsia="仿宋"/>
          <w:kern w:val="20"/>
          <w:sz w:val="28"/>
          <w:szCs w:val="28"/>
          <w:u w:val="single"/>
        </w:rPr>
        <w:t xml:space="preserve"> 70 </w:t>
      </w:r>
      <w:r>
        <w:rPr>
          <w:rFonts w:hint="eastAsia" w:ascii="仿宋" w:hAnsi="仿宋" w:eastAsia="仿宋"/>
          <w:kern w:val="20"/>
          <w:sz w:val="28"/>
          <w:szCs w:val="28"/>
        </w:rPr>
        <w:t>万元；</w:t>
      </w:r>
    </w:p>
    <w:p w14:paraId="4C100B5B">
      <w:pPr>
        <w:numPr>
          <w:ilvl w:val="0"/>
          <w:numId w:val="18"/>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发生重大生产安全事故，乙方按事故所处分项工程总价</w:t>
      </w:r>
      <w:r>
        <w:rPr>
          <w:rFonts w:hint="eastAsia" w:ascii="仿宋" w:hAnsi="仿宋" w:eastAsia="仿宋"/>
          <w:kern w:val="20"/>
          <w:sz w:val="28"/>
          <w:szCs w:val="28"/>
          <w:u w:val="single"/>
        </w:rPr>
        <w:t xml:space="preserve"> 2 </w:t>
      </w:r>
      <w:r>
        <w:rPr>
          <w:rFonts w:hint="eastAsia" w:ascii="仿宋" w:hAnsi="仿宋" w:eastAsia="仿宋"/>
          <w:kern w:val="20"/>
          <w:sz w:val="28"/>
          <w:szCs w:val="28"/>
        </w:rPr>
        <w:t>%，向甲方支付违约金，违约金数额不得低于</w:t>
      </w:r>
      <w:r>
        <w:rPr>
          <w:rFonts w:hint="eastAsia" w:ascii="仿宋" w:hAnsi="仿宋" w:eastAsia="仿宋"/>
          <w:kern w:val="20"/>
          <w:sz w:val="28"/>
          <w:szCs w:val="28"/>
          <w:u w:val="single"/>
        </w:rPr>
        <w:t xml:space="preserve"> 35 </w:t>
      </w:r>
      <w:r>
        <w:rPr>
          <w:rFonts w:hint="eastAsia" w:ascii="仿宋" w:hAnsi="仿宋" w:eastAsia="仿宋"/>
          <w:kern w:val="20"/>
          <w:sz w:val="28"/>
          <w:szCs w:val="28"/>
        </w:rPr>
        <w:t>万元；</w:t>
      </w:r>
    </w:p>
    <w:p w14:paraId="5FA2737A">
      <w:pPr>
        <w:numPr>
          <w:ilvl w:val="0"/>
          <w:numId w:val="18"/>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发生一般生产安全事故，乙方按事故所处分项工程总价</w:t>
      </w:r>
      <w:r>
        <w:rPr>
          <w:rFonts w:hint="eastAsia" w:ascii="仿宋" w:hAnsi="仿宋" w:eastAsia="仿宋"/>
          <w:kern w:val="20"/>
          <w:sz w:val="28"/>
          <w:szCs w:val="28"/>
          <w:u w:val="single"/>
        </w:rPr>
        <w:t xml:space="preserve"> 1 </w:t>
      </w:r>
      <w:r>
        <w:rPr>
          <w:rFonts w:hint="eastAsia" w:ascii="仿宋" w:hAnsi="仿宋" w:eastAsia="仿宋"/>
          <w:kern w:val="20"/>
          <w:sz w:val="28"/>
          <w:szCs w:val="28"/>
        </w:rPr>
        <w:t>%，向甲方支付违约金，违约金数额不得低于</w:t>
      </w:r>
      <w:r>
        <w:rPr>
          <w:rFonts w:hint="eastAsia" w:ascii="仿宋" w:hAnsi="仿宋" w:eastAsia="仿宋"/>
          <w:kern w:val="20"/>
          <w:sz w:val="28"/>
          <w:szCs w:val="28"/>
          <w:u w:val="single"/>
        </w:rPr>
        <w:t xml:space="preserve"> 15 </w:t>
      </w:r>
      <w:r>
        <w:rPr>
          <w:rFonts w:hint="eastAsia" w:ascii="仿宋" w:hAnsi="仿宋" w:eastAsia="仿宋"/>
          <w:kern w:val="20"/>
          <w:sz w:val="28"/>
          <w:szCs w:val="28"/>
        </w:rPr>
        <w:t>万元；</w:t>
      </w:r>
    </w:p>
    <w:p w14:paraId="386B1A1F">
      <w:pPr>
        <w:numPr>
          <w:ilvl w:val="0"/>
          <w:numId w:val="17"/>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发生上述生产安全事故，甲方视情况严重性，有权对乙方做出一般违约责任或以上的处罚，并有权部分或全部解除合同。</w:t>
      </w:r>
    </w:p>
    <w:p w14:paraId="66A2A6AD">
      <w:pPr>
        <w:numPr>
          <w:ilvl w:val="0"/>
          <w:numId w:val="17"/>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乙方依照上述约定支付的违约金后，所支付的违约金不足于弥补甲方损失的，乙方必须据实赔偿。</w:t>
      </w:r>
    </w:p>
    <w:p w14:paraId="6E81F65C">
      <w:pPr>
        <w:spacing w:line="360" w:lineRule="auto"/>
        <w:ind w:left="426"/>
        <w:rPr>
          <w:rFonts w:ascii="仿宋" w:hAnsi="仿宋" w:eastAsia="仿宋"/>
          <w:kern w:val="20"/>
          <w:sz w:val="28"/>
          <w:szCs w:val="28"/>
        </w:rPr>
      </w:pPr>
      <w:r>
        <w:rPr>
          <w:rFonts w:hint="eastAsia" w:ascii="仿宋" w:hAnsi="仿宋" w:eastAsia="仿宋"/>
          <w:kern w:val="20"/>
          <w:sz w:val="28"/>
          <w:szCs w:val="28"/>
        </w:rPr>
        <w:t>42.6文明施工、环境保护方面的违约责任</w:t>
      </w:r>
    </w:p>
    <w:p w14:paraId="7DC9ABEE">
      <w:pPr>
        <w:numPr>
          <w:ilvl w:val="0"/>
          <w:numId w:val="19"/>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甲方、监理单位按照本合同条款及相关承诺书条款的约定，对乙方文明施工措施进行对照检查。经检查发现乙方因自身原因未能落实或落实不到位的，甲方、监理单位责令乙方限期改正；如到期未改正或仍不符合相关要求，乙方须承担一次限期改正不到位违约责任。</w:t>
      </w:r>
    </w:p>
    <w:p w14:paraId="7996269A">
      <w:pPr>
        <w:numPr>
          <w:ilvl w:val="0"/>
          <w:numId w:val="19"/>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在政府行政主管部门的检查中，乙方施工场地被评为不合格工地的，或者被通报批评的，或者被新闻媒体曝光的，乙方必须承担严重违约责任，并立即采取切实有效措施予以整改；拒不采取切实有效的措施整改的，或整改效果不明显的，甲方有权部分或全部解除合同，并要求乙方赔偿由此造成的损失。</w:t>
      </w:r>
    </w:p>
    <w:p w14:paraId="58575B1C">
      <w:pPr>
        <w:numPr>
          <w:ilvl w:val="0"/>
          <w:numId w:val="19"/>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乙方在施工过程中因其自身原因造成周围环境卫生状况较差，被其他施工单位或周围居民投诉的，乙方必须在当天内整改。若故意拖延导致同样问题被投诉多次，经查实，甲方对乙方按</w:t>
      </w:r>
      <w:r>
        <w:rPr>
          <w:rFonts w:hint="eastAsia" w:ascii="仿宋" w:hAnsi="仿宋" w:eastAsia="仿宋"/>
          <w:kern w:val="20"/>
          <w:sz w:val="28"/>
          <w:szCs w:val="28"/>
          <w:u w:val="single"/>
        </w:rPr>
        <w:t xml:space="preserve"> 1000  </w:t>
      </w:r>
      <w:r>
        <w:rPr>
          <w:rFonts w:hint="eastAsia" w:ascii="仿宋" w:hAnsi="仿宋" w:eastAsia="仿宋"/>
          <w:kern w:val="20"/>
          <w:sz w:val="28"/>
          <w:szCs w:val="28"/>
        </w:rPr>
        <w:t>元/次进行处罚，造成经济损失的由乙方按实际损失情况进行赔偿。</w:t>
      </w:r>
    </w:p>
    <w:p w14:paraId="1A359997">
      <w:pPr>
        <w:spacing w:line="360" w:lineRule="auto"/>
        <w:ind w:left="426"/>
        <w:rPr>
          <w:rFonts w:ascii="仿宋" w:hAnsi="仿宋" w:eastAsia="仿宋"/>
          <w:kern w:val="20"/>
          <w:sz w:val="28"/>
          <w:szCs w:val="28"/>
        </w:rPr>
      </w:pPr>
      <w:r>
        <w:rPr>
          <w:rFonts w:hint="eastAsia" w:ascii="仿宋" w:hAnsi="仿宋" w:eastAsia="仿宋"/>
          <w:kern w:val="20"/>
          <w:sz w:val="28"/>
          <w:szCs w:val="28"/>
        </w:rPr>
        <w:t>42.7工程分包、转包方面的违约责任</w:t>
      </w:r>
    </w:p>
    <w:p w14:paraId="1FD2D4CA">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乙方未经甲方同意擅自分包工程或者转包工程，每发现一次，除限期改正其违法行为外，乙方还须向甲方支付本合同最终竣工结算额的1%作为违约金，同时，甲方针对上述违约行为有权单方部分解除合同或全部解除合同，由此而造成的经济损失由乙方负责赔偿。</w:t>
      </w:r>
    </w:p>
    <w:p w14:paraId="1B5783B8">
      <w:pPr>
        <w:spacing w:line="360" w:lineRule="auto"/>
        <w:ind w:left="426"/>
        <w:rPr>
          <w:rFonts w:ascii="仿宋" w:hAnsi="仿宋" w:eastAsia="仿宋"/>
          <w:kern w:val="20"/>
          <w:sz w:val="28"/>
          <w:szCs w:val="28"/>
        </w:rPr>
      </w:pPr>
      <w:r>
        <w:rPr>
          <w:rFonts w:hint="eastAsia" w:ascii="仿宋" w:hAnsi="仿宋" w:eastAsia="仿宋"/>
          <w:kern w:val="20"/>
          <w:sz w:val="28"/>
          <w:szCs w:val="28"/>
        </w:rPr>
        <w:t>42.8人员和设备投入不到位的违约责任</w:t>
      </w:r>
    </w:p>
    <w:p w14:paraId="0803288A">
      <w:pPr>
        <w:numPr>
          <w:ilvl w:val="1"/>
          <w:numId w:val="20"/>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未按投标文件及合同约定及相关承诺书要求对本工程投入人员和设备的，每发现一例，乙方必须按照监理单位或者甲方的指令限期改正，并按《违约罚款承诺表》承担违约责任；乙方拒不改正的，甲方有权部分或全部解除合同。</w:t>
      </w:r>
    </w:p>
    <w:p w14:paraId="5181E92D">
      <w:pPr>
        <w:numPr>
          <w:ilvl w:val="1"/>
          <w:numId w:val="20"/>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必须服从甲方、监理单位管理，主动支持甲方、监理单位的工作，对甲方、监理单位的指令，若无正当理由而公开或变相拒不执行的，甲方、监理单位视情节严重程度有权给予乙方限期改正不到位违约责任或以上的违约责任处罚，并承担由此造成的一切经济损失。</w:t>
      </w:r>
    </w:p>
    <w:p w14:paraId="64133937">
      <w:pPr>
        <w:numPr>
          <w:ilvl w:val="1"/>
          <w:numId w:val="20"/>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乙方的项目经理或技术负责人必须按甲方或监理单位的要求参加监理单位或甲方主持的工程例会和专题会议。除获得监理单位或甲方批准外，每缺席</w:t>
      </w:r>
      <w:r>
        <w:rPr>
          <w:rFonts w:hint="eastAsia" w:ascii="仿宋" w:hAnsi="仿宋" w:eastAsia="仿宋"/>
          <w:kern w:val="20"/>
          <w:sz w:val="28"/>
          <w:szCs w:val="28"/>
          <w:u w:val="single"/>
        </w:rPr>
        <w:t xml:space="preserve">  1 </w:t>
      </w:r>
      <w:r>
        <w:rPr>
          <w:rFonts w:hint="eastAsia" w:ascii="仿宋" w:hAnsi="仿宋" w:eastAsia="仿宋"/>
          <w:kern w:val="20"/>
          <w:sz w:val="28"/>
          <w:szCs w:val="28"/>
        </w:rPr>
        <w:t xml:space="preserve"> 次，乙方须承担</w:t>
      </w:r>
      <w:r>
        <w:rPr>
          <w:rFonts w:hint="eastAsia" w:ascii="仿宋" w:hAnsi="仿宋" w:eastAsia="仿宋"/>
          <w:kern w:val="20"/>
          <w:sz w:val="28"/>
          <w:szCs w:val="28"/>
          <w:u w:val="single"/>
        </w:rPr>
        <w:t xml:space="preserve">  5000</w:t>
      </w:r>
      <w:r>
        <w:rPr>
          <w:rFonts w:hint="eastAsia" w:ascii="仿宋" w:hAnsi="仿宋" w:eastAsia="仿宋"/>
          <w:kern w:val="20"/>
          <w:sz w:val="28"/>
          <w:szCs w:val="28"/>
        </w:rPr>
        <w:t>元/次违约金。</w:t>
      </w:r>
    </w:p>
    <w:p w14:paraId="5C1E3EB9">
      <w:pPr>
        <w:spacing w:line="360" w:lineRule="auto"/>
        <w:ind w:left="426"/>
        <w:rPr>
          <w:rFonts w:ascii="仿宋" w:hAnsi="仿宋" w:eastAsia="仿宋"/>
          <w:kern w:val="20"/>
          <w:sz w:val="28"/>
          <w:szCs w:val="28"/>
        </w:rPr>
      </w:pPr>
      <w:r>
        <w:rPr>
          <w:rFonts w:hint="eastAsia" w:ascii="仿宋" w:hAnsi="仿宋" w:eastAsia="仿宋"/>
          <w:kern w:val="20"/>
          <w:sz w:val="28"/>
          <w:szCs w:val="28"/>
        </w:rPr>
        <w:t>42.9民工工资支付方面的违约责任</w:t>
      </w:r>
    </w:p>
    <w:p w14:paraId="3DF4B3E3">
      <w:pPr>
        <w:numPr>
          <w:ilvl w:val="0"/>
          <w:numId w:val="21"/>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乙方违反工程所在地劳动部门有关民工工资支付的规定，被民工投诉属实的，乙方必须在</w:t>
      </w:r>
      <w:r>
        <w:rPr>
          <w:rFonts w:hint="eastAsia" w:ascii="仿宋" w:hAnsi="仿宋" w:eastAsia="仿宋"/>
          <w:kern w:val="20"/>
          <w:sz w:val="28"/>
          <w:szCs w:val="28"/>
          <w:u w:val="single"/>
        </w:rPr>
        <w:t xml:space="preserve"> 3 </w:t>
      </w:r>
      <w:r>
        <w:rPr>
          <w:rFonts w:hint="eastAsia" w:ascii="仿宋" w:hAnsi="仿宋" w:eastAsia="仿宋"/>
          <w:kern w:val="20"/>
          <w:sz w:val="28"/>
          <w:szCs w:val="28"/>
        </w:rPr>
        <w:t xml:space="preserve"> 天内予以发放拖欠的款项。若继续拖延或被投诉</w:t>
      </w:r>
      <w:r>
        <w:rPr>
          <w:rFonts w:hint="eastAsia" w:ascii="仿宋" w:hAnsi="仿宋" w:eastAsia="仿宋"/>
          <w:kern w:val="20"/>
          <w:sz w:val="28"/>
          <w:szCs w:val="28"/>
          <w:u w:val="single"/>
        </w:rPr>
        <w:t xml:space="preserve"> </w:t>
      </w:r>
      <w:r>
        <w:rPr>
          <w:rFonts w:ascii="仿宋" w:hAnsi="仿宋" w:eastAsia="仿宋"/>
          <w:kern w:val="20"/>
          <w:sz w:val="28"/>
          <w:szCs w:val="28"/>
          <w:u w:val="single"/>
        </w:rPr>
        <w:t>2</w:t>
      </w:r>
      <w:r>
        <w:rPr>
          <w:rFonts w:hint="eastAsia" w:ascii="仿宋" w:hAnsi="仿宋" w:eastAsia="仿宋"/>
          <w:kern w:val="20"/>
          <w:sz w:val="28"/>
          <w:szCs w:val="28"/>
          <w:u w:val="single"/>
        </w:rPr>
        <w:t xml:space="preserve"> </w:t>
      </w:r>
      <w:r>
        <w:rPr>
          <w:rFonts w:hint="eastAsia" w:ascii="仿宋" w:hAnsi="仿宋" w:eastAsia="仿宋"/>
          <w:kern w:val="20"/>
          <w:sz w:val="28"/>
          <w:szCs w:val="28"/>
        </w:rPr>
        <w:t>次及以上，经查实，乙方必须承担严重违约责任</w:t>
      </w:r>
      <w:r>
        <w:rPr>
          <w:rFonts w:hint="eastAsia" w:ascii="仿宋" w:hAnsi="仿宋" w:eastAsia="仿宋"/>
          <w:kern w:val="20"/>
          <w:sz w:val="28"/>
          <w:szCs w:val="28"/>
          <w:u w:val="single"/>
        </w:rPr>
        <w:t xml:space="preserve"> 1 </w:t>
      </w:r>
      <w:r>
        <w:rPr>
          <w:rFonts w:hint="eastAsia" w:ascii="仿宋" w:hAnsi="仿宋" w:eastAsia="仿宋"/>
          <w:kern w:val="20"/>
          <w:sz w:val="28"/>
          <w:szCs w:val="28"/>
        </w:rPr>
        <w:t>次。</w:t>
      </w:r>
    </w:p>
    <w:p w14:paraId="538096D8">
      <w:pPr>
        <w:numPr>
          <w:ilvl w:val="0"/>
          <w:numId w:val="21"/>
        </w:numPr>
        <w:spacing w:line="360" w:lineRule="auto"/>
        <w:ind w:left="0" w:firstLine="560" w:firstLineChars="200"/>
        <w:rPr>
          <w:rFonts w:ascii="仿宋" w:hAnsi="仿宋" w:eastAsia="仿宋"/>
          <w:kern w:val="20"/>
          <w:sz w:val="28"/>
          <w:szCs w:val="28"/>
        </w:rPr>
      </w:pPr>
      <w:r>
        <w:rPr>
          <w:rFonts w:hint="eastAsia" w:ascii="仿宋" w:hAnsi="仿宋" w:eastAsia="仿宋"/>
          <w:kern w:val="20"/>
          <w:sz w:val="28"/>
          <w:szCs w:val="28"/>
        </w:rPr>
        <w:t>若仍然不予整改并发放拖欠的款项，使民工采取停工、集聚围阻甲方办公地点甚至政府办公部门等过激行动的，乙方必须承担严重违约责任，并立即采取切实有效措施予以整改；拒不采取切实有效的措施整改的，或整改效果不明显的，甲方有权部分或全部解除合同，并要求乙方赔偿由此造成的损失。</w:t>
      </w:r>
    </w:p>
    <w:p w14:paraId="0E3A08BF">
      <w:pPr>
        <w:spacing w:before="156" w:beforeLines="50" w:after="156" w:afterLines="50" w:line="360" w:lineRule="auto"/>
        <w:ind w:firstLine="560" w:firstLineChars="200"/>
        <w:rPr>
          <w:rFonts w:ascii="仿宋" w:hAnsi="仿宋" w:eastAsia="仿宋"/>
          <w:sz w:val="28"/>
          <w:szCs w:val="28"/>
        </w:rPr>
      </w:pPr>
      <w:r>
        <w:rPr>
          <w:rFonts w:hint="eastAsia" w:ascii="仿宋" w:hAnsi="仿宋" w:eastAsia="仿宋"/>
          <w:kern w:val="20"/>
          <w:sz w:val="28"/>
          <w:szCs w:val="28"/>
        </w:rPr>
        <w:t>42.10</w:t>
      </w:r>
      <w:r>
        <w:rPr>
          <w:rFonts w:hint="eastAsia" w:ascii="仿宋" w:hAnsi="仿宋" w:eastAsia="仿宋"/>
          <w:sz w:val="28"/>
          <w:szCs w:val="28"/>
        </w:rPr>
        <w:t>在合同执行过程中，若因乙方拖欠农民工工资、拖欠供应商款项等行为导致甲方涉及法律纠纷，法院或仲裁机构最终判决甲方无过错的，每次乙方承担严重违约责任一次。</w:t>
      </w:r>
    </w:p>
    <w:p w14:paraId="4A330C6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42.11除上述约定之外，乙方有违反其他合同义务的，均构成违约，应当承担一般违约责任。</w:t>
      </w:r>
    </w:p>
    <w:p w14:paraId="6C642564">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42.12乙方项目经理部主要管理人员的未按招标文件规定进行更换，除了限期整改外，还要向甲方支付违约金（项目经理每更换一次</w:t>
      </w:r>
      <w:r>
        <w:rPr>
          <w:rFonts w:hint="eastAsia" w:ascii="仿宋" w:hAnsi="仿宋" w:eastAsia="仿宋"/>
          <w:kern w:val="20"/>
          <w:sz w:val="28"/>
          <w:szCs w:val="28"/>
          <w:u w:val="single"/>
        </w:rPr>
        <w:t xml:space="preserve">   20</w:t>
      </w:r>
      <w:r>
        <w:rPr>
          <w:rFonts w:hint="eastAsia" w:ascii="仿宋" w:hAnsi="仿宋" w:eastAsia="仿宋"/>
          <w:kern w:val="20"/>
          <w:sz w:val="28"/>
          <w:szCs w:val="28"/>
        </w:rPr>
        <w:t>万元、副经理及总工</w:t>
      </w:r>
      <w:r>
        <w:rPr>
          <w:rFonts w:hint="eastAsia" w:ascii="仿宋" w:hAnsi="仿宋" w:eastAsia="仿宋"/>
          <w:kern w:val="20"/>
          <w:sz w:val="28"/>
          <w:szCs w:val="28"/>
          <w:u w:val="single"/>
        </w:rPr>
        <w:t xml:space="preserve">  10 </w:t>
      </w:r>
      <w:r>
        <w:rPr>
          <w:rFonts w:hint="eastAsia" w:ascii="仿宋" w:hAnsi="仿宋" w:eastAsia="仿宋"/>
          <w:kern w:val="20"/>
          <w:sz w:val="28"/>
          <w:szCs w:val="28"/>
        </w:rPr>
        <w:t>万元、施工员、安全员等其它主要管理人员</w:t>
      </w:r>
      <w:r>
        <w:rPr>
          <w:rFonts w:ascii="仿宋" w:hAnsi="仿宋" w:eastAsia="仿宋"/>
          <w:kern w:val="20"/>
          <w:sz w:val="28"/>
          <w:szCs w:val="28"/>
          <w:u w:val="single"/>
        </w:rPr>
        <w:t>1</w:t>
      </w:r>
      <w:r>
        <w:rPr>
          <w:rFonts w:hint="eastAsia" w:ascii="仿宋" w:hAnsi="仿宋" w:eastAsia="仿宋"/>
          <w:kern w:val="20"/>
          <w:sz w:val="28"/>
          <w:szCs w:val="28"/>
        </w:rPr>
        <w:t>万元）。</w:t>
      </w:r>
    </w:p>
    <w:p w14:paraId="1F07E6A6">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42.13因乙方或乙方工作人员不当行为导致甲方被行政处罚，每发生一次，乙方承担严重违约责任一次。</w:t>
      </w:r>
    </w:p>
    <w:p w14:paraId="43410435">
      <w:pPr>
        <w:spacing w:line="360" w:lineRule="auto"/>
        <w:ind w:firstLine="560" w:firstLineChars="200"/>
        <w:rPr>
          <w:rFonts w:ascii="仿宋" w:hAnsi="仿宋" w:eastAsia="仿宋"/>
          <w:kern w:val="20"/>
          <w:sz w:val="28"/>
          <w:szCs w:val="28"/>
        </w:rPr>
      </w:pPr>
      <w:r>
        <w:rPr>
          <w:rFonts w:ascii="仿宋" w:hAnsi="仿宋" w:eastAsia="仿宋"/>
          <w:kern w:val="20"/>
          <w:sz w:val="28"/>
          <w:szCs w:val="28"/>
        </w:rPr>
        <w:t>42</w:t>
      </w:r>
      <w:r>
        <w:rPr>
          <w:rFonts w:hint="eastAsia" w:ascii="仿宋" w:hAnsi="仿宋" w:eastAsia="仿宋"/>
          <w:kern w:val="20"/>
          <w:sz w:val="28"/>
          <w:szCs w:val="28"/>
        </w:rPr>
        <w:t>.</w:t>
      </w:r>
      <w:r>
        <w:rPr>
          <w:rFonts w:ascii="仿宋" w:hAnsi="仿宋" w:eastAsia="仿宋"/>
          <w:kern w:val="20"/>
          <w:sz w:val="28"/>
          <w:szCs w:val="28"/>
        </w:rPr>
        <w:t>14</w:t>
      </w:r>
      <w:r>
        <w:rPr>
          <w:rFonts w:hint="eastAsia" w:ascii="仿宋" w:hAnsi="仿宋" w:eastAsia="仿宋"/>
          <w:kern w:val="20"/>
          <w:sz w:val="28"/>
          <w:szCs w:val="28"/>
        </w:rPr>
        <w:t>乙方出现或发生以下行为的，视为乙方根本违约，乙方须向甲方支付合同总价款的</w:t>
      </w:r>
      <w:r>
        <w:rPr>
          <w:rFonts w:ascii="仿宋" w:hAnsi="仿宋" w:eastAsia="仿宋"/>
          <w:kern w:val="20"/>
          <w:sz w:val="28"/>
          <w:szCs w:val="28"/>
        </w:rPr>
        <w:t>5%为</w:t>
      </w:r>
      <w:r>
        <w:rPr>
          <w:rFonts w:hint="eastAsia" w:ascii="仿宋" w:hAnsi="仿宋" w:eastAsia="仿宋"/>
          <w:kern w:val="20"/>
          <w:sz w:val="28"/>
          <w:szCs w:val="28"/>
        </w:rPr>
        <w:t>违约金并赔偿由此给甲方造成的损失。甲方有权单方部分或全部解除本合同：</w:t>
      </w:r>
    </w:p>
    <w:p w14:paraId="53BFD280">
      <w:pPr>
        <w:spacing w:line="360" w:lineRule="auto"/>
        <w:ind w:firstLine="560" w:firstLineChars="200"/>
        <w:rPr>
          <w:rFonts w:ascii="仿宋" w:hAnsi="仿宋" w:eastAsia="仿宋"/>
          <w:kern w:val="20"/>
          <w:sz w:val="28"/>
          <w:szCs w:val="28"/>
        </w:rPr>
      </w:pPr>
      <w:r>
        <w:rPr>
          <w:rFonts w:ascii="仿宋" w:hAnsi="仿宋" w:eastAsia="仿宋"/>
          <w:kern w:val="20"/>
          <w:sz w:val="28"/>
          <w:szCs w:val="28"/>
        </w:rPr>
        <w:t>42</w:t>
      </w:r>
      <w:r>
        <w:rPr>
          <w:rFonts w:hint="eastAsia" w:ascii="仿宋" w:hAnsi="仿宋" w:eastAsia="仿宋"/>
          <w:kern w:val="20"/>
          <w:sz w:val="28"/>
          <w:szCs w:val="28"/>
        </w:rPr>
        <w:t>.</w:t>
      </w:r>
      <w:r>
        <w:rPr>
          <w:rFonts w:ascii="仿宋" w:hAnsi="仿宋" w:eastAsia="仿宋"/>
          <w:kern w:val="20"/>
          <w:sz w:val="28"/>
          <w:szCs w:val="28"/>
        </w:rPr>
        <w:t>14</w:t>
      </w:r>
      <w:r>
        <w:rPr>
          <w:rFonts w:hint="eastAsia" w:ascii="仿宋" w:hAnsi="仿宋" w:eastAsia="仿宋"/>
          <w:kern w:val="20"/>
          <w:sz w:val="28"/>
          <w:szCs w:val="28"/>
        </w:rPr>
        <w:t>.1因乙方违法、违约或其它不当行为，导致甲方被列为被告或第三人参加诉讼或仲裁等情况；</w:t>
      </w:r>
    </w:p>
    <w:p w14:paraId="23817E9A">
      <w:pPr>
        <w:spacing w:line="360" w:lineRule="auto"/>
        <w:ind w:firstLine="560" w:firstLineChars="200"/>
        <w:rPr>
          <w:rFonts w:ascii="仿宋" w:hAnsi="仿宋" w:eastAsia="仿宋"/>
          <w:kern w:val="20"/>
          <w:sz w:val="28"/>
          <w:szCs w:val="28"/>
        </w:rPr>
      </w:pPr>
      <w:r>
        <w:rPr>
          <w:rFonts w:ascii="仿宋" w:hAnsi="仿宋" w:eastAsia="仿宋"/>
          <w:kern w:val="20"/>
          <w:sz w:val="28"/>
          <w:szCs w:val="28"/>
        </w:rPr>
        <w:t>42</w:t>
      </w:r>
      <w:r>
        <w:rPr>
          <w:rFonts w:hint="eastAsia" w:ascii="仿宋" w:hAnsi="仿宋" w:eastAsia="仿宋"/>
          <w:kern w:val="20"/>
          <w:sz w:val="28"/>
          <w:szCs w:val="28"/>
        </w:rPr>
        <w:t>.</w:t>
      </w:r>
      <w:r>
        <w:rPr>
          <w:rFonts w:ascii="仿宋" w:hAnsi="仿宋" w:eastAsia="仿宋"/>
          <w:kern w:val="20"/>
          <w:sz w:val="28"/>
          <w:szCs w:val="28"/>
        </w:rPr>
        <w:t>14</w:t>
      </w:r>
      <w:r>
        <w:rPr>
          <w:rFonts w:hint="eastAsia" w:ascii="仿宋" w:hAnsi="仿宋" w:eastAsia="仿宋"/>
          <w:kern w:val="20"/>
          <w:sz w:val="28"/>
          <w:szCs w:val="28"/>
        </w:rPr>
        <w:t>.2乙方或乙方工作人员不当行为导致甲方被行政处罚的情况；</w:t>
      </w:r>
    </w:p>
    <w:p w14:paraId="7701D16E">
      <w:pPr>
        <w:spacing w:line="360" w:lineRule="auto"/>
        <w:ind w:firstLine="560" w:firstLineChars="200"/>
        <w:rPr>
          <w:rFonts w:ascii="仿宋" w:hAnsi="仿宋" w:eastAsia="仿宋"/>
          <w:kern w:val="20"/>
          <w:sz w:val="28"/>
          <w:szCs w:val="28"/>
        </w:rPr>
      </w:pPr>
      <w:r>
        <w:rPr>
          <w:rFonts w:ascii="仿宋" w:hAnsi="仿宋" w:eastAsia="仿宋"/>
          <w:kern w:val="20"/>
          <w:sz w:val="28"/>
          <w:szCs w:val="28"/>
        </w:rPr>
        <w:t>42</w:t>
      </w:r>
      <w:r>
        <w:rPr>
          <w:rFonts w:hint="eastAsia" w:ascii="仿宋" w:hAnsi="仿宋" w:eastAsia="仿宋"/>
          <w:kern w:val="20"/>
          <w:sz w:val="28"/>
          <w:szCs w:val="28"/>
        </w:rPr>
        <w:t>.</w:t>
      </w:r>
      <w:r>
        <w:rPr>
          <w:rFonts w:ascii="仿宋" w:hAnsi="仿宋" w:eastAsia="仿宋"/>
          <w:kern w:val="20"/>
          <w:sz w:val="28"/>
          <w:szCs w:val="28"/>
        </w:rPr>
        <w:t>14</w:t>
      </w:r>
      <w:r>
        <w:rPr>
          <w:rFonts w:hint="eastAsia" w:ascii="仿宋" w:hAnsi="仿宋" w:eastAsia="仿宋"/>
          <w:kern w:val="20"/>
          <w:sz w:val="28"/>
          <w:szCs w:val="28"/>
        </w:rPr>
        <w:t>.3乙方或乙方工作人员行为导致涉及甲方的聚众维权、信访等维稳事件的情况。</w:t>
      </w:r>
    </w:p>
    <w:p w14:paraId="4E6B9DC4">
      <w:pPr>
        <w:spacing w:line="360" w:lineRule="auto"/>
        <w:ind w:firstLine="560" w:firstLineChars="200"/>
        <w:rPr>
          <w:rFonts w:ascii="仿宋" w:hAnsi="仿宋" w:eastAsia="仿宋"/>
          <w:kern w:val="20"/>
          <w:sz w:val="28"/>
          <w:szCs w:val="28"/>
        </w:rPr>
      </w:pPr>
    </w:p>
    <w:p w14:paraId="7288BEC0">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43. 合同变更</w:t>
      </w:r>
    </w:p>
    <w:p w14:paraId="4D61F72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43.1 由于甲方或第三人的原因使乙方工作受到阻碍或延误，则乙方应当将此情况与可能产生的影响及时书面通知甲方。经甲方确认后，双方须补签协议变更(延长)合同完成时间。</w:t>
      </w:r>
    </w:p>
    <w:p w14:paraId="33B1ED62">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43.2 当事人一方要求变更或解除合同时，则应当提前一个月通知对方；因变更或解除合同使一方遭受损失的，应由责任方负责赔偿。</w:t>
      </w:r>
    </w:p>
    <w:p w14:paraId="2CFEEC77">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43.3 变更或解除合同的通知或协议应当采取书面形式，新的协议未达成之前，原合同仍然有效。</w:t>
      </w:r>
    </w:p>
    <w:p w14:paraId="0E3F6635">
      <w:pPr>
        <w:spacing w:line="360" w:lineRule="auto"/>
        <w:ind w:firstLine="560" w:firstLineChars="200"/>
        <w:rPr>
          <w:rFonts w:ascii="仿宋" w:hAnsi="仿宋" w:eastAsia="仿宋"/>
          <w:kern w:val="20"/>
          <w:sz w:val="28"/>
          <w:szCs w:val="28"/>
        </w:rPr>
      </w:pPr>
    </w:p>
    <w:p w14:paraId="5F460E1F">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t>44. 其他</w:t>
      </w:r>
    </w:p>
    <w:p w14:paraId="22DDEA93">
      <w:pPr>
        <w:spacing w:line="360" w:lineRule="auto"/>
        <w:ind w:firstLine="560" w:firstLineChars="200"/>
        <w:rPr>
          <w:rFonts w:ascii="仿宋" w:hAnsi="仿宋" w:eastAsia="仿宋"/>
          <w:bCs/>
          <w:kern w:val="20"/>
          <w:sz w:val="28"/>
          <w:szCs w:val="28"/>
        </w:rPr>
      </w:pPr>
      <w:r>
        <w:rPr>
          <w:rFonts w:hint="eastAsia" w:ascii="仿宋" w:hAnsi="仿宋" w:eastAsia="仿宋"/>
          <w:bCs/>
          <w:kern w:val="20"/>
          <w:sz w:val="28"/>
          <w:szCs w:val="28"/>
        </w:rPr>
        <w:t>本合同附件包括：</w:t>
      </w:r>
    </w:p>
    <w:p w14:paraId="12D1FFB5">
      <w:pPr>
        <w:spacing w:line="360" w:lineRule="auto"/>
        <w:ind w:firstLine="560" w:firstLineChars="200"/>
        <w:rPr>
          <w:rFonts w:ascii="仿宋" w:hAnsi="仿宋" w:eastAsia="仿宋"/>
          <w:bCs/>
          <w:kern w:val="20"/>
          <w:sz w:val="28"/>
          <w:szCs w:val="28"/>
        </w:rPr>
      </w:pPr>
      <w:r>
        <w:rPr>
          <w:rFonts w:hint="eastAsia" w:ascii="仿宋" w:hAnsi="仿宋" w:eastAsia="仿宋"/>
          <w:bCs/>
          <w:kern w:val="20"/>
          <w:sz w:val="28"/>
          <w:szCs w:val="28"/>
        </w:rPr>
        <w:t>附件一 廉政协议</w:t>
      </w:r>
    </w:p>
    <w:p w14:paraId="6D5B9499">
      <w:pPr>
        <w:spacing w:line="360" w:lineRule="auto"/>
        <w:ind w:firstLine="560" w:firstLineChars="200"/>
        <w:rPr>
          <w:rFonts w:ascii="仿宋" w:hAnsi="仿宋" w:eastAsia="仿宋"/>
          <w:bCs/>
          <w:kern w:val="20"/>
          <w:sz w:val="28"/>
          <w:szCs w:val="28"/>
        </w:rPr>
      </w:pPr>
      <w:r>
        <w:rPr>
          <w:rFonts w:hint="eastAsia" w:ascii="仿宋" w:hAnsi="仿宋" w:eastAsia="仿宋"/>
          <w:bCs/>
          <w:kern w:val="20"/>
          <w:sz w:val="28"/>
          <w:szCs w:val="28"/>
        </w:rPr>
        <w:t>附件二 安全环保协议</w:t>
      </w:r>
    </w:p>
    <w:p w14:paraId="2826DD51">
      <w:pPr>
        <w:spacing w:line="360" w:lineRule="auto"/>
        <w:ind w:firstLine="560" w:firstLineChars="200"/>
        <w:rPr>
          <w:rFonts w:ascii="仿宋" w:hAnsi="仿宋" w:eastAsia="仿宋"/>
          <w:bCs/>
          <w:kern w:val="20"/>
          <w:sz w:val="28"/>
          <w:szCs w:val="28"/>
        </w:rPr>
      </w:pPr>
      <w:r>
        <w:rPr>
          <w:rFonts w:hint="eastAsia" w:ascii="仿宋" w:hAnsi="仿宋" w:eastAsia="仿宋"/>
          <w:bCs/>
          <w:kern w:val="20"/>
          <w:sz w:val="28"/>
          <w:szCs w:val="28"/>
        </w:rPr>
        <w:t>附件三 项目文件材料整理移交协议</w:t>
      </w:r>
    </w:p>
    <w:p w14:paraId="20E58432">
      <w:pPr>
        <w:spacing w:line="360" w:lineRule="auto"/>
        <w:ind w:firstLine="560" w:firstLineChars="200"/>
        <w:rPr>
          <w:rFonts w:ascii="仿宋" w:hAnsi="仿宋" w:eastAsia="仿宋"/>
          <w:bCs/>
          <w:kern w:val="20"/>
          <w:sz w:val="28"/>
          <w:szCs w:val="28"/>
        </w:rPr>
      </w:pPr>
      <w:r>
        <w:rPr>
          <w:rFonts w:hint="eastAsia" w:ascii="仿宋" w:hAnsi="仿宋" w:eastAsia="仿宋"/>
          <w:bCs/>
          <w:kern w:val="20"/>
          <w:sz w:val="28"/>
          <w:szCs w:val="28"/>
        </w:rPr>
        <w:t>附件四 工程质量保修书</w:t>
      </w:r>
    </w:p>
    <w:p w14:paraId="01654E1A">
      <w:pPr>
        <w:ind w:firstLine="560" w:firstLineChars="200"/>
        <w:rPr>
          <w:rFonts w:ascii="仿宋" w:hAnsi="仿宋" w:eastAsia="仿宋"/>
          <w:sz w:val="28"/>
          <w:szCs w:val="28"/>
        </w:rPr>
      </w:pPr>
      <w:r>
        <w:rPr>
          <w:rFonts w:hint="eastAsia" w:ascii="仿宋" w:hAnsi="仿宋" w:eastAsia="仿宋" w:cs="仿宋_GB2312"/>
          <w:sz w:val="28"/>
          <w:szCs w:val="28"/>
        </w:rPr>
        <w:t>附件</w:t>
      </w:r>
      <w:r>
        <w:rPr>
          <w:rFonts w:ascii="仿宋" w:hAnsi="仿宋" w:eastAsia="仿宋" w:cs="仿宋_GB2312"/>
          <w:sz w:val="28"/>
          <w:szCs w:val="28"/>
        </w:rPr>
        <w:t>五</w:t>
      </w:r>
      <w:r>
        <w:rPr>
          <w:rFonts w:hint="eastAsia" w:ascii="仿宋" w:hAnsi="仿宋" w:eastAsia="仿宋" w:cs="仿宋_GB2312"/>
          <w:sz w:val="28"/>
          <w:szCs w:val="28"/>
        </w:rPr>
        <w:t xml:space="preserve"> 项目负责人及管理人员一览表</w:t>
      </w:r>
    </w:p>
    <w:p w14:paraId="6A350E80">
      <w:pPr>
        <w:spacing w:line="360" w:lineRule="auto"/>
        <w:ind w:firstLine="560" w:firstLineChars="200"/>
        <w:rPr>
          <w:rFonts w:ascii="仿宋" w:hAnsi="仿宋" w:eastAsia="仿宋"/>
          <w:bCs/>
          <w:kern w:val="20"/>
          <w:sz w:val="28"/>
          <w:szCs w:val="28"/>
        </w:rPr>
      </w:pPr>
      <w:r>
        <w:rPr>
          <w:rFonts w:hint="eastAsia" w:ascii="仿宋" w:hAnsi="仿宋" w:eastAsia="仿宋"/>
          <w:bCs/>
          <w:kern w:val="20"/>
          <w:sz w:val="28"/>
          <w:szCs w:val="28"/>
        </w:rPr>
        <w:t>附件六 回标分析报告（另册）</w:t>
      </w:r>
    </w:p>
    <w:p w14:paraId="4BFFDA09">
      <w:pPr>
        <w:ind w:firstLine="560" w:firstLineChars="200"/>
        <w:rPr>
          <w:rFonts w:ascii="仿宋_GB2312" w:eastAsia="仿宋_GB2312" w:hAnsiTheme="minorHAnsi" w:cstheme="minorBidi"/>
          <w:bCs/>
          <w:sz w:val="28"/>
          <w:szCs w:val="32"/>
        </w:rPr>
      </w:pPr>
      <w:r>
        <w:rPr>
          <w:rFonts w:hint="eastAsia" w:ascii="仿宋_GB2312" w:hAnsi="仿宋" w:eastAsia="仿宋_GB2312"/>
          <w:sz w:val="28"/>
          <w:szCs w:val="28"/>
        </w:rPr>
        <w:t>附件七</w:t>
      </w:r>
      <w:r>
        <w:rPr>
          <w:rFonts w:hint="eastAsia" w:ascii="仿宋_GB2312" w:eastAsia="仿宋_GB2312" w:hAnsiTheme="minorHAnsi" w:cstheme="minorBidi"/>
          <w:bCs/>
          <w:sz w:val="28"/>
          <w:szCs w:val="32"/>
        </w:rPr>
        <w:t xml:space="preserve"> 采用材料品牌表</w:t>
      </w:r>
    </w:p>
    <w:p w14:paraId="0FBF6511">
      <w:pPr>
        <w:spacing w:line="360" w:lineRule="auto"/>
        <w:ind w:firstLine="560" w:firstLineChars="200"/>
        <w:rPr>
          <w:rFonts w:ascii="仿宋" w:hAnsi="仿宋" w:eastAsia="仿宋"/>
          <w:bCs/>
          <w:kern w:val="20"/>
          <w:sz w:val="28"/>
          <w:szCs w:val="28"/>
        </w:rPr>
      </w:pPr>
    </w:p>
    <w:p w14:paraId="329DA9F9">
      <w:pPr>
        <w:spacing w:line="360" w:lineRule="auto"/>
        <w:ind w:firstLine="560" w:firstLineChars="200"/>
        <w:rPr>
          <w:rFonts w:ascii="仿宋" w:hAnsi="仿宋" w:eastAsia="仿宋"/>
          <w:kern w:val="20"/>
          <w:sz w:val="28"/>
          <w:szCs w:val="28"/>
        </w:rPr>
      </w:pPr>
      <w:r>
        <w:rPr>
          <w:rFonts w:hint="eastAsia" w:ascii="仿宋" w:hAnsi="仿宋" w:eastAsia="仿宋"/>
          <w:kern w:val="20"/>
          <w:sz w:val="28"/>
          <w:szCs w:val="28"/>
        </w:rPr>
        <w:br w:type="page"/>
      </w:r>
    </w:p>
    <w:p w14:paraId="4021D9B0">
      <w:pPr>
        <w:pStyle w:val="16"/>
        <w:ind w:firstLine="560"/>
        <w:rPr>
          <w:rFonts w:ascii="仿宋" w:hAnsi="仿宋" w:eastAsia="仿宋" w:cs="Times New Roman"/>
          <w:bCs/>
          <w:sz w:val="28"/>
          <w:szCs w:val="28"/>
        </w:rPr>
      </w:pPr>
      <w:r>
        <w:rPr>
          <w:rFonts w:hint="eastAsia" w:ascii="仿宋" w:hAnsi="仿宋" w:eastAsia="仿宋"/>
          <w:bCs/>
          <w:sz w:val="28"/>
          <w:szCs w:val="28"/>
        </w:rPr>
        <w:t>（本页无正文，为《广州卷烟厂石马仓库基建维修改造工程项目施工总承包建设施工合同》签署页）</w:t>
      </w:r>
    </w:p>
    <w:p w14:paraId="56972735">
      <w:pPr>
        <w:pStyle w:val="16"/>
        <w:ind w:firstLine="560"/>
        <w:rPr>
          <w:rFonts w:ascii="仿宋" w:hAnsi="仿宋" w:eastAsia="仿宋" w:cs="Times New Roman"/>
          <w:bCs/>
          <w:sz w:val="28"/>
          <w:szCs w:val="28"/>
        </w:rPr>
      </w:pPr>
    </w:p>
    <w:p w14:paraId="683F1F67">
      <w:pPr>
        <w:shd w:val="clear" w:color="auto" w:fill="FFFFFF"/>
        <w:snapToGrid w:val="0"/>
        <w:spacing w:line="480" w:lineRule="exact"/>
        <w:outlineLvl w:val="0"/>
        <w:rPr>
          <w:rFonts w:ascii="仿宋" w:hAnsi="仿宋" w:eastAsia="仿宋" w:cs="宋体"/>
          <w:sz w:val="28"/>
          <w:szCs w:val="28"/>
        </w:rPr>
      </w:pPr>
      <w:r>
        <w:rPr>
          <w:rFonts w:hint="eastAsia" w:ascii="仿宋" w:hAnsi="仿宋" w:eastAsia="仿宋"/>
          <w:sz w:val="28"/>
          <w:szCs w:val="28"/>
        </w:rPr>
        <w:t>甲方：广东中烟工业有限责任公司</w:t>
      </w:r>
      <w:r>
        <w:rPr>
          <w:rFonts w:ascii="仿宋" w:hAnsi="仿宋" w:eastAsia="仿宋"/>
          <w:sz w:val="28"/>
          <w:szCs w:val="28"/>
        </w:rPr>
        <w:t xml:space="preserve">      </w:t>
      </w:r>
      <w:r>
        <w:rPr>
          <w:rFonts w:hint="eastAsia" w:ascii="仿宋" w:hAnsi="仿宋" w:eastAsia="仿宋"/>
          <w:sz w:val="28"/>
          <w:szCs w:val="28"/>
        </w:rPr>
        <w:t>乙方：</w:t>
      </w:r>
      <w:r>
        <w:rPr>
          <w:rFonts w:ascii="仿宋" w:hAnsi="仿宋" w:eastAsia="仿宋"/>
          <w:sz w:val="28"/>
          <w:szCs w:val="28"/>
        </w:rPr>
        <w:t xml:space="preserve"> </w:t>
      </w:r>
    </w:p>
    <w:p w14:paraId="4AE9049B">
      <w:pPr>
        <w:shd w:val="clear" w:color="auto" w:fill="FFFFFF"/>
        <w:snapToGrid w:val="0"/>
        <w:spacing w:line="480" w:lineRule="exact"/>
        <w:rPr>
          <w:rFonts w:ascii="仿宋" w:hAnsi="仿宋" w:eastAsia="仿宋" w:cs="宋体"/>
          <w:sz w:val="28"/>
          <w:szCs w:val="28"/>
        </w:rPr>
      </w:pPr>
      <w:r>
        <w:rPr>
          <w:rFonts w:ascii="仿宋" w:hAnsi="仿宋" w:eastAsia="仿宋" w:cs="宋体"/>
          <w:sz w:val="28"/>
          <w:szCs w:val="28"/>
        </w:rPr>
        <w:t xml:space="preserve">    </w:t>
      </w:r>
      <w:r>
        <w:rPr>
          <w:rFonts w:hint="eastAsia" w:ascii="仿宋" w:hAnsi="仿宋" w:eastAsia="仿宋" w:cs="宋体"/>
          <w:sz w:val="28"/>
          <w:szCs w:val="28"/>
        </w:rPr>
        <w:t>（盖章）</w:t>
      </w:r>
      <w:r>
        <w:rPr>
          <w:rFonts w:ascii="仿宋" w:hAnsi="仿宋" w:eastAsia="仿宋" w:cs="宋体"/>
          <w:sz w:val="28"/>
          <w:szCs w:val="28"/>
        </w:rPr>
        <w:t xml:space="preserve">                             </w:t>
      </w:r>
      <w:r>
        <w:rPr>
          <w:rFonts w:hint="eastAsia" w:ascii="仿宋" w:hAnsi="仿宋" w:eastAsia="仿宋" w:cs="宋体"/>
          <w:sz w:val="28"/>
          <w:szCs w:val="28"/>
        </w:rPr>
        <w:t>（盖章）</w:t>
      </w:r>
    </w:p>
    <w:p w14:paraId="5574AEEF">
      <w:pPr>
        <w:shd w:val="clear" w:color="auto" w:fill="FFFFFF"/>
        <w:snapToGrid w:val="0"/>
        <w:spacing w:line="480" w:lineRule="exact"/>
        <w:rPr>
          <w:rFonts w:ascii="仿宋" w:hAnsi="仿宋" w:eastAsia="仿宋"/>
          <w:sz w:val="28"/>
          <w:szCs w:val="28"/>
        </w:rPr>
      </w:pPr>
    </w:p>
    <w:p w14:paraId="0C28130F">
      <w:pPr>
        <w:shd w:val="clear" w:color="auto" w:fill="FFFFFF"/>
        <w:snapToGrid w:val="0"/>
        <w:spacing w:line="480" w:lineRule="exact"/>
        <w:rPr>
          <w:rFonts w:ascii="仿宋" w:hAnsi="仿宋" w:eastAsia="仿宋"/>
          <w:sz w:val="28"/>
          <w:szCs w:val="28"/>
        </w:rPr>
      </w:pP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授权代表：</w:t>
      </w:r>
      <w:r>
        <w:rPr>
          <w:rFonts w:ascii="仿宋" w:hAnsi="仿宋" w:eastAsia="仿宋"/>
          <w:sz w:val="28"/>
          <w:szCs w:val="28"/>
        </w:rPr>
        <w:t xml:space="preserve">               </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授权代表：</w:t>
      </w:r>
      <w:r>
        <w:rPr>
          <w:rFonts w:ascii="仿宋" w:hAnsi="仿宋" w:eastAsia="仿宋"/>
          <w:sz w:val="28"/>
          <w:szCs w:val="28"/>
        </w:rPr>
        <w:t xml:space="preserve">        </w:t>
      </w:r>
    </w:p>
    <w:p w14:paraId="4E291DAB">
      <w:pPr>
        <w:shd w:val="clear" w:color="auto" w:fill="FFFFFF"/>
        <w:snapToGrid w:val="0"/>
        <w:spacing w:line="480" w:lineRule="exact"/>
        <w:rPr>
          <w:rFonts w:ascii="仿宋" w:hAnsi="仿宋" w:eastAsia="仿宋"/>
          <w:sz w:val="28"/>
          <w:szCs w:val="28"/>
        </w:rPr>
      </w:pPr>
    </w:p>
    <w:p w14:paraId="693EBFA1">
      <w:pPr>
        <w:shd w:val="clear" w:color="auto" w:fill="FFFFFF"/>
        <w:snapToGrid w:val="0"/>
        <w:spacing w:line="480" w:lineRule="exact"/>
        <w:rPr>
          <w:rFonts w:ascii="宋体" w:hAnsi="宋体"/>
          <w:spacing w:val="21"/>
          <w:sz w:val="24"/>
        </w:rPr>
      </w:pPr>
      <w:r>
        <w:rPr>
          <w:rFonts w:hint="eastAsia" w:ascii="仿宋" w:hAnsi="仿宋" w:eastAsia="仿宋"/>
          <w:sz w:val="28"/>
          <w:szCs w:val="28"/>
        </w:rPr>
        <w:t>签订日期：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cs="宋体"/>
          <w:sz w:val="28"/>
          <w:szCs w:val="28"/>
        </w:rPr>
        <w:t xml:space="preserve">         </w:t>
      </w:r>
      <w:r>
        <w:rPr>
          <w:rFonts w:hint="eastAsia" w:ascii="仿宋" w:hAnsi="仿宋" w:eastAsia="仿宋"/>
          <w:sz w:val="28"/>
          <w:szCs w:val="28"/>
        </w:rPr>
        <w:t>签订日期：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14:paraId="4BA7C530">
      <w:pPr>
        <w:rPr>
          <w:rFonts w:ascii="仿宋" w:hAnsi="仿宋" w:eastAsia="仿宋"/>
          <w:bCs/>
          <w:kern w:val="20"/>
          <w:sz w:val="28"/>
          <w:szCs w:val="28"/>
        </w:rPr>
      </w:pPr>
      <w:r>
        <w:rPr>
          <w:rFonts w:hAnsi="宋体" w:cs="仿宋_GB2312"/>
          <w:b/>
          <w:sz w:val="24"/>
        </w:rPr>
        <w:br w:type="page"/>
      </w:r>
      <w:r>
        <w:rPr>
          <w:rFonts w:hint="eastAsia" w:ascii="仿宋" w:hAnsi="仿宋" w:eastAsia="仿宋"/>
          <w:bCs/>
          <w:kern w:val="20"/>
          <w:sz w:val="28"/>
          <w:szCs w:val="28"/>
        </w:rPr>
        <w:t>附件一</w:t>
      </w:r>
    </w:p>
    <w:p w14:paraId="779B2B38">
      <w:pPr>
        <w:spacing w:after="312" w:afterLines="100" w:line="360" w:lineRule="auto"/>
        <w:jc w:val="center"/>
        <w:rPr>
          <w:rFonts w:ascii="仿宋" w:hAnsi="仿宋" w:eastAsia="仿宋"/>
          <w:b/>
          <w:bCs/>
          <w:kern w:val="20"/>
          <w:sz w:val="44"/>
          <w:szCs w:val="44"/>
        </w:rPr>
      </w:pPr>
      <w:r>
        <w:rPr>
          <w:rFonts w:hint="eastAsia" w:ascii="仿宋" w:hAnsi="仿宋" w:eastAsia="仿宋"/>
          <w:b/>
          <w:bCs/>
          <w:kern w:val="20"/>
          <w:sz w:val="44"/>
          <w:szCs w:val="44"/>
        </w:rPr>
        <w:t>廉</w:t>
      </w:r>
      <w:r>
        <w:rPr>
          <w:rFonts w:ascii="仿宋" w:hAnsi="仿宋" w:eastAsia="仿宋"/>
          <w:b/>
          <w:bCs/>
          <w:kern w:val="20"/>
          <w:sz w:val="44"/>
          <w:szCs w:val="44"/>
        </w:rPr>
        <w:t xml:space="preserve"> </w:t>
      </w:r>
      <w:r>
        <w:rPr>
          <w:rFonts w:hint="eastAsia" w:ascii="仿宋" w:hAnsi="仿宋" w:eastAsia="仿宋"/>
          <w:b/>
          <w:bCs/>
          <w:kern w:val="20"/>
          <w:sz w:val="44"/>
          <w:szCs w:val="44"/>
        </w:rPr>
        <w:t>政</w:t>
      </w:r>
      <w:r>
        <w:rPr>
          <w:rFonts w:ascii="仿宋" w:hAnsi="仿宋" w:eastAsia="仿宋"/>
          <w:b/>
          <w:bCs/>
          <w:kern w:val="20"/>
          <w:sz w:val="44"/>
          <w:szCs w:val="44"/>
        </w:rPr>
        <w:t xml:space="preserve"> </w:t>
      </w:r>
      <w:r>
        <w:rPr>
          <w:rFonts w:hint="eastAsia" w:ascii="仿宋" w:hAnsi="仿宋" w:eastAsia="仿宋"/>
          <w:b/>
          <w:bCs/>
          <w:kern w:val="20"/>
          <w:sz w:val="44"/>
          <w:szCs w:val="44"/>
        </w:rPr>
        <w:t>协</w:t>
      </w:r>
      <w:r>
        <w:rPr>
          <w:rFonts w:ascii="仿宋" w:hAnsi="仿宋" w:eastAsia="仿宋"/>
          <w:b/>
          <w:bCs/>
          <w:kern w:val="20"/>
          <w:sz w:val="44"/>
          <w:szCs w:val="44"/>
        </w:rPr>
        <w:t xml:space="preserve"> </w:t>
      </w:r>
      <w:r>
        <w:rPr>
          <w:rFonts w:hint="eastAsia" w:ascii="仿宋" w:hAnsi="仿宋" w:eastAsia="仿宋"/>
          <w:b/>
          <w:bCs/>
          <w:kern w:val="20"/>
          <w:sz w:val="44"/>
          <w:szCs w:val="44"/>
        </w:rPr>
        <w:t>议</w:t>
      </w:r>
    </w:p>
    <w:p w14:paraId="43503DEB">
      <w:pPr>
        <w:spacing w:line="360" w:lineRule="auto"/>
        <w:rPr>
          <w:rFonts w:ascii="仿宋" w:hAnsi="仿宋" w:eastAsia="仿宋"/>
          <w:kern w:val="20"/>
          <w:sz w:val="28"/>
          <w:szCs w:val="28"/>
        </w:rPr>
      </w:pPr>
      <w:r>
        <w:rPr>
          <w:rFonts w:hint="eastAsia" w:ascii="仿宋" w:hAnsi="仿宋" w:eastAsia="仿宋"/>
          <w:kern w:val="20"/>
          <w:sz w:val="28"/>
          <w:szCs w:val="28"/>
        </w:rPr>
        <w:t>甲方：</w:t>
      </w:r>
      <w:r>
        <w:rPr>
          <w:rFonts w:ascii="仿宋" w:hAnsi="仿宋" w:eastAsia="仿宋"/>
          <w:kern w:val="20"/>
          <w:sz w:val="28"/>
          <w:szCs w:val="28"/>
        </w:rPr>
        <w:t xml:space="preserve"> 广东中烟工业有限责任公司</w:t>
      </w:r>
    </w:p>
    <w:p w14:paraId="27748940">
      <w:pPr>
        <w:spacing w:line="360" w:lineRule="auto"/>
        <w:rPr>
          <w:rFonts w:ascii="仿宋" w:hAnsi="仿宋" w:eastAsia="仿宋"/>
          <w:kern w:val="20"/>
          <w:sz w:val="28"/>
          <w:szCs w:val="28"/>
        </w:rPr>
      </w:pPr>
      <w:r>
        <w:rPr>
          <w:rFonts w:hint="eastAsia" w:ascii="仿宋" w:hAnsi="仿宋" w:eastAsia="仿宋"/>
          <w:kern w:val="20"/>
          <w:sz w:val="28"/>
          <w:szCs w:val="28"/>
        </w:rPr>
        <w:t>通讯地址</w:t>
      </w:r>
      <w:r>
        <w:rPr>
          <w:rFonts w:ascii="仿宋" w:hAnsi="仿宋" w:eastAsia="仿宋"/>
          <w:kern w:val="20"/>
          <w:sz w:val="28"/>
          <w:szCs w:val="28"/>
        </w:rPr>
        <w:t>:广州市天河区林</w:t>
      </w:r>
      <w:r>
        <w:rPr>
          <w:rFonts w:hint="eastAsia" w:ascii="仿宋" w:hAnsi="仿宋" w:eastAsia="仿宋"/>
          <w:kern w:val="20"/>
          <w:sz w:val="28"/>
          <w:szCs w:val="28"/>
        </w:rPr>
        <w:t>和西横路</w:t>
      </w:r>
      <w:r>
        <w:rPr>
          <w:rFonts w:ascii="仿宋" w:hAnsi="仿宋" w:eastAsia="仿宋"/>
          <w:kern w:val="20"/>
          <w:sz w:val="28"/>
          <w:szCs w:val="28"/>
        </w:rPr>
        <w:t>186号（广州烟草大厦）</w:t>
      </w:r>
    </w:p>
    <w:p w14:paraId="7A361B6B">
      <w:pPr>
        <w:spacing w:line="360" w:lineRule="auto"/>
        <w:rPr>
          <w:rFonts w:ascii="仿宋" w:hAnsi="仿宋" w:eastAsia="仿宋"/>
          <w:kern w:val="20"/>
          <w:sz w:val="28"/>
          <w:szCs w:val="28"/>
        </w:rPr>
      </w:pPr>
      <w:r>
        <w:rPr>
          <w:rFonts w:hint="eastAsia" w:ascii="仿宋" w:hAnsi="仿宋" w:eastAsia="仿宋"/>
          <w:kern w:val="20"/>
          <w:sz w:val="28"/>
          <w:szCs w:val="28"/>
        </w:rPr>
        <w:t>乙方：</w:t>
      </w:r>
    </w:p>
    <w:p w14:paraId="01BFB599">
      <w:pPr>
        <w:spacing w:line="360" w:lineRule="auto"/>
        <w:rPr>
          <w:rFonts w:ascii="仿宋" w:hAnsi="仿宋" w:eastAsia="仿宋"/>
          <w:kern w:val="20"/>
          <w:sz w:val="28"/>
          <w:szCs w:val="28"/>
        </w:rPr>
      </w:pPr>
      <w:r>
        <w:rPr>
          <w:rFonts w:ascii="仿宋" w:hAnsi="仿宋" w:eastAsia="仿宋"/>
          <w:kern w:val="20"/>
          <w:sz w:val="28"/>
          <w:szCs w:val="28"/>
        </w:rPr>
        <w:t xml:space="preserve">通讯地址:  </w:t>
      </w:r>
    </w:p>
    <w:p w14:paraId="484C518A">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为加强采购项目中的廉政建设，规范项目甲乙双方的各项活动，防止发生各种谋取不正当利益的违法违纪行为，保护国家、集体和当事人的合法权益，根据党和国家有关廉政建设的规定，特订立本廉政协议。</w:t>
      </w:r>
    </w:p>
    <w:p w14:paraId="7AC12602">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一、甲乙双方的责任</w:t>
      </w:r>
    </w:p>
    <w:p w14:paraId="65F90C86">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（一）应严格遵守国家有关法律、法规、相关政策以及廉政建设的各项规定。</w:t>
      </w:r>
    </w:p>
    <w:p w14:paraId="598536BD">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（二）严格执行采购项目合同文件的相关约定，自觉按合同办事。</w:t>
      </w:r>
    </w:p>
    <w:p w14:paraId="2DE75BF5">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（三）业务活动必须坚持公开、公平、公正、诚信、透明的原则（除法律法规另有规定除外），不得为获取不正当的利益，损害国家、集体和对方利益，不得违反有关廉洁自律的规章制度。</w:t>
      </w:r>
    </w:p>
    <w:p w14:paraId="2FB6CE20">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（四）发现对方在业务活动中有违规行为的，应及时提醒对方；情节严重或涉嫌违纪违法的，应向其上级主管部门或纪检监察部门举报。</w:t>
      </w:r>
    </w:p>
    <w:p w14:paraId="11A6D28E">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（五）甲乙双方不得通过第三方进行非业务活动，接受第三方提供的回扣、礼金、有价证券、贵重物品和好处费、感谢费等。</w:t>
      </w:r>
    </w:p>
    <w:p w14:paraId="4318DADB">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二、甲方的责任</w:t>
      </w:r>
    </w:p>
    <w:p w14:paraId="08179F1B">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甲方工作人员，在项目合同执行的事前、事中、事后应遵守以下规定：</w:t>
      </w:r>
    </w:p>
    <w:p w14:paraId="07032635">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（一）不准向乙方和相关单位索要或接受回扣、礼金、有价证券、贵重物品和好处费、感谢费等。</w:t>
      </w:r>
    </w:p>
    <w:p w14:paraId="78997473">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（二）不准在乙方和相关单位报销任何应由甲方或个人支付的费用。</w:t>
      </w:r>
    </w:p>
    <w:p w14:paraId="25930FA0">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（三）不准要求、暗示或接受乙方和相关单位免费或明显低于市场价格为个人装修住房以及在配偶、子女、亲属的工作或生活安排等方面提供方便。</w:t>
      </w:r>
    </w:p>
    <w:p w14:paraId="60B537B9">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（四）不准参加乙方和相关单位组织或提供的有可能影响公正执行公务的宴请、健身、娱乐、旅游等活动。</w:t>
      </w:r>
    </w:p>
    <w:p w14:paraId="06719004">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（五）不准向乙方和相关单位介绍配偶、子女、亲属等参与到同甲方项目合同有关的业务活动。</w:t>
      </w:r>
    </w:p>
    <w:p w14:paraId="7B4E012C">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（六）其他与项目有关党风廉政建设和预防腐败的规定。</w:t>
      </w:r>
    </w:p>
    <w:p w14:paraId="0B5FFA21">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三、乙方的责任</w:t>
      </w:r>
    </w:p>
    <w:p w14:paraId="6B82F2E6">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应与甲方保持正常的业务交往，按照有关法律法规和程序开展业务工作，严格执行项目的有关方针、政策，尤其是有关项目的强制性标准和规范，并遵守以下规定：</w:t>
      </w:r>
    </w:p>
    <w:p w14:paraId="69A38688">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（一）不准以任何理由向甲方及其工作人员索要、接受或赠送礼金、有价证券、贵重物品及回扣、好处费、感谢费等。</w:t>
      </w:r>
    </w:p>
    <w:p w14:paraId="6E762065">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（二）不准以任何理由为甲方和相关单位报销应由对方或个人支付的费用。</w:t>
      </w:r>
    </w:p>
    <w:p w14:paraId="3FFAB648">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（三）不准为甲方、相关单位或个人免费或明显低于市场价格装修住房以及在配偶、子女、亲属的工作或生活安排等方面提供方便。</w:t>
      </w:r>
    </w:p>
    <w:p w14:paraId="2B9BE67D">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（四）不准以任何理由为甲方、相关单位或个人组织或提供有可能影响公正执行公务的宴请、健身、娱乐、旅游等活动。</w:t>
      </w:r>
    </w:p>
    <w:p w14:paraId="1381E314">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（五）不准违规安排甲方有关人员的配偶、子女、亲属等参与到同甲方项目合同有关的业务活动。</w:t>
      </w:r>
    </w:p>
    <w:p w14:paraId="5452F353">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（六）其他与项目有关的党风廉政建设和预防腐败的规定。</w:t>
      </w:r>
    </w:p>
    <w:p w14:paraId="5FD4B9F2">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四、违约责任</w:t>
      </w:r>
    </w:p>
    <w:p w14:paraId="73306446">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一）甲方工作人员有违反本廉政协议第一、二条责任行为的，按照管理权限，依据有关法律法规和规定给予党纪、政纪处分或组织处理；涉嫌违法犯罪的，移交司法机关追究法律责任；给乙方单位造成经济损失的，应予以赔偿。</w:t>
      </w:r>
    </w:p>
    <w:p w14:paraId="39E7BED9">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二）乙方工作人员有违反本廉政协议第一、三条责任行为的，按照管理权限，依据有关法律法规和规定给予党纪、政纪处分或组织处理；涉嫌违法犯罪的，移交司法机关追究法律责任；给甲方单位造成经济损失的，应予以赔偿。</w:t>
      </w:r>
    </w:p>
    <w:p w14:paraId="5052C0D5">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三）乙方在参加行业采购活动中，向行业干部职工行贿的，甲方将其列入存在行贿行为供应商名单，实施严格禁入措施，禁止参加新采购项目。乙方如果被中国烟草总公司或行业直属单位列入存在行贿行为供应商名单的，甲方有权针对乙方选取以下措施执行：降低考核评价分数、降低供货份额、缩短服务期限、终止或解除合同。</w:t>
      </w:r>
    </w:p>
    <w:p w14:paraId="379EF77C">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四）乙方在涉及相关案件查办时，有配合提供证据、作证的义务，如果发生拒不配合纪委、监委调查工作的情形，甲方有权采取警示约谈、降低考核评价分数、降低供货份额、缩短服务期限、终止或解除合同等处理措施。</w:t>
      </w:r>
    </w:p>
    <w:p w14:paraId="2984F7E1">
      <w:pPr>
        <w:spacing w:line="560" w:lineRule="exact"/>
        <w:ind w:firstLine="560" w:firstLineChars="200"/>
        <w:rPr>
          <w:rFonts w:ascii="仿宋" w:hAnsi="仿宋" w:eastAsia="仿宋"/>
          <w:kern w:val="20"/>
          <w:sz w:val="28"/>
          <w:szCs w:val="28"/>
        </w:rPr>
      </w:pPr>
      <w:r>
        <w:rPr>
          <w:rFonts w:hint="eastAsia" w:ascii="仿宋" w:hAnsi="仿宋" w:eastAsia="仿宋"/>
          <w:kern w:val="20"/>
          <w:sz w:val="28"/>
          <w:szCs w:val="28"/>
        </w:rPr>
        <w:t>（以下无正文）</w:t>
      </w:r>
    </w:p>
    <w:p w14:paraId="09187D4F">
      <w:pPr>
        <w:widowControl/>
        <w:jc w:val="left"/>
        <w:rPr>
          <w:rFonts w:ascii="仿宋" w:hAnsi="仿宋" w:eastAsia="仿宋"/>
          <w:kern w:val="20"/>
          <w:sz w:val="28"/>
          <w:szCs w:val="28"/>
        </w:rPr>
      </w:pPr>
      <w:r>
        <w:rPr>
          <w:rFonts w:ascii="仿宋" w:hAnsi="仿宋" w:eastAsia="仿宋"/>
          <w:kern w:val="20"/>
          <w:sz w:val="28"/>
          <w:szCs w:val="28"/>
        </w:rPr>
        <w:br w:type="page"/>
      </w:r>
    </w:p>
    <w:p w14:paraId="07FB629B">
      <w:pPr>
        <w:spacing w:line="560" w:lineRule="exact"/>
        <w:rPr>
          <w:rFonts w:ascii="仿宋" w:hAnsi="仿宋" w:eastAsia="仿宋"/>
          <w:kern w:val="20"/>
          <w:sz w:val="28"/>
          <w:szCs w:val="28"/>
        </w:rPr>
      </w:pPr>
      <w:r>
        <w:rPr>
          <w:rFonts w:hint="eastAsia" w:ascii="仿宋" w:hAnsi="仿宋" w:eastAsia="仿宋"/>
          <w:kern w:val="20"/>
          <w:sz w:val="28"/>
          <w:szCs w:val="28"/>
        </w:rPr>
        <w:t>附件二</w:t>
      </w:r>
    </w:p>
    <w:p w14:paraId="2B799510">
      <w:pPr>
        <w:jc w:val="center"/>
        <w:rPr>
          <w:rFonts w:ascii="方正小标宋简体" w:hAnsi="宋体" w:eastAsia="方正小标宋简体"/>
          <w:sz w:val="36"/>
          <w:szCs w:val="36"/>
        </w:rPr>
      </w:pPr>
      <w:r>
        <w:rPr>
          <w:rFonts w:hint="eastAsia" w:ascii="方正小标宋简体" w:hAnsi="宋体" w:eastAsia="方正小标宋简体"/>
          <w:sz w:val="36"/>
          <w:szCs w:val="36"/>
        </w:rPr>
        <w:t>安全环保协议</w:t>
      </w:r>
    </w:p>
    <w:p w14:paraId="1081145B">
      <w:pPr>
        <w:jc w:val="center"/>
        <w:rPr>
          <w:rFonts w:ascii="宋体" w:hAnsi="宋体"/>
          <w:b/>
          <w:sz w:val="44"/>
          <w:szCs w:val="44"/>
        </w:rPr>
      </w:pPr>
    </w:p>
    <w:p w14:paraId="17B70950">
      <w:pPr>
        <w:snapToGrid w:val="0"/>
        <w:spacing w:line="300" w:lineRule="auto"/>
        <w:ind w:firstLine="420" w:firstLineChars="200"/>
        <w:jc w:val="left"/>
        <w:rPr>
          <w:rFonts w:ascii="宋体" w:hAnsi="宋体"/>
          <w:snapToGrid w:val="0"/>
          <w:kern w:val="0"/>
          <w:szCs w:val="21"/>
        </w:rPr>
      </w:pPr>
      <w:r>
        <w:rPr>
          <w:rFonts w:hint="eastAsia" w:ascii="宋体" w:hAnsi="宋体"/>
          <w:snapToGrid w:val="0"/>
          <w:kern w:val="0"/>
          <w:szCs w:val="21"/>
        </w:rPr>
        <w:t>项目名称</w:t>
      </w:r>
      <w:r>
        <w:rPr>
          <w:rFonts w:hint="eastAsia" w:ascii="宋体" w:hAnsi="宋体"/>
          <w:snapToGrid w:val="0"/>
          <w:kern w:val="0"/>
          <w:szCs w:val="21"/>
          <w:u w:val="single"/>
        </w:rPr>
        <w:t>：广州卷烟厂石马仓库基建维修改造工程项目施工总承包</w:t>
      </w:r>
    </w:p>
    <w:p w14:paraId="4D2005AB">
      <w:pPr>
        <w:snapToGrid w:val="0"/>
        <w:spacing w:line="300" w:lineRule="auto"/>
        <w:ind w:firstLine="420" w:firstLineChars="200"/>
        <w:jc w:val="left"/>
        <w:rPr>
          <w:rFonts w:ascii="宋体" w:hAnsi="宋体"/>
          <w:snapToGrid w:val="0"/>
          <w:kern w:val="0"/>
          <w:szCs w:val="21"/>
          <w:u w:val="single"/>
        </w:rPr>
      </w:pPr>
      <w:r>
        <w:rPr>
          <w:rFonts w:hint="eastAsia" w:ascii="宋体" w:hAnsi="宋体"/>
          <w:snapToGrid w:val="0"/>
          <w:kern w:val="0"/>
          <w:szCs w:val="21"/>
        </w:rPr>
        <w:t>甲方：</w:t>
      </w:r>
      <w:r>
        <w:rPr>
          <w:rFonts w:hint="eastAsia" w:ascii="宋体" w:hAnsi="宋体"/>
          <w:snapToGrid w:val="0"/>
          <w:kern w:val="0"/>
          <w:szCs w:val="21"/>
          <w:u w:val="single"/>
        </w:rPr>
        <w:t xml:space="preserve">  广东中烟工业有限责任公司  </w:t>
      </w:r>
    </w:p>
    <w:p w14:paraId="5E35BF5A">
      <w:pPr>
        <w:snapToGrid w:val="0"/>
        <w:spacing w:line="300" w:lineRule="auto"/>
        <w:ind w:firstLine="420" w:firstLineChars="200"/>
        <w:jc w:val="left"/>
        <w:rPr>
          <w:rFonts w:ascii="宋体" w:hAnsi="宋体"/>
          <w:snapToGrid w:val="0"/>
          <w:kern w:val="0"/>
          <w:szCs w:val="21"/>
        </w:rPr>
      </w:pPr>
      <w:r>
        <w:rPr>
          <w:rFonts w:hint="eastAsia" w:ascii="宋体" w:hAnsi="宋体"/>
          <w:snapToGrid w:val="0"/>
          <w:kern w:val="0"/>
          <w:szCs w:val="21"/>
        </w:rPr>
        <w:t>乙方：</w:t>
      </w:r>
      <w:r>
        <w:rPr>
          <w:rFonts w:hint="eastAsia" w:ascii="宋体" w:hAnsi="宋体"/>
          <w:snapToGrid w:val="0"/>
          <w:kern w:val="0"/>
          <w:szCs w:val="21"/>
          <w:u w:val="single"/>
        </w:rPr>
        <w:t xml:space="preserve">                            </w:t>
      </w:r>
    </w:p>
    <w:p w14:paraId="01C021B6">
      <w:pPr>
        <w:spacing w:line="360" w:lineRule="auto"/>
        <w:ind w:left="17" w:leftChars="8" w:firstLine="422" w:firstLineChars="201"/>
        <w:rPr>
          <w:rFonts w:ascii="宋体" w:hAnsi="宋体"/>
          <w:szCs w:val="21"/>
        </w:rPr>
      </w:pPr>
    </w:p>
    <w:p w14:paraId="73F3EE49">
      <w:pPr>
        <w:spacing w:line="360" w:lineRule="auto"/>
        <w:ind w:left="17" w:leftChars="8" w:firstLine="422" w:firstLineChars="201"/>
        <w:rPr>
          <w:rFonts w:ascii="宋体" w:hAnsi="宋体"/>
          <w:szCs w:val="21"/>
        </w:rPr>
      </w:pPr>
      <w:r>
        <w:rPr>
          <w:rFonts w:hint="eastAsia" w:ascii="宋体" w:hAnsi="宋体"/>
          <w:szCs w:val="21"/>
        </w:rPr>
        <w:t>为贯彻“安全第一，预防为主，综合治理”的方针，保障甲乙双方权益，促进甲乙双方履行安全环保法规义务，全面规范双方服务全过程安全和环保管理，甲、乙双方均应严格遵守和履行本协议规定的内容，确保本项目顺利实施。</w:t>
      </w:r>
    </w:p>
    <w:p w14:paraId="5DCA93A9">
      <w:pPr>
        <w:spacing w:line="360" w:lineRule="auto"/>
        <w:ind w:left="17" w:leftChars="8" w:firstLine="422" w:firstLineChars="201"/>
        <w:rPr>
          <w:rFonts w:ascii="宋体" w:hAnsi="宋体"/>
          <w:szCs w:val="21"/>
        </w:rPr>
      </w:pPr>
      <w:r>
        <w:rPr>
          <w:rFonts w:hint="eastAsia" w:ascii="宋体" w:hAnsi="宋体"/>
          <w:szCs w:val="21"/>
        </w:rPr>
        <w:t>双方本着平等、自愿的原则签订本协议书，作为甲乙双方于本协议签署之日同时签署的《</w:t>
      </w:r>
      <w:r>
        <w:rPr>
          <w:rFonts w:hint="eastAsia" w:ascii="宋体" w:hAnsi="宋体"/>
          <w:snapToGrid w:val="0"/>
          <w:kern w:val="0"/>
          <w:szCs w:val="21"/>
          <w:u w:val="single"/>
        </w:rPr>
        <w:t>广州卷烟厂石马仓库基建维修改造工程项目施工总承包建设施工</w:t>
      </w:r>
      <w:r>
        <w:rPr>
          <w:rFonts w:hint="eastAsia" w:ascii="宋体" w:hAnsi="宋体"/>
          <w:szCs w:val="21"/>
        </w:rPr>
        <w:t>合同》（合同编号：</w:t>
      </w:r>
      <w:r>
        <w:rPr>
          <w:rFonts w:hint="eastAsia" w:ascii="宋体" w:hAnsi="宋体"/>
          <w:snapToGrid w:val="0"/>
          <w:kern w:val="0"/>
          <w:szCs w:val="21"/>
          <w:u w:val="single"/>
        </w:rPr>
        <w:t xml:space="preserve">           </w:t>
      </w:r>
      <w:r>
        <w:rPr>
          <w:rFonts w:hint="eastAsia" w:ascii="宋体" w:hAnsi="宋体"/>
          <w:szCs w:val="21"/>
        </w:rPr>
        <w:t>）（下称“主合同”）的附件，双方共同遵守，与合同主体同时生效。</w:t>
      </w:r>
    </w:p>
    <w:p w14:paraId="5D8A481C">
      <w:pPr>
        <w:spacing w:line="360" w:lineRule="auto"/>
        <w:ind w:firstLine="495" w:firstLineChars="235"/>
        <w:rPr>
          <w:rFonts w:ascii="宋体" w:hAnsi="宋体"/>
          <w:b/>
          <w:szCs w:val="21"/>
        </w:rPr>
      </w:pPr>
      <w:r>
        <w:rPr>
          <w:rFonts w:hint="eastAsia" w:ascii="宋体" w:hAnsi="宋体"/>
          <w:b/>
          <w:szCs w:val="21"/>
        </w:rPr>
        <w:t>一、安全环保责任与权利</w:t>
      </w:r>
    </w:p>
    <w:p w14:paraId="1525774E">
      <w:pPr>
        <w:spacing w:line="360" w:lineRule="auto"/>
        <w:ind w:firstLine="373" w:firstLineChars="177"/>
        <w:rPr>
          <w:rFonts w:ascii="宋体"/>
          <w:b/>
          <w:szCs w:val="21"/>
        </w:rPr>
      </w:pPr>
      <w:r>
        <w:rPr>
          <w:rFonts w:hint="eastAsia" w:ascii="宋体" w:hAnsi="宋体"/>
          <w:b/>
          <w:szCs w:val="21"/>
        </w:rPr>
        <w:t>（一）合同有效期内，甲方在服务有效期内具有以下权责：</w:t>
      </w:r>
    </w:p>
    <w:p w14:paraId="4CCF766D">
      <w:pPr>
        <w:numPr>
          <w:ilvl w:val="0"/>
          <w:numId w:val="22"/>
        </w:numPr>
        <w:spacing w:line="360" w:lineRule="auto"/>
        <w:ind w:left="0" w:firstLine="426"/>
        <w:rPr>
          <w:rFonts w:ascii="宋体"/>
          <w:kern w:val="0"/>
          <w:szCs w:val="21"/>
        </w:rPr>
      </w:pPr>
      <w:r>
        <w:rPr>
          <w:rFonts w:hint="eastAsia" w:ascii="宋体"/>
          <w:kern w:val="0"/>
          <w:szCs w:val="21"/>
        </w:rPr>
        <w:t>向乙方告知甲方有关的职业健康安全、环境保护要求和有关风险、职业病危害因素和检测结果，提供有关安全、环保的管理规定和注意事项；</w:t>
      </w:r>
    </w:p>
    <w:p w14:paraId="4BEAAC7A">
      <w:pPr>
        <w:pStyle w:val="26"/>
        <w:spacing w:line="360" w:lineRule="auto"/>
        <w:ind w:firstLine="371" w:firstLineChars="177"/>
        <w:rPr>
          <w:szCs w:val="21"/>
        </w:rPr>
      </w:pPr>
      <w:r>
        <w:rPr>
          <w:rFonts w:hint="eastAsia"/>
          <w:szCs w:val="21"/>
        </w:rPr>
        <w:t>经</w:t>
      </w:r>
      <w:r>
        <w:rPr>
          <w:szCs w:val="21"/>
        </w:rPr>
        <w:t>甲方</w:t>
      </w:r>
      <w:r>
        <w:rPr>
          <w:rFonts w:hint="eastAsia"/>
          <w:szCs w:val="21"/>
        </w:rPr>
        <w:t>调查</w:t>
      </w:r>
      <w:r>
        <w:rPr>
          <w:szCs w:val="21"/>
        </w:rPr>
        <w:t>，</w:t>
      </w:r>
      <w:r>
        <w:rPr>
          <w:rFonts w:hint="eastAsia"/>
          <w:szCs w:val="21"/>
        </w:rPr>
        <w:t>现</w:t>
      </w:r>
      <w:r>
        <w:rPr>
          <w:szCs w:val="21"/>
        </w:rPr>
        <w:t>阶段</w:t>
      </w:r>
      <w:r>
        <w:rPr>
          <w:rFonts w:hint="eastAsia"/>
          <w:szCs w:val="21"/>
        </w:rPr>
        <w:t>甲方</w:t>
      </w:r>
      <w:r>
        <w:rPr>
          <w:szCs w:val="21"/>
        </w:rPr>
        <w:t>单位主</w:t>
      </w:r>
      <w:r>
        <w:rPr>
          <w:rFonts w:hint="eastAsia"/>
          <w:szCs w:val="21"/>
        </w:rPr>
        <w:t>要职业</w:t>
      </w:r>
      <w:r>
        <w:rPr>
          <w:szCs w:val="21"/>
        </w:rPr>
        <w:t>健康安全风险</w:t>
      </w:r>
      <w:r>
        <w:rPr>
          <w:rFonts w:hint="eastAsia"/>
          <w:szCs w:val="21"/>
        </w:rPr>
        <w:t>因素和</w:t>
      </w:r>
      <w:r>
        <w:rPr>
          <w:szCs w:val="21"/>
        </w:rPr>
        <w:t>职业病危害因素为</w:t>
      </w:r>
      <w:r>
        <w:rPr>
          <w:rFonts w:hint="eastAsia"/>
          <w:szCs w:val="21"/>
        </w:rPr>
        <w:t>接触</w:t>
      </w:r>
      <w:r>
        <w:rPr>
          <w:szCs w:val="21"/>
        </w:rPr>
        <w:t>粉尘</w:t>
      </w:r>
      <w:r>
        <w:rPr>
          <w:rFonts w:hint="eastAsia"/>
          <w:szCs w:val="21"/>
        </w:rPr>
        <w:t>和</w:t>
      </w:r>
      <w:r>
        <w:rPr>
          <w:szCs w:val="21"/>
        </w:rPr>
        <w:t>接触</w:t>
      </w:r>
      <w:r>
        <w:rPr>
          <w:rFonts w:hint="eastAsia"/>
          <w:szCs w:val="21"/>
        </w:rPr>
        <w:t>噪音。乙方</w:t>
      </w:r>
      <w:r>
        <w:rPr>
          <w:szCs w:val="21"/>
        </w:rPr>
        <w:t>在全面防范</w:t>
      </w:r>
      <w:r>
        <w:rPr>
          <w:rFonts w:hint="eastAsia"/>
          <w:szCs w:val="21"/>
        </w:rPr>
        <w:t>职业</w:t>
      </w:r>
      <w:r>
        <w:rPr>
          <w:szCs w:val="21"/>
        </w:rPr>
        <w:t>病</w:t>
      </w:r>
      <w:r>
        <w:rPr>
          <w:rFonts w:hint="eastAsia"/>
          <w:szCs w:val="21"/>
        </w:rPr>
        <w:t>过程</w:t>
      </w:r>
      <w:r>
        <w:rPr>
          <w:szCs w:val="21"/>
        </w:rPr>
        <w:t>中应重点关注前述</w:t>
      </w:r>
      <w:r>
        <w:rPr>
          <w:rFonts w:hint="eastAsia"/>
          <w:szCs w:val="21"/>
        </w:rPr>
        <w:t>因素。如果</w:t>
      </w:r>
      <w:r>
        <w:rPr>
          <w:szCs w:val="21"/>
        </w:rPr>
        <w:t>乙方</w:t>
      </w:r>
      <w:r>
        <w:rPr>
          <w:rFonts w:hint="eastAsia"/>
          <w:szCs w:val="21"/>
        </w:rPr>
        <w:t>履行合同</w:t>
      </w:r>
      <w:r>
        <w:rPr>
          <w:szCs w:val="21"/>
        </w:rPr>
        <w:t>过程中已经或可能产生</w:t>
      </w:r>
      <w:r>
        <w:rPr>
          <w:rFonts w:hint="eastAsia"/>
          <w:szCs w:val="21"/>
        </w:rPr>
        <w:t>或</w:t>
      </w:r>
      <w:r>
        <w:rPr>
          <w:szCs w:val="21"/>
        </w:rPr>
        <w:t>发</w:t>
      </w:r>
      <w:r>
        <w:rPr>
          <w:rFonts w:hint="eastAsia"/>
          <w:szCs w:val="21"/>
        </w:rPr>
        <w:t>现</w:t>
      </w:r>
      <w:r>
        <w:rPr>
          <w:szCs w:val="21"/>
        </w:rPr>
        <w:t>其它职工</w:t>
      </w:r>
      <w:r>
        <w:rPr>
          <w:rFonts w:hint="eastAsia"/>
          <w:szCs w:val="21"/>
        </w:rPr>
        <w:t>病</w:t>
      </w:r>
      <w:r>
        <w:rPr>
          <w:szCs w:val="21"/>
        </w:rPr>
        <w:t>危害因素，乙方应及时向甲方通报。</w:t>
      </w:r>
    </w:p>
    <w:p w14:paraId="6C4D823B">
      <w:pPr>
        <w:numPr>
          <w:ilvl w:val="0"/>
          <w:numId w:val="22"/>
        </w:numPr>
        <w:spacing w:line="360" w:lineRule="auto"/>
        <w:ind w:left="0" w:firstLine="426"/>
        <w:rPr>
          <w:rFonts w:ascii="宋体"/>
          <w:kern w:val="0"/>
          <w:szCs w:val="21"/>
        </w:rPr>
      </w:pPr>
      <w:r>
        <w:rPr>
          <w:rFonts w:hint="eastAsia" w:ascii="宋体"/>
          <w:kern w:val="0"/>
          <w:szCs w:val="21"/>
        </w:rPr>
        <w:t>甲方有权对乙方作业过程的安全生产、环保管理、职业病防治工作进行监督检查，有权制止违章作业、违章指挥、违反劳动纪律和破坏环境等行为，对存在的安全隐患提出整改要求。乙方违规操作、违反规定或造成安全环保事故等的，视为乙方违约，乙方需向甲方承担违约责任。</w:t>
      </w:r>
    </w:p>
    <w:p w14:paraId="6EF8F2AB">
      <w:pPr>
        <w:numPr>
          <w:ilvl w:val="0"/>
          <w:numId w:val="22"/>
        </w:numPr>
        <w:spacing w:line="360" w:lineRule="auto"/>
        <w:ind w:left="0" w:firstLine="426"/>
        <w:rPr>
          <w:rFonts w:ascii="宋体"/>
          <w:kern w:val="0"/>
          <w:szCs w:val="21"/>
        </w:rPr>
      </w:pPr>
      <w:r>
        <w:rPr>
          <w:rFonts w:hint="eastAsia" w:ascii="宋体"/>
          <w:kern w:val="0"/>
          <w:szCs w:val="21"/>
        </w:rPr>
        <w:t>对进入甲方区域作业的乙方人员进行安全告知或交底，有权要求乙方配合甲方组织开展相关安全环保培训工作。</w:t>
      </w:r>
    </w:p>
    <w:p w14:paraId="1DF45FAF">
      <w:pPr>
        <w:numPr>
          <w:ilvl w:val="0"/>
          <w:numId w:val="22"/>
        </w:numPr>
        <w:spacing w:line="360" w:lineRule="auto"/>
        <w:ind w:left="0" w:firstLine="426"/>
        <w:rPr>
          <w:rFonts w:ascii="宋体"/>
          <w:kern w:val="0"/>
          <w:szCs w:val="21"/>
        </w:rPr>
      </w:pPr>
      <w:r>
        <w:rPr>
          <w:rFonts w:hint="eastAsia" w:ascii="宋体"/>
          <w:kern w:val="0"/>
          <w:szCs w:val="21"/>
        </w:rPr>
        <w:t>在甲方区域内作业期间，甲方应向乙方提供必要的安全作业条件，如合同另有约定除外。</w:t>
      </w:r>
    </w:p>
    <w:p w14:paraId="737BDF7B">
      <w:pPr>
        <w:numPr>
          <w:ilvl w:val="0"/>
          <w:numId w:val="22"/>
        </w:numPr>
        <w:spacing w:line="360" w:lineRule="auto"/>
        <w:ind w:left="0" w:firstLine="426"/>
        <w:rPr>
          <w:rFonts w:ascii="宋体"/>
          <w:kern w:val="0"/>
          <w:szCs w:val="21"/>
        </w:rPr>
      </w:pPr>
      <w:r>
        <w:rPr>
          <w:rFonts w:hint="eastAsia" w:ascii="宋体"/>
          <w:kern w:val="0"/>
          <w:szCs w:val="21"/>
        </w:rPr>
        <w:t>配合乙方完成在甲方区域内的危险作业审批和监督检查工作，并提出安全、环保的防护要求。</w:t>
      </w:r>
    </w:p>
    <w:p w14:paraId="6497AA7C">
      <w:pPr>
        <w:numPr>
          <w:ilvl w:val="0"/>
          <w:numId w:val="22"/>
        </w:numPr>
        <w:spacing w:line="360" w:lineRule="auto"/>
        <w:ind w:left="0" w:firstLine="426"/>
        <w:rPr>
          <w:rFonts w:ascii="宋体"/>
          <w:kern w:val="0"/>
          <w:szCs w:val="21"/>
        </w:rPr>
      </w:pPr>
      <w:r>
        <w:rPr>
          <w:rFonts w:hint="eastAsia" w:ascii="宋体"/>
          <w:kern w:val="0"/>
          <w:szCs w:val="21"/>
        </w:rPr>
        <w:t>甲方不得要求乙方从事超出安全环保作业许可范围和违反安全环保法规等的行为。</w:t>
      </w:r>
    </w:p>
    <w:p w14:paraId="2F50FD20">
      <w:pPr>
        <w:numPr>
          <w:ilvl w:val="0"/>
          <w:numId w:val="22"/>
        </w:numPr>
        <w:spacing w:line="360" w:lineRule="auto"/>
        <w:ind w:left="0" w:firstLine="426"/>
        <w:rPr>
          <w:rFonts w:ascii="宋体"/>
          <w:kern w:val="0"/>
          <w:szCs w:val="21"/>
        </w:rPr>
      </w:pPr>
      <w:r>
        <w:rPr>
          <w:rFonts w:hint="eastAsia" w:ascii="宋体"/>
          <w:kern w:val="0"/>
          <w:szCs w:val="21"/>
        </w:rPr>
        <w:t>应将乙方作业过程纳入甲方安全环保监管范畴，并提出安全环保相关改进建议，以符合甲方安全、环保管理标准或体系的相关要求。</w:t>
      </w:r>
    </w:p>
    <w:p w14:paraId="6A5F90D1">
      <w:pPr>
        <w:numPr>
          <w:ilvl w:val="0"/>
          <w:numId w:val="22"/>
        </w:numPr>
        <w:spacing w:line="360" w:lineRule="auto"/>
        <w:ind w:left="0" w:firstLine="426"/>
        <w:rPr>
          <w:rFonts w:ascii="宋体"/>
          <w:kern w:val="0"/>
          <w:szCs w:val="21"/>
        </w:rPr>
      </w:pPr>
      <w:r>
        <w:rPr>
          <w:rFonts w:hint="eastAsia" w:ascii="宋体"/>
          <w:kern w:val="0"/>
          <w:szCs w:val="21"/>
        </w:rPr>
        <w:t>非甲方责任范围内，甲方不负责乙方财产、设备设施及其他有价物品、重要的文件资料等保管保护。</w:t>
      </w:r>
    </w:p>
    <w:p w14:paraId="613F09AD">
      <w:pPr>
        <w:numPr>
          <w:ilvl w:val="0"/>
          <w:numId w:val="22"/>
        </w:numPr>
        <w:spacing w:line="360" w:lineRule="auto"/>
        <w:ind w:left="0" w:firstLine="426"/>
        <w:rPr>
          <w:rFonts w:ascii="宋体"/>
          <w:kern w:val="0"/>
          <w:szCs w:val="21"/>
        </w:rPr>
      </w:pPr>
      <w:r>
        <w:rPr>
          <w:rFonts w:hint="eastAsia" w:ascii="宋体"/>
          <w:kern w:val="0"/>
          <w:szCs w:val="21"/>
        </w:rPr>
        <w:t>监督乙方对相关安全职责的落实情况，必要时可提出整改或扣减违约金要求。</w:t>
      </w:r>
    </w:p>
    <w:p w14:paraId="6534D58B">
      <w:pPr>
        <w:numPr>
          <w:ilvl w:val="0"/>
          <w:numId w:val="22"/>
        </w:numPr>
        <w:spacing w:line="360" w:lineRule="auto"/>
        <w:ind w:left="0" w:firstLine="426"/>
        <w:rPr>
          <w:rFonts w:ascii="宋体"/>
          <w:kern w:val="0"/>
          <w:szCs w:val="21"/>
        </w:rPr>
      </w:pPr>
      <w:r>
        <w:rPr>
          <w:rFonts w:hint="eastAsia" w:ascii="宋体"/>
          <w:kern w:val="0"/>
          <w:szCs w:val="21"/>
        </w:rPr>
        <w:t>遵守国家法律法规和企业标准规范的其它安全环保要求。</w:t>
      </w:r>
    </w:p>
    <w:p w14:paraId="6C1054FF">
      <w:pPr>
        <w:spacing w:line="360" w:lineRule="auto"/>
        <w:ind w:firstLine="422" w:firstLineChars="200"/>
        <w:rPr>
          <w:rFonts w:ascii="宋体"/>
          <w:b/>
          <w:kern w:val="0"/>
          <w:szCs w:val="21"/>
        </w:rPr>
      </w:pPr>
      <w:r>
        <w:rPr>
          <w:rFonts w:hint="eastAsia" w:ascii="宋体"/>
          <w:b/>
          <w:kern w:val="0"/>
          <w:szCs w:val="21"/>
        </w:rPr>
        <w:t>（二）合同有效期内，乙方在服务有效期内具有以下权责：</w:t>
      </w:r>
    </w:p>
    <w:p w14:paraId="0578E8A7">
      <w:pPr>
        <w:numPr>
          <w:ilvl w:val="0"/>
          <w:numId w:val="23"/>
        </w:numPr>
        <w:spacing w:line="360" w:lineRule="auto"/>
        <w:ind w:left="0" w:firstLine="567"/>
        <w:rPr>
          <w:rFonts w:ascii="宋体"/>
          <w:kern w:val="0"/>
          <w:szCs w:val="21"/>
        </w:rPr>
      </w:pPr>
      <w:r>
        <w:rPr>
          <w:rFonts w:hint="eastAsia"/>
          <w:color w:val="333333"/>
          <w:szCs w:val="21"/>
        </w:rPr>
        <w:t>乙方是</w:t>
      </w:r>
      <w:r>
        <w:rPr>
          <w:color w:val="333333"/>
          <w:szCs w:val="21"/>
        </w:rPr>
        <w:t>承包业务安全生产的责任主体，对所承</w:t>
      </w:r>
      <w:r>
        <w:rPr>
          <w:rFonts w:hint="eastAsia"/>
          <w:color w:val="333333"/>
          <w:szCs w:val="21"/>
        </w:rPr>
        <w:t>包</w:t>
      </w:r>
      <w:r>
        <w:rPr>
          <w:color w:val="333333"/>
          <w:szCs w:val="21"/>
        </w:rPr>
        <w:t>业务的安全生产工作全面负责。</w:t>
      </w:r>
    </w:p>
    <w:p w14:paraId="26C261FD">
      <w:pPr>
        <w:numPr>
          <w:ilvl w:val="0"/>
          <w:numId w:val="23"/>
        </w:numPr>
        <w:spacing w:line="360" w:lineRule="auto"/>
        <w:ind w:left="0" w:firstLine="567"/>
        <w:rPr>
          <w:rFonts w:ascii="宋体"/>
          <w:kern w:val="0"/>
          <w:szCs w:val="21"/>
        </w:rPr>
      </w:pPr>
      <w:r>
        <w:rPr>
          <w:rFonts w:hint="eastAsia" w:ascii="宋体"/>
          <w:kern w:val="0"/>
          <w:szCs w:val="21"/>
        </w:rPr>
        <w:t>应具备安全服务的条件和相关资质（可能包括但不限于作业人员资质、安全许可资质、环保资质、运输资质等），满足安全生产和环保规范要求，并向甲方提供必要的备案资料。</w:t>
      </w:r>
    </w:p>
    <w:p w14:paraId="2CB08E21">
      <w:pPr>
        <w:numPr>
          <w:ilvl w:val="0"/>
          <w:numId w:val="23"/>
        </w:numPr>
        <w:spacing w:line="360" w:lineRule="auto"/>
        <w:ind w:left="0" w:firstLine="567"/>
        <w:rPr>
          <w:rFonts w:ascii="宋体"/>
          <w:kern w:val="0"/>
          <w:szCs w:val="21"/>
        </w:rPr>
      </w:pPr>
      <w:r>
        <w:rPr>
          <w:rFonts w:hint="eastAsia" w:ascii="宋体"/>
          <w:kern w:val="0"/>
          <w:szCs w:val="21"/>
        </w:rPr>
        <w:t>建立健全安全生产责任制度和安全生产教育培训制度，制定安全操作规程，其中</w:t>
      </w:r>
      <w:r>
        <w:rPr>
          <w:rFonts w:ascii="宋体"/>
          <w:kern w:val="0"/>
          <w:szCs w:val="21"/>
        </w:rPr>
        <w:t>，生产性业务外包相关方还应制定上岗人员流动和换岗、设备设施日常管理和维检修</w:t>
      </w:r>
      <w:r>
        <w:rPr>
          <w:rFonts w:hint="eastAsia" w:ascii="宋体"/>
          <w:kern w:val="0"/>
          <w:szCs w:val="21"/>
        </w:rPr>
        <w:t>、</w:t>
      </w:r>
      <w:r>
        <w:rPr>
          <w:rFonts w:ascii="宋体"/>
          <w:kern w:val="0"/>
          <w:szCs w:val="21"/>
        </w:rPr>
        <w:t>危险作业管理、作业现场风险管控和隐患排查、</w:t>
      </w:r>
      <w:r>
        <w:rPr>
          <w:rFonts w:hint="eastAsia" w:ascii="宋体"/>
          <w:kern w:val="0"/>
          <w:szCs w:val="21"/>
        </w:rPr>
        <w:t>事件</w:t>
      </w:r>
      <w:r>
        <w:rPr>
          <w:rFonts w:ascii="宋体"/>
          <w:kern w:val="0"/>
          <w:szCs w:val="21"/>
        </w:rPr>
        <w:t>事故报告和处理</w:t>
      </w:r>
      <w:r>
        <w:rPr>
          <w:rFonts w:hint="eastAsia" w:ascii="宋体"/>
          <w:kern w:val="0"/>
          <w:szCs w:val="21"/>
        </w:rPr>
        <w:t>等安全</w:t>
      </w:r>
      <w:r>
        <w:rPr>
          <w:rFonts w:ascii="宋体"/>
          <w:kern w:val="0"/>
          <w:szCs w:val="21"/>
        </w:rPr>
        <w:t>生产</w:t>
      </w:r>
      <w:r>
        <w:rPr>
          <w:rFonts w:hint="eastAsia" w:ascii="宋体"/>
          <w:kern w:val="0"/>
          <w:szCs w:val="21"/>
        </w:rPr>
        <w:t>规章</w:t>
      </w:r>
      <w:r>
        <w:rPr>
          <w:rFonts w:ascii="宋体"/>
          <w:kern w:val="0"/>
          <w:szCs w:val="21"/>
        </w:rPr>
        <w:t>制度</w:t>
      </w:r>
      <w:r>
        <w:rPr>
          <w:rFonts w:hint="eastAsia" w:ascii="宋体"/>
          <w:kern w:val="0"/>
          <w:szCs w:val="21"/>
        </w:rPr>
        <w:t>；上述安全</w:t>
      </w:r>
      <w:r>
        <w:rPr>
          <w:rFonts w:ascii="宋体"/>
          <w:kern w:val="0"/>
          <w:szCs w:val="21"/>
        </w:rPr>
        <w:t>生产</w:t>
      </w:r>
      <w:r>
        <w:rPr>
          <w:rFonts w:hint="eastAsia" w:ascii="宋体"/>
          <w:kern w:val="0"/>
          <w:szCs w:val="21"/>
        </w:rPr>
        <w:t>规章</w:t>
      </w:r>
      <w:r>
        <w:rPr>
          <w:rFonts w:ascii="宋体"/>
          <w:kern w:val="0"/>
          <w:szCs w:val="21"/>
        </w:rPr>
        <w:t>制度</w:t>
      </w:r>
      <w:r>
        <w:rPr>
          <w:rFonts w:hint="eastAsia" w:ascii="宋体"/>
          <w:kern w:val="0"/>
          <w:szCs w:val="21"/>
        </w:rPr>
        <w:t>应符合所</w:t>
      </w:r>
      <w:r>
        <w:rPr>
          <w:rFonts w:ascii="宋体"/>
          <w:kern w:val="0"/>
          <w:szCs w:val="21"/>
        </w:rPr>
        <w:t>承包业务安全管理的相关要求，并报</w:t>
      </w:r>
      <w:r>
        <w:rPr>
          <w:rFonts w:hint="eastAsia" w:ascii="宋体"/>
          <w:kern w:val="0"/>
          <w:szCs w:val="21"/>
        </w:rPr>
        <w:t>甲方备案审查。</w:t>
      </w:r>
    </w:p>
    <w:p w14:paraId="016FF604">
      <w:pPr>
        <w:numPr>
          <w:ilvl w:val="0"/>
          <w:numId w:val="23"/>
        </w:numPr>
        <w:spacing w:line="360" w:lineRule="auto"/>
        <w:ind w:left="0" w:firstLine="567"/>
        <w:rPr>
          <w:rFonts w:ascii="宋体"/>
          <w:kern w:val="0"/>
          <w:szCs w:val="21"/>
        </w:rPr>
      </w:pPr>
      <w:r>
        <w:rPr>
          <w:rFonts w:hint="eastAsia" w:ascii="宋体"/>
          <w:kern w:val="0"/>
          <w:szCs w:val="21"/>
        </w:rPr>
        <w:t>按照法规要求建立安全机构或组织，指定承包业务安全环保责任人和配备</w:t>
      </w:r>
      <w:r>
        <w:rPr>
          <w:rFonts w:ascii="宋体"/>
          <w:kern w:val="0"/>
          <w:szCs w:val="21"/>
        </w:rPr>
        <w:t>安全员</w:t>
      </w:r>
      <w:r>
        <w:rPr>
          <w:rFonts w:hint="eastAsia" w:ascii="宋体"/>
          <w:kern w:val="0"/>
          <w:szCs w:val="21"/>
        </w:rPr>
        <w:t>，并向甲方提交单位安全环保负责人、项目安全环保负责人、专（兼）职</w:t>
      </w:r>
      <w:r>
        <w:rPr>
          <w:rFonts w:ascii="宋体"/>
          <w:kern w:val="0"/>
          <w:szCs w:val="21"/>
        </w:rPr>
        <w:t>安全员的</w:t>
      </w:r>
      <w:r>
        <w:rPr>
          <w:rFonts w:hint="eastAsia" w:ascii="宋体"/>
          <w:kern w:val="0"/>
          <w:szCs w:val="21"/>
        </w:rPr>
        <w:t>身份证、相关资格证书复印件。</w:t>
      </w:r>
    </w:p>
    <w:p w14:paraId="362972F3">
      <w:pPr>
        <w:numPr>
          <w:ilvl w:val="0"/>
          <w:numId w:val="23"/>
        </w:numPr>
        <w:spacing w:line="360" w:lineRule="auto"/>
        <w:ind w:left="0" w:firstLine="567"/>
        <w:rPr>
          <w:rFonts w:ascii="宋体"/>
          <w:kern w:val="0"/>
          <w:szCs w:val="21"/>
        </w:rPr>
      </w:pPr>
      <w:r>
        <w:rPr>
          <w:rFonts w:hint="eastAsia" w:ascii="宋体"/>
          <w:kern w:val="0"/>
          <w:szCs w:val="21"/>
        </w:rPr>
        <w:t>对所承担的承包业务进行定期和专项安全环保检查，并做好检查记录。</w:t>
      </w:r>
    </w:p>
    <w:p w14:paraId="5AE72E37">
      <w:pPr>
        <w:numPr>
          <w:ilvl w:val="0"/>
          <w:numId w:val="23"/>
        </w:numPr>
        <w:spacing w:line="360" w:lineRule="auto"/>
        <w:ind w:left="0" w:firstLine="567"/>
        <w:rPr>
          <w:rFonts w:ascii="宋体"/>
          <w:kern w:val="0"/>
          <w:szCs w:val="21"/>
        </w:rPr>
      </w:pPr>
      <w:r>
        <w:rPr>
          <w:rFonts w:hint="eastAsia" w:ascii="宋体"/>
          <w:kern w:val="0"/>
          <w:szCs w:val="21"/>
        </w:rPr>
        <w:t>配备服务过程所需的合格有效的劳动防护用品、安全用具和环保设备，落实服务人员的劳动保护和作业过程环境保护措施，保证服务过程中的设备、设施、器具等符合安全使用要求。</w:t>
      </w:r>
    </w:p>
    <w:p w14:paraId="3DDA50A9">
      <w:pPr>
        <w:numPr>
          <w:ilvl w:val="0"/>
          <w:numId w:val="23"/>
        </w:numPr>
        <w:spacing w:line="360" w:lineRule="auto"/>
        <w:ind w:left="0" w:firstLine="567"/>
        <w:rPr>
          <w:rFonts w:ascii="宋体"/>
          <w:kern w:val="0"/>
          <w:szCs w:val="21"/>
        </w:rPr>
      </w:pPr>
      <w:r>
        <w:rPr>
          <w:rFonts w:hint="eastAsia" w:ascii="宋体"/>
          <w:kern w:val="0"/>
          <w:szCs w:val="21"/>
        </w:rPr>
        <w:t>不得对甲方区域或自然环境造成破坏，不得随意排放废水、废气、固废等，严禁使用国家或地方法规明令淘汰、禁用的车辆和器具，严禁使用不符合环境保护要求的化学试剂、材料和其他物品。</w:t>
      </w:r>
    </w:p>
    <w:p w14:paraId="0349BB1A">
      <w:pPr>
        <w:numPr>
          <w:ilvl w:val="0"/>
          <w:numId w:val="23"/>
        </w:numPr>
        <w:spacing w:line="360" w:lineRule="auto"/>
        <w:ind w:left="0" w:firstLine="480"/>
        <w:rPr>
          <w:rFonts w:ascii="宋体"/>
          <w:kern w:val="0"/>
          <w:szCs w:val="21"/>
        </w:rPr>
      </w:pPr>
      <w:r>
        <w:rPr>
          <w:rFonts w:hint="eastAsia" w:ascii="宋体"/>
          <w:kern w:val="0"/>
          <w:szCs w:val="21"/>
        </w:rPr>
        <w:t>依法对</w:t>
      </w:r>
      <w:r>
        <w:rPr>
          <w:rFonts w:ascii="宋体"/>
          <w:kern w:val="0"/>
          <w:szCs w:val="21"/>
        </w:rPr>
        <w:t>各级人员</w:t>
      </w:r>
      <w:r>
        <w:rPr>
          <w:rFonts w:hint="eastAsia" w:ascii="宋体"/>
          <w:kern w:val="0"/>
          <w:szCs w:val="21"/>
        </w:rPr>
        <w:t>进行</w:t>
      </w:r>
      <w:r>
        <w:rPr>
          <w:rFonts w:ascii="宋体"/>
          <w:kern w:val="0"/>
          <w:szCs w:val="21"/>
        </w:rPr>
        <w:t>安全教育培训、资质考核取证；</w:t>
      </w:r>
      <w:r>
        <w:rPr>
          <w:rFonts w:hint="eastAsia" w:ascii="宋体"/>
          <w:kern w:val="0"/>
          <w:szCs w:val="21"/>
        </w:rPr>
        <w:t>生产性业务</w:t>
      </w:r>
      <w:r>
        <w:rPr>
          <w:rFonts w:ascii="宋体"/>
          <w:kern w:val="0"/>
          <w:szCs w:val="21"/>
        </w:rPr>
        <w:t>外包相关方三级安全教育的教材和大纲应报甲方备案审查；</w:t>
      </w:r>
      <w:r>
        <w:rPr>
          <w:rFonts w:hint="eastAsia" w:ascii="宋体"/>
          <w:kern w:val="0"/>
          <w:szCs w:val="21"/>
        </w:rPr>
        <w:t>配合甲方的安全交底和监督检查等工作，并按照甲方的管理要求规范员工的培训教育和过程管理。</w:t>
      </w:r>
    </w:p>
    <w:p w14:paraId="407260A5">
      <w:pPr>
        <w:numPr>
          <w:ilvl w:val="0"/>
          <w:numId w:val="23"/>
        </w:numPr>
        <w:spacing w:line="360" w:lineRule="auto"/>
        <w:ind w:left="0" w:firstLine="480"/>
        <w:rPr>
          <w:rFonts w:ascii="宋体"/>
          <w:kern w:val="0"/>
          <w:szCs w:val="21"/>
        </w:rPr>
      </w:pPr>
      <w:r>
        <w:rPr>
          <w:rFonts w:hint="eastAsia" w:ascii="宋体"/>
          <w:kern w:val="0"/>
          <w:szCs w:val="21"/>
        </w:rPr>
        <w:t>按国家政府的有关规定，为在甲方服务的人员办理工伤保险或意外保险，应遵守国家和地方关于劳动安全、劳务用工等相关法律法规，保证用工的合法性，不得使用童工和安排女工从事禁忌作业；所有从事特种作业的人员必须相应持有政府部门核发的有效资格证。</w:t>
      </w:r>
    </w:p>
    <w:p w14:paraId="388AA2B7">
      <w:pPr>
        <w:numPr>
          <w:ilvl w:val="0"/>
          <w:numId w:val="23"/>
        </w:numPr>
        <w:spacing w:line="360" w:lineRule="auto"/>
        <w:ind w:left="0" w:firstLine="480"/>
        <w:rPr>
          <w:rFonts w:ascii="宋体"/>
          <w:kern w:val="0"/>
          <w:szCs w:val="21"/>
        </w:rPr>
      </w:pPr>
      <w:r>
        <w:rPr>
          <w:rFonts w:hint="eastAsia" w:ascii="宋体"/>
          <w:kern w:val="0"/>
          <w:szCs w:val="21"/>
        </w:rPr>
        <w:t>进入甲方区域的作业人员和运输车辆应遵守甲方区域内治安保卫、交通安全、环境保护等相关管理规定，进行出入许可登记，人员规范着装，文明举止，严禁出现盗窃甲方物品的行为，严禁酒后上岗和流动吸烟。</w:t>
      </w:r>
    </w:p>
    <w:p w14:paraId="2B8FCDF6">
      <w:pPr>
        <w:numPr>
          <w:ilvl w:val="0"/>
          <w:numId w:val="23"/>
        </w:numPr>
        <w:spacing w:line="360" w:lineRule="auto"/>
        <w:ind w:left="0" w:firstLine="480"/>
        <w:rPr>
          <w:rFonts w:ascii="宋体"/>
          <w:kern w:val="0"/>
          <w:szCs w:val="21"/>
        </w:rPr>
      </w:pPr>
      <w:r>
        <w:rPr>
          <w:rFonts w:hint="eastAsia" w:ascii="宋体"/>
          <w:kern w:val="0"/>
          <w:szCs w:val="21"/>
        </w:rPr>
        <w:t>有权拒绝违章指挥和其他不安全行为，并提出合理的安全建议。</w:t>
      </w:r>
    </w:p>
    <w:p w14:paraId="57F6401F">
      <w:pPr>
        <w:numPr>
          <w:ilvl w:val="0"/>
          <w:numId w:val="23"/>
        </w:numPr>
        <w:spacing w:line="360" w:lineRule="auto"/>
        <w:ind w:left="0" w:firstLine="425"/>
        <w:rPr>
          <w:rFonts w:ascii="宋体"/>
          <w:kern w:val="0"/>
          <w:szCs w:val="21"/>
        </w:rPr>
      </w:pPr>
      <w:r>
        <w:rPr>
          <w:rFonts w:hint="eastAsia" w:ascii="宋体"/>
          <w:kern w:val="0"/>
          <w:szCs w:val="21"/>
        </w:rPr>
        <w:t>乙方在项目作业前，需进行详细的风险辨识及环境因素辨识，确定风险控制措施，形成风险控制清单，并应落实具体的管控措施。如</w:t>
      </w:r>
      <w:r>
        <w:rPr>
          <w:rFonts w:ascii="宋体"/>
          <w:kern w:val="0"/>
          <w:szCs w:val="21"/>
        </w:rPr>
        <w:t>乙方</w:t>
      </w:r>
      <w:r>
        <w:rPr>
          <w:rFonts w:hint="eastAsia" w:ascii="宋体"/>
          <w:kern w:val="0"/>
          <w:szCs w:val="21"/>
        </w:rPr>
        <w:t>设备</w:t>
      </w:r>
      <w:r>
        <w:rPr>
          <w:rFonts w:ascii="宋体"/>
          <w:kern w:val="0"/>
          <w:szCs w:val="21"/>
        </w:rPr>
        <w:t>设施和作业活动变更时，应重新进行风险辨识、评价和确定控制措施。</w:t>
      </w:r>
    </w:p>
    <w:p w14:paraId="12A42A92">
      <w:pPr>
        <w:numPr>
          <w:ilvl w:val="0"/>
          <w:numId w:val="23"/>
        </w:numPr>
        <w:spacing w:line="360" w:lineRule="auto"/>
        <w:ind w:left="0" w:firstLine="426"/>
        <w:rPr>
          <w:rFonts w:ascii="宋体"/>
          <w:kern w:val="0"/>
          <w:szCs w:val="21"/>
        </w:rPr>
      </w:pPr>
      <w:r>
        <w:rPr>
          <w:rFonts w:hint="eastAsia" w:ascii="宋体"/>
          <w:kern w:val="0"/>
          <w:szCs w:val="21"/>
        </w:rPr>
        <w:t>项目涉及的主要危险源及其风险辨识及环境因素辨识作业活动如下，作业前应落实具体的管控措施；</w:t>
      </w:r>
    </w:p>
    <w:tbl>
      <w:tblPr>
        <w:tblStyle w:val="8"/>
        <w:tblW w:w="538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5"/>
        <w:gridCol w:w="3367"/>
        <w:gridCol w:w="1025"/>
        <w:gridCol w:w="3777"/>
      </w:tblGrid>
      <w:tr w14:paraId="6B5EB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553" w:type="pct"/>
            <w:noWrap/>
            <w:vAlign w:val="center"/>
          </w:tcPr>
          <w:p w14:paraId="5B73BCB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作业活动</w:t>
            </w:r>
          </w:p>
        </w:tc>
        <w:tc>
          <w:tcPr>
            <w:tcW w:w="1833" w:type="pct"/>
            <w:noWrap/>
            <w:vAlign w:val="center"/>
          </w:tcPr>
          <w:p w14:paraId="7BD8F3F6">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主要危险源及其风险/环境因素</w:t>
            </w:r>
          </w:p>
        </w:tc>
        <w:tc>
          <w:tcPr>
            <w:tcW w:w="558" w:type="pct"/>
            <w:noWrap/>
            <w:vAlign w:val="center"/>
          </w:tcPr>
          <w:p w14:paraId="6A8FFB8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可能发生的事故/造成的污染</w:t>
            </w:r>
          </w:p>
        </w:tc>
        <w:tc>
          <w:tcPr>
            <w:tcW w:w="2057" w:type="pct"/>
            <w:noWrap/>
            <w:vAlign w:val="center"/>
          </w:tcPr>
          <w:p w14:paraId="6A98BD7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主要管控措施</w:t>
            </w:r>
          </w:p>
        </w:tc>
      </w:tr>
      <w:tr w14:paraId="16A56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Merge w:val="restart"/>
            <w:noWrap/>
            <w:vAlign w:val="center"/>
          </w:tcPr>
          <w:p w14:paraId="566DB4DD">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吊装作业</w:t>
            </w:r>
          </w:p>
        </w:tc>
        <w:tc>
          <w:tcPr>
            <w:tcW w:w="1833" w:type="pct"/>
            <w:noWrap/>
            <w:vAlign w:val="center"/>
          </w:tcPr>
          <w:p w14:paraId="021C4364">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一、主要危险源及其风险</w:t>
            </w:r>
          </w:p>
          <w:p w14:paraId="2E591647">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起重设备故障、吊具断裂、捆绑不牢或重心不稳,造成起吊物品坠落或其他物品坠落；</w:t>
            </w:r>
          </w:p>
          <w:p w14:paraId="1E3923CA">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作业现场未设置警戒线、标识、人员违规进入作业区域；未捆扎好即违章起吊、或因违章操作、违章指挥,造成人身伤害事故。</w:t>
            </w:r>
          </w:p>
        </w:tc>
        <w:tc>
          <w:tcPr>
            <w:tcW w:w="558" w:type="pct"/>
            <w:noWrap/>
            <w:vAlign w:val="center"/>
          </w:tcPr>
          <w:p w14:paraId="4045157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起重伤害</w:t>
            </w:r>
          </w:p>
          <w:p w14:paraId="7C5DC864">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物体打击</w:t>
            </w:r>
          </w:p>
        </w:tc>
        <w:tc>
          <w:tcPr>
            <w:tcW w:w="2057" w:type="pct"/>
            <w:noWrap/>
            <w:vAlign w:val="center"/>
          </w:tcPr>
          <w:p w14:paraId="6EA326F9">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一、风险管控措施</w:t>
            </w:r>
          </w:p>
          <w:p w14:paraId="6AAA4F59">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使用前检查设备设施；</w:t>
            </w:r>
          </w:p>
          <w:p w14:paraId="655D31B7">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2.作业现场设置警戒栏、张贴警示标识；</w:t>
            </w:r>
          </w:p>
          <w:p w14:paraId="3EC86D46">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作业人员经过培训考核；</w:t>
            </w:r>
          </w:p>
          <w:p w14:paraId="261D3E66">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现场专人管理；</w:t>
            </w:r>
          </w:p>
          <w:p w14:paraId="4F47863E">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5.作业期间专人监护，属于危险作业的，按照危险作业要求进行申报、审核、确认、监护、监管等。</w:t>
            </w:r>
          </w:p>
        </w:tc>
      </w:tr>
      <w:tr w14:paraId="57F6E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Merge w:val="continue"/>
            <w:noWrap/>
            <w:vAlign w:val="center"/>
          </w:tcPr>
          <w:p w14:paraId="5AA3F806">
            <w:pPr>
              <w:jc w:val="center"/>
              <w:rPr>
                <w:rFonts w:asciiTheme="minorEastAsia" w:hAnsiTheme="minorEastAsia" w:eastAsiaTheme="minorEastAsia"/>
                <w:color w:val="000000"/>
                <w:sz w:val="18"/>
                <w:szCs w:val="18"/>
              </w:rPr>
            </w:pPr>
          </w:p>
        </w:tc>
        <w:tc>
          <w:tcPr>
            <w:tcW w:w="1833" w:type="pct"/>
            <w:noWrap/>
            <w:vAlign w:val="center"/>
          </w:tcPr>
          <w:p w14:paraId="73AFD7CF">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二、主要环境因素</w:t>
            </w:r>
          </w:p>
          <w:p w14:paraId="52481F69">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起重设备润滑油遗撒。</w:t>
            </w:r>
          </w:p>
        </w:tc>
        <w:tc>
          <w:tcPr>
            <w:tcW w:w="558" w:type="pct"/>
            <w:noWrap/>
            <w:vAlign w:val="center"/>
          </w:tcPr>
          <w:p w14:paraId="760C77AD">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土壤污染</w:t>
            </w:r>
          </w:p>
        </w:tc>
        <w:tc>
          <w:tcPr>
            <w:tcW w:w="2057" w:type="pct"/>
            <w:noWrap/>
            <w:vAlign w:val="center"/>
          </w:tcPr>
          <w:p w14:paraId="75D21EDD">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二、主要环境因素管控措施</w:t>
            </w:r>
          </w:p>
          <w:p w14:paraId="20A1BC12">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定期维保设备，发现泄漏及时处理，倒入制定区域；</w:t>
            </w:r>
          </w:p>
          <w:p w14:paraId="1F28D40D">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2.设备中途停用时应根据需要及时停机。</w:t>
            </w:r>
          </w:p>
        </w:tc>
      </w:tr>
      <w:tr w14:paraId="57E8A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noWrap/>
            <w:vAlign w:val="center"/>
          </w:tcPr>
          <w:p w14:paraId="31DABA2B">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高处作业</w:t>
            </w:r>
          </w:p>
        </w:tc>
        <w:tc>
          <w:tcPr>
            <w:tcW w:w="1833" w:type="pct"/>
            <w:noWrap/>
            <w:vAlign w:val="center"/>
          </w:tcPr>
          <w:p w14:paraId="3CB8F56C">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一、主要危险源及其风险</w:t>
            </w:r>
          </w:p>
          <w:p w14:paraId="7D3998AD">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梯台损坏、腐蚀，紧</w:t>
            </w:r>
            <w:r>
              <w:rPr>
                <w:rFonts w:hint="eastAsia" w:asciiTheme="minorEastAsia" w:hAnsiTheme="minorEastAsia" w:eastAsiaTheme="minorEastAsia"/>
                <w:sz w:val="18"/>
                <w:szCs w:val="18"/>
              </w:rPr>
              <w:t>锢装置缺失或者损坏，栏杆缺失或者损坏，强度不足等造成人员坠落或工具、物品坠落；</w:t>
            </w:r>
          </w:p>
          <w:p w14:paraId="3E5EE36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地面不平整、重心不稳、未穿戴</w:t>
            </w:r>
            <w:r>
              <w:rPr>
                <w:rFonts w:hint="eastAsia" w:asciiTheme="minorEastAsia" w:hAnsiTheme="minorEastAsia" w:eastAsiaTheme="minorEastAsia"/>
                <w:sz w:val="18"/>
                <w:szCs w:val="18"/>
              </w:rPr>
              <w:t>劳防用品、未使用安全带或绳等造成人员坠落或工具、物品坠落；</w:t>
            </w:r>
          </w:p>
          <w:p w14:paraId="60A33582">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未制定登高作业实施方案或安全措施；</w:t>
            </w:r>
          </w:p>
          <w:p w14:paraId="623C62DC">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未按照危险作业进行申报、审核、确认、监护、监管等，导致高处坠落事故发生。</w:t>
            </w:r>
          </w:p>
        </w:tc>
        <w:tc>
          <w:tcPr>
            <w:tcW w:w="558" w:type="pct"/>
            <w:noWrap/>
            <w:vAlign w:val="center"/>
          </w:tcPr>
          <w:p w14:paraId="3298944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高处坠落</w:t>
            </w:r>
          </w:p>
          <w:p w14:paraId="69C20AA3">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物体打击</w:t>
            </w:r>
          </w:p>
        </w:tc>
        <w:tc>
          <w:tcPr>
            <w:tcW w:w="2057" w:type="pct"/>
            <w:noWrap/>
            <w:vAlign w:val="center"/>
          </w:tcPr>
          <w:p w14:paraId="658E4C3B">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一、风险管控措施</w:t>
            </w:r>
          </w:p>
          <w:p w14:paraId="1B7B7261">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使用前检查梯台；</w:t>
            </w:r>
          </w:p>
          <w:p w14:paraId="293951A7">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作业现场设置警戒栏、张贴警示标识；</w:t>
            </w:r>
          </w:p>
          <w:p w14:paraId="16402B00">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作业人员经过培训考核；</w:t>
            </w:r>
          </w:p>
          <w:p w14:paraId="289A1E65">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现场专人管理；</w:t>
            </w:r>
          </w:p>
          <w:p w14:paraId="41513367">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按照危险作业要求进行申报、审核、确认、监护、监管等。</w:t>
            </w:r>
          </w:p>
        </w:tc>
      </w:tr>
      <w:tr w14:paraId="74FB3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Merge w:val="restart"/>
            <w:noWrap/>
            <w:vAlign w:val="center"/>
          </w:tcPr>
          <w:p w14:paraId="699F29D9">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动火作业</w:t>
            </w:r>
          </w:p>
        </w:tc>
        <w:tc>
          <w:tcPr>
            <w:tcW w:w="1833" w:type="pct"/>
            <w:noWrap/>
            <w:vAlign w:val="center"/>
          </w:tcPr>
          <w:p w14:paraId="2A637E9B">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一、主要危险源及其风险</w:t>
            </w:r>
          </w:p>
          <w:p w14:paraId="3AAEDBD0">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作业人员无证操作，因作业不规范导致火灾事故发生；</w:t>
            </w:r>
          </w:p>
          <w:p w14:paraId="27391465">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未清除作业现场可燃物；未采取隔离措施、</w:t>
            </w:r>
            <w:r>
              <w:rPr>
                <w:rFonts w:hint="eastAsia" w:asciiTheme="minorEastAsia" w:hAnsiTheme="minorEastAsia" w:eastAsiaTheme="minorEastAsia"/>
                <w:sz w:val="18"/>
                <w:szCs w:val="18"/>
              </w:rPr>
              <w:t>未封堵焊星可能进入的区域、缝隙等，因焊星引燃可燃物发生火灾事故；</w:t>
            </w:r>
          </w:p>
          <w:p w14:paraId="3D8B05A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未按照危险作业进行申报、审核、确认、监护、监管等导致火灾事故发生；</w:t>
            </w:r>
          </w:p>
          <w:p w14:paraId="4B0D1B36">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未按照动火方案实施动火；</w:t>
            </w:r>
          </w:p>
          <w:p w14:paraId="5FF7C3F3">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气瓶无防倾倒措施、无隔热措施、气瓶放置离动火点距离不足、气瓶倒置使用等，造成火灾、气瓶跌落伤人等事故；</w:t>
            </w:r>
          </w:p>
          <w:p w14:paraId="6AAEB7BD">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电焊机电源线破损、无漏电保护器、接地线松脱等，导致作业人员触电。</w:t>
            </w:r>
          </w:p>
        </w:tc>
        <w:tc>
          <w:tcPr>
            <w:tcW w:w="558" w:type="pct"/>
            <w:noWrap/>
            <w:vAlign w:val="center"/>
          </w:tcPr>
          <w:p w14:paraId="7699B953">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火灾触电</w:t>
            </w:r>
          </w:p>
        </w:tc>
        <w:tc>
          <w:tcPr>
            <w:tcW w:w="2057" w:type="pct"/>
            <w:noWrap/>
            <w:vAlign w:val="center"/>
          </w:tcPr>
          <w:p w14:paraId="32914DE4">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一、风险管控措施</w:t>
            </w:r>
          </w:p>
          <w:p w14:paraId="4119179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作业前检查作业人员资格证书、清理可燃物、采取隔离封堵措施；</w:t>
            </w:r>
          </w:p>
          <w:p w14:paraId="400B3676">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2.作业现场设置警戒栏、张贴警示标识；</w:t>
            </w:r>
          </w:p>
          <w:p w14:paraId="19F736C4">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作业人员经过培训考核；</w:t>
            </w:r>
          </w:p>
          <w:p w14:paraId="497A61EA">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现场专人管理；</w:t>
            </w:r>
          </w:p>
          <w:p w14:paraId="488F7EC3">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5.气瓶固定放置，采取防倾倒措施、距离动火作业点</w:t>
            </w:r>
            <w:r>
              <w:rPr>
                <w:rFonts w:asciiTheme="minorEastAsia" w:hAnsiTheme="minorEastAsia" w:eastAsiaTheme="minorEastAsia"/>
                <w:sz w:val="18"/>
                <w:szCs w:val="18"/>
              </w:rPr>
              <w:t>10米以上；</w:t>
            </w:r>
          </w:p>
          <w:p w14:paraId="2B22DF0F">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6.作业前检查电焊机的接地、漏电保护器等是否符合要求；</w:t>
            </w:r>
          </w:p>
          <w:p w14:paraId="2014F719">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7.</w:t>
            </w:r>
            <w:r>
              <w:rPr>
                <w:rFonts w:asciiTheme="minorEastAsia" w:hAnsiTheme="minorEastAsia" w:eastAsiaTheme="minorEastAsia"/>
                <w:sz w:val="18"/>
                <w:szCs w:val="18"/>
              </w:rPr>
              <w:t>编制动火方案并按照方案实施；</w:t>
            </w:r>
          </w:p>
          <w:p w14:paraId="572C8BC9">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8.</w:t>
            </w:r>
            <w:r>
              <w:rPr>
                <w:rFonts w:asciiTheme="minorEastAsia" w:hAnsiTheme="minorEastAsia" w:eastAsiaTheme="minorEastAsia"/>
                <w:sz w:val="18"/>
                <w:szCs w:val="18"/>
              </w:rPr>
              <w:t>按照危险作业要求进行申报、审核、确认、监护、监管等。</w:t>
            </w:r>
          </w:p>
        </w:tc>
      </w:tr>
      <w:tr w14:paraId="1DE93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Merge w:val="continue"/>
            <w:noWrap/>
            <w:vAlign w:val="center"/>
          </w:tcPr>
          <w:p w14:paraId="43EC1926">
            <w:pPr>
              <w:jc w:val="center"/>
              <w:rPr>
                <w:rFonts w:asciiTheme="minorEastAsia" w:hAnsiTheme="minorEastAsia" w:eastAsiaTheme="minorEastAsia"/>
                <w:color w:val="000000"/>
                <w:sz w:val="18"/>
                <w:szCs w:val="18"/>
              </w:rPr>
            </w:pPr>
          </w:p>
        </w:tc>
        <w:tc>
          <w:tcPr>
            <w:tcW w:w="1833" w:type="pct"/>
            <w:noWrap/>
            <w:vAlign w:val="center"/>
          </w:tcPr>
          <w:p w14:paraId="52858DCA">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二、主要环境因素</w:t>
            </w:r>
          </w:p>
          <w:p w14:paraId="2414A64E">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火灾烟尘的排放。</w:t>
            </w:r>
          </w:p>
        </w:tc>
        <w:tc>
          <w:tcPr>
            <w:tcW w:w="558" w:type="pct"/>
            <w:noWrap/>
            <w:vAlign w:val="center"/>
          </w:tcPr>
          <w:p w14:paraId="5AC7F023">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大气污染</w:t>
            </w:r>
          </w:p>
        </w:tc>
        <w:tc>
          <w:tcPr>
            <w:tcW w:w="2057" w:type="pct"/>
            <w:noWrap/>
            <w:vAlign w:val="center"/>
          </w:tcPr>
          <w:p w14:paraId="770131C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二、主要环境因素管控措施</w:t>
            </w:r>
          </w:p>
          <w:p w14:paraId="3FFBEF41">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同上。</w:t>
            </w:r>
          </w:p>
        </w:tc>
      </w:tr>
      <w:tr w14:paraId="7BD9E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noWrap/>
            <w:vAlign w:val="center"/>
          </w:tcPr>
          <w:p w14:paraId="603ABDA6">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临时用电</w:t>
            </w:r>
          </w:p>
        </w:tc>
        <w:tc>
          <w:tcPr>
            <w:tcW w:w="1833" w:type="pct"/>
            <w:noWrap/>
            <w:vAlign w:val="center"/>
          </w:tcPr>
          <w:p w14:paraId="70BA1120">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一、主要危险源及其风险</w:t>
            </w:r>
          </w:p>
          <w:p w14:paraId="408B773C">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非电工进行临时线路接线导致触电事故；</w:t>
            </w:r>
          </w:p>
          <w:p w14:paraId="79E22449">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接人临时线路前未经过容量计算、未经主管部门审核、审批，因过载导致火灾事故；</w:t>
            </w:r>
          </w:p>
          <w:p w14:paraId="3482B347">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临时线路接线不规范，未设置漏电保护器、带电部位裸露、临时线破损、乱搭乱挂等等原因导致触电。</w:t>
            </w:r>
          </w:p>
        </w:tc>
        <w:tc>
          <w:tcPr>
            <w:tcW w:w="558" w:type="pct"/>
            <w:noWrap/>
            <w:vAlign w:val="center"/>
          </w:tcPr>
          <w:p w14:paraId="5E277D04">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触电火灾</w:t>
            </w:r>
          </w:p>
        </w:tc>
        <w:tc>
          <w:tcPr>
            <w:tcW w:w="2057" w:type="pct"/>
            <w:noWrap/>
            <w:vAlign w:val="center"/>
          </w:tcPr>
          <w:p w14:paraId="3C3E7190">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一、风险管控措施</w:t>
            </w:r>
          </w:p>
          <w:p w14:paraId="690003C3">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专业电工进行临时线路接线，接线时断电、挂牌、专人监护；</w:t>
            </w:r>
          </w:p>
          <w:p w14:paraId="7AFE2451">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接人临时线路前经主管部门审核、审批；</w:t>
            </w:r>
          </w:p>
          <w:p w14:paraId="3237948B">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临时线路设置漏电保护器、裸露部位用绝缘胶布包好；</w:t>
            </w:r>
          </w:p>
          <w:p w14:paraId="5AC387A8">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检查临时线是否破损、不乱搭乱挂电线。</w:t>
            </w:r>
          </w:p>
        </w:tc>
      </w:tr>
      <w:tr w14:paraId="48F69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noWrap/>
            <w:vAlign w:val="center"/>
          </w:tcPr>
          <w:p w14:paraId="7A24182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有限空间作业</w:t>
            </w:r>
          </w:p>
        </w:tc>
        <w:tc>
          <w:tcPr>
            <w:tcW w:w="1833" w:type="pct"/>
            <w:noWrap/>
            <w:vAlign w:val="center"/>
          </w:tcPr>
          <w:p w14:paraId="17E1C52C">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一、主要危险源及其风险</w:t>
            </w:r>
          </w:p>
          <w:p w14:paraId="7644213F">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1.未制定有限空间作业实施方案；</w:t>
            </w:r>
          </w:p>
          <w:p w14:paraId="084E792A">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2.作业前、作业中未检测有害气体、含氧量，未采取强制通风措施导致人员中毒或窒息；</w:t>
            </w:r>
          </w:p>
          <w:p w14:paraId="7CB7DA47">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3.进入有限空间作业，未佩戴隔离式呼吸保护器具导致人员中毒或窒息；</w:t>
            </w:r>
          </w:p>
          <w:p w14:paraId="460F001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4.作业过程未进行监护或人员离开现场、未制止作业人员违章操作；</w:t>
            </w:r>
          </w:p>
          <w:p w14:paraId="46ED2297">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5.作业后未对作业人员进行清场，因人员未及时撤离导致中毒或窒息。</w:t>
            </w:r>
          </w:p>
        </w:tc>
        <w:tc>
          <w:tcPr>
            <w:tcW w:w="558" w:type="pct"/>
            <w:noWrap/>
            <w:vAlign w:val="center"/>
          </w:tcPr>
          <w:p w14:paraId="40C89D3B">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窒息中毒</w:t>
            </w:r>
          </w:p>
        </w:tc>
        <w:tc>
          <w:tcPr>
            <w:tcW w:w="2057" w:type="pct"/>
            <w:noWrap/>
            <w:vAlign w:val="center"/>
          </w:tcPr>
          <w:p w14:paraId="6FF5541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一、风险管控措施</w:t>
            </w:r>
          </w:p>
          <w:p w14:paraId="18183F2F">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1.作业现场设置警戒栏、张贴警示标识；</w:t>
            </w:r>
          </w:p>
          <w:p w14:paraId="1B8E1A91">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2.作业人员经过培训考核；</w:t>
            </w:r>
          </w:p>
          <w:p w14:paraId="23E489DC">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3.现场专人管理；</w:t>
            </w:r>
          </w:p>
          <w:p w14:paraId="57229C57">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4.作业前、中检测有毒有害气体、氧气含量；</w:t>
            </w:r>
          </w:p>
          <w:p w14:paraId="01FAADD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5.携带便携式报警仪检测氧含量；</w:t>
            </w:r>
          </w:p>
          <w:p w14:paraId="7DEE3BCC">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6.配备正压式呼吸器、安全绳、充电式照明灯或低压照明灯；</w:t>
            </w:r>
          </w:p>
          <w:p w14:paraId="4244F543">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7.配备强制通风装置；</w:t>
            </w:r>
          </w:p>
          <w:p w14:paraId="456D761D">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8.按照危险作业要求进行申报、审核、确认、监护、监管；</w:t>
            </w:r>
          </w:p>
          <w:p w14:paraId="6AA68C5E">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9.专人清点作业人员等。</w:t>
            </w:r>
          </w:p>
        </w:tc>
      </w:tr>
      <w:tr w14:paraId="59CE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noWrap/>
            <w:vAlign w:val="center"/>
          </w:tcPr>
          <w:p w14:paraId="1E7DEBC1">
            <w:pPr>
              <w:rPr>
                <w:rFonts w:asciiTheme="minorEastAsia" w:hAnsiTheme="minorEastAsia" w:eastAsiaTheme="minorEastAsia"/>
                <w:sz w:val="18"/>
                <w:szCs w:val="18"/>
              </w:rPr>
            </w:pPr>
            <w:r>
              <w:rPr>
                <w:rFonts w:hint="eastAsia" w:asciiTheme="minorEastAsia" w:hAnsiTheme="minorEastAsia" w:eastAsiaTheme="minorEastAsia"/>
                <w:sz w:val="18"/>
                <w:szCs w:val="18"/>
              </w:rPr>
              <w:t>使用电器、机械设备设施；使用工器具等</w:t>
            </w:r>
          </w:p>
        </w:tc>
        <w:tc>
          <w:tcPr>
            <w:tcW w:w="1833" w:type="pct"/>
            <w:noWrap/>
            <w:vAlign w:val="center"/>
          </w:tcPr>
          <w:p w14:paraId="740140E4">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一、主要危险源及其风险</w:t>
            </w:r>
          </w:p>
          <w:p w14:paraId="36709F3E">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1.电气设施绝缘破损、老化、接地不良等，导致触电事故；</w:t>
            </w:r>
          </w:p>
          <w:p w14:paraId="12FFAF1B">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2.机械设备设施防护罩缺失、损坏、违规使用导致机械伤害事故。</w:t>
            </w:r>
          </w:p>
        </w:tc>
        <w:tc>
          <w:tcPr>
            <w:tcW w:w="558" w:type="pct"/>
            <w:noWrap/>
            <w:vAlign w:val="center"/>
          </w:tcPr>
          <w:p w14:paraId="7F02BE5D">
            <w:pPr>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触电机械伤害</w:t>
            </w:r>
          </w:p>
        </w:tc>
        <w:tc>
          <w:tcPr>
            <w:tcW w:w="2057" w:type="pct"/>
            <w:noWrap/>
            <w:vAlign w:val="center"/>
          </w:tcPr>
          <w:p w14:paraId="3EA2FA02">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一、风险管控措施</w:t>
            </w:r>
          </w:p>
          <w:p w14:paraId="21617464">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1.使用前检查电气设施，发现绝缘破损、老化、接地不良等，及时维修；</w:t>
            </w:r>
          </w:p>
          <w:p w14:paraId="235D1850">
            <w:pPr>
              <w:jc w:val="lef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2.使用前检查机械设备设施防护罩等，发现防护罩缺失、损坏，及时维修。</w:t>
            </w:r>
          </w:p>
        </w:tc>
      </w:tr>
    </w:tbl>
    <w:p w14:paraId="702F5B6C">
      <w:pPr>
        <w:numPr>
          <w:ilvl w:val="0"/>
          <w:numId w:val="23"/>
        </w:numPr>
        <w:spacing w:line="360" w:lineRule="auto"/>
        <w:ind w:left="0" w:firstLine="480"/>
        <w:rPr>
          <w:rFonts w:ascii="宋体"/>
          <w:kern w:val="0"/>
          <w:szCs w:val="21"/>
        </w:rPr>
      </w:pPr>
      <w:r>
        <w:rPr>
          <w:rFonts w:hint="eastAsia" w:ascii="宋体"/>
          <w:kern w:val="0"/>
          <w:szCs w:val="21"/>
        </w:rPr>
        <w:t>若服务过程中如涉及危险作业或其他危险性较大的作业、可能造成环境污染的作业时，应制定作业方案，落实好人员防护、现场防护和警示告知等防护警戒措施，并向甲方申请办理有关手续，作业方案交甲方备案。</w:t>
      </w:r>
    </w:p>
    <w:p w14:paraId="1B7FCC05">
      <w:pPr>
        <w:numPr>
          <w:ilvl w:val="0"/>
          <w:numId w:val="23"/>
        </w:numPr>
        <w:spacing w:line="360" w:lineRule="auto"/>
        <w:ind w:left="0" w:firstLine="480"/>
        <w:rPr>
          <w:rFonts w:ascii="宋体"/>
          <w:kern w:val="0"/>
          <w:szCs w:val="21"/>
        </w:rPr>
      </w:pPr>
      <w:r>
        <w:rPr>
          <w:rFonts w:hint="eastAsia" w:ascii="宋体"/>
          <w:kern w:val="0"/>
          <w:szCs w:val="21"/>
        </w:rPr>
        <w:t>落实作业过程安全检查，对作业过程涉及的包括工器具、人员和车辆等进行必要的安全检查；做好施工现场的管理，定期清理工具、材料和作业环境，确保作业过程安全、文明、清洁卫生。</w:t>
      </w:r>
    </w:p>
    <w:p w14:paraId="772525EF">
      <w:pPr>
        <w:numPr>
          <w:ilvl w:val="0"/>
          <w:numId w:val="23"/>
        </w:numPr>
        <w:spacing w:line="360" w:lineRule="auto"/>
        <w:ind w:left="0" w:firstLine="480"/>
        <w:rPr>
          <w:rFonts w:ascii="宋体"/>
          <w:kern w:val="0"/>
          <w:szCs w:val="21"/>
        </w:rPr>
      </w:pPr>
      <w:r>
        <w:rPr>
          <w:rFonts w:hint="eastAsia" w:ascii="宋体"/>
          <w:kern w:val="0"/>
          <w:szCs w:val="21"/>
        </w:rPr>
        <w:t>应自主做好车辆和物资的防火、防盗、防抢等工作，非甲方责任造成的财产损失、人员伤害或劳动纠纷，甲方不负相关责任，如甲方因此遭受损失，乙方应向甲方赔偿全部责任。</w:t>
      </w:r>
    </w:p>
    <w:p w14:paraId="2641E9C0">
      <w:pPr>
        <w:numPr>
          <w:ilvl w:val="0"/>
          <w:numId w:val="23"/>
        </w:numPr>
        <w:spacing w:line="360" w:lineRule="auto"/>
        <w:ind w:left="0" w:firstLine="480"/>
        <w:rPr>
          <w:rFonts w:ascii="宋体"/>
          <w:kern w:val="0"/>
          <w:szCs w:val="21"/>
        </w:rPr>
      </w:pPr>
      <w:r>
        <w:rPr>
          <w:rFonts w:hint="eastAsia" w:ascii="宋体"/>
          <w:kern w:val="0"/>
          <w:szCs w:val="21"/>
        </w:rPr>
        <w:t>乙方应自主做好履约期间的交通安全、人身安全、财产安全保护工作，在甲方区域外或在甲方区域内非甲方原因发生的任何事故和财产损失均与甲方无关，并由乙方或其他第三方承担承担相应的责任。</w:t>
      </w:r>
    </w:p>
    <w:p w14:paraId="79F95C51">
      <w:pPr>
        <w:numPr>
          <w:ilvl w:val="0"/>
          <w:numId w:val="23"/>
        </w:numPr>
        <w:spacing w:line="360" w:lineRule="auto"/>
        <w:ind w:left="0" w:firstLine="480"/>
        <w:rPr>
          <w:rFonts w:ascii="宋体"/>
          <w:kern w:val="0"/>
          <w:szCs w:val="21"/>
        </w:rPr>
      </w:pPr>
      <w:bookmarkStart w:id="4" w:name="OLE_LINK1"/>
      <w:bookmarkStart w:id="5" w:name="OLE_LINK2"/>
      <w:r>
        <w:rPr>
          <w:rFonts w:hint="eastAsia" w:ascii="宋体"/>
          <w:kern w:val="0"/>
          <w:szCs w:val="21"/>
        </w:rPr>
        <w:t>甲方部分作业场所存在粉尘、噪声职业病危害因素。</w:t>
      </w:r>
      <w:bookmarkEnd w:id="4"/>
      <w:bookmarkEnd w:id="5"/>
      <w:r>
        <w:rPr>
          <w:rFonts w:hint="eastAsia" w:ascii="宋体"/>
          <w:kern w:val="0"/>
          <w:szCs w:val="21"/>
        </w:rPr>
        <w:t>乙方应依照职业病防治法规要求，做好属下接触职业病危害因素作业人员的职业健康监护工作。乙方不得安排有职业禁忌证的人员从事接触其禁忌职业病危害因素的作业。</w:t>
      </w:r>
    </w:p>
    <w:p w14:paraId="44C86E05">
      <w:pPr>
        <w:numPr>
          <w:ilvl w:val="0"/>
          <w:numId w:val="23"/>
        </w:numPr>
        <w:spacing w:line="360" w:lineRule="auto"/>
        <w:ind w:left="0" w:firstLine="495" w:firstLineChars="236"/>
        <w:rPr>
          <w:rFonts w:ascii="宋体"/>
          <w:kern w:val="0"/>
          <w:szCs w:val="21"/>
        </w:rPr>
      </w:pPr>
      <w:r>
        <w:rPr>
          <w:rFonts w:hint="eastAsia" w:ascii="宋体"/>
          <w:kern w:val="0"/>
          <w:szCs w:val="21"/>
        </w:rPr>
        <w:t>乙方到甲方地域工作的人员和车辆须办理出入证。若有损坏或丢失，乙方应申请补办，原证件作废。</w:t>
      </w:r>
    </w:p>
    <w:p w14:paraId="415E9C51">
      <w:pPr>
        <w:numPr>
          <w:ilvl w:val="0"/>
          <w:numId w:val="23"/>
        </w:numPr>
        <w:spacing w:line="360" w:lineRule="auto"/>
        <w:ind w:left="0" w:firstLine="480"/>
        <w:rPr>
          <w:rFonts w:ascii="宋体"/>
          <w:kern w:val="0"/>
          <w:szCs w:val="21"/>
        </w:rPr>
      </w:pPr>
      <w:r>
        <w:rPr>
          <w:rFonts w:hint="eastAsia" w:ascii="宋体"/>
          <w:kern w:val="0"/>
          <w:szCs w:val="21"/>
        </w:rPr>
        <w:t>遵守国家法律法规和企业标准规范的其它安全要求。</w:t>
      </w:r>
    </w:p>
    <w:p w14:paraId="61F2D46A">
      <w:pPr>
        <w:spacing w:line="360" w:lineRule="auto"/>
        <w:ind w:firstLine="422" w:firstLineChars="200"/>
        <w:rPr>
          <w:b/>
          <w:szCs w:val="21"/>
        </w:rPr>
      </w:pPr>
      <w:r>
        <w:rPr>
          <w:rFonts w:hint="eastAsia"/>
          <w:b/>
          <w:szCs w:val="21"/>
        </w:rPr>
        <w:t>二、违约</w:t>
      </w:r>
    </w:p>
    <w:p w14:paraId="4077020F">
      <w:pPr>
        <w:numPr>
          <w:ilvl w:val="1"/>
          <w:numId w:val="24"/>
        </w:numPr>
        <w:spacing w:line="360" w:lineRule="auto"/>
        <w:ind w:left="0" w:firstLine="480"/>
        <w:rPr>
          <w:szCs w:val="21"/>
        </w:rPr>
      </w:pPr>
      <w:r>
        <w:rPr>
          <w:rFonts w:hint="eastAsia"/>
          <w:szCs w:val="21"/>
        </w:rPr>
        <w:t>因乙方人员违章作业、冒险作业、不服从指挥或管理、滋事闹事等行为，或因乙方安全管理不善，违反甲方安全环保、治安保卫管理规定的，造成的损失和后果由乙方承担；根据违约情况的轻重，按照每宗500元</w:t>
      </w:r>
      <w:r>
        <w:rPr>
          <w:rFonts w:hint="eastAsia" w:ascii="宋体" w:hAnsi="宋体"/>
          <w:szCs w:val="21"/>
        </w:rPr>
        <w:t>～</w:t>
      </w:r>
      <w:r>
        <w:rPr>
          <w:rFonts w:hint="eastAsia"/>
          <w:szCs w:val="21"/>
        </w:rPr>
        <w:t>2000元的标准缴纳违约金；情节严重或屡犯不止的，按照每宗2000元～5000元的标准缴纳违约金。</w:t>
      </w:r>
    </w:p>
    <w:p w14:paraId="7AA52A44">
      <w:pPr>
        <w:numPr>
          <w:ilvl w:val="1"/>
          <w:numId w:val="24"/>
        </w:numPr>
        <w:spacing w:line="360" w:lineRule="auto"/>
        <w:ind w:left="0" w:firstLine="420"/>
        <w:rPr>
          <w:szCs w:val="21"/>
        </w:rPr>
      </w:pPr>
      <w:r>
        <w:rPr>
          <w:rFonts w:hint="eastAsia"/>
          <w:szCs w:val="21"/>
        </w:rPr>
        <w:t>乙方在承包业务实施过程中如果在组织、设施、安全管理、环保管理等方面存在重大隐患，经甲方提出，乙方不予整改或未在限期内完成整改或整改后仍不能达到甲方要求的，根据违约情况的轻重，按照每宗2000元</w:t>
      </w:r>
      <w:r>
        <w:rPr>
          <w:rFonts w:hint="eastAsia" w:ascii="宋体" w:hAnsi="宋体"/>
          <w:szCs w:val="21"/>
        </w:rPr>
        <w:t>～</w:t>
      </w:r>
      <w:r>
        <w:rPr>
          <w:rFonts w:hint="eastAsia"/>
          <w:szCs w:val="21"/>
        </w:rPr>
        <w:t>5000元的标准缴纳违约金；情节严重的，按照每宗5000元～10000元的标准缴纳违约金；甲方有权中止或</w:t>
      </w:r>
      <w:r>
        <w:rPr>
          <w:szCs w:val="21"/>
        </w:rPr>
        <w:t>解除</w:t>
      </w:r>
      <w:r>
        <w:rPr>
          <w:rFonts w:hint="eastAsia"/>
          <w:szCs w:val="21"/>
        </w:rPr>
        <w:t>合同及相关附件，因此造成的损失由乙方承担。</w:t>
      </w:r>
    </w:p>
    <w:p w14:paraId="15262231">
      <w:pPr>
        <w:numPr>
          <w:ilvl w:val="1"/>
          <w:numId w:val="24"/>
        </w:numPr>
        <w:spacing w:line="360" w:lineRule="auto"/>
        <w:ind w:left="0" w:firstLine="480"/>
        <w:rPr>
          <w:szCs w:val="21"/>
        </w:rPr>
      </w:pPr>
      <w:r>
        <w:rPr>
          <w:rFonts w:hint="eastAsia"/>
          <w:szCs w:val="21"/>
        </w:rPr>
        <w:t>因乙方原因发生偷排或乱排废水等环境污染事件的，造成的损失和后果由乙方承担；根据违约情况的轻重，按照每宗2000元</w:t>
      </w:r>
      <w:r>
        <w:rPr>
          <w:rFonts w:hint="eastAsia" w:ascii="宋体" w:hAnsi="宋体"/>
          <w:szCs w:val="21"/>
        </w:rPr>
        <w:t>～</w:t>
      </w:r>
      <w:r>
        <w:rPr>
          <w:rFonts w:hint="eastAsia"/>
          <w:szCs w:val="21"/>
        </w:rPr>
        <w:t>5000元的标准缴纳违约金；对甲方造成不良影响的，按照每宗10000元～20000元的标准缴纳违约金。</w:t>
      </w:r>
    </w:p>
    <w:p w14:paraId="234FDE09">
      <w:pPr>
        <w:numPr>
          <w:ilvl w:val="1"/>
          <w:numId w:val="24"/>
        </w:numPr>
        <w:spacing w:line="360" w:lineRule="auto"/>
        <w:ind w:left="0" w:firstLine="480"/>
        <w:rPr>
          <w:szCs w:val="21"/>
        </w:rPr>
      </w:pPr>
      <w:r>
        <w:rPr>
          <w:rFonts w:hint="eastAsia"/>
          <w:szCs w:val="21"/>
        </w:rPr>
        <w:t>因乙方原因造成非伤亡责任事件事故的，造成的损失和后果由乙方承担；根据违约情况的轻重，按照每宗5000元～10000元的标准缴纳违约金；情节严重的，按照每宗10000元</w:t>
      </w:r>
      <w:r>
        <w:rPr>
          <w:rFonts w:hint="eastAsia" w:ascii="宋体" w:hAnsi="宋体"/>
          <w:szCs w:val="21"/>
        </w:rPr>
        <w:t>～</w:t>
      </w:r>
      <w:r>
        <w:rPr>
          <w:rFonts w:hint="eastAsia"/>
          <w:szCs w:val="21"/>
        </w:rPr>
        <w:t>20000元的标准缴纳违约金。</w:t>
      </w:r>
    </w:p>
    <w:p w14:paraId="43011B02">
      <w:pPr>
        <w:numPr>
          <w:ilvl w:val="1"/>
          <w:numId w:val="24"/>
        </w:numPr>
        <w:spacing w:line="360" w:lineRule="auto"/>
        <w:ind w:left="0" w:firstLine="480"/>
        <w:rPr>
          <w:szCs w:val="21"/>
        </w:rPr>
      </w:pPr>
      <w:r>
        <w:rPr>
          <w:rFonts w:hint="eastAsia"/>
          <w:szCs w:val="21"/>
        </w:rPr>
        <w:t>因乙方原因发生火苗、起火、闪燃、闪爆等可能造成重大危害事件事故的，造成的损失和后果由乙方承担；根据违约情况的轻重，按照每宗10000元～50000元的标准缴纳违约金；发生火灾的，按照每宗50000元</w:t>
      </w:r>
      <w:r>
        <w:rPr>
          <w:rFonts w:hint="eastAsia" w:ascii="宋体" w:hAnsi="宋体"/>
          <w:szCs w:val="21"/>
        </w:rPr>
        <w:t>～</w:t>
      </w:r>
      <w:r>
        <w:rPr>
          <w:rFonts w:hint="eastAsia"/>
          <w:szCs w:val="21"/>
        </w:rPr>
        <w:t>100000元的标准缴纳违约金，并由当地政府部门依法依规进行处理。</w:t>
      </w:r>
    </w:p>
    <w:p w14:paraId="7C4D10E8">
      <w:pPr>
        <w:numPr>
          <w:ilvl w:val="1"/>
          <w:numId w:val="24"/>
        </w:numPr>
        <w:spacing w:line="360" w:lineRule="auto"/>
        <w:ind w:left="0" w:firstLine="420"/>
        <w:rPr>
          <w:szCs w:val="21"/>
        </w:rPr>
      </w:pPr>
      <w:r>
        <w:rPr>
          <w:rFonts w:hint="eastAsia"/>
          <w:szCs w:val="21"/>
        </w:rPr>
        <w:t>因乙方原因造成人员伤亡事故、职业病或财产损失的，一切责任由乙方负责，财产及人员损失等全部由乙方承担。</w:t>
      </w:r>
    </w:p>
    <w:p w14:paraId="3450A0AE">
      <w:pPr>
        <w:numPr>
          <w:ilvl w:val="1"/>
          <w:numId w:val="24"/>
        </w:numPr>
        <w:spacing w:line="360" w:lineRule="auto"/>
        <w:ind w:left="0" w:firstLine="420"/>
        <w:rPr>
          <w:rFonts w:hAnsi="宋体"/>
          <w:szCs w:val="21"/>
        </w:rPr>
      </w:pPr>
      <w:r>
        <w:rPr>
          <w:rFonts w:hint="eastAsia" w:hAnsi="宋体"/>
          <w:szCs w:val="21"/>
        </w:rPr>
        <w:t>乙方由于管理不善，发生乙方人员违反甲方安全环保、保卫管理规定或出现责任事故的，乙方需将处理材料交甲方备案，且乙方需向甲方承担违约责任。</w:t>
      </w:r>
    </w:p>
    <w:p w14:paraId="6A459A92">
      <w:pPr>
        <w:numPr>
          <w:ilvl w:val="1"/>
          <w:numId w:val="24"/>
        </w:numPr>
        <w:spacing w:line="360" w:lineRule="auto"/>
        <w:ind w:left="0" w:firstLine="480"/>
        <w:rPr>
          <w:szCs w:val="21"/>
        </w:rPr>
      </w:pPr>
      <w:r>
        <w:rPr>
          <w:rFonts w:hint="eastAsia"/>
          <w:szCs w:val="21"/>
        </w:rPr>
        <w:t>若合同履行过程发生乙方责任伤亡事故或环境污染事件事故的，乙方除应承担法律法规规定的责任外，还应按以下标准向甲方缴纳违约金：</w:t>
      </w:r>
    </w:p>
    <w:p w14:paraId="7F473232">
      <w:pPr>
        <w:numPr>
          <w:ilvl w:val="3"/>
          <w:numId w:val="24"/>
        </w:numPr>
        <w:spacing w:line="360" w:lineRule="auto"/>
        <w:ind w:left="142" w:firstLine="425"/>
        <w:rPr>
          <w:szCs w:val="21"/>
        </w:rPr>
      </w:pPr>
      <w:r>
        <w:rPr>
          <w:rFonts w:hint="eastAsia"/>
          <w:szCs w:val="21"/>
        </w:rPr>
        <w:t>发生轻伤责任事故，或国家规定一般环境事件四级以下的甲方区域内环境污染事件，根据违约情况的轻重，按照每宗10000元</w:t>
      </w:r>
      <w:r>
        <w:rPr>
          <w:rFonts w:hint="eastAsia" w:ascii="宋体" w:hAnsi="宋体"/>
          <w:szCs w:val="21"/>
        </w:rPr>
        <w:t>～</w:t>
      </w:r>
      <w:r>
        <w:rPr>
          <w:rFonts w:hint="eastAsia"/>
          <w:szCs w:val="21"/>
        </w:rPr>
        <w:t>20000元的标准缴纳违约金；情节严重的，按照每宗20000元</w:t>
      </w:r>
      <w:r>
        <w:rPr>
          <w:rFonts w:hint="eastAsia" w:ascii="宋体" w:hAnsi="宋体"/>
          <w:szCs w:val="21"/>
        </w:rPr>
        <w:t>～</w:t>
      </w:r>
      <w:r>
        <w:rPr>
          <w:rFonts w:hint="eastAsia"/>
          <w:szCs w:val="21"/>
        </w:rPr>
        <w:t>50000元的标准缴纳违约金。</w:t>
      </w:r>
    </w:p>
    <w:p w14:paraId="74A0CBC0">
      <w:pPr>
        <w:numPr>
          <w:ilvl w:val="3"/>
          <w:numId w:val="24"/>
        </w:numPr>
        <w:spacing w:line="360" w:lineRule="auto"/>
        <w:ind w:left="142" w:firstLine="425"/>
        <w:rPr>
          <w:szCs w:val="21"/>
        </w:rPr>
      </w:pPr>
      <w:r>
        <w:rPr>
          <w:rFonts w:hint="eastAsia"/>
          <w:szCs w:val="21"/>
        </w:rPr>
        <w:t>发生重伤责任事故，或国家规定一般环境事件四级以下的影响甲方区域周边环境污染造成不良社会影响的事件，根据违约情况的轻重，按照每宗20000元</w:t>
      </w:r>
      <w:r>
        <w:rPr>
          <w:rFonts w:hint="eastAsia" w:ascii="宋体" w:hAnsi="宋体"/>
          <w:szCs w:val="21"/>
        </w:rPr>
        <w:t>～</w:t>
      </w:r>
      <w:r>
        <w:rPr>
          <w:szCs w:val="21"/>
        </w:rPr>
        <w:t>50000</w:t>
      </w:r>
      <w:r>
        <w:rPr>
          <w:rFonts w:hint="eastAsia" w:ascii="宋体" w:hAnsi="宋体"/>
          <w:szCs w:val="21"/>
        </w:rPr>
        <w:t>元的标准缴纳</w:t>
      </w:r>
      <w:r>
        <w:rPr>
          <w:rFonts w:hint="eastAsia"/>
          <w:szCs w:val="21"/>
        </w:rPr>
        <w:t>违约金；情节严重的，按照每宗50000元</w:t>
      </w:r>
      <w:r>
        <w:rPr>
          <w:rFonts w:hint="eastAsia" w:ascii="宋体" w:hAnsi="宋体"/>
          <w:szCs w:val="21"/>
        </w:rPr>
        <w:t>～</w:t>
      </w:r>
      <w:r>
        <w:rPr>
          <w:rFonts w:hint="eastAsia"/>
          <w:szCs w:val="21"/>
        </w:rPr>
        <w:t>100000元的标准缴纳违约金。</w:t>
      </w:r>
    </w:p>
    <w:p w14:paraId="7304C393">
      <w:pPr>
        <w:numPr>
          <w:ilvl w:val="3"/>
          <w:numId w:val="24"/>
        </w:numPr>
        <w:spacing w:line="360" w:lineRule="auto"/>
        <w:ind w:left="0" w:firstLine="567"/>
        <w:rPr>
          <w:szCs w:val="21"/>
        </w:rPr>
      </w:pPr>
      <w:r>
        <w:rPr>
          <w:rFonts w:hint="eastAsia"/>
          <w:szCs w:val="21"/>
        </w:rPr>
        <w:t>发生死亡责任事故的，或国家规定的一般环境事件四级以上（含四级）的环境污染事件的，或国家规定的一般事故及以上的，根据违约情况的轻重，按照每宗50000元</w:t>
      </w:r>
      <w:r>
        <w:rPr>
          <w:rFonts w:hint="eastAsia" w:ascii="宋体" w:hAnsi="宋体"/>
          <w:szCs w:val="21"/>
        </w:rPr>
        <w:t>～</w:t>
      </w:r>
      <w:r>
        <w:rPr>
          <w:rFonts w:hint="eastAsia"/>
          <w:szCs w:val="21"/>
        </w:rPr>
        <w:t>100000元的标准缴纳违约金；情节严重的，按照100000元</w:t>
      </w:r>
      <w:r>
        <w:rPr>
          <w:rFonts w:hint="eastAsia" w:ascii="宋体" w:hAnsi="宋体"/>
          <w:szCs w:val="21"/>
        </w:rPr>
        <w:t>～</w:t>
      </w:r>
      <w:r>
        <w:rPr>
          <w:rFonts w:hint="eastAsia"/>
          <w:szCs w:val="21"/>
        </w:rPr>
        <w:t xml:space="preserve">200000元的标准缴纳违约金，并由当地政府部门依法依规进行处理。 </w:t>
      </w:r>
    </w:p>
    <w:p w14:paraId="48434D42">
      <w:pPr>
        <w:numPr>
          <w:ilvl w:val="1"/>
          <w:numId w:val="24"/>
        </w:numPr>
        <w:spacing w:line="360" w:lineRule="auto"/>
        <w:ind w:left="0" w:firstLine="420"/>
        <w:rPr>
          <w:rFonts w:hAnsi="宋体"/>
          <w:szCs w:val="21"/>
        </w:rPr>
      </w:pPr>
      <w:r>
        <w:rPr>
          <w:rFonts w:hint="eastAsia"/>
          <w:szCs w:val="21"/>
        </w:rPr>
        <w:t>在一个合同服务期内，若发现乙方</w:t>
      </w:r>
      <w:r>
        <w:rPr>
          <w:szCs w:val="21"/>
        </w:rPr>
        <w:t>人员</w:t>
      </w:r>
      <w:r>
        <w:rPr>
          <w:rFonts w:hint="eastAsia"/>
          <w:szCs w:val="21"/>
        </w:rPr>
        <w:t>（包括但</w:t>
      </w:r>
      <w:r>
        <w:rPr>
          <w:szCs w:val="21"/>
        </w:rPr>
        <w:t>不限于乙方职工、</w:t>
      </w:r>
      <w:r>
        <w:rPr>
          <w:rFonts w:hint="eastAsia"/>
          <w:szCs w:val="21"/>
        </w:rPr>
        <w:t>由</w:t>
      </w:r>
      <w:r>
        <w:rPr>
          <w:szCs w:val="21"/>
        </w:rPr>
        <w:t>乙方委托</w:t>
      </w:r>
      <w:r>
        <w:rPr>
          <w:rFonts w:hint="eastAsia"/>
          <w:szCs w:val="21"/>
        </w:rPr>
        <w:t>或</w:t>
      </w:r>
      <w:r>
        <w:rPr>
          <w:szCs w:val="21"/>
        </w:rPr>
        <w:t>聘用的</w:t>
      </w:r>
      <w:r>
        <w:rPr>
          <w:rFonts w:hint="eastAsia"/>
          <w:szCs w:val="21"/>
        </w:rPr>
        <w:t>第</w:t>
      </w:r>
      <w:r>
        <w:rPr>
          <w:szCs w:val="21"/>
        </w:rPr>
        <w:t>三方人员</w:t>
      </w:r>
      <w:r>
        <w:rPr>
          <w:rFonts w:hint="eastAsia"/>
          <w:szCs w:val="21"/>
        </w:rPr>
        <w:t>、因前</w:t>
      </w:r>
      <w:r>
        <w:rPr>
          <w:szCs w:val="21"/>
        </w:rPr>
        <w:t>述人员而进入甲方场所的其它人员）首宗</w:t>
      </w:r>
      <w:r>
        <w:rPr>
          <w:rFonts w:hint="eastAsia"/>
          <w:szCs w:val="21"/>
        </w:rPr>
        <w:t>盗窃甲方物品行为的，按盗窃物品市场价值的10倍进行一次性收取违约金</w:t>
      </w:r>
      <w:r>
        <w:rPr>
          <w:szCs w:val="21"/>
        </w:rPr>
        <w:t>；</w:t>
      </w:r>
      <w:r>
        <w:rPr>
          <w:rFonts w:hint="eastAsia"/>
          <w:szCs w:val="21"/>
        </w:rPr>
        <w:t>发现第二宗盗窃甲方物品行为的，按盗窃物品市场价值的</w:t>
      </w:r>
      <w:r>
        <w:rPr>
          <w:szCs w:val="21"/>
        </w:rPr>
        <w:t>20</w:t>
      </w:r>
      <w:r>
        <w:rPr>
          <w:rFonts w:hint="eastAsia"/>
          <w:szCs w:val="21"/>
        </w:rPr>
        <w:t>倍进行一次性收取违约金；发现第三宗盗窃甲方物品行为的，按盗窃物品市场价值的</w:t>
      </w:r>
      <w:r>
        <w:rPr>
          <w:szCs w:val="21"/>
        </w:rPr>
        <w:t>3</w:t>
      </w:r>
      <w:r>
        <w:rPr>
          <w:rFonts w:hint="eastAsia"/>
          <w:szCs w:val="21"/>
        </w:rPr>
        <w:t>0倍进行一次性收取违约金；以此类推。情节严重的，交公安部门处理。</w:t>
      </w:r>
    </w:p>
    <w:p w14:paraId="237B9425">
      <w:pPr>
        <w:numPr>
          <w:ilvl w:val="1"/>
          <w:numId w:val="24"/>
        </w:numPr>
        <w:spacing w:line="360" w:lineRule="auto"/>
        <w:ind w:left="0" w:firstLine="420"/>
        <w:rPr>
          <w:rFonts w:hAnsi="宋体"/>
          <w:szCs w:val="21"/>
        </w:rPr>
      </w:pPr>
      <w:r>
        <w:rPr>
          <w:rFonts w:hint="eastAsia"/>
          <w:szCs w:val="21"/>
        </w:rPr>
        <w:t>在一个合同服务期内，若发现乙方</w:t>
      </w:r>
      <w:r>
        <w:rPr>
          <w:szCs w:val="21"/>
        </w:rPr>
        <w:t>人员</w:t>
      </w:r>
      <w:r>
        <w:rPr>
          <w:rFonts w:hint="eastAsia"/>
          <w:szCs w:val="21"/>
        </w:rPr>
        <w:t>（包括但</w:t>
      </w:r>
      <w:r>
        <w:rPr>
          <w:szCs w:val="21"/>
        </w:rPr>
        <w:t>不限于乙方职工、</w:t>
      </w:r>
      <w:r>
        <w:rPr>
          <w:rFonts w:hint="eastAsia"/>
          <w:szCs w:val="21"/>
        </w:rPr>
        <w:t>由</w:t>
      </w:r>
      <w:r>
        <w:rPr>
          <w:szCs w:val="21"/>
        </w:rPr>
        <w:t>乙方委托</w:t>
      </w:r>
      <w:r>
        <w:rPr>
          <w:rFonts w:hint="eastAsia"/>
          <w:szCs w:val="21"/>
        </w:rPr>
        <w:t>或</w:t>
      </w:r>
      <w:r>
        <w:rPr>
          <w:szCs w:val="21"/>
        </w:rPr>
        <w:t>聘用的</w:t>
      </w:r>
      <w:r>
        <w:rPr>
          <w:rFonts w:hint="eastAsia"/>
          <w:szCs w:val="21"/>
        </w:rPr>
        <w:t>第</w:t>
      </w:r>
      <w:r>
        <w:rPr>
          <w:szCs w:val="21"/>
        </w:rPr>
        <w:t>三方人员</w:t>
      </w:r>
      <w:r>
        <w:rPr>
          <w:rFonts w:hint="eastAsia"/>
          <w:szCs w:val="21"/>
        </w:rPr>
        <w:t>、因前</w:t>
      </w:r>
      <w:r>
        <w:rPr>
          <w:szCs w:val="21"/>
        </w:rPr>
        <w:t>述人员而进入甲方场所的其它人员）</w:t>
      </w:r>
      <w:r>
        <w:rPr>
          <w:rFonts w:hint="eastAsia"/>
          <w:szCs w:val="21"/>
        </w:rPr>
        <w:t>四</w:t>
      </w:r>
      <w:r>
        <w:rPr>
          <w:szCs w:val="21"/>
        </w:rPr>
        <w:t>宗（含）以上盗窃甲方物品行为的，甲方有权针对乙方选取以下措施执行：降低供货份额、缩短服务期限、终止或解除合同。</w:t>
      </w:r>
    </w:p>
    <w:p w14:paraId="4D4BCF4A">
      <w:pPr>
        <w:numPr>
          <w:ilvl w:val="1"/>
          <w:numId w:val="24"/>
        </w:numPr>
        <w:spacing w:line="360" w:lineRule="auto"/>
        <w:ind w:left="0" w:firstLine="420"/>
        <w:rPr>
          <w:rFonts w:hAnsi="宋体"/>
          <w:szCs w:val="21"/>
        </w:rPr>
      </w:pPr>
      <w:r>
        <w:rPr>
          <w:rFonts w:hint="eastAsia" w:hAnsi="宋体"/>
          <w:szCs w:val="21"/>
        </w:rPr>
        <w:t>在执行经济违约处理时，乙方需按甲方出具的违约金收取通知书确定的时间和金额，将违约金按时足额以现金形式交付给甲方。逾期不交的，甲方有权在合同款项中扣除对应的违约金额，甲方同时保留单方面解除合同的权利。甲方除有权要求乙方支付违约金外，还有权按主合同规定要求乙方承担其它的违约责任。</w:t>
      </w:r>
    </w:p>
    <w:p w14:paraId="30B6FFA3">
      <w:pPr>
        <w:pStyle w:val="26"/>
        <w:spacing w:line="360" w:lineRule="auto"/>
        <w:ind w:firstLine="422"/>
        <w:rPr>
          <w:rFonts w:ascii="Calibri" w:hAnsi="Calibri"/>
          <w:b/>
          <w:kern w:val="2"/>
          <w:szCs w:val="21"/>
        </w:rPr>
      </w:pPr>
      <w:r>
        <w:rPr>
          <w:rFonts w:hint="eastAsia" w:ascii="Calibri" w:hAnsi="Calibri"/>
          <w:b/>
          <w:kern w:val="2"/>
          <w:szCs w:val="21"/>
        </w:rPr>
        <w:t>三、未尽事宜，由甲乙双方协商解决。若协商不成，按照主合同文本争议解决办法约定的程序解决。</w:t>
      </w:r>
    </w:p>
    <w:p w14:paraId="24EA3C38">
      <w:pPr>
        <w:pStyle w:val="26"/>
        <w:spacing w:line="360" w:lineRule="auto"/>
        <w:ind w:firstLine="422"/>
        <w:rPr>
          <w:rFonts w:ascii="Calibri" w:hAnsi="Calibri"/>
          <w:b/>
          <w:kern w:val="2"/>
          <w:szCs w:val="21"/>
        </w:rPr>
      </w:pPr>
      <w:r>
        <w:rPr>
          <w:rFonts w:hint="eastAsia" w:ascii="Calibri" w:hAnsi="Calibri"/>
          <w:b/>
          <w:kern w:val="2"/>
          <w:szCs w:val="21"/>
        </w:rPr>
        <w:t>四、本协议作为合同签署附件，与合同主体份数一致。</w:t>
      </w:r>
    </w:p>
    <w:p w14:paraId="05AD4F71">
      <w:pPr>
        <w:pStyle w:val="26"/>
        <w:spacing w:line="360" w:lineRule="auto"/>
        <w:ind w:firstLine="422"/>
        <w:rPr>
          <w:rFonts w:ascii="Calibri" w:hAnsi="Calibri"/>
          <w:b/>
          <w:kern w:val="2"/>
          <w:szCs w:val="21"/>
        </w:rPr>
      </w:pPr>
      <w:r>
        <w:rPr>
          <w:rFonts w:hint="eastAsia" w:ascii="Calibri" w:hAnsi="Calibri"/>
          <w:b/>
          <w:kern w:val="2"/>
          <w:szCs w:val="21"/>
        </w:rPr>
        <w:t>五、安全环保声明</w:t>
      </w:r>
    </w:p>
    <w:p w14:paraId="43A8AD34">
      <w:pPr>
        <w:pStyle w:val="26"/>
        <w:spacing w:line="360" w:lineRule="auto"/>
        <w:rPr>
          <w:rFonts w:ascii="Calibri" w:hAnsi="Calibri"/>
          <w:kern w:val="2"/>
          <w:szCs w:val="21"/>
        </w:rPr>
      </w:pPr>
      <w:r>
        <w:rPr>
          <w:rFonts w:hint="eastAsia" w:ascii="Calibri" w:hAnsi="Calibri"/>
          <w:kern w:val="2"/>
          <w:szCs w:val="21"/>
        </w:rPr>
        <w:t>广东中烟工业有限责任公司已建立并运行各项安全和环保管理体系，致力本质安全和清洁生产，通过危险有害及环境风险因素的识别与控制，努力防止伤害、事故和环境污染。与我公司合作的相关方应遵守安全法律法规及本协议相关要求，确保合作项目顺利进行。</w:t>
      </w:r>
    </w:p>
    <w:p w14:paraId="6FAE788F">
      <w:pPr>
        <w:spacing w:before="156" w:beforeLines="50" w:after="156" w:afterLines="50" w:line="360" w:lineRule="auto"/>
        <w:jc w:val="left"/>
        <w:rPr>
          <w:rFonts w:ascii="仿宋" w:hAnsi="仿宋" w:eastAsia="仿宋"/>
          <w:bCs/>
          <w:kern w:val="20"/>
          <w:sz w:val="28"/>
          <w:szCs w:val="28"/>
        </w:rPr>
      </w:pPr>
    </w:p>
    <w:p w14:paraId="6ED64159">
      <w:pPr>
        <w:spacing w:before="156" w:beforeLines="50" w:after="156" w:afterLines="50" w:line="360" w:lineRule="auto"/>
        <w:jc w:val="left"/>
        <w:rPr>
          <w:rFonts w:ascii="仿宋" w:hAnsi="仿宋" w:eastAsia="仿宋"/>
          <w:bCs/>
          <w:kern w:val="20"/>
          <w:sz w:val="28"/>
          <w:szCs w:val="28"/>
        </w:rPr>
      </w:pPr>
    </w:p>
    <w:p w14:paraId="1F2D60D1">
      <w:pPr>
        <w:spacing w:before="156" w:beforeLines="50" w:after="156" w:afterLines="50" w:line="360" w:lineRule="auto"/>
        <w:jc w:val="left"/>
        <w:rPr>
          <w:rFonts w:ascii="仿宋" w:hAnsi="仿宋" w:eastAsia="仿宋"/>
          <w:bCs/>
          <w:kern w:val="20"/>
          <w:sz w:val="28"/>
          <w:szCs w:val="28"/>
        </w:rPr>
      </w:pPr>
    </w:p>
    <w:p w14:paraId="6AE2D2BA">
      <w:pPr>
        <w:spacing w:before="156" w:beforeLines="50" w:after="156" w:afterLines="50" w:line="360" w:lineRule="auto"/>
        <w:jc w:val="left"/>
        <w:rPr>
          <w:rFonts w:ascii="仿宋" w:hAnsi="仿宋" w:eastAsia="仿宋"/>
          <w:bCs/>
          <w:kern w:val="20"/>
          <w:sz w:val="28"/>
          <w:szCs w:val="28"/>
        </w:rPr>
      </w:pPr>
    </w:p>
    <w:p w14:paraId="54CA4505">
      <w:pPr>
        <w:spacing w:before="156" w:beforeLines="50" w:after="156" w:afterLines="50" w:line="360" w:lineRule="auto"/>
        <w:jc w:val="left"/>
        <w:rPr>
          <w:rFonts w:ascii="仿宋" w:hAnsi="仿宋" w:eastAsia="仿宋"/>
          <w:bCs/>
          <w:kern w:val="20"/>
          <w:sz w:val="28"/>
          <w:szCs w:val="28"/>
        </w:rPr>
      </w:pPr>
    </w:p>
    <w:p w14:paraId="21A35C39">
      <w:pPr>
        <w:spacing w:before="156" w:beforeLines="50" w:after="156" w:afterLines="50" w:line="360" w:lineRule="auto"/>
        <w:jc w:val="left"/>
        <w:rPr>
          <w:rFonts w:ascii="仿宋" w:hAnsi="仿宋" w:eastAsia="仿宋"/>
          <w:bCs/>
          <w:kern w:val="20"/>
          <w:sz w:val="28"/>
          <w:szCs w:val="28"/>
        </w:rPr>
      </w:pPr>
    </w:p>
    <w:p w14:paraId="6C1E3C7A">
      <w:pPr>
        <w:spacing w:before="156" w:beforeLines="50" w:after="156" w:afterLines="50" w:line="360" w:lineRule="auto"/>
        <w:jc w:val="left"/>
        <w:rPr>
          <w:rFonts w:ascii="仿宋" w:hAnsi="仿宋" w:eastAsia="仿宋"/>
          <w:bCs/>
          <w:kern w:val="20"/>
          <w:sz w:val="28"/>
          <w:szCs w:val="28"/>
        </w:rPr>
      </w:pPr>
    </w:p>
    <w:p w14:paraId="03D34E7E">
      <w:pPr>
        <w:spacing w:before="156" w:beforeLines="50" w:after="156" w:afterLines="50" w:line="360" w:lineRule="auto"/>
        <w:jc w:val="left"/>
        <w:rPr>
          <w:rFonts w:asciiTheme="majorEastAsia" w:hAnsiTheme="majorEastAsia" w:eastAsiaTheme="majorEastAsia" w:cstheme="majorEastAsia"/>
          <w:b/>
          <w:sz w:val="28"/>
          <w:szCs w:val="28"/>
        </w:rPr>
      </w:pPr>
      <w:r>
        <w:rPr>
          <w:rFonts w:hint="eastAsia" w:ascii="仿宋" w:hAnsi="仿宋" w:eastAsia="仿宋"/>
          <w:bCs/>
          <w:kern w:val="20"/>
          <w:sz w:val="28"/>
          <w:szCs w:val="28"/>
        </w:rPr>
        <w:t>附件三</w:t>
      </w:r>
    </w:p>
    <w:p w14:paraId="7A1CF946">
      <w:pPr>
        <w:spacing w:before="156" w:beforeLines="50" w:after="156" w:afterLines="50"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项目文件材料整理移交协议</w:t>
      </w:r>
    </w:p>
    <w:p w14:paraId="18D98208">
      <w:pPr>
        <w:spacing w:line="324" w:lineRule="auto"/>
        <w:ind w:firstLine="658" w:firstLineChars="235"/>
        <w:rPr>
          <w:rFonts w:ascii="仿宋" w:hAnsi="仿宋" w:eastAsia="仿宋"/>
          <w:bCs/>
          <w:sz w:val="28"/>
          <w:szCs w:val="28"/>
        </w:rPr>
      </w:pPr>
      <w:r>
        <w:rPr>
          <w:rFonts w:hint="eastAsia" w:ascii="仿宋" w:hAnsi="仿宋" w:eastAsia="仿宋"/>
          <w:bCs/>
          <w:sz w:val="28"/>
          <w:szCs w:val="28"/>
        </w:rPr>
        <w:t>为贯彻落实《中华人民共和国档案法》、《城市建设档案管理规定》及地方档案管理办法等法规的精神，为确保项目（竣工）文件的齐全、完整、符合档案管理规范，共同完成项目竣工验收工作，本项目甲方及乙方就项目竣工文件材料的整理、归档、移交、验收工作，特签订本协议。</w:t>
      </w:r>
    </w:p>
    <w:p w14:paraId="50F1A3C3">
      <w:pPr>
        <w:spacing w:line="324" w:lineRule="auto"/>
        <w:ind w:firstLine="658" w:firstLineChars="235"/>
        <w:rPr>
          <w:rFonts w:ascii="仿宋" w:hAnsi="仿宋" w:eastAsia="仿宋"/>
          <w:bCs/>
          <w:sz w:val="28"/>
          <w:szCs w:val="28"/>
        </w:rPr>
      </w:pPr>
      <w:r>
        <w:rPr>
          <w:rFonts w:hint="eastAsia" w:ascii="仿宋" w:hAnsi="仿宋" w:eastAsia="仿宋"/>
          <w:bCs/>
          <w:sz w:val="28"/>
          <w:szCs w:val="28"/>
        </w:rPr>
        <w:t>一、甲方义务</w:t>
      </w:r>
    </w:p>
    <w:p w14:paraId="29684646">
      <w:pPr>
        <w:spacing w:line="324" w:lineRule="auto"/>
        <w:ind w:firstLine="658" w:firstLineChars="235"/>
        <w:rPr>
          <w:rFonts w:ascii="仿宋" w:hAnsi="仿宋" w:eastAsia="仿宋"/>
          <w:bCs/>
          <w:sz w:val="28"/>
          <w:szCs w:val="28"/>
        </w:rPr>
      </w:pPr>
      <w:r>
        <w:rPr>
          <w:rFonts w:ascii="仿宋" w:hAnsi="仿宋" w:eastAsia="仿宋"/>
          <w:bCs/>
          <w:sz w:val="28"/>
          <w:szCs w:val="28"/>
        </w:rPr>
        <w:t>1、严格遵守国家有关档案工作的法律法规，认真执行国家建设项目（重大建设项目）文件材料归档要求与档案整理规范。</w:t>
      </w:r>
    </w:p>
    <w:p w14:paraId="3271406A">
      <w:pPr>
        <w:spacing w:line="324" w:lineRule="auto"/>
        <w:ind w:firstLine="658" w:firstLineChars="235"/>
        <w:rPr>
          <w:rFonts w:ascii="仿宋" w:hAnsi="仿宋" w:eastAsia="仿宋"/>
          <w:bCs/>
          <w:sz w:val="28"/>
          <w:szCs w:val="28"/>
        </w:rPr>
      </w:pPr>
      <w:r>
        <w:rPr>
          <w:rFonts w:ascii="仿宋" w:hAnsi="仿宋" w:eastAsia="仿宋"/>
          <w:bCs/>
          <w:sz w:val="28"/>
          <w:szCs w:val="28"/>
        </w:rPr>
        <w:t>2、有权定期到施工现场指导档案业务工作，协调解决档案业务中存在的问题。</w:t>
      </w:r>
    </w:p>
    <w:p w14:paraId="638068B7">
      <w:pPr>
        <w:spacing w:line="324" w:lineRule="auto"/>
        <w:ind w:firstLine="658" w:firstLineChars="235"/>
        <w:rPr>
          <w:rFonts w:ascii="仿宋" w:hAnsi="仿宋" w:eastAsia="仿宋"/>
          <w:bCs/>
          <w:sz w:val="28"/>
          <w:szCs w:val="28"/>
        </w:rPr>
      </w:pPr>
      <w:r>
        <w:rPr>
          <w:rFonts w:ascii="仿宋" w:hAnsi="仿宋" w:eastAsia="仿宋"/>
          <w:bCs/>
          <w:sz w:val="28"/>
          <w:szCs w:val="28"/>
        </w:rPr>
        <w:t>3、有权监督和检查乙方项目文件材料的形成、积累和立卷整理工作，如发现乙方不按相关规范整理项目文件材料，有权及时提出书面整改意见，直至乙方达到规范要求。</w:t>
      </w:r>
    </w:p>
    <w:p w14:paraId="793C0AD5">
      <w:pPr>
        <w:spacing w:line="324" w:lineRule="auto"/>
        <w:ind w:firstLine="658" w:firstLineChars="235"/>
        <w:rPr>
          <w:rFonts w:ascii="仿宋" w:hAnsi="仿宋" w:eastAsia="仿宋"/>
          <w:bCs/>
          <w:sz w:val="28"/>
          <w:szCs w:val="28"/>
        </w:rPr>
      </w:pPr>
      <w:r>
        <w:rPr>
          <w:rFonts w:hint="eastAsia" w:ascii="仿宋" w:hAnsi="仿宋" w:eastAsia="仿宋"/>
          <w:bCs/>
          <w:sz w:val="28"/>
          <w:szCs w:val="28"/>
        </w:rPr>
        <w:t>二、乙方义务</w:t>
      </w:r>
    </w:p>
    <w:p w14:paraId="531EE7A7">
      <w:pPr>
        <w:spacing w:line="324" w:lineRule="auto"/>
        <w:ind w:firstLine="658" w:firstLineChars="235"/>
        <w:rPr>
          <w:rFonts w:ascii="仿宋" w:hAnsi="仿宋" w:eastAsia="仿宋"/>
          <w:bCs/>
          <w:sz w:val="28"/>
          <w:szCs w:val="28"/>
        </w:rPr>
      </w:pPr>
      <w:r>
        <w:rPr>
          <w:rFonts w:ascii="仿宋" w:hAnsi="仿宋" w:eastAsia="仿宋"/>
          <w:bCs/>
          <w:sz w:val="28"/>
          <w:szCs w:val="28"/>
        </w:rPr>
        <w:t>1、严格遵守国家有关档案工作的法律法规，认真执行国家建设项目（重大建设项目）文件材料归档要求与档案整理规范以及项目所在地城市建筑工程文件整理及档案移交规定。</w:t>
      </w:r>
    </w:p>
    <w:p w14:paraId="0B1934AF">
      <w:pPr>
        <w:spacing w:line="324" w:lineRule="auto"/>
        <w:ind w:firstLine="658" w:firstLineChars="235"/>
        <w:rPr>
          <w:rFonts w:ascii="仿宋" w:hAnsi="仿宋" w:eastAsia="仿宋"/>
          <w:bCs/>
          <w:sz w:val="28"/>
          <w:szCs w:val="28"/>
        </w:rPr>
      </w:pPr>
      <w:r>
        <w:rPr>
          <w:rFonts w:ascii="仿宋" w:hAnsi="仿宋" w:eastAsia="仿宋"/>
          <w:bCs/>
          <w:sz w:val="28"/>
          <w:szCs w:val="28"/>
        </w:rPr>
        <w:t>2、负责所承接之项目文件的管理工作,乙方应建立健全文件资料的管理制度和岗位责任制，建立本单位项目档案管理的网络，配备固定专职档案（资料）员，并将项目文件的收集、整理、归档工作纳入档案（资料）员及项目负责人的岗位职责并定期考核。乙方须在本协议签订后15日内将其档案管理机构设置、人员名单及工作职责报甲方，以方便开展业务监督、指导、检查工作。</w:t>
      </w:r>
    </w:p>
    <w:p w14:paraId="0BCE1588">
      <w:pPr>
        <w:spacing w:line="324" w:lineRule="auto"/>
        <w:ind w:firstLine="658" w:firstLineChars="235"/>
        <w:rPr>
          <w:rFonts w:ascii="仿宋" w:hAnsi="仿宋" w:eastAsia="仿宋"/>
          <w:bCs/>
          <w:sz w:val="28"/>
          <w:szCs w:val="28"/>
        </w:rPr>
      </w:pPr>
      <w:r>
        <w:rPr>
          <w:rFonts w:ascii="仿宋" w:hAnsi="仿宋" w:eastAsia="仿宋"/>
          <w:bCs/>
          <w:sz w:val="28"/>
          <w:szCs w:val="28"/>
        </w:rPr>
        <w:t>3、负责编制、整理、立卷所承接之项目文件材料，并对项目文件材料的真实性、完整性和有效性负责。并随时接受甲方的检查。</w:t>
      </w:r>
    </w:p>
    <w:p w14:paraId="288FCCE0">
      <w:pPr>
        <w:spacing w:line="324" w:lineRule="auto"/>
        <w:ind w:firstLine="658" w:firstLineChars="235"/>
        <w:rPr>
          <w:rFonts w:ascii="仿宋" w:hAnsi="仿宋" w:eastAsia="仿宋"/>
          <w:bCs/>
          <w:sz w:val="28"/>
          <w:szCs w:val="28"/>
        </w:rPr>
      </w:pPr>
      <w:r>
        <w:rPr>
          <w:rFonts w:ascii="仿宋" w:hAnsi="仿宋" w:eastAsia="仿宋"/>
          <w:bCs/>
          <w:sz w:val="28"/>
          <w:szCs w:val="28"/>
        </w:rPr>
        <w:t>4、乙方必须按照《建设工程文件归档规范》（GB/T 50328-2014）（如属重大项目则按照《国家重大建设项目文件归档要求与档案整理规范》（DA/T28-2002））、《建设电子文件与电子档案管理规范》（CJJ/T117-2007）、项目所在地之地方建设工程档案编制规范及《广东中烟工业有限责任公司基建工程部档案管理实施办法》（Q/GY G17.019-2015）的要求，编制、整理、归档所承接之项目相关的成果文件。</w:t>
      </w:r>
    </w:p>
    <w:p w14:paraId="2C186F43">
      <w:pPr>
        <w:spacing w:line="324" w:lineRule="auto"/>
        <w:ind w:firstLine="658" w:firstLineChars="235"/>
        <w:rPr>
          <w:rFonts w:ascii="仿宋" w:hAnsi="仿宋" w:eastAsia="仿宋"/>
          <w:bCs/>
          <w:sz w:val="28"/>
          <w:szCs w:val="28"/>
        </w:rPr>
      </w:pPr>
      <w:r>
        <w:rPr>
          <w:rFonts w:ascii="仿宋" w:hAnsi="仿宋" w:eastAsia="仿宋"/>
          <w:bCs/>
          <w:sz w:val="28"/>
          <w:szCs w:val="28"/>
        </w:rPr>
        <w:t>5、经竣工验收，设备物资交付甲方时，乙方须向甲方提交项目全部竣工资料，包括不限于设备物资相关的技术与成果文件（与实物相符）、相应成果文件电子版、声像档案（如有）、录有全部文件的电子档案等，具体移交套数以甲方书面通知为准。其中如需报送当地城建档案馆的一套，档案编制按属地城建档案馆规定执行，报送广东中烟工业有限责任公司的按广东中烟工业有限责任公司的要求编制。由乙方负责编制的项目文件所发生的费用由乙方负责。</w:t>
      </w:r>
    </w:p>
    <w:p w14:paraId="68D36BFE">
      <w:pPr>
        <w:spacing w:line="324" w:lineRule="auto"/>
        <w:ind w:firstLine="658" w:firstLineChars="235"/>
        <w:rPr>
          <w:rFonts w:ascii="仿宋" w:hAnsi="仿宋" w:eastAsia="仿宋"/>
          <w:bCs/>
          <w:sz w:val="28"/>
          <w:szCs w:val="28"/>
        </w:rPr>
      </w:pPr>
      <w:r>
        <w:rPr>
          <w:rFonts w:hint="eastAsia" w:ascii="仿宋" w:hAnsi="仿宋" w:eastAsia="仿宋"/>
          <w:bCs/>
          <w:sz w:val="28"/>
          <w:szCs w:val="28"/>
        </w:rPr>
        <w:t>三、违约责任</w:t>
      </w:r>
    </w:p>
    <w:p w14:paraId="626D628F">
      <w:pPr>
        <w:spacing w:line="324" w:lineRule="auto"/>
        <w:ind w:firstLine="658" w:firstLineChars="235"/>
        <w:rPr>
          <w:rFonts w:ascii="仿宋" w:hAnsi="仿宋" w:eastAsia="仿宋"/>
          <w:bCs/>
          <w:sz w:val="28"/>
          <w:szCs w:val="28"/>
        </w:rPr>
      </w:pPr>
      <w:r>
        <w:rPr>
          <w:rFonts w:ascii="仿宋" w:hAnsi="仿宋" w:eastAsia="仿宋"/>
          <w:bCs/>
          <w:sz w:val="28"/>
          <w:szCs w:val="28"/>
        </w:rPr>
        <w:t>1、甲方或乙方如违反档案法规，将依法追究责任。</w:t>
      </w:r>
    </w:p>
    <w:p w14:paraId="4A2A7BDE">
      <w:pPr>
        <w:spacing w:line="324" w:lineRule="auto"/>
        <w:ind w:firstLine="658" w:firstLineChars="235"/>
        <w:rPr>
          <w:rFonts w:ascii="仿宋" w:hAnsi="仿宋" w:eastAsia="仿宋"/>
          <w:bCs/>
          <w:sz w:val="28"/>
          <w:szCs w:val="28"/>
        </w:rPr>
      </w:pPr>
      <w:r>
        <w:rPr>
          <w:rFonts w:ascii="仿宋" w:hAnsi="仿宋" w:eastAsia="仿宋"/>
          <w:bCs/>
          <w:sz w:val="28"/>
          <w:szCs w:val="28"/>
        </w:rPr>
        <w:t>2、乙方未按本合同编制、整理项目成果（竣工）文件，项目成果（竣工）文件不齐全、整理不规范，甲方有权要求乙方进行整改，直至符合本协议第二大项第4条、第5条所述档案管理规定的要求为止。</w:t>
      </w:r>
    </w:p>
    <w:p w14:paraId="313DBF9F">
      <w:pPr>
        <w:spacing w:line="324" w:lineRule="auto"/>
        <w:ind w:firstLine="658" w:firstLineChars="235"/>
        <w:rPr>
          <w:rFonts w:ascii="仿宋" w:hAnsi="仿宋" w:eastAsia="仿宋"/>
          <w:bCs/>
          <w:sz w:val="28"/>
          <w:szCs w:val="28"/>
        </w:rPr>
      </w:pPr>
      <w:r>
        <w:rPr>
          <w:rFonts w:ascii="仿宋" w:hAnsi="仿宋" w:eastAsia="仿宋"/>
          <w:bCs/>
          <w:sz w:val="28"/>
          <w:szCs w:val="28"/>
        </w:rPr>
        <w:t>3、因乙方所承接的项目档案验收不合格，影响工程竣工验收的正常进行，乙方须承担违约责任，违约金从乙方的履约担保或结算款中扣除。</w:t>
      </w:r>
    </w:p>
    <w:p w14:paraId="6261D79F">
      <w:pPr>
        <w:spacing w:line="324" w:lineRule="auto"/>
        <w:ind w:firstLine="658" w:firstLineChars="235"/>
        <w:rPr>
          <w:rFonts w:ascii="仿宋" w:hAnsi="仿宋" w:eastAsia="仿宋"/>
          <w:bCs/>
          <w:sz w:val="28"/>
          <w:szCs w:val="28"/>
        </w:rPr>
      </w:pPr>
      <w:r>
        <w:rPr>
          <w:rFonts w:ascii="仿宋" w:hAnsi="仿宋" w:eastAsia="仿宋"/>
          <w:bCs/>
          <w:sz w:val="28"/>
          <w:szCs w:val="28"/>
        </w:rPr>
        <w:t>4、项目成果（竣工）文件未按时移交甲方，甲方档案人员未签字确认前，暂缓办理主合同工程价款的结算。</w:t>
      </w:r>
    </w:p>
    <w:p w14:paraId="529AD6DB">
      <w:pPr>
        <w:spacing w:line="324" w:lineRule="auto"/>
        <w:ind w:firstLine="658" w:firstLineChars="235"/>
        <w:rPr>
          <w:rFonts w:ascii="仿宋" w:hAnsi="仿宋" w:eastAsia="仿宋"/>
          <w:bCs/>
          <w:sz w:val="28"/>
          <w:szCs w:val="28"/>
        </w:rPr>
      </w:pPr>
      <w:r>
        <w:rPr>
          <w:rFonts w:hint="eastAsia" w:ascii="仿宋" w:hAnsi="仿宋" w:eastAsia="仿宋"/>
          <w:bCs/>
          <w:sz w:val="28"/>
          <w:szCs w:val="28"/>
        </w:rPr>
        <w:t>四、协议期限</w:t>
      </w:r>
    </w:p>
    <w:p w14:paraId="136C7C5B">
      <w:pPr>
        <w:spacing w:line="324" w:lineRule="auto"/>
        <w:ind w:firstLine="658" w:firstLineChars="235"/>
        <w:rPr>
          <w:rFonts w:ascii="仿宋" w:hAnsi="仿宋" w:eastAsia="仿宋"/>
          <w:bCs/>
          <w:sz w:val="28"/>
          <w:szCs w:val="28"/>
        </w:rPr>
      </w:pPr>
      <w:r>
        <w:rPr>
          <w:rFonts w:hint="eastAsia" w:ascii="仿宋" w:hAnsi="仿宋" w:eastAsia="仿宋"/>
          <w:bCs/>
          <w:sz w:val="28"/>
          <w:szCs w:val="28"/>
        </w:rPr>
        <w:t>本协议由双方法定代表人签署加盖公章后生效，项目竣工文件验收合格</w:t>
      </w:r>
      <w:r>
        <w:rPr>
          <w:rFonts w:ascii="仿宋" w:hAnsi="仿宋" w:eastAsia="仿宋"/>
          <w:bCs/>
          <w:sz w:val="28"/>
          <w:szCs w:val="28"/>
        </w:rPr>
        <w:t>,取得档案部门的档案认可书(合格证)后终止。</w:t>
      </w:r>
    </w:p>
    <w:p w14:paraId="21C0B298">
      <w:pPr>
        <w:spacing w:line="324" w:lineRule="auto"/>
        <w:ind w:firstLine="658" w:firstLineChars="235"/>
        <w:rPr>
          <w:rFonts w:ascii="仿宋" w:hAnsi="仿宋" w:eastAsia="仿宋"/>
          <w:bCs/>
          <w:sz w:val="28"/>
          <w:szCs w:val="28"/>
        </w:rPr>
      </w:pPr>
      <w:r>
        <w:rPr>
          <w:rFonts w:ascii="仿宋" w:hAnsi="仿宋" w:eastAsia="仿宋"/>
          <w:bCs/>
          <w:sz w:val="28"/>
          <w:szCs w:val="28"/>
        </w:rPr>
        <w:br w:type="page"/>
      </w:r>
    </w:p>
    <w:p w14:paraId="092C00C6">
      <w:pPr>
        <w:rPr>
          <w:rFonts w:ascii="仿宋" w:hAnsi="仿宋" w:eastAsia="仿宋"/>
          <w:sz w:val="28"/>
          <w:szCs w:val="28"/>
        </w:rPr>
      </w:pPr>
      <w:r>
        <w:rPr>
          <w:rFonts w:hint="eastAsia" w:ascii="仿宋" w:hAnsi="仿宋" w:eastAsia="仿宋"/>
          <w:sz w:val="28"/>
          <w:szCs w:val="28"/>
        </w:rPr>
        <w:t>附件四</w:t>
      </w:r>
    </w:p>
    <w:p w14:paraId="5DBD83F2">
      <w:pPr>
        <w:spacing w:before="156" w:beforeLines="50" w:after="156" w:afterLines="50" w:line="440" w:lineRule="exact"/>
        <w:jc w:val="center"/>
        <w:rPr>
          <w:rFonts w:ascii="仿宋" w:hAnsi="仿宋" w:eastAsia="仿宋"/>
          <w:sz w:val="28"/>
          <w:szCs w:val="28"/>
        </w:rPr>
      </w:pPr>
      <w:r>
        <w:rPr>
          <w:rFonts w:hint="eastAsia" w:ascii="仿宋" w:hAnsi="仿宋" w:eastAsia="仿宋"/>
          <w:sz w:val="28"/>
          <w:szCs w:val="28"/>
        </w:rPr>
        <w:t>工程质量保修书</w:t>
      </w:r>
    </w:p>
    <w:p w14:paraId="77595A52">
      <w:pPr>
        <w:spacing w:line="440" w:lineRule="exact"/>
        <w:rPr>
          <w:rFonts w:ascii="仿宋" w:hAnsi="仿宋" w:eastAsia="仿宋"/>
          <w:sz w:val="28"/>
          <w:szCs w:val="28"/>
        </w:rPr>
      </w:pPr>
      <w:r>
        <w:rPr>
          <w:rFonts w:hint="eastAsia" w:ascii="仿宋" w:hAnsi="仿宋" w:eastAsia="仿宋"/>
          <w:sz w:val="28"/>
          <w:szCs w:val="28"/>
        </w:rPr>
        <w:t>甲方（全称）：</w:t>
      </w:r>
      <w:r>
        <w:rPr>
          <w:rFonts w:ascii="仿宋" w:hAnsi="仿宋" w:eastAsia="仿宋"/>
          <w:sz w:val="28"/>
          <w:szCs w:val="28"/>
          <w:u w:val="single"/>
        </w:rPr>
        <w:t xml:space="preserve">  </w:t>
      </w:r>
      <w:r>
        <w:rPr>
          <w:rFonts w:ascii="仿宋" w:hAnsi="仿宋" w:eastAsia="仿宋"/>
          <w:snapToGrid w:val="0"/>
          <w:kern w:val="0"/>
          <w:sz w:val="28"/>
          <w:szCs w:val="28"/>
          <w:u w:val="single"/>
        </w:rPr>
        <w:t>广东中烟工业有限责任公司</w:t>
      </w:r>
      <w:r>
        <w:rPr>
          <w:rFonts w:ascii="仿宋" w:hAnsi="仿宋" w:eastAsia="仿宋"/>
          <w:sz w:val="28"/>
          <w:szCs w:val="28"/>
          <w:u w:val="single"/>
        </w:rPr>
        <w:t xml:space="preserve">      </w:t>
      </w:r>
      <w:r>
        <w:rPr>
          <w:rFonts w:ascii="仿宋" w:hAnsi="仿宋" w:eastAsia="仿宋"/>
          <w:sz w:val="28"/>
          <w:szCs w:val="28"/>
        </w:rPr>
        <w:t xml:space="preserve"> </w:t>
      </w:r>
    </w:p>
    <w:p w14:paraId="758CF339">
      <w:pPr>
        <w:spacing w:line="440" w:lineRule="exact"/>
        <w:rPr>
          <w:rFonts w:ascii="仿宋" w:hAnsi="仿宋" w:eastAsia="仿宋"/>
          <w:sz w:val="28"/>
          <w:szCs w:val="28"/>
        </w:rPr>
      </w:pPr>
      <w:r>
        <w:rPr>
          <w:rFonts w:hint="eastAsia" w:ascii="仿宋" w:hAnsi="仿宋" w:eastAsia="仿宋"/>
          <w:sz w:val="28"/>
          <w:szCs w:val="28"/>
        </w:rPr>
        <w:t>乙方（全称）：</w:t>
      </w:r>
      <w:r>
        <w:rPr>
          <w:rFonts w:ascii="仿宋" w:hAnsi="仿宋" w:eastAsia="仿宋"/>
          <w:sz w:val="28"/>
          <w:szCs w:val="28"/>
          <w:u w:val="single"/>
        </w:rPr>
        <w:t xml:space="preserve">  </w:t>
      </w:r>
      <w:r>
        <w:rPr>
          <w:rFonts w:hint="eastAsia" w:ascii="仿宋" w:hAnsi="仿宋" w:eastAsia="仿宋"/>
          <w:sz w:val="28"/>
          <w:szCs w:val="28"/>
          <w:u w:val="single"/>
        </w:rPr>
        <w:t>XXXXXXX公司</w:t>
      </w:r>
      <w:r>
        <w:rPr>
          <w:rFonts w:ascii="仿宋" w:hAnsi="仿宋" w:eastAsia="仿宋"/>
          <w:sz w:val="28"/>
          <w:szCs w:val="28"/>
          <w:u w:val="single"/>
        </w:rPr>
        <w:t xml:space="preserve">      </w:t>
      </w:r>
    </w:p>
    <w:p w14:paraId="24D3174D">
      <w:pPr>
        <w:spacing w:line="440" w:lineRule="exact"/>
        <w:rPr>
          <w:rFonts w:ascii="仿宋" w:hAnsi="仿宋" w:eastAsia="仿宋"/>
          <w:sz w:val="28"/>
          <w:szCs w:val="28"/>
        </w:rPr>
      </w:pPr>
    </w:p>
    <w:p w14:paraId="30265061">
      <w:pPr>
        <w:spacing w:line="360" w:lineRule="auto"/>
        <w:rPr>
          <w:rFonts w:ascii="仿宋" w:hAnsi="仿宋" w:eastAsia="仿宋"/>
          <w:sz w:val="28"/>
          <w:szCs w:val="28"/>
          <w:highlight w:val="yellow"/>
        </w:rPr>
      </w:pPr>
      <w:r>
        <w:rPr>
          <w:rFonts w:hint="eastAsia" w:ascii="仿宋" w:hAnsi="仿宋" w:eastAsia="仿宋"/>
          <w:sz w:val="28"/>
          <w:szCs w:val="28"/>
        </w:rPr>
        <w:t>　　甲方和乙方根据《中华人民共和国建筑法》和《建设工程质量管理条例》，经协商一致就广州卷烟厂石马仓库基建维修改造工程项目施工总承包（工程全称）签订工程质量保修书。</w:t>
      </w:r>
    </w:p>
    <w:p w14:paraId="1295CBDC">
      <w:pPr>
        <w:spacing w:line="360" w:lineRule="auto"/>
        <w:outlineLvl w:val="0"/>
        <w:rPr>
          <w:rFonts w:ascii="仿宋" w:hAnsi="仿宋" w:eastAsia="仿宋"/>
          <w:sz w:val="28"/>
          <w:szCs w:val="28"/>
        </w:rPr>
      </w:pPr>
      <w:r>
        <w:rPr>
          <w:rFonts w:hint="eastAsia" w:ascii="仿宋" w:hAnsi="仿宋" w:eastAsia="仿宋"/>
          <w:sz w:val="28"/>
          <w:szCs w:val="28"/>
        </w:rPr>
        <w:t>　　一、工程质量保修范围和内容</w:t>
      </w:r>
    </w:p>
    <w:p w14:paraId="7242C4B7">
      <w:pPr>
        <w:spacing w:line="360" w:lineRule="auto"/>
        <w:rPr>
          <w:rFonts w:ascii="仿宋" w:hAnsi="仿宋" w:eastAsia="仿宋"/>
          <w:sz w:val="28"/>
          <w:szCs w:val="28"/>
        </w:rPr>
      </w:pPr>
      <w:r>
        <w:rPr>
          <w:rFonts w:hint="eastAsia" w:ascii="仿宋" w:hAnsi="仿宋" w:eastAsia="仿宋"/>
          <w:sz w:val="28"/>
          <w:szCs w:val="28"/>
        </w:rPr>
        <w:t>　　乙方在质量保修期内，按照有关法律规定和合同约定，承担工程质量保修责任。</w:t>
      </w:r>
    </w:p>
    <w:p w14:paraId="257BCFB8">
      <w:pPr>
        <w:spacing w:line="360" w:lineRule="auto"/>
        <w:rPr>
          <w:rFonts w:ascii="仿宋" w:hAnsi="仿宋" w:eastAsia="仿宋"/>
          <w:sz w:val="28"/>
          <w:szCs w:val="28"/>
        </w:rPr>
      </w:pPr>
      <w:r>
        <w:rPr>
          <w:rFonts w:hint="eastAsia" w:ascii="仿宋" w:hAnsi="仿宋" w:eastAsia="仿宋"/>
          <w:sz w:val="28"/>
          <w:szCs w:val="28"/>
        </w:rPr>
        <w:t>　　质量保修范围包括，屋面防水工程、有防水要求的卫生间、房间和外墙面的防渗漏，供热与供冷系统，电气管线、给排水管道、设备安装和装修工程，以及双方约定的其他项目。具体保修的内容，双方约定如下：</w:t>
      </w:r>
    </w:p>
    <w:p w14:paraId="1AC3254A">
      <w:pPr>
        <w:spacing w:line="36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sz w:val="28"/>
          <w:szCs w:val="28"/>
          <w:u w:val="single"/>
        </w:rPr>
        <w:t>本项目承包内容全部为质量保修内容。</w:t>
      </w:r>
    </w:p>
    <w:p w14:paraId="4268A2B6">
      <w:pPr>
        <w:spacing w:line="360" w:lineRule="auto"/>
        <w:outlineLvl w:val="0"/>
        <w:rPr>
          <w:rFonts w:ascii="仿宋" w:hAnsi="仿宋" w:eastAsia="仿宋"/>
          <w:sz w:val="28"/>
          <w:szCs w:val="28"/>
        </w:rPr>
      </w:pPr>
      <w:r>
        <w:rPr>
          <w:rFonts w:hint="eastAsia" w:ascii="仿宋" w:hAnsi="仿宋" w:eastAsia="仿宋"/>
          <w:b/>
          <w:sz w:val="28"/>
          <w:szCs w:val="28"/>
        </w:rPr>
        <w:t>　　</w:t>
      </w:r>
      <w:r>
        <w:rPr>
          <w:rFonts w:hint="eastAsia" w:ascii="仿宋" w:hAnsi="仿宋" w:eastAsia="仿宋"/>
          <w:sz w:val="28"/>
          <w:szCs w:val="28"/>
        </w:rPr>
        <w:t>二、质量保修期</w:t>
      </w:r>
    </w:p>
    <w:p w14:paraId="23445D93">
      <w:pPr>
        <w:ind w:firstLine="560" w:firstLineChars="200"/>
        <w:rPr>
          <w:rFonts w:ascii="仿宋" w:hAnsi="仿宋" w:eastAsia="仿宋"/>
          <w:sz w:val="28"/>
          <w:szCs w:val="28"/>
        </w:rPr>
      </w:pPr>
      <w:r>
        <w:rPr>
          <w:rFonts w:hint="eastAsia" w:ascii="仿宋" w:hAnsi="仿宋" w:eastAsia="仿宋"/>
          <w:sz w:val="28"/>
          <w:szCs w:val="28"/>
        </w:rPr>
        <w:t>根据《建设工程质量管理条例》及有关规定，工程的质量保修期如下：</w:t>
      </w:r>
    </w:p>
    <w:p w14:paraId="1F5A34C7">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．屋面防水工程、有防水要求的卫生间、房间和外墙面的防渗</w:t>
      </w:r>
      <w:r>
        <w:rPr>
          <w:rFonts w:ascii="仿宋" w:hAnsi="仿宋" w:eastAsia="仿宋"/>
          <w:sz w:val="28"/>
          <w:szCs w:val="28"/>
        </w:rPr>
        <w:t xml:space="preserve">     </w:t>
      </w:r>
      <w:r>
        <w:rPr>
          <w:rFonts w:hint="eastAsia" w:ascii="仿宋" w:hAnsi="仿宋" w:eastAsia="仿宋"/>
          <w:sz w:val="28"/>
          <w:szCs w:val="28"/>
        </w:rPr>
        <w:t>为</w:t>
      </w:r>
      <w:r>
        <w:rPr>
          <w:rFonts w:ascii="仿宋" w:hAnsi="仿宋" w:eastAsia="仿宋"/>
          <w:sz w:val="28"/>
          <w:szCs w:val="28"/>
          <w:u w:val="single"/>
        </w:rPr>
        <w:t xml:space="preserve"> 5 </w:t>
      </w:r>
      <w:r>
        <w:rPr>
          <w:rFonts w:hint="eastAsia" w:ascii="仿宋" w:hAnsi="仿宋" w:eastAsia="仿宋"/>
          <w:sz w:val="28"/>
          <w:szCs w:val="28"/>
        </w:rPr>
        <w:t>年；</w:t>
      </w:r>
    </w:p>
    <w:p w14:paraId="51A86883">
      <w:pPr>
        <w:spacing w:line="360" w:lineRule="auto"/>
        <w:ind w:left="420" w:leftChars="200" w:firstLine="140" w:firstLineChars="5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．装修工程为</w:t>
      </w:r>
      <w:r>
        <w:rPr>
          <w:rFonts w:ascii="仿宋" w:hAnsi="仿宋" w:eastAsia="仿宋"/>
          <w:sz w:val="28"/>
          <w:szCs w:val="28"/>
          <w:u w:val="single"/>
        </w:rPr>
        <w:t xml:space="preserve"> 2 </w:t>
      </w:r>
      <w:r>
        <w:rPr>
          <w:rFonts w:hint="eastAsia" w:ascii="仿宋" w:hAnsi="仿宋" w:eastAsia="仿宋"/>
          <w:sz w:val="28"/>
          <w:szCs w:val="28"/>
        </w:rPr>
        <w:t>年；</w:t>
      </w:r>
    </w:p>
    <w:p w14:paraId="45E14E9C">
      <w:pPr>
        <w:spacing w:line="360" w:lineRule="auto"/>
        <w:ind w:left="420" w:leftChars="200" w:firstLine="140" w:firstLineChars="5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．电气管线、给排水管道、设备安装工程为</w:t>
      </w:r>
      <w:r>
        <w:rPr>
          <w:rFonts w:ascii="仿宋" w:hAnsi="仿宋" w:eastAsia="仿宋"/>
          <w:sz w:val="28"/>
          <w:szCs w:val="28"/>
          <w:u w:val="single"/>
        </w:rPr>
        <w:t xml:space="preserve"> 2 </w:t>
      </w:r>
      <w:r>
        <w:rPr>
          <w:rFonts w:hint="eastAsia" w:ascii="仿宋" w:hAnsi="仿宋" w:eastAsia="仿宋"/>
          <w:sz w:val="28"/>
          <w:szCs w:val="28"/>
        </w:rPr>
        <w:t>年；</w:t>
      </w:r>
    </w:p>
    <w:p w14:paraId="1C9939FB">
      <w:pPr>
        <w:spacing w:line="360" w:lineRule="auto"/>
        <w:ind w:left="420" w:leftChars="200" w:firstLine="140" w:firstLineChars="5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．供热与供冷系统为</w:t>
      </w:r>
      <w:r>
        <w:rPr>
          <w:rFonts w:ascii="仿宋" w:hAnsi="仿宋" w:eastAsia="仿宋"/>
          <w:sz w:val="28"/>
          <w:szCs w:val="28"/>
          <w:u w:val="single"/>
        </w:rPr>
        <w:t xml:space="preserve"> 2 </w:t>
      </w:r>
      <w:r>
        <w:rPr>
          <w:rFonts w:hint="eastAsia" w:ascii="仿宋" w:hAnsi="仿宋" w:eastAsia="仿宋"/>
          <w:sz w:val="28"/>
          <w:szCs w:val="28"/>
        </w:rPr>
        <w:t>个采暖期、供冷期；</w:t>
      </w:r>
    </w:p>
    <w:p w14:paraId="4B5B70C3">
      <w:pPr>
        <w:spacing w:line="360" w:lineRule="auto"/>
        <w:ind w:left="420" w:leftChars="200" w:firstLine="140" w:firstLineChars="5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．给排水设施、道路等配套工程为</w:t>
      </w:r>
      <w:r>
        <w:rPr>
          <w:rFonts w:ascii="仿宋" w:hAnsi="仿宋" w:eastAsia="仿宋"/>
          <w:sz w:val="28"/>
          <w:szCs w:val="28"/>
          <w:u w:val="single"/>
        </w:rPr>
        <w:t xml:space="preserve"> 2 </w:t>
      </w:r>
      <w:r>
        <w:rPr>
          <w:rFonts w:hint="eastAsia" w:ascii="仿宋" w:hAnsi="仿宋" w:eastAsia="仿宋"/>
          <w:sz w:val="28"/>
          <w:szCs w:val="28"/>
        </w:rPr>
        <w:t>年；</w:t>
      </w:r>
    </w:p>
    <w:p w14:paraId="279F1616">
      <w:pPr>
        <w:spacing w:line="360" w:lineRule="auto"/>
        <w:ind w:left="420" w:leftChars="200" w:firstLine="140" w:firstLineChars="50"/>
        <w:rPr>
          <w:rFonts w:ascii="仿宋" w:hAnsi="仿宋" w:eastAsia="仿宋"/>
          <w:sz w:val="28"/>
          <w:szCs w:val="28"/>
          <w:u w:val="single"/>
        </w:rPr>
      </w:pPr>
      <w:r>
        <w:rPr>
          <w:rFonts w:ascii="仿宋" w:hAnsi="仿宋" w:eastAsia="仿宋"/>
          <w:sz w:val="28"/>
          <w:szCs w:val="28"/>
        </w:rPr>
        <w:t>6</w:t>
      </w:r>
      <w:r>
        <w:rPr>
          <w:rFonts w:hint="eastAsia" w:ascii="仿宋" w:hAnsi="仿宋" w:eastAsia="仿宋"/>
          <w:sz w:val="28"/>
          <w:szCs w:val="28"/>
        </w:rPr>
        <w:t>．其他项目保修期限约定如下：</w:t>
      </w:r>
      <w:r>
        <w:rPr>
          <w:rFonts w:hint="eastAsia" w:ascii="仿宋" w:hAnsi="仿宋" w:eastAsia="仿宋"/>
          <w:sz w:val="28"/>
          <w:szCs w:val="28"/>
          <w:u w:val="single"/>
        </w:rPr>
        <w:t>其他按《房屋建筑工程质量保修办法》（建设部第</w:t>
      </w:r>
      <w:r>
        <w:rPr>
          <w:rFonts w:ascii="仿宋" w:hAnsi="仿宋" w:eastAsia="仿宋"/>
          <w:sz w:val="28"/>
          <w:szCs w:val="28"/>
          <w:u w:val="single"/>
        </w:rPr>
        <w:t>80号令）规定</w:t>
      </w:r>
      <w:r>
        <w:rPr>
          <w:rFonts w:hint="eastAsia" w:ascii="仿宋" w:hAnsi="仿宋" w:eastAsia="仿宋"/>
          <w:sz w:val="28"/>
          <w:szCs w:val="28"/>
          <w:u w:val="single"/>
        </w:rPr>
        <w:t>。</w:t>
      </w:r>
    </w:p>
    <w:p w14:paraId="3A5DDB2B">
      <w:pPr>
        <w:spacing w:line="360" w:lineRule="auto"/>
        <w:rPr>
          <w:rFonts w:ascii="仿宋" w:hAnsi="仿宋" w:eastAsia="仿宋"/>
          <w:sz w:val="28"/>
          <w:szCs w:val="28"/>
        </w:rPr>
      </w:pPr>
      <w:r>
        <w:rPr>
          <w:rFonts w:hint="eastAsia" w:ascii="仿宋" w:hAnsi="仿宋" w:eastAsia="仿宋"/>
          <w:sz w:val="28"/>
          <w:szCs w:val="28"/>
        </w:rPr>
        <w:t>　　质量保修期自工程竣工联合验收合格之日起计算。</w:t>
      </w:r>
    </w:p>
    <w:p w14:paraId="40C7F1F8">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三、保修期</w:t>
      </w:r>
    </w:p>
    <w:p w14:paraId="08F3B840">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工程保修期为</w:t>
      </w:r>
      <w:r>
        <w:rPr>
          <w:rFonts w:hint="eastAsia" w:ascii="仿宋" w:hAnsi="仿宋" w:eastAsia="仿宋"/>
          <w:sz w:val="28"/>
          <w:szCs w:val="28"/>
          <w:u w:val="single"/>
        </w:rPr>
        <w:t>按照本工程</w:t>
      </w:r>
      <w:r>
        <w:rPr>
          <w:rFonts w:ascii="仿宋" w:hAnsi="仿宋" w:eastAsia="仿宋"/>
          <w:sz w:val="28"/>
          <w:szCs w:val="28"/>
          <w:u w:val="single"/>
        </w:rPr>
        <w:t>质量保修书</w:t>
      </w:r>
      <w:r>
        <w:rPr>
          <w:rFonts w:hint="eastAsia" w:ascii="仿宋" w:hAnsi="仿宋" w:eastAsia="仿宋"/>
          <w:sz w:val="28"/>
          <w:szCs w:val="28"/>
          <w:u w:val="single"/>
        </w:rPr>
        <w:t>第二款质量保修期执行</w:t>
      </w:r>
      <w:r>
        <w:rPr>
          <w:rFonts w:ascii="仿宋" w:hAnsi="仿宋" w:eastAsia="仿宋"/>
          <w:sz w:val="28"/>
          <w:szCs w:val="28"/>
          <w:u w:val="single"/>
        </w:rPr>
        <w:t xml:space="preserve"> </w:t>
      </w:r>
      <w:r>
        <w:rPr>
          <w:rFonts w:hint="eastAsia" w:ascii="仿宋" w:hAnsi="仿宋" w:eastAsia="仿宋"/>
          <w:sz w:val="28"/>
          <w:szCs w:val="28"/>
        </w:rPr>
        <w:t>；工程缺陷责任期为</w:t>
      </w:r>
      <w:r>
        <w:rPr>
          <w:rFonts w:ascii="仿宋" w:hAnsi="仿宋" w:eastAsia="仿宋"/>
          <w:sz w:val="28"/>
          <w:szCs w:val="28"/>
          <w:u w:val="single"/>
        </w:rPr>
        <w:t>2</w:t>
      </w:r>
      <w:r>
        <w:rPr>
          <w:rFonts w:hint="eastAsia" w:ascii="仿宋" w:hAnsi="仿宋" w:eastAsia="仿宋"/>
          <w:sz w:val="28"/>
          <w:szCs w:val="28"/>
        </w:rPr>
        <w:t>年。工程缺陷责任期及工程保修期均自工程通过竣工联合验收之日起计算。单位工程先于全部工程进行验收，单位工程保修期自单位工程验收合格之日起算。</w:t>
      </w:r>
    </w:p>
    <w:p w14:paraId="52AD27FE">
      <w:pPr>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四、质量保修责任</w:t>
      </w:r>
    </w:p>
    <w:p w14:paraId="760AA8A8">
      <w:pPr>
        <w:spacing w:line="360" w:lineRule="auto"/>
        <w:ind w:left="105" w:leftChars="50" w:firstLine="574" w:firstLineChars="205"/>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．属于保修范围、内容的项目，乙方应当在接到保修通知之日起</w:t>
      </w:r>
      <w:r>
        <w:rPr>
          <w:rFonts w:ascii="仿宋" w:hAnsi="仿宋" w:eastAsia="仿宋"/>
          <w:sz w:val="28"/>
          <w:szCs w:val="28"/>
        </w:rPr>
        <w:t>7</w:t>
      </w:r>
      <w:r>
        <w:rPr>
          <w:rFonts w:hint="eastAsia" w:ascii="仿宋" w:hAnsi="仿宋" w:eastAsia="仿宋"/>
          <w:sz w:val="28"/>
          <w:szCs w:val="28"/>
        </w:rPr>
        <w:t>个日历天内派人保修。乙方不在约定期限内派人保修的，甲方可以委托他人修理，</w:t>
      </w:r>
      <w:r>
        <w:rPr>
          <w:rFonts w:ascii="仿宋" w:hAnsi="仿宋" w:eastAsia="仿宋"/>
          <w:sz w:val="28"/>
          <w:szCs w:val="28"/>
        </w:rPr>
        <w:t>费用在乙方质量保证金中扣除</w:t>
      </w:r>
      <w:r>
        <w:rPr>
          <w:rFonts w:hint="eastAsia" w:ascii="仿宋" w:hAnsi="仿宋" w:eastAsia="仿宋"/>
          <w:sz w:val="28"/>
          <w:szCs w:val="28"/>
        </w:rPr>
        <w:t>。</w:t>
      </w:r>
    </w:p>
    <w:p w14:paraId="527673DC">
      <w:pPr>
        <w:spacing w:line="360" w:lineRule="auto"/>
        <w:ind w:left="105" w:leftChars="50" w:firstLine="574" w:firstLineChars="205"/>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．发生紧急事故需抢修的，乙方在接到事故通知后，应当立即到达事故现场抢修。</w:t>
      </w:r>
    </w:p>
    <w:p w14:paraId="00C7813B">
      <w:pPr>
        <w:spacing w:line="360" w:lineRule="auto"/>
        <w:ind w:left="105" w:leftChars="50" w:firstLine="574" w:firstLineChars="205"/>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6BF2FA6C">
      <w:pPr>
        <w:spacing w:line="360" w:lineRule="auto"/>
        <w:ind w:left="420" w:leftChars="200" w:firstLine="140" w:firstLineChars="5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．质量保修完成后，由甲方组织验收。</w:t>
      </w:r>
    </w:p>
    <w:p w14:paraId="6E0C31A2">
      <w:pPr>
        <w:spacing w:line="360" w:lineRule="auto"/>
        <w:outlineLvl w:val="0"/>
        <w:rPr>
          <w:rFonts w:ascii="仿宋" w:hAnsi="仿宋" w:eastAsia="仿宋"/>
          <w:sz w:val="28"/>
          <w:szCs w:val="28"/>
        </w:rPr>
      </w:pPr>
      <w:r>
        <w:rPr>
          <w:rFonts w:hint="eastAsia" w:ascii="仿宋" w:hAnsi="仿宋" w:eastAsia="仿宋"/>
          <w:sz w:val="28"/>
          <w:szCs w:val="28"/>
        </w:rPr>
        <w:t>　　五、保修费用</w:t>
      </w:r>
    </w:p>
    <w:p w14:paraId="2DA8FDC8">
      <w:pPr>
        <w:spacing w:line="360" w:lineRule="auto"/>
        <w:ind w:firstLine="585"/>
        <w:rPr>
          <w:rFonts w:ascii="仿宋" w:hAnsi="仿宋" w:eastAsia="仿宋"/>
          <w:sz w:val="28"/>
          <w:szCs w:val="28"/>
        </w:rPr>
      </w:pPr>
      <w:r>
        <w:rPr>
          <w:rFonts w:hint="eastAsia" w:ascii="仿宋" w:hAnsi="仿宋" w:eastAsia="仿宋"/>
          <w:sz w:val="28"/>
          <w:szCs w:val="28"/>
        </w:rPr>
        <w:t>保修费用由造成质量缺陷的责任方承担。</w:t>
      </w:r>
    </w:p>
    <w:p w14:paraId="132F288F">
      <w:pPr>
        <w:spacing w:line="360" w:lineRule="auto"/>
        <w:ind w:firstLine="585"/>
        <w:rPr>
          <w:rFonts w:ascii="仿宋" w:hAnsi="仿宋" w:eastAsia="仿宋"/>
          <w:sz w:val="28"/>
          <w:szCs w:val="28"/>
        </w:rPr>
      </w:pPr>
      <w:r>
        <w:rPr>
          <w:rFonts w:hint="eastAsia" w:ascii="仿宋" w:hAnsi="仿宋" w:eastAsia="仿宋"/>
          <w:sz w:val="28"/>
          <w:szCs w:val="28"/>
        </w:rPr>
        <w:t>六、质量保证金</w:t>
      </w:r>
    </w:p>
    <w:p w14:paraId="1BD109EF">
      <w:pPr>
        <w:spacing w:line="360" w:lineRule="auto"/>
        <w:ind w:firstLine="585"/>
        <w:rPr>
          <w:rFonts w:ascii="仿宋" w:hAnsi="仿宋" w:eastAsia="仿宋"/>
          <w:sz w:val="28"/>
          <w:szCs w:val="28"/>
        </w:rPr>
      </w:pPr>
      <w:r>
        <w:rPr>
          <w:rFonts w:hint="eastAsia" w:ascii="仿宋" w:hAnsi="仿宋" w:eastAsia="仿宋"/>
          <w:sz w:val="28"/>
          <w:szCs w:val="28"/>
        </w:rPr>
        <w:t>本项目约定的工程质量保证金为</w:t>
      </w:r>
      <w:r>
        <w:rPr>
          <w:rFonts w:hint="eastAsia" w:ascii="仿宋" w:hAnsi="仿宋" w:eastAsia="仿宋"/>
          <w:kern w:val="20"/>
          <w:sz w:val="28"/>
          <w:szCs w:val="28"/>
        </w:rPr>
        <w:t>工程最终竣工结算金额</w:t>
      </w:r>
      <w:r>
        <w:rPr>
          <w:rFonts w:hint="eastAsia" w:ascii="仿宋" w:hAnsi="仿宋" w:eastAsia="仿宋"/>
          <w:sz w:val="28"/>
          <w:szCs w:val="28"/>
        </w:rPr>
        <w:t>的</w:t>
      </w:r>
      <w:r>
        <w:rPr>
          <w:rFonts w:ascii="仿宋" w:hAnsi="仿宋" w:eastAsia="仿宋"/>
          <w:sz w:val="28"/>
          <w:szCs w:val="28"/>
        </w:rPr>
        <w:t>3%</w:t>
      </w:r>
      <w:r>
        <w:rPr>
          <w:rFonts w:hint="eastAsia" w:ascii="仿宋" w:hAnsi="仿宋" w:eastAsia="仿宋"/>
          <w:sz w:val="28"/>
          <w:szCs w:val="28"/>
        </w:rPr>
        <w:t>。</w:t>
      </w:r>
    </w:p>
    <w:p w14:paraId="0421BBA0">
      <w:pPr>
        <w:spacing w:line="360" w:lineRule="auto"/>
        <w:ind w:firstLine="600"/>
        <w:jc w:val="left"/>
        <w:outlineLvl w:val="0"/>
        <w:rPr>
          <w:rFonts w:ascii="仿宋" w:hAnsi="仿宋" w:eastAsia="仿宋"/>
          <w:sz w:val="28"/>
          <w:szCs w:val="28"/>
        </w:rPr>
      </w:pPr>
      <w:r>
        <w:rPr>
          <w:rFonts w:hint="eastAsia" w:ascii="仿宋" w:hAnsi="仿宋" w:eastAsia="仿宋"/>
          <w:sz w:val="28"/>
          <w:szCs w:val="28"/>
        </w:rPr>
        <w:t>七、双方约定的其他工程质量保修事项：</w:t>
      </w:r>
      <w:r>
        <w:rPr>
          <w:rFonts w:ascii="仿宋" w:hAnsi="仿宋" w:eastAsia="仿宋"/>
          <w:sz w:val="28"/>
          <w:szCs w:val="28"/>
          <w:u w:val="single"/>
        </w:rPr>
        <w:t xml:space="preserve">         /       </w:t>
      </w:r>
      <w:r>
        <w:rPr>
          <w:rFonts w:hint="eastAsia" w:ascii="仿宋" w:hAnsi="仿宋" w:eastAsia="仿宋"/>
          <w:sz w:val="28"/>
          <w:szCs w:val="28"/>
        </w:rPr>
        <w:t>。</w:t>
      </w:r>
    </w:p>
    <w:p w14:paraId="4938EB01">
      <w:pPr>
        <w:spacing w:line="360" w:lineRule="auto"/>
        <w:ind w:firstLine="532" w:firstLineChars="190"/>
        <w:rPr>
          <w:rFonts w:ascii="仿宋" w:hAnsi="仿宋" w:eastAsia="仿宋"/>
          <w:sz w:val="28"/>
          <w:szCs w:val="28"/>
        </w:rPr>
      </w:pPr>
      <w:r>
        <w:rPr>
          <w:rFonts w:hint="eastAsia" w:ascii="仿宋" w:hAnsi="仿宋" w:eastAsia="仿宋"/>
          <w:sz w:val="28"/>
          <w:szCs w:val="28"/>
        </w:rPr>
        <w:t>工程质量保修书由甲方、乙方在工程竣工联合验收前共同签署，作为施工合同附件，其有效期限至保修期满。</w:t>
      </w:r>
    </w:p>
    <w:p w14:paraId="6465F436">
      <w:pPr>
        <w:rPr>
          <w:rFonts w:ascii="仿宋" w:hAnsi="仿宋" w:eastAsia="仿宋"/>
          <w:sz w:val="28"/>
          <w:szCs w:val="28"/>
        </w:rPr>
      </w:pPr>
      <w:r>
        <w:rPr>
          <w:rFonts w:hint="eastAsia" w:ascii="仿宋" w:hAnsi="仿宋" w:eastAsia="仿宋"/>
          <w:sz w:val="28"/>
          <w:szCs w:val="28"/>
        </w:rPr>
        <w:t>本协议作为合同签署附件，与合同主体份数一致。</w:t>
      </w:r>
    </w:p>
    <w:p w14:paraId="10A6DD82">
      <w:pPr>
        <w:rPr>
          <w:rFonts w:ascii="仿宋" w:hAnsi="仿宋" w:eastAsia="仿宋"/>
          <w:sz w:val="28"/>
          <w:szCs w:val="28"/>
        </w:rPr>
      </w:pPr>
    </w:p>
    <w:p w14:paraId="0523CFE8">
      <w:pPr>
        <w:rPr>
          <w:rFonts w:ascii="仿宋" w:hAnsi="仿宋" w:eastAsia="仿宋"/>
          <w:sz w:val="28"/>
          <w:szCs w:val="28"/>
        </w:rPr>
      </w:pPr>
    </w:p>
    <w:p w14:paraId="5A18F4EF">
      <w:pPr>
        <w:rPr>
          <w:rFonts w:ascii="仿宋" w:hAnsi="仿宋" w:eastAsia="仿宋"/>
          <w:sz w:val="28"/>
          <w:szCs w:val="28"/>
        </w:rPr>
      </w:pPr>
    </w:p>
    <w:p w14:paraId="27D1A105">
      <w:pPr>
        <w:rPr>
          <w:rFonts w:ascii="仿宋" w:hAnsi="仿宋" w:eastAsia="仿宋"/>
          <w:sz w:val="28"/>
          <w:szCs w:val="28"/>
        </w:rPr>
      </w:pPr>
    </w:p>
    <w:p w14:paraId="521D0A8B">
      <w:pPr>
        <w:rPr>
          <w:rFonts w:ascii="仿宋" w:hAnsi="仿宋" w:eastAsia="仿宋"/>
          <w:sz w:val="28"/>
          <w:szCs w:val="28"/>
        </w:rPr>
      </w:pPr>
    </w:p>
    <w:p w14:paraId="4A50907A">
      <w:pPr>
        <w:rPr>
          <w:rFonts w:ascii="仿宋" w:hAnsi="仿宋" w:eastAsia="仿宋"/>
          <w:sz w:val="28"/>
          <w:szCs w:val="28"/>
        </w:rPr>
      </w:pPr>
    </w:p>
    <w:p w14:paraId="1172DCE3">
      <w:pPr>
        <w:rPr>
          <w:rFonts w:ascii="仿宋" w:hAnsi="仿宋" w:eastAsia="仿宋"/>
          <w:sz w:val="28"/>
          <w:szCs w:val="28"/>
        </w:rPr>
      </w:pPr>
    </w:p>
    <w:p w14:paraId="7C605328">
      <w:pPr>
        <w:rPr>
          <w:rFonts w:ascii="仿宋" w:hAnsi="仿宋" w:eastAsia="仿宋"/>
          <w:sz w:val="28"/>
          <w:szCs w:val="28"/>
        </w:rPr>
      </w:pPr>
    </w:p>
    <w:p w14:paraId="39CCD7F3">
      <w:pPr>
        <w:rPr>
          <w:rFonts w:ascii="仿宋" w:hAnsi="仿宋" w:eastAsia="仿宋"/>
          <w:sz w:val="28"/>
          <w:szCs w:val="28"/>
        </w:rPr>
      </w:pPr>
    </w:p>
    <w:p w14:paraId="11AE2BD8">
      <w:pPr>
        <w:rPr>
          <w:rFonts w:ascii="仿宋" w:hAnsi="仿宋" w:eastAsia="仿宋"/>
          <w:sz w:val="28"/>
          <w:szCs w:val="28"/>
        </w:rPr>
      </w:pPr>
    </w:p>
    <w:p w14:paraId="5A1D1ADE">
      <w:pPr>
        <w:rPr>
          <w:rFonts w:ascii="仿宋" w:hAnsi="仿宋" w:eastAsia="仿宋"/>
          <w:sz w:val="28"/>
          <w:szCs w:val="28"/>
        </w:rPr>
      </w:pPr>
    </w:p>
    <w:p w14:paraId="33AF4C7F">
      <w:pPr>
        <w:rPr>
          <w:rFonts w:ascii="仿宋" w:hAnsi="仿宋" w:eastAsia="仿宋"/>
          <w:sz w:val="28"/>
          <w:szCs w:val="28"/>
        </w:rPr>
      </w:pPr>
    </w:p>
    <w:p w14:paraId="1EC45B35">
      <w:pPr>
        <w:rPr>
          <w:rFonts w:ascii="仿宋" w:hAnsi="仿宋" w:eastAsia="仿宋"/>
          <w:sz w:val="28"/>
          <w:szCs w:val="28"/>
        </w:rPr>
      </w:pPr>
    </w:p>
    <w:p w14:paraId="24F45C8D">
      <w:pPr>
        <w:rPr>
          <w:rFonts w:ascii="仿宋" w:hAnsi="仿宋" w:eastAsia="仿宋"/>
          <w:sz w:val="28"/>
          <w:szCs w:val="28"/>
        </w:rPr>
      </w:pPr>
    </w:p>
    <w:p w14:paraId="72808E9C">
      <w:pPr>
        <w:rPr>
          <w:rFonts w:ascii="仿宋" w:hAnsi="仿宋" w:eastAsia="仿宋"/>
          <w:sz w:val="28"/>
          <w:szCs w:val="28"/>
        </w:rPr>
      </w:pPr>
    </w:p>
    <w:p w14:paraId="70F9A1FD">
      <w:pPr>
        <w:rPr>
          <w:rFonts w:ascii="仿宋" w:hAnsi="仿宋" w:eastAsia="仿宋" w:cs="仿宋_GB2312"/>
          <w:sz w:val="28"/>
          <w:szCs w:val="28"/>
        </w:rPr>
      </w:pPr>
      <w:r>
        <w:rPr>
          <w:rFonts w:hint="eastAsia" w:ascii="仿宋" w:hAnsi="仿宋" w:eastAsia="仿宋" w:cs="仿宋_GB2312"/>
          <w:sz w:val="28"/>
          <w:szCs w:val="28"/>
        </w:rPr>
        <w:t>附件</w:t>
      </w:r>
      <w:r>
        <w:rPr>
          <w:rFonts w:ascii="仿宋" w:hAnsi="仿宋" w:eastAsia="仿宋" w:cs="仿宋_GB2312"/>
          <w:sz w:val="28"/>
          <w:szCs w:val="28"/>
        </w:rPr>
        <w:t>五</w:t>
      </w:r>
      <w:r>
        <w:rPr>
          <w:rFonts w:hint="eastAsia" w:ascii="仿宋" w:hAnsi="仿宋" w:eastAsia="仿宋" w:cs="仿宋_GB2312"/>
          <w:sz w:val="28"/>
          <w:szCs w:val="28"/>
        </w:rPr>
        <w:t>：</w:t>
      </w:r>
    </w:p>
    <w:p w14:paraId="4B519636">
      <w:pPr>
        <w:jc w:val="center"/>
        <w:rPr>
          <w:rFonts w:ascii="仿宋" w:hAnsi="仿宋" w:eastAsia="仿宋"/>
          <w:sz w:val="28"/>
          <w:szCs w:val="28"/>
        </w:rPr>
      </w:pPr>
      <w:r>
        <w:rPr>
          <w:rFonts w:hint="eastAsia" w:ascii="仿宋" w:hAnsi="仿宋" w:eastAsia="仿宋" w:cs="仿宋_GB2312"/>
          <w:sz w:val="28"/>
          <w:szCs w:val="28"/>
        </w:rPr>
        <w:t>项目负责人及管理人员一览表</w:t>
      </w:r>
    </w:p>
    <w:tbl>
      <w:tblPr>
        <w:tblStyle w:val="8"/>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508"/>
        <w:gridCol w:w="960"/>
        <w:gridCol w:w="721"/>
        <w:gridCol w:w="992"/>
        <w:gridCol w:w="1167"/>
        <w:gridCol w:w="1668"/>
        <w:gridCol w:w="780"/>
      </w:tblGrid>
      <w:tr w14:paraId="5BC8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33938AC">
            <w:pPr>
              <w:pStyle w:val="28"/>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序号</w:t>
            </w:r>
          </w:p>
        </w:tc>
        <w:tc>
          <w:tcPr>
            <w:tcW w:w="1508" w:type="dxa"/>
            <w:tcBorders>
              <w:top w:val="single" w:color="auto" w:sz="4" w:space="0"/>
              <w:left w:val="nil"/>
              <w:bottom w:val="single" w:color="auto" w:sz="4" w:space="0"/>
              <w:right w:val="single" w:color="auto" w:sz="4" w:space="0"/>
            </w:tcBorders>
            <w:vAlign w:val="center"/>
          </w:tcPr>
          <w:p w14:paraId="64BCB9E3">
            <w:pPr>
              <w:pStyle w:val="28"/>
              <w:spacing w:line="360" w:lineRule="auto"/>
              <w:jc w:val="center"/>
              <w:rPr>
                <w:rFonts w:ascii="仿宋_GB2312" w:hAnsi="仿宋" w:eastAsia="仿宋_GB2312" w:cs="Times New Roman"/>
                <w:sz w:val="24"/>
                <w:szCs w:val="24"/>
              </w:rPr>
            </w:pPr>
            <w:r>
              <w:rPr>
                <w:rFonts w:hint="eastAsia" w:ascii="仿宋_GB2312" w:hAnsi="仿宋" w:eastAsia="仿宋_GB2312" w:cs="Times New Roman"/>
                <w:spacing w:val="-6"/>
                <w:sz w:val="24"/>
                <w:szCs w:val="24"/>
              </w:rPr>
              <w:t>在本项目担任的职务</w:t>
            </w:r>
          </w:p>
        </w:tc>
        <w:tc>
          <w:tcPr>
            <w:tcW w:w="960" w:type="dxa"/>
            <w:tcBorders>
              <w:top w:val="single" w:color="auto" w:sz="4" w:space="0"/>
              <w:left w:val="nil"/>
              <w:bottom w:val="single" w:color="auto" w:sz="4" w:space="0"/>
              <w:right w:val="single" w:color="auto" w:sz="4" w:space="0"/>
            </w:tcBorders>
            <w:vAlign w:val="center"/>
          </w:tcPr>
          <w:p w14:paraId="5A18F2F8">
            <w:pPr>
              <w:pStyle w:val="28"/>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姓名</w:t>
            </w:r>
          </w:p>
        </w:tc>
        <w:tc>
          <w:tcPr>
            <w:tcW w:w="721" w:type="dxa"/>
            <w:tcBorders>
              <w:top w:val="single" w:color="auto" w:sz="4" w:space="0"/>
              <w:left w:val="nil"/>
              <w:bottom w:val="single" w:color="auto" w:sz="4" w:space="0"/>
              <w:right w:val="single" w:color="auto" w:sz="4" w:space="0"/>
            </w:tcBorders>
            <w:vAlign w:val="center"/>
          </w:tcPr>
          <w:p w14:paraId="2FADC660">
            <w:pPr>
              <w:pStyle w:val="28"/>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性别</w:t>
            </w:r>
          </w:p>
        </w:tc>
        <w:tc>
          <w:tcPr>
            <w:tcW w:w="992" w:type="dxa"/>
            <w:tcBorders>
              <w:top w:val="single" w:color="auto" w:sz="4" w:space="0"/>
              <w:left w:val="nil"/>
              <w:bottom w:val="single" w:color="auto" w:sz="4" w:space="0"/>
              <w:right w:val="single" w:color="auto" w:sz="4" w:space="0"/>
            </w:tcBorders>
            <w:vAlign w:val="center"/>
          </w:tcPr>
          <w:p w14:paraId="14FBCEA8">
            <w:pPr>
              <w:pStyle w:val="28"/>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年龄</w:t>
            </w:r>
          </w:p>
        </w:tc>
        <w:tc>
          <w:tcPr>
            <w:tcW w:w="1167" w:type="dxa"/>
            <w:tcBorders>
              <w:top w:val="single" w:color="auto" w:sz="4" w:space="0"/>
              <w:left w:val="nil"/>
              <w:bottom w:val="single" w:color="auto" w:sz="4" w:space="0"/>
              <w:right w:val="single" w:color="auto" w:sz="4" w:space="0"/>
            </w:tcBorders>
            <w:vAlign w:val="center"/>
          </w:tcPr>
          <w:p w14:paraId="318521EB">
            <w:pPr>
              <w:pStyle w:val="28"/>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职称</w:t>
            </w:r>
          </w:p>
        </w:tc>
        <w:tc>
          <w:tcPr>
            <w:tcW w:w="1668" w:type="dxa"/>
            <w:tcBorders>
              <w:top w:val="single" w:color="auto" w:sz="4" w:space="0"/>
              <w:left w:val="nil"/>
              <w:bottom w:val="single" w:color="auto" w:sz="4" w:space="0"/>
              <w:right w:val="single" w:color="auto" w:sz="4" w:space="0"/>
            </w:tcBorders>
            <w:vAlign w:val="center"/>
          </w:tcPr>
          <w:p w14:paraId="050FC5EC">
            <w:pPr>
              <w:pStyle w:val="28"/>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职称或执业或上岗证号</w:t>
            </w:r>
          </w:p>
        </w:tc>
        <w:tc>
          <w:tcPr>
            <w:tcW w:w="780" w:type="dxa"/>
            <w:tcBorders>
              <w:top w:val="single" w:color="auto" w:sz="4" w:space="0"/>
              <w:left w:val="nil"/>
              <w:bottom w:val="single" w:color="auto" w:sz="4" w:space="0"/>
              <w:right w:val="single" w:color="auto" w:sz="4" w:space="0"/>
            </w:tcBorders>
            <w:vAlign w:val="center"/>
          </w:tcPr>
          <w:p w14:paraId="028105A1">
            <w:pPr>
              <w:pStyle w:val="28"/>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备注</w:t>
            </w:r>
          </w:p>
        </w:tc>
      </w:tr>
      <w:tr w14:paraId="4C43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788B57A">
            <w:pPr>
              <w:pStyle w:val="29"/>
              <w:ind w:firstLine="0" w:firstLineChars="0"/>
              <w:jc w:val="center"/>
              <w:rPr>
                <w:rFonts w:ascii="仿宋_GB2312" w:hAnsi="仿宋" w:eastAsia="仿宋_GB2312"/>
              </w:rPr>
            </w:pPr>
            <w:r>
              <w:rPr>
                <w:rFonts w:hint="eastAsia" w:ascii="仿宋_GB2312" w:hAnsi="仿宋" w:eastAsia="仿宋_GB2312"/>
              </w:rPr>
              <w:t>1</w:t>
            </w:r>
          </w:p>
        </w:tc>
        <w:tc>
          <w:tcPr>
            <w:tcW w:w="1508" w:type="dxa"/>
            <w:tcBorders>
              <w:top w:val="single" w:color="auto" w:sz="4" w:space="0"/>
              <w:left w:val="nil"/>
              <w:bottom w:val="single" w:color="auto" w:sz="4" w:space="0"/>
              <w:right w:val="single" w:color="auto" w:sz="4" w:space="0"/>
            </w:tcBorders>
            <w:vAlign w:val="center"/>
          </w:tcPr>
          <w:p w14:paraId="1D3DD20B">
            <w:pPr>
              <w:pStyle w:val="29"/>
              <w:ind w:firstLine="0" w:firstLineChars="0"/>
              <w:jc w:val="center"/>
              <w:rPr>
                <w:rFonts w:ascii="仿宋_GB2312" w:hAnsi="仿宋" w:eastAsia="仿宋_GB2312"/>
              </w:rPr>
            </w:pPr>
          </w:p>
        </w:tc>
        <w:tc>
          <w:tcPr>
            <w:tcW w:w="960" w:type="dxa"/>
            <w:tcBorders>
              <w:top w:val="single" w:color="auto" w:sz="4" w:space="0"/>
              <w:left w:val="nil"/>
              <w:bottom w:val="single" w:color="auto" w:sz="4" w:space="0"/>
              <w:right w:val="single" w:color="auto" w:sz="4" w:space="0"/>
            </w:tcBorders>
            <w:vAlign w:val="center"/>
          </w:tcPr>
          <w:p w14:paraId="58177B84">
            <w:pPr>
              <w:pStyle w:val="29"/>
              <w:ind w:firstLine="0" w:firstLineChars="0"/>
              <w:jc w:val="center"/>
              <w:rPr>
                <w:rFonts w:ascii="仿宋_GB2312" w:hAnsi="仿宋" w:eastAsia="仿宋_GB2312"/>
              </w:rPr>
            </w:pPr>
          </w:p>
        </w:tc>
        <w:tc>
          <w:tcPr>
            <w:tcW w:w="721" w:type="dxa"/>
            <w:tcBorders>
              <w:top w:val="single" w:color="auto" w:sz="4" w:space="0"/>
              <w:left w:val="nil"/>
              <w:bottom w:val="single" w:color="auto" w:sz="4" w:space="0"/>
              <w:right w:val="single" w:color="auto" w:sz="4" w:space="0"/>
            </w:tcBorders>
            <w:vAlign w:val="center"/>
          </w:tcPr>
          <w:p w14:paraId="0D3A8E72">
            <w:pPr>
              <w:pStyle w:val="29"/>
              <w:ind w:firstLine="0" w:firstLineChars="0"/>
              <w:jc w:val="center"/>
              <w:rPr>
                <w:rFonts w:ascii="仿宋_GB2312" w:hAnsi="仿宋" w:eastAsia="仿宋_GB2312"/>
              </w:rPr>
            </w:pPr>
          </w:p>
        </w:tc>
        <w:tc>
          <w:tcPr>
            <w:tcW w:w="992" w:type="dxa"/>
            <w:tcBorders>
              <w:top w:val="single" w:color="auto" w:sz="4" w:space="0"/>
              <w:left w:val="nil"/>
              <w:bottom w:val="single" w:color="auto" w:sz="4" w:space="0"/>
              <w:right w:val="single" w:color="auto" w:sz="4" w:space="0"/>
            </w:tcBorders>
            <w:vAlign w:val="center"/>
          </w:tcPr>
          <w:p w14:paraId="7818298F">
            <w:pPr>
              <w:pStyle w:val="29"/>
              <w:ind w:firstLine="0" w:firstLineChars="0"/>
              <w:jc w:val="center"/>
              <w:rPr>
                <w:rFonts w:ascii="仿宋_GB2312" w:hAnsi="仿宋" w:eastAsia="仿宋_GB2312"/>
              </w:rPr>
            </w:pPr>
          </w:p>
        </w:tc>
        <w:tc>
          <w:tcPr>
            <w:tcW w:w="1167" w:type="dxa"/>
            <w:tcBorders>
              <w:top w:val="single" w:color="auto" w:sz="4" w:space="0"/>
              <w:left w:val="nil"/>
              <w:bottom w:val="single" w:color="auto" w:sz="4" w:space="0"/>
              <w:right w:val="single" w:color="auto" w:sz="4" w:space="0"/>
            </w:tcBorders>
            <w:vAlign w:val="center"/>
          </w:tcPr>
          <w:p w14:paraId="6BC05F14">
            <w:pPr>
              <w:pStyle w:val="29"/>
              <w:ind w:firstLine="0" w:firstLineChars="0"/>
              <w:jc w:val="center"/>
              <w:rPr>
                <w:rFonts w:ascii="仿宋_GB2312" w:hAnsi="仿宋" w:eastAsia="仿宋_GB2312"/>
              </w:rPr>
            </w:pPr>
          </w:p>
        </w:tc>
        <w:tc>
          <w:tcPr>
            <w:tcW w:w="1668" w:type="dxa"/>
            <w:tcBorders>
              <w:top w:val="single" w:color="auto" w:sz="4" w:space="0"/>
              <w:left w:val="nil"/>
              <w:bottom w:val="single" w:color="auto" w:sz="4" w:space="0"/>
              <w:right w:val="single" w:color="auto" w:sz="4" w:space="0"/>
            </w:tcBorders>
            <w:vAlign w:val="center"/>
          </w:tcPr>
          <w:p w14:paraId="718BEB25">
            <w:pPr>
              <w:pStyle w:val="29"/>
              <w:ind w:firstLine="0" w:firstLineChars="0"/>
              <w:jc w:val="center"/>
              <w:rPr>
                <w:rFonts w:ascii="仿宋_GB2312" w:hAnsi="仿宋" w:eastAsia="仿宋_GB2312"/>
              </w:rPr>
            </w:pPr>
          </w:p>
        </w:tc>
        <w:tc>
          <w:tcPr>
            <w:tcW w:w="780" w:type="dxa"/>
            <w:tcBorders>
              <w:top w:val="single" w:color="auto" w:sz="4" w:space="0"/>
              <w:left w:val="nil"/>
              <w:bottom w:val="single" w:color="auto" w:sz="4" w:space="0"/>
              <w:right w:val="single" w:color="auto" w:sz="4" w:space="0"/>
            </w:tcBorders>
            <w:vAlign w:val="center"/>
          </w:tcPr>
          <w:p w14:paraId="79BAC2A4">
            <w:pPr>
              <w:pStyle w:val="29"/>
              <w:ind w:firstLine="0" w:firstLineChars="0"/>
              <w:jc w:val="center"/>
              <w:rPr>
                <w:rFonts w:ascii="仿宋_GB2312" w:hAnsi="仿宋" w:eastAsia="仿宋_GB2312"/>
              </w:rPr>
            </w:pPr>
          </w:p>
        </w:tc>
      </w:tr>
      <w:tr w14:paraId="1E1C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FB1A610">
            <w:pPr>
              <w:pStyle w:val="29"/>
              <w:ind w:firstLine="0" w:firstLineChars="0"/>
              <w:jc w:val="center"/>
              <w:rPr>
                <w:rFonts w:ascii="仿宋_GB2312" w:hAnsi="仿宋" w:eastAsia="仿宋_GB2312"/>
              </w:rPr>
            </w:pPr>
            <w:r>
              <w:rPr>
                <w:rFonts w:hint="eastAsia" w:ascii="仿宋_GB2312" w:hAnsi="仿宋" w:eastAsia="仿宋_GB2312"/>
              </w:rPr>
              <w:t>2</w:t>
            </w:r>
          </w:p>
        </w:tc>
        <w:tc>
          <w:tcPr>
            <w:tcW w:w="1508" w:type="dxa"/>
            <w:tcBorders>
              <w:top w:val="single" w:color="auto" w:sz="4" w:space="0"/>
              <w:left w:val="nil"/>
              <w:bottom w:val="single" w:color="auto" w:sz="4" w:space="0"/>
              <w:right w:val="single" w:color="auto" w:sz="4" w:space="0"/>
            </w:tcBorders>
            <w:vAlign w:val="center"/>
          </w:tcPr>
          <w:p w14:paraId="64E5DF8C">
            <w:pPr>
              <w:pStyle w:val="29"/>
              <w:ind w:firstLine="0" w:firstLineChars="0"/>
              <w:jc w:val="center"/>
              <w:rPr>
                <w:rFonts w:ascii="仿宋_GB2312" w:hAnsi="仿宋" w:eastAsia="仿宋_GB2312"/>
              </w:rPr>
            </w:pPr>
          </w:p>
        </w:tc>
        <w:tc>
          <w:tcPr>
            <w:tcW w:w="960" w:type="dxa"/>
            <w:tcBorders>
              <w:top w:val="single" w:color="auto" w:sz="4" w:space="0"/>
              <w:left w:val="nil"/>
              <w:bottom w:val="single" w:color="auto" w:sz="4" w:space="0"/>
              <w:right w:val="single" w:color="auto" w:sz="4" w:space="0"/>
            </w:tcBorders>
            <w:vAlign w:val="center"/>
          </w:tcPr>
          <w:p w14:paraId="760A3A5D">
            <w:pPr>
              <w:pStyle w:val="29"/>
              <w:ind w:firstLine="0" w:firstLineChars="0"/>
              <w:jc w:val="center"/>
              <w:rPr>
                <w:rFonts w:ascii="仿宋_GB2312" w:hAnsi="仿宋" w:eastAsia="仿宋_GB2312"/>
              </w:rPr>
            </w:pPr>
          </w:p>
        </w:tc>
        <w:tc>
          <w:tcPr>
            <w:tcW w:w="721" w:type="dxa"/>
            <w:tcBorders>
              <w:top w:val="single" w:color="auto" w:sz="4" w:space="0"/>
              <w:left w:val="nil"/>
              <w:bottom w:val="single" w:color="auto" w:sz="4" w:space="0"/>
              <w:right w:val="single" w:color="auto" w:sz="4" w:space="0"/>
            </w:tcBorders>
            <w:vAlign w:val="center"/>
          </w:tcPr>
          <w:p w14:paraId="4B714DDF">
            <w:pPr>
              <w:pStyle w:val="29"/>
              <w:ind w:firstLine="0" w:firstLineChars="0"/>
              <w:jc w:val="center"/>
              <w:rPr>
                <w:rFonts w:ascii="仿宋_GB2312" w:hAnsi="仿宋" w:eastAsia="仿宋_GB2312"/>
              </w:rPr>
            </w:pPr>
          </w:p>
        </w:tc>
        <w:tc>
          <w:tcPr>
            <w:tcW w:w="992" w:type="dxa"/>
            <w:tcBorders>
              <w:top w:val="single" w:color="auto" w:sz="4" w:space="0"/>
              <w:left w:val="nil"/>
              <w:bottom w:val="single" w:color="auto" w:sz="4" w:space="0"/>
              <w:right w:val="single" w:color="auto" w:sz="4" w:space="0"/>
            </w:tcBorders>
            <w:vAlign w:val="center"/>
          </w:tcPr>
          <w:p w14:paraId="54E205C3">
            <w:pPr>
              <w:pStyle w:val="29"/>
              <w:ind w:firstLine="0" w:firstLineChars="0"/>
              <w:jc w:val="center"/>
              <w:rPr>
                <w:rFonts w:ascii="仿宋_GB2312" w:hAnsi="仿宋" w:eastAsia="仿宋_GB2312"/>
              </w:rPr>
            </w:pPr>
          </w:p>
        </w:tc>
        <w:tc>
          <w:tcPr>
            <w:tcW w:w="1167" w:type="dxa"/>
            <w:tcBorders>
              <w:top w:val="single" w:color="auto" w:sz="4" w:space="0"/>
              <w:left w:val="nil"/>
              <w:bottom w:val="single" w:color="auto" w:sz="4" w:space="0"/>
              <w:right w:val="single" w:color="auto" w:sz="4" w:space="0"/>
            </w:tcBorders>
            <w:vAlign w:val="center"/>
          </w:tcPr>
          <w:p w14:paraId="6649E2A0">
            <w:pPr>
              <w:pStyle w:val="29"/>
              <w:ind w:firstLine="0" w:firstLineChars="0"/>
              <w:jc w:val="center"/>
              <w:rPr>
                <w:rFonts w:ascii="仿宋_GB2312" w:hAnsi="仿宋" w:eastAsia="仿宋_GB2312"/>
              </w:rPr>
            </w:pPr>
          </w:p>
        </w:tc>
        <w:tc>
          <w:tcPr>
            <w:tcW w:w="1668" w:type="dxa"/>
            <w:tcBorders>
              <w:top w:val="single" w:color="auto" w:sz="4" w:space="0"/>
              <w:left w:val="nil"/>
              <w:bottom w:val="single" w:color="auto" w:sz="4" w:space="0"/>
              <w:right w:val="single" w:color="auto" w:sz="4" w:space="0"/>
            </w:tcBorders>
            <w:vAlign w:val="center"/>
          </w:tcPr>
          <w:p w14:paraId="79502BFC">
            <w:pPr>
              <w:pStyle w:val="29"/>
              <w:ind w:firstLine="0" w:firstLineChars="0"/>
              <w:jc w:val="center"/>
              <w:rPr>
                <w:rFonts w:ascii="仿宋_GB2312" w:hAnsi="仿宋" w:eastAsia="仿宋_GB2312"/>
              </w:rPr>
            </w:pPr>
          </w:p>
        </w:tc>
        <w:tc>
          <w:tcPr>
            <w:tcW w:w="780" w:type="dxa"/>
            <w:tcBorders>
              <w:top w:val="single" w:color="auto" w:sz="4" w:space="0"/>
              <w:left w:val="nil"/>
              <w:bottom w:val="single" w:color="auto" w:sz="4" w:space="0"/>
              <w:right w:val="single" w:color="auto" w:sz="4" w:space="0"/>
            </w:tcBorders>
            <w:vAlign w:val="center"/>
          </w:tcPr>
          <w:p w14:paraId="702ED30F">
            <w:pPr>
              <w:pStyle w:val="29"/>
              <w:ind w:firstLine="0" w:firstLineChars="0"/>
              <w:jc w:val="center"/>
              <w:rPr>
                <w:rFonts w:ascii="仿宋_GB2312" w:hAnsi="仿宋" w:eastAsia="仿宋_GB2312"/>
              </w:rPr>
            </w:pPr>
          </w:p>
        </w:tc>
      </w:tr>
      <w:tr w14:paraId="426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1D15C65">
            <w:pPr>
              <w:pStyle w:val="29"/>
              <w:ind w:firstLine="0" w:firstLineChars="0"/>
              <w:jc w:val="center"/>
              <w:rPr>
                <w:rFonts w:ascii="仿宋_GB2312" w:hAnsi="仿宋" w:eastAsia="仿宋_GB2312"/>
              </w:rPr>
            </w:pPr>
            <w:r>
              <w:rPr>
                <w:rFonts w:hint="eastAsia" w:ascii="仿宋_GB2312" w:hAnsi="仿宋" w:eastAsia="仿宋_GB2312"/>
              </w:rPr>
              <w:t>3</w:t>
            </w:r>
          </w:p>
        </w:tc>
        <w:tc>
          <w:tcPr>
            <w:tcW w:w="1508" w:type="dxa"/>
            <w:tcBorders>
              <w:top w:val="single" w:color="auto" w:sz="4" w:space="0"/>
              <w:left w:val="nil"/>
              <w:bottom w:val="single" w:color="auto" w:sz="4" w:space="0"/>
              <w:right w:val="single" w:color="auto" w:sz="4" w:space="0"/>
            </w:tcBorders>
            <w:vAlign w:val="center"/>
          </w:tcPr>
          <w:p w14:paraId="01A25481">
            <w:pPr>
              <w:pStyle w:val="29"/>
              <w:ind w:firstLine="0" w:firstLineChars="0"/>
              <w:jc w:val="center"/>
              <w:rPr>
                <w:rFonts w:ascii="仿宋_GB2312" w:hAnsi="仿宋" w:eastAsia="仿宋_GB2312"/>
              </w:rPr>
            </w:pPr>
          </w:p>
        </w:tc>
        <w:tc>
          <w:tcPr>
            <w:tcW w:w="960" w:type="dxa"/>
            <w:tcBorders>
              <w:top w:val="single" w:color="auto" w:sz="4" w:space="0"/>
              <w:left w:val="nil"/>
              <w:bottom w:val="single" w:color="auto" w:sz="4" w:space="0"/>
              <w:right w:val="single" w:color="auto" w:sz="4" w:space="0"/>
            </w:tcBorders>
            <w:vAlign w:val="center"/>
          </w:tcPr>
          <w:p w14:paraId="0AB567DA">
            <w:pPr>
              <w:pStyle w:val="29"/>
              <w:ind w:firstLine="0" w:firstLineChars="0"/>
              <w:jc w:val="center"/>
              <w:rPr>
                <w:rFonts w:ascii="仿宋_GB2312" w:hAnsi="仿宋" w:eastAsia="仿宋_GB2312"/>
              </w:rPr>
            </w:pPr>
          </w:p>
        </w:tc>
        <w:tc>
          <w:tcPr>
            <w:tcW w:w="721" w:type="dxa"/>
            <w:tcBorders>
              <w:top w:val="single" w:color="auto" w:sz="4" w:space="0"/>
              <w:left w:val="nil"/>
              <w:bottom w:val="single" w:color="auto" w:sz="4" w:space="0"/>
              <w:right w:val="single" w:color="auto" w:sz="4" w:space="0"/>
            </w:tcBorders>
            <w:vAlign w:val="center"/>
          </w:tcPr>
          <w:p w14:paraId="26EA9505">
            <w:pPr>
              <w:pStyle w:val="29"/>
              <w:ind w:firstLine="0" w:firstLineChars="0"/>
              <w:jc w:val="center"/>
              <w:rPr>
                <w:rFonts w:ascii="仿宋_GB2312" w:hAnsi="仿宋" w:eastAsia="仿宋_GB2312"/>
              </w:rPr>
            </w:pPr>
          </w:p>
        </w:tc>
        <w:tc>
          <w:tcPr>
            <w:tcW w:w="992" w:type="dxa"/>
            <w:tcBorders>
              <w:top w:val="single" w:color="auto" w:sz="4" w:space="0"/>
              <w:left w:val="nil"/>
              <w:bottom w:val="single" w:color="auto" w:sz="4" w:space="0"/>
              <w:right w:val="single" w:color="auto" w:sz="4" w:space="0"/>
            </w:tcBorders>
            <w:vAlign w:val="center"/>
          </w:tcPr>
          <w:p w14:paraId="10AEE2C4">
            <w:pPr>
              <w:pStyle w:val="29"/>
              <w:ind w:firstLine="0" w:firstLineChars="0"/>
              <w:jc w:val="center"/>
              <w:rPr>
                <w:rFonts w:ascii="仿宋_GB2312" w:hAnsi="仿宋" w:eastAsia="仿宋_GB2312"/>
              </w:rPr>
            </w:pPr>
          </w:p>
        </w:tc>
        <w:tc>
          <w:tcPr>
            <w:tcW w:w="1167" w:type="dxa"/>
            <w:tcBorders>
              <w:top w:val="single" w:color="auto" w:sz="4" w:space="0"/>
              <w:left w:val="nil"/>
              <w:bottom w:val="single" w:color="auto" w:sz="4" w:space="0"/>
              <w:right w:val="single" w:color="auto" w:sz="4" w:space="0"/>
            </w:tcBorders>
            <w:vAlign w:val="center"/>
          </w:tcPr>
          <w:p w14:paraId="75CB61C0">
            <w:pPr>
              <w:pStyle w:val="29"/>
              <w:ind w:firstLine="0" w:firstLineChars="0"/>
              <w:jc w:val="center"/>
              <w:rPr>
                <w:rFonts w:ascii="仿宋_GB2312" w:hAnsi="仿宋" w:eastAsia="仿宋_GB2312"/>
              </w:rPr>
            </w:pPr>
          </w:p>
        </w:tc>
        <w:tc>
          <w:tcPr>
            <w:tcW w:w="1668" w:type="dxa"/>
            <w:tcBorders>
              <w:top w:val="single" w:color="auto" w:sz="4" w:space="0"/>
              <w:left w:val="nil"/>
              <w:bottom w:val="single" w:color="auto" w:sz="4" w:space="0"/>
              <w:right w:val="single" w:color="auto" w:sz="4" w:space="0"/>
            </w:tcBorders>
            <w:vAlign w:val="center"/>
          </w:tcPr>
          <w:p w14:paraId="399E2FE2">
            <w:pPr>
              <w:pStyle w:val="29"/>
              <w:ind w:firstLine="0" w:firstLineChars="0"/>
              <w:jc w:val="center"/>
              <w:rPr>
                <w:rFonts w:ascii="仿宋_GB2312" w:hAnsi="仿宋" w:eastAsia="仿宋_GB2312"/>
              </w:rPr>
            </w:pPr>
          </w:p>
        </w:tc>
        <w:tc>
          <w:tcPr>
            <w:tcW w:w="780" w:type="dxa"/>
            <w:tcBorders>
              <w:top w:val="single" w:color="auto" w:sz="4" w:space="0"/>
              <w:left w:val="nil"/>
              <w:bottom w:val="single" w:color="auto" w:sz="4" w:space="0"/>
              <w:right w:val="single" w:color="auto" w:sz="4" w:space="0"/>
            </w:tcBorders>
            <w:vAlign w:val="center"/>
          </w:tcPr>
          <w:p w14:paraId="4D0E226D">
            <w:pPr>
              <w:pStyle w:val="29"/>
              <w:ind w:firstLine="0" w:firstLineChars="0"/>
              <w:jc w:val="center"/>
              <w:rPr>
                <w:rFonts w:ascii="仿宋_GB2312" w:hAnsi="仿宋" w:eastAsia="仿宋_GB2312"/>
              </w:rPr>
            </w:pPr>
          </w:p>
        </w:tc>
      </w:tr>
      <w:tr w14:paraId="36AC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DC8E1F7">
            <w:pPr>
              <w:pStyle w:val="29"/>
              <w:ind w:firstLine="0" w:firstLineChars="0"/>
              <w:jc w:val="center"/>
              <w:rPr>
                <w:rFonts w:ascii="仿宋_GB2312" w:hAnsi="仿宋" w:eastAsia="仿宋_GB2312"/>
              </w:rPr>
            </w:pPr>
            <w:r>
              <w:rPr>
                <w:rFonts w:hint="eastAsia" w:ascii="仿宋_GB2312" w:hAnsi="仿宋" w:eastAsia="仿宋_GB2312"/>
              </w:rPr>
              <w:t>4</w:t>
            </w:r>
          </w:p>
        </w:tc>
        <w:tc>
          <w:tcPr>
            <w:tcW w:w="1508" w:type="dxa"/>
            <w:tcBorders>
              <w:top w:val="single" w:color="auto" w:sz="4" w:space="0"/>
              <w:left w:val="nil"/>
              <w:bottom w:val="single" w:color="auto" w:sz="4" w:space="0"/>
              <w:right w:val="single" w:color="auto" w:sz="4" w:space="0"/>
            </w:tcBorders>
            <w:vAlign w:val="center"/>
          </w:tcPr>
          <w:p w14:paraId="52A8BF3B">
            <w:pPr>
              <w:pStyle w:val="29"/>
              <w:ind w:firstLine="0" w:firstLineChars="0"/>
              <w:jc w:val="center"/>
              <w:rPr>
                <w:rFonts w:ascii="仿宋_GB2312" w:hAnsi="仿宋" w:eastAsia="仿宋_GB2312"/>
              </w:rPr>
            </w:pPr>
          </w:p>
        </w:tc>
        <w:tc>
          <w:tcPr>
            <w:tcW w:w="960" w:type="dxa"/>
            <w:tcBorders>
              <w:top w:val="single" w:color="auto" w:sz="4" w:space="0"/>
              <w:left w:val="nil"/>
              <w:bottom w:val="single" w:color="auto" w:sz="4" w:space="0"/>
              <w:right w:val="single" w:color="auto" w:sz="4" w:space="0"/>
            </w:tcBorders>
            <w:vAlign w:val="center"/>
          </w:tcPr>
          <w:p w14:paraId="625A0F41">
            <w:pPr>
              <w:pStyle w:val="29"/>
              <w:ind w:firstLine="0" w:firstLineChars="0"/>
              <w:jc w:val="center"/>
              <w:rPr>
                <w:rFonts w:ascii="仿宋_GB2312" w:hAnsi="仿宋" w:eastAsia="仿宋_GB2312"/>
              </w:rPr>
            </w:pPr>
          </w:p>
        </w:tc>
        <w:tc>
          <w:tcPr>
            <w:tcW w:w="721" w:type="dxa"/>
            <w:tcBorders>
              <w:top w:val="single" w:color="auto" w:sz="4" w:space="0"/>
              <w:left w:val="nil"/>
              <w:bottom w:val="single" w:color="auto" w:sz="4" w:space="0"/>
              <w:right w:val="single" w:color="auto" w:sz="4" w:space="0"/>
            </w:tcBorders>
            <w:vAlign w:val="center"/>
          </w:tcPr>
          <w:p w14:paraId="569A89B6">
            <w:pPr>
              <w:pStyle w:val="29"/>
              <w:ind w:firstLine="0" w:firstLineChars="0"/>
              <w:jc w:val="center"/>
              <w:rPr>
                <w:rFonts w:ascii="仿宋_GB2312" w:hAnsi="仿宋" w:eastAsia="仿宋_GB2312"/>
              </w:rPr>
            </w:pPr>
          </w:p>
        </w:tc>
        <w:tc>
          <w:tcPr>
            <w:tcW w:w="992" w:type="dxa"/>
            <w:tcBorders>
              <w:top w:val="single" w:color="auto" w:sz="4" w:space="0"/>
              <w:left w:val="nil"/>
              <w:bottom w:val="single" w:color="auto" w:sz="4" w:space="0"/>
              <w:right w:val="single" w:color="auto" w:sz="4" w:space="0"/>
            </w:tcBorders>
            <w:vAlign w:val="center"/>
          </w:tcPr>
          <w:p w14:paraId="38AD182A">
            <w:pPr>
              <w:pStyle w:val="29"/>
              <w:ind w:firstLine="0" w:firstLineChars="0"/>
              <w:jc w:val="center"/>
              <w:rPr>
                <w:rFonts w:ascii="仿宋_GB2312" w:hAnsi="仿宋" w:eastAsia="仿宋_GB2312"/>
              </w:rPr>
            </w:pPr>
          </w:p>
        </w:tc>
        <w:tc>
          <w:tcPr>
            <w:tcW w:w="1167" w:type="dxa"/>
            <w:tcBorders>
              <w:top w:val="single" w:color="auto" w:sz="4" w:space="0"/>
              <w:left w:val="nil"/>
              <w:bottom w:val="single" w:color="auto" w:sz="4" w:space="0"/>
              <w:right w:val="single" w:color="auto" w:sz="4" w:space="0"/>
            </w:tcBorders>
            <w:vAlign w:val="center"/>
          </w:tcPr>
          <w:p w14:paraId="3AE7E469">
            <w:pPr>
              <w:pStyle w:val="29"/>
              <w:ind w:firstLine="0" w:firstLineChars="0"/>
              <w:jc w:val="center"/>
              <w:rPr>
                <w:rFonts w:ascii="仿宋_GB2312" w:hAnsi="仿宋" w:eastAsia="仿宋_GB2312"/>
              </w:rPr>
            </w:pPr>
          </w:p>
        </w:tc>
        <w:tc>
          <w:tcPr>
            <w:tcW w:w="1668" w:type="dxa"/>
            <w:tcBorders>
              <w:top w:val="single" w:color="auto" w:sz="4" w:space="0"/>
              <w:left w:val="nil"/>
              <w:bottom w:val="single" w:color="auto" w:sz="4" w:space="0"/>
              <w:right w:val="single" w:color="auto" w:sz="4" w:space="0"/>
            </w:tcBorders>
            <w:vAlign w:val="center"/>
          </w:tcPr>
          <w:p w14:paraId="5B9F70D3">
            <w:pPr>
              <w:pStyle w:val="29"/>
              <w:ind w:firstLine="0" w:firstLineChars="0"/>
              <w:jc w:val="center"/>
              <w:rPr>
                <w:rFonts w:ascii="仿宋_GB2312" w:hAnsi="仿宋" w:eastAsia="仿宋_GB2312"/>
              </w:rPr>
            </w:pPr>
          </w:p>
        </w:tc>
        <w:tc>
          <w:tcPr>
            <w:tcW w:w="780" w:type="dxa"/>
            <w:tcBorders>
              <w:top w:val="single" w:color="auto" w:sz="4" w:space="0"/>
              <w:left w:val="nil"/>
              <w:bottom w:val="single" w:color="auto" w:sz="4" w:space="0"/>
              <w:right w:val="single" w:color="auto" w:sz="4" w:space="0"/>
            </w:tcBorders>
            <w:vAlign w:val="center"/>
          </w:tcPr>
          <w:p w14:paraId="0BD5877F">
            <w:pPr>
              <w:pStyle w:val="29"/>
              <w:ind w:firstLine="0" w:firstLineChars="0"/>
              <w:jc w:val="center"/>
              <w:rPr>
                <w:rFonts w:ascii="仿宋_GB2312" w:hAnsi="仿宋" w:eastAsia="仿宋_GB2312"/>
              </w:rPr>
            </w:pPr>
          </w:p>
        </w:tc>
      </w:tr>
      <w:tr w14:paraId="3B72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7B268EC">
            <w:pPr>
              <w:pStyle w:val="29"/>
              <w:ind w:firstLine="0" w:firstLineChars="0"/>
              <w:jc w:val="center"/>
              <w:rPr>
                <w:rFonts w:ascii="仿宋_GB2312" w:hAnsi="仿宋" w:eastAsia="仿宋_GB2312"/>
              </w:rPr>
            </w:pPr>
            <w:r>
              <w:rPr>
                <w:rFonts w:hint="eastAsia" w:ascii="仿宋_GB2312" w:hAnsi="仿宋" w:eastAsia="仿宋_GB2312"/>
              </w:rPr>
              <w:t>5</w:t>
            </w:r>
          </w:p>
        </w:tc>
        <w:tc>
          <w:tcPr>
            <w:tcW w:w="1508" w:type="dxa"/>
            <w:tcBorders>
              <w:top w:val="single" w:color="auto" w:sz="4" w:space="0"/>
              <w:left w:val="nil"/>
              <w:bottom w:val="single" w:color="auto" w:sz="4" w:space="0"/>
              <w:right w:val="single" w:color="auto" w:sz="4" w:space="0"/>
            </w:tcBorders>
            <w:vAlign w:val="center"/>
          </w:tcPr>
          <w:p w14:paraId="4C78DCBF">
            <w:pPr>
              <w:pStyle w:val="29"/>
              <w:ind w:firstLine="0" w:firstLineChars="0"/>
              <w:jc w:val="center"/>
              <w:rPr>
                <w:rFonts w:ascii="仿宋_GB2312" w:hAnsi="仿宋" w:eastAsia="仿宋_GB2312"/>
              </w:rPr>
            </w:pPr>
          </w:p>
        </w:tc>
        <w:tc>
          <w:tcPr>
            <w:tcW w:w="960" w:type="dxa"/>
            <w:tcBorders>
              <w:top w:val="single" w:color="auto" w:sz="4" w:space="0"/>
              <w:left w:val="nil"/>
              <w:bottom w:val="single" w:color="auto" w:sz="4" w:space="0"/>
              <w:right w:val="single" w:color="auto" w:sz="4" w:space="0"/>
            </w:tcBorders>
            <w:vAlign w:val="center"/>
          </w:tcPr>
          <w:p w14:paraId="1FA86B7A">
            <w:pPr>
              <w:pStyle w:val="29"/>
              <w:ind w:firstLine="0" w:firstLineChars="0"/>
              <w:jc w:val="center"/>
              <w:rPr>
                <w:rFonts w:ascii="仿宋_GB2312" w:hAnsi="仿宋" w:eastAsia="仿宋_GB2312"/>
              </w:rPr>
            </w:pPr>
          </w:p>
        </w:tc>
        <w:tc>
          <w:tcPr>
            <w:tcW w:w="721" w:type="dxa"/>
            <w:tcBorders>
              <w:top w:val="single" w:color="auto" w:sz="4" w:space="0"/>
              <w:left w:val="nil"/>
              <w:bottom w:val="single" w:color="auto" w:sz="4" w:space="0"/>
              <w:right w:val="single" w:color="auto" w:sz="4" w:space="0"/>
            </w:tcBorders>
            <w:vAlign w:val="center"/>
          </w:tcPr>
          <w:p w14:paraId="3BF5D21E">
            <w:pPr>
              <w:pStyle w:val="29"/>
              <w:ind w:firstLine="0" w:firstLineChars="0"/>
              <w:jc w:val="center"/>
              <w:rPr>
                <w:rFonts w:ascii="仿宋_GB2312" w:hAnsi="仿宋" w:eastAsia="仿宋_GB2312"/>
              </w:rPr>
            </w:pPr>
          </w:p>
        </w:tc>
        <w:tc>
          <w:tcPr>
            <w:tcW w:w="992" w:type="dxa"/>
            <w:tcBorders>
              <w:top w:val="single" w:color="auto" w:sz="4" w:space="0"/>
              <w:left w:val="nil"/>
              <w:bottom w:val="single" w:color="auto" w:sz="4" w:space="0"/>
              <w:right w:val="single" w:color="auto" w:sz="4" w:space="0"/>
            </w:tcBorders>
            <w:vAlign w:val="center"/>
          </w:tcPr>
          <w:p w14:paraId="2ED7D08F">
            <w:pPr>
              <w:pStyle w:val="29"/>
              <w:ind w:firstLine="0" w:firstLineChars="0"/>
              <w:jc w:val="center"/>
              <w:rPr>
                <w:rFonts w:ascii="仿宋_GB2312" w:hAnsi="仿宋" w:eastAsia="仿宋_GB2312"/>
              </w:rPr>
            </w:pPr>
          </w:p>
        </w:tc>
        <w:tc>
          <w:tcPr>
            <w:tcW w:w="1167" w:type="dxa"/>
            <w:tcBorders>
              <w:top w:val="single" w:color="auto" w:sz="4" w:space="0"/>
              <w:left w:val="nil"/>
              <w:bottom w:val="single" w:color="auto" w:sz="4" w:space="0"/>
              <w:right w:val="single" w:color="auto" w:sz="4" w:space="0"/>
            </w:tcBorders>
            <w:vAlign w:val="center"/>
          </w:tcPr>
          <w:p w14:paraId="2192714D">
            <w:pPr>
              <w:pStyle w:val="29"/>
              <w:ind w:firstLine="0" w:firstLineChars="0"/>
              <w:jc w:val="center"/>
              <w:rPr>
                <w:rFonts w:ascii="仿宋_GB2312" w:hAnsi="仿宋" w:eastAsia="仿宋_GB2312"/>
              </w:rPr>
            </w:pPr>
          </w:p>
        </w:tc>
        <w:tc>
          <w:tcPr>
            <w:tcW w:w="1668" w:type="dxa"/>
            <w:tcBorders>
              <w:top w:val="single" w:color="auto" w:sz="4" w:space="0"/>
              <w:left w:val="nil"/>
              <w:bottom w:val="single" w:color="auto" w:sz="4" w:space="0"/>
              <w:right w:val="single" w:color="auto" w:sz="4" w:space="0"/>
            </w:tcBorders>
            <w:vAlign w:val="center"/>
          </w:tcPr>
          <w:p w14:paraId="1F49BFEB">
            <w:pPr>
              <w:pStyle w:val="29"/>
              <w:ind w:firstLine="0" w:firstLineChars="0"/>
              <w:jc w:val="center"/>
              <w:rPr>
                <w:rFonts w:ascii="仿宋_GB2312" w:hAnsi="仿宋" w:eastAsia="仿宋_GB2312"/>
              </w:rPr>
            </w:pPr>
          </w:p>
        </w:tc>
        <w:tc>
          <w:tcPr>
            <w:tcW w:w="780" w:type="dxa"/>
            <w:tcBorders>
              <w:top w:val="single" w:color="auto" w:sz="4" w:space="0"/>
              <w:left w:val="nil"/>
              <w:bottom w:val="single" w:color="auto" w:sz="4" w:space="0"/>
              <w:right w:val="single" w:color="auto" w:sz="4" w:space="0"/>
            </w:tcBorders>
            <w:vAlign w:val="center"/>
          </w:tcPr>
          <w:p w14:paraId="23B14B2F">
            <w:pPr>
              <w:pStyle w:val="29"/>
              <w:ind w:firstLine="0" w:firstLineChars="0"/>
              <w:jc w:val="center"/>
              <w:rPr>
                <w:rFonts w:ascii="仿宋_GB2312" w:hAnsi="仿宋" w:eastAsia="仿宋_GB2312"/>
              </w:rPr>
            </w:pPr>
          </w:p>
        </w:tc>
      </w:tr>
      <w:tr w14:paraId="1767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7E038AD">
            <w:pPr>
              <w:pStyle w:val="29"/>
              <w:ind w:firstLine="0" w:firstLineChars="0"/>
              <w:jc w:val="center"/>
              <w:rPr>
                <w:rFonts w:ascii="仿宋_GB2312" w:hAnsi="仿宋" w:eastAsia="仿宋_GB2312"/>
              </w:rPr>
            </w:pPr>
            <w:r>
              <w:rPr>
                <w:rFonts w:hint="eastAsia" w:ascii="仿宋_GB2312" w:hAnsi="仿宋" w:eastAsia="仿宋_GB2312"/>
              </w:rPr>
              <w:t>6</w:t>
            </w:r>
          </w:p>
        </w:tc>
        <w:tc>
          <w:tcPr>
            <w:tcW w:w="1508" w:type="dxa"/>
            <w:tcBorders>
              <w:top w:val="single" w:color="auto" w:sz="4" w:space="0"/>
              <w:left w:val="nil"/>
              <w:bottom w:val="single" w:color="auto" w:sz="4" w:space="0"/>
              <w:right w:val="single" w:color="auto" w:sz="4" w:space="0"/>
            </w:tcBorders>
            <w:vAlign w:val="center"/>
          </w:tcPr>
          <w:p w14:paraId="2D1D3A71">
            <w:pPr>
              <w:pStyle w:val="29"/>
              <w:ind w:firstLine="0" w:firstLineChars="0"/>
              <w:jc w:val="center"/>
              <w:rPr>
                <w:rFonts w:ascii="仿宋_GB2312" w:hAnsi="仿宋" w:eastAsia="仿宋_GB2312"/>
              </w:rPr>
            </w:pPr>
          </w:p>
        </w:tc>
        <w:tc>
          <w:tcPr>
            <w:tcW w:w="960" w:type="dxa"/>
            <w:tcBorders>
              <w:top w:val="single" w:color="auto" w:sz="4" w:space="0"/>
              <w:left w:val="nil"/>
              <w:bottom w:val="single" w:color="auto" w:sz="4" w:space="0"/>
              <w:right w:val="single" w:color="auto" w:sz="4" w:space="0"/>
            </w:tcBorders>
            <w:vAlign w:val="center"/>
          </w:tcPr>
          <w:p w14:paraId="5CFC64C4">
            <w:pPr>
              <w:pStyle w:val="29"/>
              <w:ind w:firstLine="0" w:firstLineChars="0"/>
              <w:jc w:val="center"/>
              <w:rPr>
                <w:rFonts w:ascii="仿宋_GB2312" w:hAnsi="仿宋" w:eastAsia="仿宋_GB2312"/>
              </w:rPr>
            </w:pPr>
          </w:p>
        </w:tc>
        <w:tc>
          <w:tcPr>
            <w:tcW w:w="721" w:type="dxa"/>
            <w:tcBorders>
              <w:top w:val="single" w:color="auto" w:sz="4" w:space="0"/>
              <w:left w:val="nil"/>
              <w:bottom w:val="single" w:color="auto" w:sz="4" w:space="0"/>
              <w:right w:val="single" w:color="auto" w:sz="4" w:space="0"/>
            </w:tcBorders>
            <w:vAlign w:val="center"/>
          </w:tcPr>
          <w:p w14:paraId="793CE277">
            <w:pPr>
              <w:pStyle w:val="29"/>
              <w:ind w:firstLine="0" w:firstLineChars="0"/>
              <w:jc w:val="center"/>
              <w:rPr>
                <w:rFonts w:ascii="仿宋_GB2312" w:hAnsi="仿宋" w:eastAsia="仿宋_GB2312"/>
              </w:rPr>
            </w:pPr>
          </w:p>
        </w:tc>
        <w:tc>
          <w:tcPr>
            <w:tcW w:w="992" w:type="dxa"/>
            <w:tcBorders>
              <w:top w:val="single" w:color="auto" w:sz="4" w:space="0"/>
              <w:left w:val="nil"/>
              <w:bottom w:val="single" w:color="auto" w:sz="4" w:space="0"/>
              <w:right w:val="single" w:color="auto" w:sz="4" w:space="0"/>
            </w:tcBorders>
            <w:vAlign w:val="center"/>
          </w:tcPr>
          <w:p w14:paraId="6E0DFF46">
            <w:pPr>
              <w:pStyle w:val="29"/>
              <w:ind w:firstLine="0" w:firstLineChars="0"/>
              <w:jc w:val="center"/>
              <w:rPr>
                <w:rFonts w:ascii="仿宋_GB2312" w:hAnsi="仿宋" w:eastAsia="仿宋_GB2312"/>
              </w:rPr>
            </w:pPr>
          </w:p>
        </w:tc>
        <w:tc>
          <w:tcPr>
            <w:tcW w:w="1167" w:type="dxa"/>
            <w:tcBorders>
              <w:top w:val="single" w:color="auto" w:sz="4" w:space="0"/>
              <w:left w:val="nil"/>
              <w:bottom w:val="single" w:color="auto" w:sz="4" w:space="0"/>
              <w:right w:val="single" w:color="auto" w:sz="4" w:space="0"/>
            </w:tcBorders>
            <w:vAlign w:val="center"/>
          </w:tcPr>
          <w:p w14:paraId="52AB52D0">
            <w:pPr>
              <w:pStyle w:val="29"/>
              <w:ind w:firstLine="0" w:firstLineChars="0"/>
              <w:jc w:val="center"/>
              <w:rPr>
                <w:rFonts w:ascii="仿宋_GB2312" w:hAnsi="仿宋" w:eastAsia="仿宋_GB2312"/>
              </w:rPr>
            </w:pPr>
          </w:p>
        </w:tc>
        <w:tc>
          <w:tcPr>
            <w:tcW w:w="1668" w:type="dxa"/>
            <w:tcBorders>
              <w:top w:val="single" w:color="auto" w:sz="4" w:space="0"/>
              <w:left w:val="nil"/>
              <w:bottom w:val="single" w:color="auto" w:sz="4" w:space="0"/>
              <w:right w:val="single" w:color="auto" w:sz="4" w:space="0"/>
            </w:tcBorders>
            <w:vAlign w:val="center"/>
          </w:tcPr>
          <w:p w14:paraId="3215B92A">
            <w:pPr>
              <w:pStyle w:val="29"/>
              <w:ind w:firstLine="0" w:firstLineChars="0"/>
              <w:jc w:val="center"/>
              <w:rPr>
                <w:rFonts w:ascii="仿宋_GB2312" w:hAnsi="仿宋" w:eastAsia="仿宋_GB2312"/>
              </w:rPr>
            </w:pPr>
          </w:p>
        </w:tc>
        <w:tc>
          <w:tcPr>
            <w:tcW w:w="780" w:type="dxa"/>
            <w:tcBorders>
              <w:top w:val="single" w:color="auto" w:sz="4" w:space="0"/>
              <w:left w:val="nil"/>
              <w:bottom w:val="single" w:color="auto" w:sz="4" w:space="0"/>
              <w:right w:val="single" w:color="auto" w:sz="4" w:space="0"/>
            </w:tcBorders>
            <w:vAlign w:val="center"/>
          </w:tcPr>
          <w:p w14:paraId="4DB72115">
            <w:pPr>
              <w:pStyle w:val="29"/>
              <w:ind w:firstLine="0" w:firstLineChars="0"/>
              <w:jc w:val="center"/>
              <w:rPr>
                <w:rFonts w:ascii="仿宋_GB2312" w:hAnsi="仿宋" w:eastAsia="仿宋_GB2312"/>
              </w:rPr>
            </w:pPr>
          </w:p>
        </w:tc>
      </w:tr>
      <w:tr w14:paraId="453E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CE540CE">
            <w:pPr>
              <w:pStyle w:val="29"/>
              <w:ind w:firstLine="0" w:firstLineChars="0"/>
              <w:jc w:val="center"/>
              <w:rPr>
                <w:rFonts w:ascii="仿宋_GB2312" w:hAnsi="仿宋" w:eastAsia="仿宋_GB2312"/>
              </w:rPr>
            </w:pPr>
            <w:r>
              <w:rPr>
                <w:rFonts w:hint="eastAsia" w:ascii="仿宋_GB2312" w:hAnsi="仿宋" w:eastAsia="仿宋_GB2312"/>
              </w:rPr>
              <w:t>7</w:t>
            </w:r>
          </w:p>
        </w:tc>
        <w:tc>
          <w:tcPr>
            <w:tcW w:w="1508" w:type="dxa"/>
            <w:tcBorders>
              <w:top w:val="single" w:color="auto" w:sz="4" w:space="0"/>
              <w:left w:val="nil"/>
              <w:bottom w:val="single" w:color="auto" w:sz="4" w:space="0"/>
              <w:right w:val="single" w:color="auto" w:sz="4" w:space="0"/>
            </w:tcBorders>
            <w:vAlign w:val="center"/>
          </w:tcPr>
          <w:p w14:paraId="0CE1DAEF">
            <w:pPr>
              <w:pStyle w:val="29"/>
              <w:ind w:firstLine="0" w:firstLineChars="0"/>
              <w:jc w:val="center"/>
              <w:rPr>
                <w:rFonts w:ascii="仿宋_GB2312" w:hAnsi="仿宋" w:eastAsia="仿宋_GB2312"/>
              </w:rPr>
            </w:pPr>
          </w:p>
        </w:tc>
        <w:tc>
          <w:tcPr>
            <w:tcW w:w="960" w:type="dxa"/>
            <w:tcBorders>
              <w:top w:val="single" w:color="auto" w:sz="4" w:space="0"/>
              <w:left w:val="nil"/>
              <w:bottom w:val="single" w:color="auto" w:sz="4" w:space="0"/>
              <w:right w:val="single" w:color="auto" w:sz="4" w:space="0"/>
            </w:tcBorders>
            <w:vAlign w:val="center"/>
          </w:tcPr>
          <w:p w14:paraId="65F9D080">
            <w:pPr>
              <w:pStyle w:val="29"/>
              <w:ind w:firstLine="0" w:firstLineChars="0"/>
              <w:jc w:val="center"/>
              <w:rPr>
                <w:rFonts w:ascii="仿宋_GB2312" w:hAnsi="仿宋" w:eastAsia="仿宋_GB2312"/>
              </w:rPr>
            </w:pPr>
          </w:p>
        </w:tc>
        <w:tc>
          <w:tcPr>
            <w:tcW w:w="721" w:type="dxa"/>
            <w:tcBorders>
              <w:top w:val="single" w:color="auto" w:sz="4" w:space="0"/>
              <w:left w:val="nil"/>
              <w:bottom w:val="single" w:color="auto" w:sz="4" w:space="0"/>
              <w:right w:val="single" w:color="auto" w:sz="4" w:space="0"/>
            </w:tcBorders>
            <w:vAlign w:val="center"/>
          </w:tcPr>
          <w:p w14:paraId="2E16785A">
            <w:pPr>
              <w:pStyle w:val="29"/>
              <w:ind w:firstLine="0" w:firstLineChars="0"/>
              <w:jc w:val="center"/>
              <w:rPr>
                <w:rFonts w:ascii="仿宋_GB2312" w:hAnsi="仿宋" w:eastAsia="仿宋_GB2312"/>
              </w:rPr>
            </w:pPr>
          </w:p>
        </w:tc>
        <w:tc>
          <w:tcPr>
            <w:tcW w:w="992" w:type="dxa"/>
            <w:tcBorders>
              <w:top w:val="single" w:color="auto" w:sz="4" w:space="0"/>
              <w:left w:val="nil"/>
              <w:bottom w:val="single" w:color="auto" w:sz="4" w:space="0"/>
              <w:right w:val="single" w:color="auto" w:sz="4" w:space="0"/>
            </w:tcBorders>
            <w:vAlign w:val="center"/>
          </w:tcPr>
          <w:p w14:paraId="5AA2AB71">
            <w:pPr>
              <w:pStyle w:val="29"/>
              <w:ind w:firstLine="0" w:firstLineChars="0"/>
              <w:jc w:val="center"/>
              <w:rPr>
                <w:rFonts w:ascii="仿宋_GB2312" w:hAnsi="仿宋" w:eastAsia="仿宋_GB2312"/>
              </w:rPr>
            </w:pPr>
          </w:p>
        </w:tc>
        <w:tc>
          <w:tcPr>
            <w:tcW w:w="1167" w:type="dxa"/>
            <w:tcBorders>
              <w:top w:val="single" w:color="auto" w:sz="4" w:space="0"/>
              <w:left w:val="nil"/>
              <w:bottom w:val="single" w:color="auto" w:sz="4" w:space="0"/>
              <w:right w:val="single" w:color="auto" w:sz="4" w:space="0"/>
            </w:tcBorders>
            <w:vAlign w:val="center"/>
          </w:tcPr>
          <w:p w14:paraId="414D309C">
            <w:pPr>
              <w:pStyle w:val="29"/>
              <w:ind w:firstLine="0" w:firstLineChars="0"/>
              <w:jc w:val="center"/>
              <w:rPr>
                <w:rFonts w:ascii="仿宋_GB2312" w:hAnsi="仿宋" w:eastAsia="仿宋_GB2312"/>
              </w:rPr>
            </w:pPr>
          </w:p>
        </w:tc>
        <w:tc>
          <w:tcPr>
            <w:tcW w:w="1668" w:type="dxa"/>
            <w:tcBorders>
              <w:top w:val="single" w:color="auto" w:sz="4" w:space="0"/>
              <w:left w:val="nil"/>
              <w:bottom w:val="single" w:color="auto" w:sz="4" w:space="0"/>
              <w:right w:val="single" w:color="auto" w:sz="4" w:space="0"/>
            </w:tcBorders>
            <w:vAlign w:val="center"/>
          </w:tcPr>
          <w:p w14:paraId="5358FFD6">
            <w:pPr>
              <w:pStyle w:val="29"/>
              <w:ind w:firstLine="0" w:firstLineChars="0"/>
              <w:jc w:val="center"/>
              <w:rPr>
                <w:rFonts w:ascii="仿宋_GB2312" w:hAnsi="仿宋" w:eastAsia="仿宋_GB2312"/>
              </w:rPr>
            </w:pPr>
          </w:p>
        </w:tc>
        <w:tc>
          <w:tcPr>
            <w:tcW w:w="780" w:type="dxa"/>
            <w:tcBorders>
              <w:top w:val="single" w:color="auto" w:sz="4" w:space="0"/>
              <w:left w:val="nil"/>
              <w:bottom w:val="single" w:color="auto" w:sz="4" w:space="0"/>
              <w:right w:val="single" w:color="auto" w:sz="4" w:space="0"/>
            </w:tcBorders>
            <w:vAlign w:val="center"/>
          </w:tcPr>
          <w:p w14:paraId="4147766D">
            <w:pPr>
              <w:pStyle w:val="29"/>
              <w:ind w:firstLine="0" w:firstLineChars="0"/>
              <w:jc w:val="center"/>
              <w:rPr>
                <w:rFonts w:ascii="仿宋_GB2312" w:hAnsi="仿宋" w:eastAsia="仿宋_GB2312"/>
              </w:rPr>
            </w:pPr>
          </w:p>
        </w:tc>
      </w:tr>
      <w:tr w14:paraId="6CCD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3B0A4CC">
            <w:pPr>
              <w:pStyle w:val="29"/>
              <w:ind w:firstLine="0" w:firstLineChars="0"/>
              <w:jc w:val="center"/>
              <w:rPr>
                <w:rFonts w:ascii="仿宋_GB2312" w:hAnsi="仿宋" w:eastAsia="仿宋_GB2312"/>
              </w:rPr>
            </w:pPr>
            <w:r>
              <w:rPr>
                <w:rFonts w:hint="eastAsia" w:ascii="仿宋_GB2312" w:hAnsi="仿宋" w:eastAsia="仿宋_GB2312"/>
              </w:rPr>
              <w:t>8</w:t>
            </w:r>
          </w:p>
        </w:tc>
        <w:tc>
          <w:tcPr>
            <w:tcW w:w="1508" w:type="dxa"/>
            <w:tcBorders>
              <w:top w:val="single" w:color="auto" w:sz="4" w:space="0"/>
              <w:left w:val="nil"/>
              <w:bottom w:val="single" w:color="auto" w:sz="4" w:space="0"/>
              <w:right w:val="single" w:color="auto" w:sz="4" w:space="0"/>
            </w:tcBorders>
            <w:vAlign w:val="center"/>
          </w:tcPr>
          <w:p w14:paraId="7BB6DA67">
            <w:pPr>
              <w:pStyle w:val="29"/>
              <w:ind w:firstLine="0" w:firstLineChars="0"/>
              <w:jc w:val="center"/>
              <w:rPr>
                <w:rFonts w:ascii="仿宋_GB2312" w:hAnsi="仿宋" w:eastAsia="仿宋_GB2312"/>
              </w:rPr>
            </w:pPr>
          </w:p>
        </w:tc>
        <w:tc>
          <w:tcPr>
            <w:tcW w:w="960" w:type="dxa"/>
            <w:tcBorders>
              <w:top w:val="single" w:color="auto" w:sz="4" w:space="0"/>
              <w:left w:val="nil"/>
              <w:bottom w:val="single" w:color="auto" w:sz="4" w:space="0"/>
              <w:right w:val="single" w:color="auto" w:sz="4" w:space="0"/>
            </w:tcBorders>
            <w:vAlign w:val="center"/>
          </w:tcPr>
          <w:p w14:paraId="460BCDBB">
            <w:pPr>
              <w:pStyle w:val="29"/>
              <w:ind w:firstLine="0" w:firstLineChars="0"/>
              <w:jc w:val="center"/>
              <w:rPr>
                <w:rFonts w:ascii="仿宋_GB2312" w:hAnsi="仿宋" w:eastAsia="仿宋_GB2312"/>
              </w:rPr>
            </w:pPr>
          </w:p>
        </w:tc>
        <w:tc>
          <w:tcPr>
            <w:tcW w:w="721" w:type="dxa"/>
            <w:tcBorders>
              <w:top w:val="single" w:color="auto" w:sz="4" w:space="0"/>
              <w:left w:val="nil"/>
              <w:bottom w:val="single" w:color="auto" w:sz="4" w:space="0"/>
              <w:right w:val="single" w:color="auto" w:sz="4" w:space="0"/>
            </w:tcBorders>
            <w:vAlign w:val="center"/>
          </w:tcPr>
          <w:p w14:paraId="3971F4AD">
            <w:pPr>
              <w:pStyle w:val="29"/>
              <w:ind w:firstLine="0" w:firstLineChars="0"/>
              <w:jc w:val="center"/>
              <w:rPr>
                <w:rFonts w:ascii="仿宋_GB2312" w:hAnsi="仿宋" w:eastAsia="仿宋_GB2312"/>
              </w:rPr>
            </w:pPr>
          </w:p>
        </w:tc>
        <w:tc>
          <w:tcPr>
            <w:tcW w:w="992" w:type="dxa"/>
            <w:tcBorders>
              <w:top w:val="single" w:color="auto" w:sz="4" w:space="0"/>
              <w:left w:val="nil"/>
              <w:bottom w:val="single" w:color="auto" w:sz="4" w:space="0"/>
              <w:right w:val="single" w:color="auto" w:sz="4" w:space="0"/>
            </w:tcBorders>
            <w:vAlign w:val="center"/>
          </w:tcPr>
          <w:p w14:paraId="660826E3">
            <w:pPr>
              <w:pStyle w:val="29"/>
              <w:ind w:firstLine="0" w:firstLineChars="0"/>
              <w:jc w:val="center"/>
              <w:rPr>
                <w:rFonts w:ascii="仿宋_GB2312" w:hAnsi="仿宋" w:eastAsia="仿宋_GB2312"/>
              </w:rPr>
            </w:pPr>
          </w:p>
        </w:tc>
        <w:tc>
          <w:tcPr>
            <w:tcW w:w="1167" w:type="dxa"/>
            <w:tcBorders>
              <w:top w:val="single" w:color="auto" w:sz="4" w:space="0"/>
              <w:left w:val="nil"/>
              <w:bottom w:val="single" w:color="auto" w:sz="4" w:space="0"/>
              <w:right w:val="single" w:color="auto" w:sz="4" w:space="0"/>
            </w:tcBorders>
            <w:vAlign w:val="center"/>
          </w:tcPr>
          <w:p w14:paraId="3A91ACBA">
            <w:pPr>
              <w:pStyle w:val="29"/>
              <w:ind w:firstLine="0" w:firstLineChars="0"/>
              <w:jc w:val="center"/>
              <w:rPr>
                <w:rFonts w:ascii="仿宋_GB2312" w:hAnsi="仿宋" w:eastAsia="仿宋_GB2312"/>
              </w:rPr>
            </w:pPr>
          </w:p>
        </w:tc>
        <w:tc>
          <w:tcPr>
            <w:tcW w:w="1668" w:type="dxa"/>
            <w:tcBorders>
              <w:top w:val="single" w:color="auto" w:sz="4" w:space="0"/>
              <w:left w:val="nil"/>
              <w:bottom w:val="single" w:color="auto" w:sz="4" w:space="0"/>
              <w:right w:val="single" w:color="auto" w:sz="4" w:space="0"/>
            </w:tcBorders>
            <w:vAlign w:val="center"/>
          </w:tcPr>
          <w:p w14:paraId="09DA26E1">
            <w:pPr>
              <w:pStyle w:val="29"/>
              <w:ind w:firstLine="0" w:firstLineChars="0"/>
              <w:jc w:val="center"/>
              <w:rPr>
                <w:rFonts w:ascii="仿宋_GB2312" w:hAnsi="仿宋" w:eastAsia="仿宋_GB2312"/>
              </w:rPr>
            </w:pPr>
          </w:p>
        </w:tc>
        <w:tc>
          <w:tcPr>
            <w:tcW w:w="780" w:type="dxa"/>
            <w:tcBorders>
              <w:top w:val="single" w:color="auto" w:sz="4" w:space="0"/>
              <w:left w:val="nil"/>
              <w:bottom w:val="single" w:color="auto" w:sz="4" w:space="0"/>
              <w:right w:val="single" w:color="auto" w:sz="4" w:space="0"/>
            </w:tcBorders>
            <w:vAlign w:val="center"/>
          </w:tcPr>
          <w:p w14:paraId="0C17E5C4">
            <w:pPr>
              <w:pStyle w:val="29"/>
              <w:ind w:firstLine="0" w:firstLineChars="0"/>
              <w:jc w:val="center"/>
              <w:rPr>
                <w:rFonts w:ascii="仿宋_GB2312" w:hAnsi="仿宋" w:eastAsia="仿宋_GB2312"/>
              </w:rPr>
            </w:pPr>
          </w:p>
        </w:tc>
      </w:tr>
      <w:tr w14:paraId="00FE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DDD6C63">
            <w:pPr>
              <w:pStyle w:val="29"/>
              <w:ind w:firstLine="0" w:firstLineChars="0"/>
              <w:jc w:val="center"/>
              <w:rPr>
                <w:rFonts w:ascii="仿宋_GB2312" w:hAnsi="仿宋" w:eastAsia="仿宋_GB2312"/>
              </w:rPr>
            </w:pPr>
            <w:r>
              <w:rPr>
                <w:rFonts w:hint="eastAsia" w:ascii="仿宋_GB2312" w:hAnsi="仿宋" w:eastAsia="仿宋_GB2312"/>
              </w:rPr>
              <w:t>9</w:t>
            </w:r>
          </w:p>
        </w:tc>
        <w:tc>
          <w:tcPr>
            <w:tcW w:w="1508" w:type="dxa"/>
            <w:tcBorders>
              <w:top w:val="single" w:color="auto" w:sz="4" w:space="0"/>
              <w:left w:val="nil"/>
              <w:bottom w:val="single" w:color="auto" w:sz="4" w:space="0"/>
              <w:right w:val="single" w:color="auto" w:sz="4" w:space="0"/>
            </w:tcBorders>
            <w:vAlign w:val="center"/>
          </w:tcPr>
          <w:p w14:paraId="4E26B67A">
            <w:pPr>
              <w:pStyle w:val="29"/>
              <w:ind w:firstLine="0" w:firstLineChars="0"/>
              <w:jc w:val="center"/>
              <w:rPr>
                <w:rFonts w:ascii="仿宋_GB2312" w:hAnsi="仿宋" w:eastAsia="仿宋_GB2312"/>
              </w:rPr>
            </w:pPr>
          </w:p>
        </w:tc>
        <w:tc>
          <w:tcPr>
            <w:tcW w:w="960" w:type="dxa"/>
            <w:tcBorders>
              <w:top w:val="single" w:color="auto" w:sz="4" w:space="0"/>
              <w:left w:val="nil"/>
              <w:bottom w:val="single" w:color="auto" w:sz="4" w:space="0"/>
              <w:right w:val="single" w:color="auto" w:sz="4" w:space="0"/>
            </w:tcBorders>
            <w:vAlign w:val="center"/>
          </w:tcPr>
          <w:p w14:paraId="43C692BD">
            <w:pPr>
              <w:pStyle w:val="29"/>
              <w:ind w:firstLine="0" w:firstLineChars="0"/>
              <w:jc w:val="center"/>
              <w:rPr>
                <w:rFonts w:ascii="仿宋_GB2312" w:hAnsi="仿宋" w:eastAsia="仿宋_GB2312"/>
              </w:rPr>
            </w:pPr>
          </w:p>
        </w:tc>
        <w:tc>
          <w:tcPr>
            <w:tcW w:w="721" w:type="dxa"/>
            <w:tcBorders>
              <w:top w:val="single" w:color="auto" w:sz="4" w:space="0"/>
              <w:left w:val="nil"/>
              <w:bottom w:val="single" w:color="auto" w:sz="4" w:space="0"/>
              <w:right w:val="single" w:color="auto" w:sz="4" w:space="0"/>
            </w:tcBorders>
            <w:vAlign w:val="center"/>
          </w:tcPr>
          <w:p w14:paraId="05E9DC98">
            <w:pPr>
              <w:pStyle w:val="29"/>
              <w:ind w:firstLine="0" w:firstLineChars="0"/>
              <w:jc w:val="center"/>
              <w:rPr>
                <w:rFonts w:ascii="仿宋_GB2312" w:hAnsi="仿宋" w:eastAsia="仿宋_GB2312"/>
              </w:rPr>
            </w:pPr>
          </w:p>
        </w:tc>
        <w:tc>
          <w:tcPr>
            <w:tcW w:w="992" w:type="dxa"/>
            <w:tcBorders>
              <w:top w:val="single" w:color="auto" w:sz="4" w:space="0"/>
              <w:left w:val="nil"/>
              <w:bottom w:val="single" w:color="auto" w:sz="4" w:space="0"/>
              <w:right w:val="single" w:color="auto" w:sz="4" w:space="0"/>
            </w:tcBorders>
            <w:vAlign w:val="center"/>
          </w:tcPr>
          <w:p w14:paraId="01FD4329">
            <w:pPr>
              <w:pStyle w:val="29"/>
              <w:ind w:firstLine="0" w:firstLineChars="0"/>
              <w:jc w:val="center"/>
              <w:rPr>
                <w:rFonts w:ascii="仿宋_GB2312" w:hAnsi="仿宋" w:eastAsia="仿宋_GB2312"/>
              </w:rPr>
            </w:pPr>
          </w:p>
        </w:tc>
        <w:tc>
          <w:tcPr>
            <w:tcW w:w="1167" w:type="dxa"/>
            <w:tcBorders>
              <w:top w:val="single" w:color="auto" w:sz="4" w:space="0"/>
              <w:left w:val="nil"/>
              <w:bottom w:val="single" w:color="auto" w:sz="4" w:space="0"/>
              <w:right w:val="single" w:color="auto" w:sz="4" w:space="0"/>
            </w:tcBorders>
            <w:vAlign w:val="center"/>
          </w:tcPr>
          <w:p w14:paraId="0115E31C">
            <w:pPr>
              <w:pStyle w:val="29"/>
              <w:ind w:firstLine="0" w:firstLineChars="0"/>
              <w:jc w:val="center"/>
              <w:rPr>
                <w:rFonts w:ascii="仿宋_GB2312" w:hAnsi="仿宋" w:eastAsia="仿宋_GB2312"/>
              </w:rPr>
            </w:pPr>
          </w:p>
        </w:tc>
        <w:tc>
          <w:tcPr>
            <w:tcW w:w="1668" w:type="dxa"/>
            <w:tcBorders>
              <w:top w:val="single" w:color="auto" w:sz="4" w:space="0"/>
              <w:left w:val="nil"/>
              <w:bottom w:val="single" w:color="auto" w:sz="4" w:space="0"/>
              <w:right w:val="single" w:color="auto" w:sz="4" w:space="0"/>
            </w:tcBorders>
            <w:vAlign w:val="center"/>
          </w:tcPr>
          <w:p w14:paraId="52D80E0A">
            <w:pPr>
              <w:pStyle w:val="29"/>
              <w:ind w:firstLine="0" w:firstLineChars="0"/>
              <w:jc w:val="center"/>
              <w:rPr>
                <w:rFonts w:ascii="仿宋_GB2312" w:hAnsi="仿宋" w:eastAsia="仿宋_GB2312"/>
              </w:rPr>
            </w:pPr>
          </w:p>
        </w:tc>
        <w:tc>
          <w:tcPr>
            <w:tcW w:w="780" w:type="dxa"/>
            <w:tcBorders>
              <w:top w:val="single" w:color="auto" w:sz="4" w:space="0"/>
              <w:left w:val="nil"/>
              <w:bottom w:val="single" w:color="auto" w:sz="4" w:space="0"/>
              <w:right w:val="single" w:color="auto" w:sz="4" w:space="0"/>
            </w:tcBorders>
            <w:vAlign w:val="center"/>
          </w:tcPr>
          <w:p w14:paraId="7BAC619D">
            <w:pPr>
              <w:pStyle w:val="29"/>
              <w:ind w:firstLine="0" w:firstLineChars="0"/>
              <w:jc w:val="center"/>
              <w:rPr>
                <w:rFonts w:ascii="仿宋_GB2312" w:hAnsi="仿宋" w:eastAsia="仿宋_GB2312"/>
              </w:rPr>
            </w:pPr>
          </w:p>
        </w:tc>
      </w:tr>
      <w:tr w14:paraId="4E40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C5D214E">
            <w:pPr>
              <w:pStyle w:val="29"/>
              <w:ind w:firstLine="0" w:firstLineChars="0"/>
              <w:jc w:val="center"/>
              <w:rPr>
                <w:rFonts w:ascii="仿宋_GB2312" w:hAnsi="仿宋" w:eastAsia="仿宋_GB2312"/>
              </w:rPr>
            </w:pPr>
            <w:r>
              <w:rPr>
                <w:rFonts w:hint="eastAsia" w:ascii="仿宋_GB2312" w:hAnsi="仿宋" w:eastAsia="仿宋_GB2312"/>
              </w:rPr>
              <w:t>10</w:t>
            </w:r>
          </w:p>
        </w:tc>
        <w:tc>
          <w:tcPr>
            <w:tcW w:w="1508" w:type="dxa"/>
            <w:tcBorders>
              <w:top w:val="single" w:color="auto" w:sz="4" w:space="0"/>
              <w:left w:val="nil"/>
              <w:bottom w:val="single" w:color="auto" w:sz="4" w:space="0"/>
              <w:right w:val="single" w:color="auto" w:sz="4" w:space="0"/>
            </w:tcBorders>
            <w:vAlign w:val="center"/>
          </w:tcPr>
          <w:p w14:paraId="6FA6C9D0">
            <w:pPr>
              <w:pStyle w:val="29"/>
              <w:ind w:firstLine="0" w:firstLineChars="0"/>
              <w:jc w:val="center"/>
              <w:rPr>
                <w:rFonts w:ascii="仿宋_GB2312" w:hAnsi="仿宋" w:eastAsia="仿宋_GB2312"/>
              </w:rPr>
            </w:pPr>
          </w:p>
        </w:tc>
        <w:tc>
          <w:tcPr>
            <w:tcW w:w="960" w:type="dxa"/>
            <w:tcBorders>
              <w:top w:val="single" w:color="auto" w:sz="4" w:space="0"/>
              <w:left w:val="nil"/>
              <w:bottom w:val="single" w:color="auto" w:sz="4" w:space="0"/>
              <w:right w:val="single" w:color="auto" w:sz="4" w:space="0"/>
            </w:tcBorders>
            <w:vAlign w:val="center"/>
          </w:tcPr>
          <w:p w14:paraId="54B55FD0">
            <w:pPr>
              <w:pStyle w:val="29"/>
              <w:ind w:firstLine="0" w:firstLineChars="0"/>
              <w:jc w:val="center"/>
              <w:rPr>
                <w:rFonts w:ascii="仿宋_GB2312" w:hAnsi="仿宋" w:eastAsia="仿宋_GB2312"/>
              </w:rPr>
            </w:pPr>
          </w:p>
        </w:tc>
        <w:tc>
          <w:tcPr>
            <w:tcW w:w="721" w:type="dxa"/>
            <w:tcBorders>
              <w:top w:val="single" w:color="auto" w:sz="4" w:space="0"/>
              <w:left w:val="nil"/>
              <w:bottom w:val="single" w:color="auto" w:sz="4" w:space="0"/>
              <w:right w:val="single" w:color="auto" w:sz="4" w:space="0"/>
            </w:tcBorders>
            <w:vAlign w:val="center"/>
          </w:tcPr>
          <w:p w14:paraId="68A58742">
            <w:pPr>
              <w:pStyle w:val="29"/>
              <w:ind w:firstLine="0" w:firstLineChars="0"/>
              <w:jc w:val="center"/>
              <w:rPr>
                <w:rFonts w:ascii="仿宋_GB2312" w:hAnsi="仿宋" w:eastAsia="仿宋_GB2312"/>
              </w:rPr>
            </w:pPr>
          </w:p>
        </w:tc>
        <w:tc>
          <w:tcPr>
            <w:tcW w:w="992" w:type="dxa"/>
            <w:tcBorders>
              <w:top w:val="single" w:color="auto" w:sz="4" w:space="0"/>
              <w:left w:val="nil"/>
              <w:bottom w:val="single" w:color="auto" w:sz="4" w:space="0"/>
              <w:right w:val="single" w:color="auto" w:sz="4" w:space="0"/>
            </w:tcBorders>
            <w:vAlign w:val="center"/>
          </w:tcPr>
          <w:p w14:paraId="187E9BF7">
            <w:pPr>
              <w:pStyle w:val="29"/>
              <w:ind w:firstLine="0" w:firstLineChars="0"/>
              <w:jc w:val="center"/>
              <w:rPr>
                <w:rFonts w:ascii="仿宋_GB2312" w:hAnsi="仿宋" w:eastAsia="仿宋_GB2312"/>
              </w:rPr>
            </w:pPr>
          </w:p>
        </w:tc>
        <w:tc>
          <w:tcPr>
            <w:tcW w:w="1167" w:type="dxa"/>
            <w:tcBorders>
              <w:top w:val="single" w:color="auto" w:sz="4" w:space="0"/>
              <w:left w:val="nil"/>
              <w:bottom w:val="single" w:color="auto" w:sz="4" w:space="0"/>
              <w:right w:val="single" w:color="auto" w:sz="4" w:space="0"/>
            </w:tcBorders>
            <w:vAlign w:val="center"/>
          </w:tcPr>
          <w:p w14:paraId="7B0B0233">
            <w:pPr>
              <w:pStyle w:val="29"/>
              <w:ind w:firstLine="0" w:firstLineChars="0"/>
              <w:jc w:val="center"/>
              <w:rPr>
                <w:rFonts w:ascii="仿宋_GB2312" w:hAnsi="仿宋" w:eastAsia="仿宋_GB2312"/>
              </w:rPr>
            </w:pPr>
          </w:p>
        </w:tc>
        <w:tc>
          <w:tcPr>
            <w:tcW w:w="1668" w:type="dxa"/>
            <w:tcBorders>
              <w:top w:val="single" w:color="auto" w:sz="4" w:space="0"/>
              <w:left w:val="nil"/>
              <w:bottom w:val="single" w:color="auto" w:sz="4" w:space="0"/>
              <w:right w:val="single" w:color="auto" w:sz="4" w:space="0"/>
            </w:tcBorders>
            <w:vAlign w:val="center"/>
          </w:tcPr>
          <w:p w14:paraId="1BF627E5">
            <w:pPr>
              <w:pStyle w:val="29"/>
              <w:ind w:firstLine="0" w:firstLineChars="0"/>
              <w:jc w:val="center"/>
              <w:rPr>
                <w:rFonts w:ascii="仿宋_GB2312" w:hAnsi="仿宋" w:eastAsia="仿宋_GB2312"/>
              </w:rPr>
            </w:pPr>
          </w:p>
        </w:tc>
        <w:tc>
          <w:tcPr>
            <w:tcW w:w="780" w:type="dxa"/>
            <w:tcBorders>
              <w:top w:val="single" w:color="auto" w:sz="4" w:space="0"/>
              <w:left w:val="nil"/>
              <w:bottom w:val="single" w:color="auto" w:sz="4" w:space="0"/>
              <w:right w:val="single" w:color="auto" w:sz="4" w:space="0"/>
            </w:tcBorders>
            <w:vAlign w:val="center"/>
          </w:tcPr>
          <w:p w14:paraId="5AAC8E1A">
            <w:pPr>
              <w:pStyle w:val="29"/>
              <w:ind w:firstLine="0" w:firstLineChars="0"/>
              <w:jc w:val="center"/>
              <w:rPr>
                <w:rFonts w:ascii="仿宋_GB2312" w:hAnsi="仿宋" w:eastAsia="仿宋_GB2312"/>
              </w:rPr>
            </w:pPr>
          </w:p>
        </w:tc>
      </w:tr>
      <w:tr w14:paraId="14FC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2388291">
            <w:pPr>
              <w:pStyle w:val="29"/>
              <w:ind w:firstLine="0" w:firstLineChars="0"/>
              <w:jc w:val="center"/>
              <w:rPr>
                <w:rFonts w:ascii="仿宋_GB2312" w:hAnsi="仿宋" w:eastAsia="仿宋_GB2312"/>
              </w:rPr>
            </w:pPr>
            <w:r>
              <w:rPr>
                <w:rFonts w:hint="eastAsia" w:ascii="仿宋_GB2312" w:hAnsi="仿宋" w:eastAsia="仿宋_GB2312"/>
              </w:rPr>
              <w:t>11</w:t>
            </w:r>
          </w:p>
        </w:tc>
        <w:tc>
          <w:tcPr>
            <w:tcW w:w="1508" w:type="dxa"/>
            <w:tcBorders>
              <w:top w:val="single" w:color="auto" w:sz="4" w:space="0"/>
              <w:left w:val="nil"/>
              <w:bottom w:val="single" w:color="auto" w:sz="4" w:space="0"/>
              <w:right w:val="single" w:color="auto" w:sz="4" w:space="0"/>
            </w:tcBorders>
            <w:vAlign w:val="center"/>
          </w:tcPr>
          <w:p w14:paraId="76257497">
            <w:pPr>
              <w:pStyle w:val="29"/>
              <w:ind w:firstLine="0" w:firstLineChars="0"/>
              <w:jc w:val="center"/>
              <w:rPr>
                <w:rFonts w:ascii="仿宋_GB2312" w:hAnsi="仿宋" w:eastAsia="仿宋_GB2312"/>
              </w:rPr>
            </w:pPr>
          </w:p>
        </w:tc>
        <w:tc>
          <w:tcPr>
            <w:tcW w:w="960" w:type="dxa"/>
            <w:tcBorders>
              <w:top w:val="single" w:color="auto" w:sz="4" w:space="0"/>
              <w:left w:val="nil"/>
              <w:bottom w:val="single" w:color="auto" w:sz="4" w:space="0"/>
              <w:right w:val="single" w:color="auto" w:sz="4" w:space="0"/>
            </w:tcBorders>
            <w:vAlign w:val="center"/>
          </w:tcPr>
          <w:p w14:paraId="3A088C66">
            <w:pPr>
              <w:pStyle w:val="29"/>
              <w:ind w:firstLine="0" w:firstLineChars="0"/>
              <w:jc w:val="center"/>
              <w:rPr>
                <w:rFonts w:ascii="仿宋_GB2312" w:hAnsi="仿宋" w:eastAsia="仿宋_GB2312"/>
              </w:rPr>
            </w:pPr>
          </w:p>
        </w:tc>
        <w:tc>
          <w:tcPr>
            <w:tcW w:w="721" w:type="dxa"/>
            <w:tcBorders>
              <w:top w:val="single" w:color="auto" w:sz="4" w:space="0"/>
              <w:left w:val="nil"/>
              <w:bottom w:val="single" w:color="auto" w:sz="4" w:space="0"/>
              <w:right w:val="single" w:color="auto" w:sz="4" w:space="0"/>
            </w:tcBorders>
            <w:vAlign w:val="center"/>
          </w:tcPr>
          <w:p w14:paraId="3F937E27">
            <w:pPr>
              <w:pStyle w:val="29"/>
              <w:ind w:firstLine="0" w:firstLineChars="0"/>
              <w:jc w:val="center"/>
              <w:rPr>
                <w:rFonts w:ascii="仿宋_GB2312" w:hAnsi="仿宋" w:eastAsia="仿宋_GB2312"/>
              </w:rPr>
            </w:pPr>
          </w:p>
        </w:tc>
        <w:tc>
          <w:tcPr>
            <w:tcW w:w="992" w:type="dxa"/>
            <w:tcBorders>
              <w:top w:val="single" w:color="auto" w:sz="4" w:space="0"/>
              <w:left w:val="nil"/>
              <w:bottom w:val="single" w:color="auto" w:sz="4" w:space="0"/>
              <w:right w:val="single" w:color="auto" w:sz="4" w:space="0"/>
            </w:tcBorders>
            <w:vAlign w:val="center"/>
          </w:tcPr>
          <w:p w14:paraId="0F7C7F77">
            <w:pPr>
              <w:pStyle w:val="29"/>
              <w:ind w:firstLine="0" w:firstLineChars="0"/>
              <w:jc w:val="center"/>
              <w:rPr>
                <w:rFonts w:ascii="仿宋_GB2312" w:hAnsi="仿宋" w:eastAsia="仿宋_GB2312"/>
              </w:rPr>
            </w:pPr>
          </w:p>
        </w:tc>
        <w:tc>
          <w:tcPr>
            <w:tcW w:w="1167" w:type="dxa"/>
            <w:tcBorders>
              <w:top w:val="single" w:color="auto" w:sz="4" w:space="0"/>
              <w:left w:val="nil"/>
              <w:bottom w:val="single" w:color="auto" w:sz="4" w:space="0"/>
              <w:right w:val="single" w:color="auto" w:sz="4" w:space="0"/>
            </w:tcBorders>
            <w:vAlign w:val="center"/>
          </w:tcPr>
          <w:p w14:paraId="566EE054">
            <w:pPr>
              <w:pStyle w:val="29"/>
              <w:ind w:firstLine="0" w:firstLineChars="0"/>
              <w:jc w:val="center"/>
              <w:rPr>
                <w:rFonts w:ascii="仿宋_GB2312" w:hAnsi="仿宋" w:eastAsia="仿宋_GB2312"/>
              </w:rPr>
            </w:pPr>
          </w:p>
        </w:tc>
        <w:tc>
          <w:tcPr>
            <w:tcW w:w="1668" w:type="dxa"/>
            <w:tcBorders>
              <w:top w:val="single" w:color="auto" w:sz="4" w:space="0"/>
              <w:left w:val="nil"/>
              <w:bottom w:val="single" w:color="auto" w:sz="4" w:space="0"/>
              <w:right w:val="single" w:color="auto" w:sz="4" w:space="0"/>
            </w:tcBorders>
            <w:vAlign w:val="center"/>
          </w:tcPr>
          <w:p w14:paraId="6BEA835D">
            <w:pPr>
              <w:pStyle w:val="29"/>
              <w:ind w:firstLine="0" w:firstLineChars="0"/>
              <w:jc w:val="center"/>
              <w:rPr>
                <w:rFonts w:ascii="仿宋_GB2312" w:hAnsi="仿宋" w:eastAsia="仿宋_GB2312"/>
              </w:rPr>
            </w:pPr>
          </w:p>
        </w:tc>
        <w:tc>
          <w:tcPr>
            <w:tcW w:w="780" w:type="dxa"/>
            <w:tcBorders>
              <w:top w:val="single" w:color="auto" w:sz="4" w:space="0"/>
              <w:left w:val="nil"/>
              <w:bottom w:val="single" w:color="auto" w:sz="4" w:space="0"/>
              <w:right w:val="single" w:color="auto" w:sz="4" w:space="0"/>
            </w:tcBorders>
            <w:vAlign w:val="center"/>
          </w:tcPr>
          <w:p w14:paraId="05B678A8">
            <w:pPr>
              <w:pStyle w:val="29"/>
              <w:ind w:firstLine="0" w:firstLineChars="0"/>
              <w:jc w:val="center"/>
              <w:rPr>
                <w:rFonts w:ascii="仿宋_GB2312" w:hAnsi="仿宋" w:eastAsia="仿宋_GB2312"/>
              </w:rPr>
            </w:pPr>
          </w:p>
        </w:tc>
      </w:tr>
    </w:tbl>
    <w:p w14:paraId="28C2024A">
      <w:pPr>
        <w:spacing w:line="360" w:lineRule="auto"/>
        <w:jc w:val="left"/>
        <w:rPr>
          <w:rFonts w:ascii="仿宋_GB2312" w:hAnsi="仿宋" w:eastAsia="仿宋_GB2312"/>
          <w:b/>
          <w:sz w:val="28"/>
          <w:szCs w:val="28"/>
        </w:rPr>
      </w:pPr>
    </w:p>
    <w:p w14:paraId="797AFE6F">
      <w:pPr>
        <w:spacing w:line="360" w:lineRule="auto"/>
        <w:jc w:val="left"/>
        <w:rPr>
          <w:rFonts w:ascii="仿宋_GB2312" w:hAnsi="仿宋" w:eastAsia="仿宋_GB2312"/>
          <w:b/>
          <w:sz w:val="28"/>
          <w:szCs w:val="28"/>
        </w:rPr>
      </w:pPr>
      <w:r>
        <w:rPr>
          <w:rFonts w:ascii="仿宋_GB2312" w:hAnsi="仿宋" w:eastAsia="仿宋_GB2312"/>
          <w:b/>
          <w:sz w:val="28"/>
          <w:szCs w:val="28"/>
        </w:rPr>
        <w:br w:type="page"/>
      </w:r>
    </w:p>
    <w:p w14:paraId="55AA357C">
      <w:pPr>
        <w:rPr>
          <w:rFonts w:ascii="仿宋" w:hAnsi="仿宋" w:eastAsia="仿宋"/>
          <w:sz w:val="28"/>
          <w:szCs w:val="28"/>
        </w:rPr>
      </w:pPr>
      <w:r>
        <w:rPr>
          <w:rFonts w:hint="eastAsia" w:ascii="仿宋" w:hAnsi="仿宋" w:eastAsia="仿宋"/>
          <w:sz w:val="28"/>
          <w:szCs w:val="28"/>
        </w:rPr>
        <w:t>附件六：</w:t>
      </w:r>
    </w:p>
    <w:p w14:paraId="25744285">
      <w:pPr>
        <w:rPr>
          <w:rFonts w:ascii="仿宋" w:hAnsi="仿宋" w:eastAsia="仿宋"/>
          <w:sz w:val="28"/>
          <w:szCs w:val="28"/>
        </w:rPr>
      </w:pPr>
      <w:r>
        <w:rPr>
          <w:rFonts w:hint="eastAsia" w:ascii="仿宋" w:hAnsi="仿宋" w:eastAsia="仿宋"/>
          <w:sz w:val="28"/>
          <w:szCs w:val="28"/>
        </w:rPr>
        <w:t>回标分析报告（另册）</w:t>
      </w:r>
    </w:p>
    <w:p w14:paraId="7734ED48">
      <w:pPr>
        <w:rPr>
          <w:rFonts w:ascii="仿宋" w:hAnsi="仿宋" w:eastAsia="仿宋"/>
          <w:b/>
          <w:sz w:val="28"/>
          <w:szCs w:val="28"/>
        </w:rPr>
      </w:pPr>
    </w:p>
    <w:p w14:paraId="23A913B0">
      <w:pPr>
        <w:rPr>
          <w:rFonts w:ascii="仿宋" w:hAnsi="仿宋" w:eastAsia="仿宋"/>
          <w:b/>
          <w:sz w:val="28"/>
          <w:szCs w:val="28"/>
        </w:rPr>
      </w:pPr>
    </w:p>
    <w:p w14:paraId="3C415135">
      <w:pPr>
        <w:rPr>
          <w:rFonts w:ascii="仿宋" w:hAnsi="仿宋" w:eastAsia="仿宋"/>
          <w:b/>
          <w:sz w:val="28"/>
          <w:szCs w:val="28"/>
        </w:rPr>
      </w:pPr>
    </w:p>
    <w:p w14:paraId="4CEFCEE5">
      <w:pPr>
        <w:rPr>
          <w:rFonts w:ascii="仿宋" w:hAnsi="仿宋" w:eastAsia="仿宋"/>
          <w:b/>
          <w:sz w:val="28"/>
          <w:szCs w:val="28"/>
        </w:rPr>
      </w:pPr>
    </w:p>
    <w:p w14:paraId="5D2E58C0">
      <w:pPr>
        <w:rPr>
          <w:rFonts w:ascii="仿宋" w:hAnsi="仿宋" w:eastAsia="仿宋"/>
          <w:b/>
          <w:sz w:val="28"/>
          <w:szCs w:val="28"/>
        </w:rPr>
      </w:pPr>
    </w:p>
    <w:p w14:paraId="30AE1D79">
      <w:pPr>
        <w:rPr>
          <w:rFonts w:ascii="仿宋" w:hAnsi="仿宋" w:eastAsia="仿宋"/>
          <w:b/>
          <w:sz w:val="28"/>
          <w:szCs w:val="28"/>
        </w:rPr>
      </w:pPr>
    </w:p>
    <w:p w14:paraId="6FD2BD69">
      <w:pPr>
        <w:rPr>
          <w:rFonts w:ascii="仿宋" w:hAnsi="仿宋" w:eastAsia="仿宋"/>
          <w:b/>
          <w:sz w:val="28"/>
          <w:szCs w:val="28"/>
        </w:rPr>
      </w:pPr>
    </w:p>
    <w:p w14:paraId="7D1975E6">
      <w:pPr>
        <w:rPr>
          <w:rFonts w:ascii="仿宋" w:hAnsi="仿宋" w:eastAsia="仿宋"/>
          <w:b/>
          <w:sz w:val="28"/>
          <w:szCs w:val="28"/>
        </w:rPr>
      </w:pPr>
    </w:p>
    <w:p w14:paraId="76F7A7BC">
      <w:pPr>
        <w:rPr>
          <w:rFonts w:ascii="仿宋" w:hAnsi="仿宋" w:eastAsia="仿宋"/>
          <w:b/>
          <w:sz w:val="28"/>
          <w:szCs w:val="28"/>
        </w:rPr>
      </w:pPr>
    </w:p>
    <w:p w14:paraId="7C768019">
      <w:pPr>
        <w:rPr>
          <w:rFonts w:ascii="仿宋" w:hAnsi="仿宋" w:eastAsia="仿宋"/>
          <w:b/>
          <w:sz w:val="28"/>
          <w:szCs w:val="28"/>
        </w:rPr>
      </w:pPr>
    </w:p>
    <w:p w14:paraId="452D7966">
      <w:pPr>
        <w:rPr>
          <w:rFonts w:ascii="仿宋" w:hAnsi="仿宋" w:eastAsia="仿宋"/>
          <w:b/>
          <w:sz w:val="28"/>
          <w:szCs w:val="28"/>
        </w:rPr>
      </w:pPr>
    </w:p>
    <w:p w14:paraId="3A02ECBF">
      <w:pPr>
        <w:rPr>
          <w:rFonts w:ascii="仿宋" w:hAnsi="仿宋" w:eastAsia="仿宋"/>
          <w:b/>
          <w:sz w:val="28"/>
          <w:szCs w:val="28"/>
        </w:rPr>
      </w:pPr>
    </w:p>
    <w:p w14:paraId="67CEF749">
      <w:pPr>
        <w:rPr>
          <w:rFonts w:ascii="仿宋" w:hAnsi="仿宋" w:eastAsia="仿宋"/>
          <w:b/>
          <w:sz w:val="28"/>
          <w:szCs w:val="28"/>
        </w:rPr>
      </w:pPr>
    </w:p>
    <w:p w14:paraId="5E6161FB">
      <w:pPr>
        <w:rPr>
          <w:rFonts w:ascii="仿宋" w:hAnsi="仿宋" w:eastAsia="仿宋"/>
          <w:b/>
          <w:sz w:val="28"/>
          <w:szCs w:val="28"/>
        </w:rPr>
      </w:pPr>
    </w:p>
    <w:p w14:paraId="6F10EA3B">
      <w:pPr>
        <w:rPr>
          <w:rFonts w:ascii="仿宋" w:hAnsi="仿宋" w:eastAsia="仿宋"/>
          <w:b/>
          <w:sz w:val="28"/>
          <w:szCs w:val="28"/>
        </w:rPr>
      </w:pPr>
    </w:p>
    <w:p w14:paraId="1EE94E40">
      <w:pPr>
        <w:rPr>
          <w:rFonts w:ascii="仿宋" w:hAnsi="仿宋" w:eastAsia="仿宋"/>
          <w:b/>
          <w:sz w:val="28"/>
          <w:szCs w:val="28"/>
        </w:rPr>
      </w:pPr>
    </w:p>
    <w:p w14:paraId="3F394457">
      <w:pPr>
        <w:rPr>
          <w:rFonts w:ascii="仿宋" w:hAnsi="仿宋" w:eastAsia="仿宋"/>
          <w:b/>
          <w:sz w:val="28"/>
          <w:szCs w:val="28"/>
        </w:rPr>
      </w:pPr>
    </w:p>
    <w:p w14:paraId="44F0325D">
      <w:pPr>
        <w:rPr>
          <w:rFonts w:ascii="仿宋" w:hAnsi="仿宋" w:eastAsia="仿宋"/>
          <w:b/>
          <w:sz w:val="28"/>
          <w:szCs w:val="28"/>
        </w:rPr>
      </w:pPr>
    </w:p>
    <w:p w14:paraId="633F3076">
      <w:pPr>
        <w:rPr>
          <w:rFonts w:ascii="仿宋" w:hAnsi="仿宋" w:eastAsia="仿宋"/>
          <w:b/>
          <w:sz w:val="28"/>
          <w:szCs w:val="28"/>
        </w:rPr>
      </w:pPr>
    </w:p>
    <w:p w14:paraId="224C1074">
      <w:pPr>
        <w:rPr>
          <w:rFonts w:ascii="仿宋" w:hAnsi="仿宋" w:eastAsia="仿宋"/>
          <w:b/>
          <w:sz w:val="28"/>
          <w:szCs w:val="28"/>
        </w:rPr>
      </w:pPr>
    </w:p>
    <w:p w14:paraId="129C9ADC">
      <w:pPr>
        <w:rPr>
          <w:rFonts w:ascii="仿宋_GB2312" w:hAnsi="仿宋" w:eastAsia="仿宋_GB2312"/>
          <w:sz w:val="28"/>
          <w:szCs w:val="28"/>
        </w:rPr>
      </w:pPr>
      <w:r>
        <w:rPr>
          <w:rFonts w:hint="eastAsia" w:ascii="仿宋_GB2312" w:hAnsi="仿宋" w:eastAsia="仿宋_GB2312"/>
          <w:sz w:val="28"/>
          <w:szCs w:val="28"/>
        </w:rPr>
        <w:t>附件七：</w:t>
      </w:r>
    </w:p>
    <w:p w14:paraId="1A6D12ED">
      <w:pPr>
        <w:jc w:val="center"/>
        <w:rPr>
          <w:rFonts w:ascii="仿宋_GB2312" w:eastAsia="仿宋_GB2312" w:hAnsiTheme="minorHAnsi" w:cstheme="minorBidi"/>
          <w:bCs/>
          <w:sz w:val="28"/>
          <w:szCs w:val="32"/>
        </w:rPr>
      </w:pPr>
      <w:r>
        <w:rPr>
          <w:rFonts w:hint="eastAsia" w:ascii="仿宋_GB2312" w:eastAsia="仿宋_GB2312" w:hAnsiTheme="minorHAnsi" w:cstheme="minorBidi"/>
          <w:bCs/>
          <w:sz w:val="28"/>
          <w:szCs w:val="32"/>
        </w:rPr>
        <w:t>拟采用材料品牌表</w:t>
      </w:r>
    </w:p>
    <w:tbl>
      <w:tblPr>
        <w:tblStyle w:val="8"/>
        <w:tblW w:w="5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12"/>
        <w:gridCol w:w="2673"/>
        <w:gridCol w:w="2378"/>
        <w:gridCol w:w="2372"/>
      </w:tblGrid>
      <w:tr w14:paraId="1706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07" w:type="pct"/>
            <w:shd w:val="clear" w:color="auto" w:fill="auto"/>
            <w:vAlign w:val="center"/>
          </w:tcPr>
          <w:p w14:paraId="4208C586">
            <w:pPr>
              <w:jc w:val="center"/>
              <w:rPr>
                <w:rFonts w:ascii="仿宋" w:hAnsi="仿宋" w:eastAsia="仿宋" w:cstheme="minorBidi"/>
                <w:sz w:val="24"/>
                <w:szCs w:val="24"/>
              </w:rPr>
            </w:pPr>
            <w:r>
              <w:rPr>
                <w:rFonts w:hint="eastAsia" w:ascii="仿宋" w:hAnsi="仿宋" w:eastAsia="仿宋" w:cstheme="minorBidi"/>
                <w:sz w:val="24"/>
                <w:szCs w:val="24"/>
              </w:rPr>
              <w:t>序号</w:t>
            </w:r>
          </w:p>
        </w:tc>
        <w:tc>
          <w:tcPr>
            <w:tcW w:w="453" w:type="pct"/>
            <w:shd w:val="clear" w:color="auto" w:fill="auto"/>
            <w:vAlign w:val="center"/>
          </w:tcPr>
          <w:p w14:paraId="428BDFAA">
            <w:pPr>
              <w:jc w:val="center"/>
              <w:rPr>
                <w:rFonts w:ascii="仿宋" w:hAnsi="仿宋" w:eastAsia="仿宋" w:cstheme="minorBidi"/>
                <w:sz w:val="24"/>
                <w:szCs w:val="24"/>
              </w:rPr>
            </w:pPr>
            <w:r>
              <w:rPr>
                <w:rFonts w:hint="eastAsia" w:ascii="仿宋" w:hAnsi="仿宋" w:eastAsia="仿宋" w:cstheme="minorBidi"/>
                <w:sz w:val="24"/>
                <w:szCs w:val="24"/>
              </w:rPr>
              <w:t>类别</w:t>
            </w:r>
          </w:p>
        </w:tc>
        <w:tc>
          <w:tcPr>
            <w:tcW w:w="1491" w:type="pct"/>
            <w:shd w:val="clear" w:color="auto" w:fill="auto"/>
            <w:vAlign w:val="center"/>
          </w:tcPr>
          <w:p w14:paraId="2D18A479">
            <w:pPr>
              <w:jc w:val="center"/>
              <w:rPr>
                <w:rFonts w:ascii="仿宋" w:hAnsi="仿宋" w:eastAsia="仿宋" w:cstheme="minorBidi"/>
                <w:sz w:val="24"/>
                <w:szCs w:val="24"/>
              </w:rPr>
            </w:pPr>
            <w:r>
              <w:rPr>
                <w:rFonts w:hint="eastAsia" w:ascii="仿宋" w:hAnsi="仿宋" w:eastAsia="仿宋" w:cstheme="minorBidi"/>
                <w:sz w:val="24"/>
                <w:szCs w:val="24"/>
              </w:rPr>
              <w:t>材料、设备系统类别</w:t>
            </w:r>
          </w:p>
        </w:tc>
        <w:tc>
          <w:tcPr>
            <w:tcW w:w="1326" w:type="pct"/>
            <w:vAlign w:val="center"/>
          </w:tcPr>
          <w:p w14:paraId="1134702E">
            <w:pPr>
              <w:jc w:val="center"/>
              <w:rPr>
                <w:rFonts w:ascii="仿宋" w:hAnsi="仿宋" w:eastAsia="仿宋" w:cstheme="minorBidi"/>
                <w:sz w:val="24"/>
                <w:szCs w:val="24"/>
              </w:rPr>
            </w:pPr>
            <w:r>
              <w:rPr>
                <w:rFonts w:hint="eastAsia" w:ascii="仿宋" w:hAnsi="仿宋" w:eastAsia="仿宋" w:cstheme="minorBidi"/>
                <w:sz w:val="24"/>
                <w:szCs w:val="24"/>
              </w:rPr>
              <w:t>拟采用品牌</w:t>
            </w:r>
          </w:p>
        </w:tc>
        <w:tc>
          <w:tcPr>
            <w:tcW w:w="1323" w:type="pct"/>
            <w:shd w:val="clear" w:color="auto" w:fill="auto"/>
            <w:vAlign w:val="center"/>
          </w:tcPr>
          <w:p w14:paraId="35FB7402">
            <w:pPr>
              <w:jc w:val="center"/>
              <w:rPr>
                <w:rFonts w:ascii="仿宋" w:hAnsi="仿宋" w:eastAsia="仿宋" w:cstheme="minorBidi"/>
                <w:sz w:val="24"/>
                <w:szCs w:val="24"/>
              </w:rPr>
            </w:pPr>
            <w:r>
              <w:rPr>
                <w:rFonts w:hint="eastAsia" w:ascii="仿宋" w:hAnsi="仿宋" w:eastAsia="仿宋" w:cstheme="minorBidi"/>
                <w:sz w:val="24"/>
                <w:szCs w:val="24"/>
              </w:rPr>
              <w:t>可</w:t>
            </w:r>
            <w:r>
              <w:rPr>
                <w:rFonts w:ascii="仿宋" w:hAnsi="仿宋" w:eastAsia="仿宋" w:cstheme="minorBidi"/>
                <w:sz w:val="24"/>
                <w:szCs w:val="24"/>
              </w:rPr>
              <w:t>选用品牌</w:t>
            </w:r>
          </w:p>
        </w:tc>
      </w:tr>
      <w:tr w14:paraId="2839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 w:type="pct"/>
            <w:shd w:val="clear" w:color="auto" w:fill="auto"/>
            <w:vAlign w:val="center"/>
          </w:tcPr>
          <w:p w14:paraId="5D6A0A9C">
            <w:pPr>
              <w:jc w:val="center"/>
              <w:rPr>
                <w:rFonts w:ascii="仿宋" w:hAnsi="仿宋" w:eastAsia="仿宋" w:cstheme="minorBidi"/>
                <w:sz w:val="24"/>
                <w:szCs w:val="24"/>
              </w:rPr>
            </w:pPr>
            <w:r>
              <w:rPr>
                <w:rFonts w:ascii="仿宋" w:hAnsi="仿宋" w:eastAsia="仿宋" w:cstheme="minorBidi"/>
                <w:sz w:val="24"/>
                <w:szCs w:val="24"/>
              </w:rPr>
              <w:t>1</w:t>
            </w:r>
          </w:p>
        </w:tc>
        <w:tc>
          <w:tcPr>
            <w:tcW w:w="453" w:type="pct"/>
            <w:shd w:val="clear" w:color="auto" w:fill="auto"/>
            <w:vAlign w:val="center"/>
          </w:tcPr>
          <w:p w14:paraId="2460F545">
            <w:pPr>
              <w:jc w:val="center"/>
              <w:rPr>
                <w:rFonts w:ascii="仿宋" w:hAnsi="仿宋" w:eastAsia="仿宋"/>
                <w:sz w:val="24"/>
                <w:szCs w:val="24"/>
              </w:rPr>
            </w:pPr>
          </w:p>
        </w:tc>
        <w:tc>
          <w:tcPr>
            <w:tcW w:w="1491" w:type="pct"/>
            <w:shd w:val="clear" w:color="auto" w:fill="auto"/>
            <w:vAlign w:val="center"/>
          </w:tcPr>
          <w:p w14:paraId="3B20219C">
            <w:pPr>
              <w:jc w:val="center"/>
              <w:rPr>
                <w:rFonts w:ascii="仿宋" w:hAnsi="仿宋" w:eastAsia="仿宋" w:cstheme="minorBidi"/>
                <w:sz w:val="24"/>
                <w:szCs w:val="24"/>
              </w:rPr>
            </w:pPr>
          </w:p>
        </w:tc>
        <w:tc>
          <w:tcPr>
            <w:tcW w:w="1326" w:type="pct"/>
          </w:tcPr>
          <w:p w14:paraId="3EB5FDEA">
            <w:pPr>
              <w:jc w:val="center"/>
              <w:rPr>
                <w:rFonts w:ascii="仿宋" w:hAnsi="仿宋" w:eastAsia="仿宋"/>
                <w:sz w:val="24"/>
                <w:szCs w:val="24"/>
              </w:rPr>
            </w:pPr>
          </w:p>
        </w:tc>
        <w:tc>
          <w:tcPr>
            <w:tcW w:w="1323" w:type="pct"/>
            <w:shd w:val="clear" w:color="auto" w:fill="auto"/>
            <w:vAlign w:val="center"/>
          </w:tcPr>
          <w:p w14:paraId="0E9E5599">
            <w:pPr>
              <w:jc w:val="center"/>
              <w:rPr>
                <w:rFonts w:ascii="仿宋" w:hAnsi="仿宋" w:eastAsia="仿宋" w:cstheme="minorBidi"/>
                <w:sz w:val="24"/>
                <w:szCs w:val="24"/>
              </w:rPr>
            </w:pPr>
          </w:p>
        </w:tc>
      </w:tr>
      <w:tr w14:paraId="4DF8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 w:type="pct"/>
            <w:shd w:val="clear" w:color="auto" w:fill="auto"/>
            <w:vAlign w:val="center"/>
          </w:tcPr>
          <w:p w14:paraId="58A93975">
            <w:pPr>
              <w:jc w:val="center"/>
              <w:rPr>
                <w:rFonts w:ascii="仿宋" w:hAnsi="仿宋" w:eastAsia="仿宋" w:cstheme="minorBidi"/>
                <w:sz w:val="24"/>
                <w:szCs w:val="24"/>
              </w:rPr>
            </w:pPr>
            <w:r>
              <w:rPr>
                <w:rFonts w:ascii="仿宋" w:hAnsi="仿宋" w:eastAsia="仿宋" w:cstheme="minorBidi"/>
                <w:sz w:val="24"/>
                <w:szCs w:val="24"/>
              </w:rPr>
              <w:t>2</w:t>
            </w:r>
          </w:p>
        </w:tc>
        <w:tc>
          <w:tcPr>
            <w:tcW w:w="453" w:type="pct"/>
            <w:shd w:val="clear" w:color="auto" w:fill="auto"/>
            <w:vAlign w:val="center"/>
          </w:tcPr>
          <w:p w14:paraId="33A8610B">
            <w:pPr>
              <w:jc w:val="center"/>
              <w:rPr>
                <w:rFonts w:ascii="仿宋" w:hAnsi="仿宋" w:eastAsia="仿宋" w:cstheme="minorBidi"/>
                <w:sz w:val="24"/>
                <w:szCs w:val="24"/>
              </w:rPr>
            </w:pPr>
          </w:p>
        </w:tc>
        <w:tc>
          <w:tcPr>
            <w:tcW w:w="1491" w:type="pct"/>
            <w:shd w:val="clear" w:color="auto" w:fill="auto"/>
            <w:vAlign w:val="center"/>
          </w:tcPr>
          <w:p w14:paraId="1CF74BD5">
            <w:pPr>
              <w:jc w:val="center"/>
              <w:rPr>
                <w:rFonts w:ascii="仿宋" w:hAnsi="仿宋" w:eastAsia="仿宋" w:cstheme="minorBidi"/>
                <w:sz w:val="24"/>
                <w:szCs w:val="24"/>
              </w:rPr>
            </w:pPr>
          </w:p>
        </w:tc>
        <w:tc>
          <w:tcPr>
            <w:tcW w:w="1326" w:type="pct"/>
          </w:tcPr>
          <w:p w14:paraId="69D11F89">
            <w:pPr>
              <w:jc w:val="center"/>
              <w:rPr>
                <w:rFonts w:ascii="仿宋" w:hAnsi="仿宋" w:eastAsia="仿宋"/>
                <w:sz w:val="24"/>
                <w:szCs w:val="24"/>
              </w:rPr>
            </w:pPr>
          </w:p>
        </w:tc>
        <w:tc>
          <w:tcPr>
            <w:tcW w:w="1323" w:type="pct"/>
            <w:shd w:val="clear" w:color="auto" w:fill="auto"/>
            <w:vAlign w:val="center"/>
          </w:tcPr>
          <w:p w14:paraId="65727DBD">
            <w:pPr>
              <w:jc w:val="center"/>
              <w:rPr>
                <w:rFonts w:ascii="仿宋" w:hAnsi="仿宋" w:eastAsia="仿宋" w:cstheme="minorBidi"/>
                <w:sz w:val="24"/>
                <w:szCs w:val="24"/>
              </w:rPr>
            </w:pPr>
          </w:p>
        </w:tc>
      </w:tr>
      <w:tr w14:paraId="3BDC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 w:type="pct"/>
            <w:shd w:val="clear" w:color="auto" w:fill="auto"/>
            <w:vAlign w:val="center"/>
          </w:tcPr>
          <w:p w14:paraId="25F17CC2">
            <w:pPr>
              <w:jc w:val="center"/>
              <w:rPr>
                <w:rFonts w:ascii="仿宋" w:hAnsi="仿宋" w:eastAsia="仿宋" w:cstheme="minorBidi"/>
                <w:sz w:val="24"/>
                <w:szCs w:val="24"/>
              </w:rPr>
            </w:pPr>
            <w:r>
              <w:rPr>
                <w:rFonts w:ascii="仿宋" w:hAnsi="仿宋" w:eastAsia="仿宋" w:cstheme="minorBidi"/>
                <w:sz w:val="24"/>
                <w:szCs w:val="24"/>
              </w:rPr>
              <w:t>3</w:t>
            </w:r>
          </w:p>
        </w:tc>
        <w:tc>
          <w:tcPr>
            <w:tcW w:w="453" w:type="pct"/>
            <w:shd w:val="clear" w:color="auto" w:fill="auto"/>
            <w:vAlign w:val="center"/>
          </w:tcPr>
          <w:p w14:paraId="5D769C59">
            <w:pPr>
              <w:jc w:val="center"/>
              <w:rPr>
                <w:rFonts w:ascii="仿宋" w:hAnsi="仿宋" w:eastAsia="仿宋" w:cstheme="minorBidi"/>
                <w:sz w:val="24"/>
                <w:szCs w:val="24"/>
              </w:rPr>
            </w:pPr>
          </w:p>
        </w:tc>
        <w:tc>
          <w:tcPr>
            <w:tcW w:w="1491" w:type="pct"/>
            <w:shd w:val="clear" w:color="auto" w:fill="auto"/>
            <w:vAlign w:val="center"/>
          </w:tcPr>
          <w:p w14:paraId="11A66548">
            <w:pPr>
              <w:jc w:val="center"/>
              <w:rPr>
                <w:rFonts w:ascii="仿宋" w:hAnsi="仿宋" w:eastAsia="仿宋" w:cstheme="minorBidi"/>
                <w:sz w:val="24"/>
                <w:szCs w:val="24"/>
              </w:rPr>
            </w:pPr>
          </w:p>
        </w:tc>
        <w:tc>
          <w:tcPr>
            <w:tcW w:w="1326" w:type="pct"/>
          </w:tcPr>
          <w:p w14:paraId="565ABB2F">
            <w:pPr>
              <w:jc w:val="center"/>
              <w:rPr>
                <w:rFonts w:ascii="仿宋" w:hAnsi="仿宋" w:eastAsia="仿宋"/>
                <w:sz w:val="24"/>
                <w:szCs w:val="24"/>
              </w:rPr>
            </w:pPr>
          </w:p>
        </w:tc>
        <w:tc>
          <w:tcPr>
            <w:tcW w:w="1323" w:type="pct"/>
            <w:shd w:val="clear" w:color="auto" w:fill="auto"/>
            <w:vAlign w:val="center"/>
          </w:tcPr>
          <w:p w14:paraId="10881FF9">
            <w:pPr>
              <w:jc w:val="center"/>
              <w:rPr>
                <w:rFonts w:ascii="仿宋" w:hAnsi="仿宋" w:eastAsia="仿宋" w:cstheme="minorBidi"/>
                <w:sz w:val="24"/>
                <w:szCs w:val="24"/>
              </w:rPr>
            </w:pPr>
          </w:p>
        </w:tc>
      </w:tr>
      <w:tr w14:paraId="0171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 w:type="pct"/>
            <w:shd w:val="clear" w:color="auto" w:fill="auto"/>
            <w:vAlign w:val="center"/>
          </w:tcPr>
          <w:p w14:paraId="257B3E3E">
            <w:pPr>
              <w:jc w:val="center"/>
              <w:rPr>
                <w:rFonts w:ascii="仿宋" w:hAnsi="仿宋" w:eastAsia="仿宋" w:cstheme="minorBidi"/>
                <w:sz w:val="24"/>
                <w:szCs w:val="24"/>
              </w:rPr>
            </w:pPr>
            <w:r>
              <w:rPr>
                <w:rFonts w:ascii="仿宋" w:hAnsi="仿宋" w:eastAsia="仿宋" w:cstheme="minorBidi"/>
                <w:sz w:val="24"/>
                <w:szCs w:val="24"/>
              </w:rPr>
              <w:t>4</w:t>
            </w:r>
          </w:p>
        </w:tc>
        <w:tc>
          <w:tcPr>
            <w:tcW w:w="453" w:type="pct"/>
            <w:shd w:val="clear" w:color="auto" w:fill="auto"/>
            <w:vAlign w:val="center"/>
          </w:tcPr>
          <w:p w14:paraId="61573F43">
            <w:pPr>
              <w:jc w:val="center"/>
              <w:rPr>
                <w:rFonts w:ascii="仿宋" w:hAnsi="仿宋" w:eastAsia="仿宋" w:cstheme="minorBidi"/>
                <w:sz w:val="24"/>
                <w:szCs w:val="24"/>
              </w:rPr>
            </w:pPr>
          </w:p>
        </w:tc>
        <w:tc>
          <w:tcPr>
            <w:tcW w:w="1491" w:type="pct"/>
            <w:shd w:val="clear" w:color="auto" w:fill="auto"/>
            <w:vAlign w:val="center"/>
          </w:tcPr>
          <w:p w14:paraId="7EB83619">
            <w:pPr>
              <w:jc w:val="center"/>
              <w:rPr>
                <w:rFonts w:ascii="仿宋" w:hAnsi="仿宋" w:eastAsia="仿宋" w:cstheme="minorBidi"/>
                <w:sz w:val="24"/>
                <w:szCs w:val="24"/>
              </w:rPr>
            </w:pPr>
          </w:p>
        </w:tc>
        <w:tc>
          <w:tcPr>
            <w:tcW w:w="1326" w:type="pct"/>
          </w:tcPr>
          <w:p w14:paraId="364FD015">
            <w:pPr>
              <w:jc w:val="center"/>
              <w:rPr>
                <w:rFonts w:ascii="仿宋" w:hAnsi="仿宋" w:eastAsia="仿宋"/>
                <w:sz w:val="24"/>
                <w:szCs w:val="24"/>
              </w:rPr>
            </w:pPr>
          </w:p>
        </w:tc>
        <w:tc>
          <w:tcPr>
            <w:tcW w:w="1323" w:type="pct"/>
            <w:shd w:val="clear" w:color="auto" w:fill="auto"/>
            <w:vAlign w:val="center"/>
          </w:tcPr>
          <w:p w14:paraId="1543EC7D">
            <w:pPr>
              <w:jc w:val="center"/>
              <w:rPr>
                <w:rFonts w:ascii="仿宋" w:hAnsi="仿宋" w:eastAsia="仿宋" w:cstheme="minorBidi"/>
                <w:sz w:val="24"/>
                <w:szCs w:val="24"/>
              </w:rPr>
            </w:pPr>
          </w:p>
        </w:tc>
      </w:tr>
      <w:tr w14:paraId="2244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 w:type="pct"/>
            <w:shd w:val="clear" w:color="auto" w:fill="auto"/>
            <w:vAlign w:val="center"/>
          </w:tcPr>
          <w:p w14:paraId="38F06BD8">
            <w:pPr>
              <w:jc w:val="center"/>
              <w:rPr>
                <w:rFonts w:ascii="仿宋" w:hAnsi="仿宋" w:eastAsia="仿宋" w:cstheme="minorBidi"/>
                <w:sz w:val="24"/>
                <w:szCs w:val="24"/>
              </w:rPr>
            </w:pPr>
            <w:r>
              <w:rPr>
                <w:rFonts w:ascii="仿宋" w:hAnsi="仿宋" w:eastAsia="仿宋" w:cstheme="minorBidi"/>
                <w:sz w:val="24"/>
                <w:szCs w:val="24"/>
              </w:rPr>
              <w:t>5</w:t>
            </w:r>
          </w:p>
        </w:tc>
        <w:tc>
          <w:tcPr>
            <w:tcW w:w="453" w:type="pct"/>
            <w:shd w:val="clear" w:color="auto" w:fill="auto"/>
            <w:vAlign w:val="center"/>
          </w:tcPr>
          <w:p w14:paraId="7B2F9082">
            <w:pPr>
              <w:jc w:val="center"/>
              <w:rPr>
                <w:rFonts w:ascii="仿宋" w:hAnsi="仿宋" w:eastAsia="仿宋" w:cstheme="minorBidi"/>
                <w:sz w:val="24"/>
                <w:szCs w:val="24"/>
              </w:rPr>
            </w:pPr>
          </w:p>
        </w:tc>
        <w:tc>
          <w:tcPr>
            <w:tcW w:w="1491" w:type="pct"/>
            <w:shd w:val="clear" w:color="auto" w:fill="auto"/>
            <w:vAlign w:val="center"/>
          </w:tcPr>
          <w:p w14:paraId="7F590574">
            <w:pPr>
              <w:jc w:val="center"/>
              <w:rPr>
                <w:rFonts w:ascii="仿宋" w:hAnsi="仿宋" w:eastAsia="仿宋" w:cstheme="minorBidi"/>
                <w:sz w:val="24"/>
                <w:szCs w:val="24"/>
              </w:rPr>
            </w:pPr>
          </w:p>
        </w:tc>
        <w:tc>
          <w:tcPr>
            <w:tcW w:w="1326" w:type="pct"/>
          </w:tcPr>
          <w:p w14:paraId="3E45E4F8">
            <w:pPr>
              <w:jc w:val="center"/>
              <w:rPr>
                <w:rFonts w:ascii="仿宋" w:hAnsi="仿宋" w:eastAsia="仿宋"/>
                <w:sz w:val="24"/>
                <w:szCs w:val="24"/>
              </w:rPr>
            </w:pPr>
          </w:p>
        </w:tc>
        <w:tc>
          <w:tcPr>
            <w:tcW w:w="1323" w:type="pct"/>
            <w:shd w:val="clear" w:color="auto" w:fill="auto"/>
            <w:vAlign w:val="center"/>
          </w:tcPr>
          <w:p w14:paraId="0FD5E0B6">
            <w:pPr>
              <w:jc w:val="center"/>
              <w:rPr>
                <w:rFonts w:ascii="仿宋" w:hAnsi="仿宋" w:eastAsia="仿宋" w:cstheme="minorBidi"/>
                <w:sz w:val="24"/>
                <w:szCs w:val="24"/>
              </w:rPr>
            </w:pPr>
          </w:p>
        </w:tc>
      </w:tr>
      <w:tr w14:paraId="0CE2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 w:type="pct"/>
            <w:shd w:val="clear" w:color="auto" w:fill="auto"/>
            <w:vAlign w:val="center"/>
          </w:tcPr>
          <w:p w14:paraId="17BD5342">
            <w:pPr>
              <w:jc w:val="center"/>
              <w:rPr>
                <w:rFonts w:ascii="仿宋" w:hAnsi="仿宋" w:eastAsia="仿宋" w:cstheme="minorBidi"/>
                <w:sz w:val="24"/>
                <w:szCs w:val="24"/>
              </w:rPr>
            </w:pPr>
            <w:r>
              <w:rPr>
                <w:rFonts w:ascii="仿宋" w:hAnsi="仿宋" w:eastAsia="仿宋" w:cstheme="minorBidi"/>
                <w:sz w:val="24"/>
                <w:szCs w:val="24"/>
              </w:rPr>
              <w:t>6</w:t>
            </w:r>
          </w:p>
        </w:tc>
        <w:tc>
          <w:tcPr>
            <w:tcW w:w="453" w:type="pct"/>
            <w:shd w:val="clear" w:color="auto" w:fill="auto"/>
            <w:vAlign w:val="center"/>
          </w:tcPr>
          <w:p w14:paraId="6DB3FF70">
            <w:pPr>
              <w:jc w:val="center"/>
              <w:rPr>
                <w:rFonts w:ascii="仿宋" w:hAnsi="仿宋" w:eastAsia="仿宋" w:cstheme="minorBidi"/>
                <w:sz w:val="24"/>
                <w:szCs w:val="24"/>
              </w:rPr>
            </w:pPr>
          </w:p>
        </w:tc>
        <w:tc>
          <w:tcPr>
            <w:tcW w:w="1491" w:type="pct"/>
            <w:shd w:val="clear" w:color="auto" w:fill="auto"/>
            <w:vAlign w:val="center"/>
          </w:tcPr>
          <w:p w14:paraId="4DAD8071">
            <w:pPr>
              <w:jc w:val="center"/>
              <w:rPr>
                <w:rFonts w:ascii="仿宋" w:hAnsi="仿宋" w:eastAsia="仿宋" w:cstheme="minorBidi"/>
                <w:sz w:val="24"/>
                <w:szCs w:val="24"/>
              </w:rPr>
            </w:pPr>
          </w:p>
        </w:tc>
        <w:tc>
          <w:tcPr>
            <w:tcW w:w="1326" w:type="pct"/>
          </w:tcPr>
          <w:p w14:paraId="389C4776">
            <w:pPr>
              <w:jc w:val="center"/>
              <w:rPr>
                <w:rFonts w:ascii="仿宋" w:hAnsi="仿宋" w:eastAsia="仿宋"/>
                <w:sz w:val="24"/>
                <w:szCs w:val="24"/>
              </w:rPr>
            </w:pPr>
          </w:p>
        </w:tc>
        <w:tc>
          <w:tcPr>
            <w:tcW w:w="1323" w:type="pct"/>
            <w:shd w:val="clear" w:color="auto" w:fill="auto"/>
            <w:vAlign w:val="center"/>
          </w:tcPr>
          <w:p w14:paraId="025A41F3">
            <w:pPr>
              <w:jc w:val="center"/>
              <w:rPr>
                <w:rFonts w:ascii="仿宋" w:hAnsi="仿宋" w:eastAsia="仿宋" w:cstheme="minorBidi"/>
                <w:sz w:val="24"/>
                <w:szCs w:val="24"/>
              </w:rPr>
            </w:pPr>
          </w:p>
        </w:tc>
      </w:tr>
      <w:tr w14:paraId="3052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 w:type="pct"/>
            <w:shd w:val="clear" w:color="auto" w:fill="auto"/>
            <w:vAlign w:val="center"/>
          </w:tcPr>
          <w:p w14:paraId="5DDDCCA1">
            <w:pPr>
              <w:jc w:val="center"/>
              <w:rPr>
                <w:rFonts w:ascii="仿宋" w:hAnsi="仿宋" w:eastAsia="仿宋" w:cstheme="minorBidi"/>
                <w:sz w:val="24"/>
                <w:szCs w:val="24"/>
              </w:rPr>
            </w:pPr>
            <w:r>
              <w:rPr>
                <w:rFonts w:ascii="仿宋" w:hAnsi="仿宋" w:eastAsia="仿宋" w:cstheme="minorBidi"/>
                <w:sz w:val="24"/>
                <w:szCs w:val="24"/>
              </w:rPr>
              <w:t>7</w:t>
            </w:r>
          </w:p>
        </w:tc>
        <w:tc>
          <w:tcPr>
            <w:tcW w:w="453" w:type="pct"/>
            <w:shd w:val="clear" w:color="auto" w:fill="auto"/>
            <w:vAlign w:val="center"/>
          </w:tcPr>
          <w:p w14:paraId="31AC9ED6">
            <w:pPr>
              <w:jc w:val="center"/>
              <w:rPr>
                <w:rFonts w:ascii="仿宋" w:hAnsi="仿宋" w:eastAsia="仿宋" w:cstheme="minorBidi"/>
                <w:sz w:val="24"/>
                <w:szCs w:val="24"/>
              </w:rPr>
            </w:pPr>
          </w:p>
        </w:tc>
        <w:tc>
          <w:tcPr>
            <w:tcW w:w="1491" w:type="pct"/>
            <w:shd w:val="clear" w:color="auto" w:fill="auto"/>
            <w:vAlign w:val="center"/>
          </w:tcPr>
          <w:p w14:paraId="404BC3EE">
            <w:pPr>
              <w:jc w:val="center"/>
              <w:rPr>
                <w:rFonts w:ascii="仿宋" w:hAnsi="仿宋" w:eastAsia="仿宋" w:cstheme="minorBidi"/>
                <w:sz w:val="24"/>
                <w:szCs w:val="24"/>
              </w:rPr>
            </w:pPr>
          </w:p>
        </w:tc>
        <w:tc>
          <w:tcPr>
            <w:tcW w:w="1326" w:type="pct"/>
          </w:tcPr>
          <w:p w14:paraId="5DADD99A">
            <w:pPr>
              <w:jc w:val="center"/>
              <w:rPr>
                <w:rFonts w:ascii="仿宋" w:hAnsi="仿宋" w:eastAsia="仿宋"/>
                <w:sz w:val="24"/>
                <w:szCs w:val="24"/>
              </w:rPr>
            </w:pPr>
          </w:p>
        </w:tc>
        <w:tc>
          <w:tcPr>
            <w:tcW w:w="1323" w:type="pct"/>
            <w:shd w:val="clear" w:color="auto" w:fill="auto"/>
            <w:vAlign w:val="center"/>
          </w:tcPr>
          <w:p w14:paraId="5449183F">
            <w:pPr>
              <w:jc w:val="center"/>
              <w:rPr>
                <w:rFonts w:ascii="仿宋" w:hAnsi="仿宋" w:eastAsia="仿宋" w:cstheme="minorBidi"/>
                <w:sz w:val="24"/>
                <w:szCs w:val="24"/>
              </w:rPr>
            </w:pPr>
          </w:p>
        </w:tc>
      </w:tr>
      <w:tr w14:paraId="073B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 w:type="pct"/>
            <w:shd w:val="clear" w:color="auto" w:fill="auto"/>
            <w:vAlign w:val="center"/>
          </w:tcPr>
          <w:p w14:paraId="4ED5DBEC">
            <w:pPr>
              <w:jc w:val="center"/>
              <w:rPr>
                <w:rFonts w:ascii="仿宋" w:hAnsi="仿宋" w:eastAsia="仿宋" w:cstheme="minorBidi"/>
                <w:sz w:val="24"/>
                <w:szCs w:val="24"/>
              </w:rPr>
            </w:pPr>
            <w:r>
              <w:rPr>
                <w:rFonts w:ascii="仿宋" w:hAnsi="仿宋" w:eastAsia="仿宋" w:cstheme="minorBidi"/>
                <w:sz w:val="24"/>
                <w:szCs w:val="24"/>
              </w:rPr>
              <w:t>8</w:t>
            </w:r>
          </w:p>
        </w:tc>
        <w:tc>
          <w:tcPr>
            <w:tcW w:w="453" w:type="pct"/>
            <w:shd w:val="clear" w:color="auto" w:fill="auto"/>
            <w:vAlign w:val="center"/>
          </w:tcPr>
          <w:p w14:paraId="6722DFCB">
            <w:pPr>
              <w:jc w:val="center"/>
              <w:rPr>
                <w:rFonts w:ascii="仿宋" w:hAnsi="仿宋" w:eastAsia="仿宋" w:cstheme="minorBidi"/>
                <w:sz w:val="24"/>
                <w:szCs w:val="24"/>
              </w:rPr>
            </w:pPr>
          </w:p>
        </w:tc>
        <w:tc>
          <w:tcPr>
            <w:tcW w:w="1491" w:type="pct"/>
            <w:shd w:val="clear" w:color="auto" w:fill="auto"/>
            <w:vAlign w:val="center"/>
          </w:tcPr>
          <w:p w14:paraId="6CEE5CFA">
            <w:pPr>
              <w:jc w:val="center"/>
              <w:rPr>
                <w:rFonts w:ascii="仿宋" w:hAnsi="仿宋" w:eastAsia="仿宋" w:cstheme="minorBidi"/>
                <w:sz w:val="24"/>
                <w:szCs w:val="24"/>
              </w:rPr>
            </w:pPr>
          </w:p>
        </w:tc>
        <w:tc>
          <w:tcPr>
            <w:tcW w:w="1326" w:type="pct"/>
          </w:tcPr>
          <w:p w14:paraId="2FB18595">
            <w:pPr>
              <w:jc w:val="center"/>
              <w:rPr>
                <w:rFonts w:ascii="仿宋" w:hAnsi="仿宋" w:eastAsia="仿宋"/>
                <w:sz w:val="24"/>
                <w:szCs w:val="24"/>
              </w:rPr>
            </w:pPr>
          </w:p>
        </w:tc>
        <w:tc>
          <w:tcPr>
            <w:tcW w:w="1323" w:type="pct"/>
            <w:shd w:val="clear" w:color="auto" w:fill="auto"/>
            <w:vAlign w:val="center"/>
          </w:tcPr>
          <w:p w14:paraId="62FA5FFE">
            <w:pPr>
              <w:jc w:val="center"/>
              <w:rPr>
                <w:rFonts w:ascii="仿宋" w:hAnsi="仿宋" w:eastAsia="仿宋" w:cstheme="minorBidi"/>
                <w:sz w:val="24"/>
                <w:szCs w:val="24"/>
              </w:rPr>
            </w:pPr>
          </w:p>
        </w:tc>
      </w:tr>
      <w:tr w14:paraId="7506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 w:type="pct"/>
            <w:shd w:val="clear" w:color="auto" w:fill="auto"/>
            <w:vAlign w:val="center"/>
          </w:tcPr>
          <w:p w14:paraId="02081EC4">
            <w:pPr>
              <w:jc w:val="center"/>
              <w:rPr>
                <w:rFonts w:ascii="仿宋" w:hAnsi="仿宋" w:eastAsia="仿宋" w:cstheme="minorBidi"/>
                <w:sz w:val="24"/>
                <w:szCs w:val="24"/>
              </w:rPr>
            </w:pPr>
            <w:r>
              <w:rPr>
                <w:rFonts w:ascii="仿宋" w:hAnsi="仿宋" w:eastAsia="仿宋" w:cstheme="minorBidi"/>
                <w:sz w:val="24"/>
                <w:szCs w:val="24"/>
              </w:rPr>
              <w:t>9</w:t>
            </w:r>
          </w:p>
        </w:tc>
        <w:tc>
          <w:tcPr>
            <w:tcW w:w="453" w:type="pct"/>
            <w:shd w:val="clear" w:color="auto" w:fill="auto"/>
            <w:vAlign w:val="center"/>
          </w:tcPr>
          <w:p w14:paraId="2D354320">
            <w:pPr>
              <w:jc w:val="center"/>
              <w:rPr>
                <w:rFonts w:ascii="仿宋" w:hAnsi="仿宋" w:eastAsia="仿宋" w:cstheme="minorBidi"/>
                <w:sz w:val="24"/>
                <w:szCs w:val="24"/>
              </w:rPr>
            </w:pPr>
          </w:p>
        </w:tc>
        <w:tc>
          <w:tcPr>
            <w:tcW w:w="1491" w:type="pct"/>
            <w:shd w:val="clear" w:color="auto" w:fill="auto"/>
            <w:vAlign w:val="center"/>
          </w:tcPr>
          <w:p w14:paraId="41217FE1">
            <w:pPr>
              <w:jc w:val="center"/>
              <w:rPr>
                <w:rFonts w:ascii="仿宋" w:hAnsi="仿宋" w:eastAsia="仿宋" w:cstheme="minorBidi"/>
                <w:sz w:val="24"/>
                <w:szCs w:val="24"/>
              </w:rPr>
            </w:pPr>
          </w:p>
        </w:tc>
        <w:tc>
          <w:tcPr>
            <w:tcW w:w="1326" w:type="pct"/>
          </w:tcPr>
          <w:p w14:paraId="04C893D5">
            <w:pPr>
              <w:jc w:val="center"/>
              <w:rPr>
                <w:rFonts w:ascii="仿宋" w:hAnsi="仿宋" w:eastAsia="仿宋"/>
                <w:sz w:val="24"/>
                <w:szCs w:val="24"/>
              </w:rPr>
            </w:pPr>
          </w:p>
        </w:tc>
        <w:tc>
          <w:tcPr>
            <w:tcW w:w="1323" w:type="pct"/>
            <w:shd w:val="clear" w:color="auto" w:fill="auto"/>
            <w:vAlign w:val="center"/>
          </w:tcPr>
          <w:p w14:paraId="3D21962F">
            <w:pPr>
              <w:jc w:val="center"/>
              <w:rPr>
                <w:rFonts w:ascii="仿宋" w:hAnsi="仿宋" w:eastAsia="仿宋" w:cstheme="minorBidi"/>
                <w:sz w:val="24"/>
                <w:szCs w:val="24"/>
              </w:rPr>
            </w:pPr>
          </w:p>
        </w:tc>
      </w:tr>
      <w:tr w14:paraId="3556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 w:type="pct"/>
            <w:shd w:val="clear" w:color="auto" w:fill="auto"/>
            <w:vAlign w:val="center"/>
          </w:tcPr>
          <w:p w14:paraId="31671127">
            <w:pPr>
              <w:jc w:val="center"/>
              <w:rPr>
                <w:rFonts w:ascii="仿宋" w:hAnsi="仿宋" w:eastAsia="仿宋" w:cstheme="minorBidi"/>
                <w:sz w:val="24"/>
                <w:szCs w:val="24"/>
              </w:rPr>
            </w:pPr>
            <w:r>
              <w:rPr>
                <w:rFonts w:ascii="仿宋" w:hAnsi="仿宋" w:eastAsia="仿宋" w:cstheme="minorBidi"/>
                <w:sz w:val="24"/>
                <w:szCs w:val="24"/>
              </w:rPr>
              <w:t>10</w:t>
            </w:r>
          </w:p>
        </w:tc>
        <w:tc>
          <w:tcPr>
            <w:tcW w:w="453" w:type="pct"/>
            <w:shd w:val="clear" w:color="auto" w:fill="auto"/>
            <w:vAlign w:val="center"/>
          </w:tcPr>
          <w:p w14:paraId="7C5466A2">
            <w:pPr>
              <w:jc w:val="center"/>
              <w:rPr>
                <w:rFonts w:ascii="仿宋" w:hAnsi="仿宋" w:eastAsia="仿宋" w:cstheme="minorBidi"/>
                <w:sz w:val="24"/>
                <w:szCs w:val="24"/>
              </w:rPr>
            </w:pPr>
          </w:p>
        </w:tc>
        <w:tc>
          <w:tcPr>
            <w:tcW w:w="1491" w:type="pct"/>
            <w:shd w:val="clear" w:color="auto" w:fill="auto"/>
            <w:vAlign w:val="center"/>
          </w:tcPr>
          <w:p w14:paraId="362D1DCF">
            <w:pPr>
              <w:jc w:val="center"/>
              <w:rPr>
                <w:rFonts w:ascii="仿宋" w:hAnsi="仿宋" w:eastAsia="仿宋" w:cstheme="minorBidi"/>
                <w:sz w:val="24"/>
                <w:szCs w:val="24"/>
              </w:rPr>
            </w:pPr>
          </w:p>
        </w:tc>
        <w:tc>
          <w:tcPr>
            <w:tcW w:w="1326" w:type="pct"/>
          </w:tcPr>
          <w:p w14:paraId="0A0C3587">
            <w:pPr>
              <w:jc w:val="center"/>
              <w:rPr>
                <w:rFonts w:ascii="仿宋" w:hAnsi="仿宋" w:eastAsia="仿宋"/>
                <w:sz w:val="24"/>
                <w:szCs w:val="24"/>
              </w:rPr>
            </w:pPr>
          </w:p>
        </w:tc>
        <w:tc>
          <w:tcPr>
            <w:tcW w:w="1323" w:type="pct"/>
            <w:shd w:val="clear" w:color="auto" w:fill="auto"/>
            <w:vAlign w:val="center"/>
          </w:tcPr>
          <w:p w14:paraId="6A9AF18D">
            <w:pPr>
              <w:jc w:val="center"/>
              <w:rPr>
                <w:rFonts w:ascii="仿宋" w:hAnsi="仿宋" w:eastAsia="仿宋" w:cstheme="minorBidi"/>
                <w:sz w:val="24"/>
                <w:szCs w:val="24"/>
              </w:rPr>
            </w:pPr>
          </w:p>
        </w:tc>
      </w:tr>
    </w:tbl>
    <w:p w14:paraId="2A5F9ABF">
      <w:pPr>
        <w:rPr>
          <w:rFonts w:ascii="仿宋" w:hAnsi="仿宋" w:eastAsia="仿宋" w:cstheme="minorBidi"/>
          <w:sz w:val="24"/>
          <w:szCs w:val="24"/>
        </w:rPr>
      </w:pPr>
    </w:p>
    <w:p w14:paraId="285A6138">
      <w:pPr>
        <w:rPr>
          <w:rFonts w:ascii="仿宋" w:hAnsi="仿宋" w:eastAsia="仿宋" w:cstheme="minorBidi"/>
          <w:sz w:val="24"/>
          <w:szCs w:val="24"/>
        </w:rPr>
      </w:pPr>
    </w:p>
    <w:p w14:paraId="2B802EDF">
      <w:pPr>
        <w:rPr>
          <w:rFonts w:ascii="仿宋" w:hAnsi="仿宋" w:eastAsia="仿宋"/>
        </w:rPr>
      </w:pPr>
      <w:r>
        <w:rPr>
          <w:rFonts w:hint="eastAsia" w:ascii="仿宋" w:hAnsi="仿宋" w:eastAsia="仿宋" w:cstheme="minorBidi"/>
          <w:sz w:val="24"/>
          <w:szCs w:val="24"/>
        </w:rPr>
        <w:t>注：以上品牌为拟选用品牌，如因市场变化或其它客观原因需要进行调整，乙方应在</w:t>
      </w:r>
      <w:r>
        <w:rPr>
          <w:rFonts w:ascii="仿宋" w:hAnsi="仿宋" w:eastAsia="仿宋" w:cstheme="minorBidi"/>
          <w:sz w:val="24"/>
          <w:szCs w:val="24"/>
        </w:rPr>
        <w:t>3</w:t>
      </w:r>
      <w:r>
        <w:rPr>
          <w:rFonts w:hint="eastAsia" w:ascii="仿宋" w:hAnsi="仿宋" w:eastAsia="仿宋" w:cstheme="minorBidi"/>
          <w:sz w:val="24"/>
          <w:szCs w:val="24"/>
        </w:rPr>
        <w:t>个日历天内书面告知甲方，甲方收到告知后3个日历天内确认，并按相关要求进行变更，材料品牌调整应优先选择投标文件承诺的品牌。</w:t>
      </w:r>
    </w:p>
    <w:p w14:paraId="4AC0A6DE"/>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180047"/>
    </w:sdtPr>
    <w:sdtContent>
      <w:p w14:paraId="05DFF7C3">
        <w:pPr>
          <w:pStyle w:val="5"/>
          <w:jc w:val="center"/>
        </w:pPr>
        <w:r>
          <w:fldChar w:fldCharType="begin"/>
        </w:r>
        <w:r>
          <w:instrText xml:space="preserve">PAGE   \* MERGEFORMAT</w:instrText>
        </w:r>
        <w:r>
          <w:fldChar w:fldCharType="separate"/>
        </w:r>
        <w:r>
          <w:rPr>
            <w:lang w:val="zh-CN"/>
          </w:rPr>
          <w:t>1</w:t>
        </w:r>
        <w:r>
          <w:fldChar w:fldCharType="end"/>
        </w:r>
      </w:p>
    </w:sdtContent>
  </w:sdt>
  <w:p w14:paraId="679B2C3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9396">
    <w:pPr>
      <w:pStyle w:val="6"/>
    </w:pPr>
    <w:r>
      <w:rPr>
        <w:rFonts w:hint="eastAsia"/>
      </w:rPr>
      <w:t>广州卷烟厂石马仓库基建维修改造工程项目施工总承包建设施工合同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94"/>
      <w:numFmt w:val="bullet"/>
      <w:lvlText w:val=""/>
      <w:lvlJc w:val="left"/>
      <w:pPr>
        <w:tabs>
          <w:tab w:val="left" w:pos="1017"/>
        </w:tabs>
        <w:ind w:left="1017" w:hanging="450"/>
      </w:pPr>
      <w:rPr>
        <w:rFonts w:hint="default" w:ascii="Wingdings" w:hAnsi="Wingdings" w:eastAsia="宋体"/>
      </w:rPr>
    </w:lvl>
    <w:lvl w:ilvl="1" w:tentative="0">
      <w:start w:val="1"/>
      <w:numFmt w:val="bullet"/>
      <w:lvlText w:val=""/>
      <w:lvlJc w:val="left"/>
      <w:pPr>
        <w:tabs>
          <w:tab w:val="left" w:pos="1407"/>
        </w:tabs>
        <w:ind w:left="1407" w:hanging="420"/>
      </w:pPr>
      <w:rPr>
        <w:rFonts w:hint="default" w:ascii="Wingdings" w:hAnsi="Wingdings" w:cs="Wingdings"/>
      </w:rPr>
    </w:lvl>
    <w:lvl w:ilvl="2" w:tentative="0">
      <w:start w:val="1"/>
      <w:numFmt w:val="bullet"/>
      <w:lvlText w:val=""/>
      <w:lvlJc w:val="left"/>
      <w:pPr>
        <w:tabs>
          <w:tab w:val="left" w:pos="1827"/>
        </w:tabs>
        <w:ind w:left="1827" w:hanging="420"/>
      </w:pPr>
      <w:rPr>
        <w:rFonts w:hint="default" w:ascii="Wingdings" w:hAnsi="Wingdings" w:cs="Wingdings"/>
      </w:rPr>
    </w:lvl>
    <w:lvl w:ilvl="3" w:tentative="0">
      <w:start w:val="1"/>
      <w:numFmt w:val="bullet"/>
      <w:lvlText w:val=""/>
      <w:lvlJc w:val="left"/>
      <w:pPr>
        <w:tabs>
          <w:tab w:val="left" w:pos="2247"/>
        </w:tabs>
        <w:ind w:left="2247" w:hanging="420"/>
      </w:pPr>
      <w:rPr>
        <w:rFonts w:hint="default" w:ascii="Wingdings" w:hAnsi="Wingdings" w:cs="Wingdings"/>
      </w:rPr>
    </w:lvl>
    <w:lvl w:ilvl="4" w:tentative="0">
      <w:start w:val="1"/>
      <w:numFmt w:val="bullet"/>
      <w:lvlText w:val=""/>
      <w:lvlJc w:val="left"/>
      <w:pPr>
        <w:tabs>
          <w:tab w:val="left" w:pos="2667"/>
        </w:tabs>
        <w:ind w:left="2667" w:hanging="420"/>
      </w:pPr>
      <w:rPr>
        <w:rFonts w:hint="default" w:ascii="Wingdings" w:hAnsi="Wingdings" w:cs="Wingdings"/>
      </w:rPr>
    </w:lvl>
    <w:lvl w:ilvl="5" w:tentative="0">
      <w:start w:val="1"/>
      <w:numFmt w:val="bullet"/>
      <w:lvlText w:val=""/>
      <w:lvlJc w:val="left"/>
      <w:pPr>
        <w:tabs>
          <w:tab w:val="left" w:pos="3087"/>
        </w:tabs>
        <w:ind w:left="3087" w:hanging="420"/>
      </w:pPr>
      <w:rPr>
        <w:rFonts w:hint="default" w:ascii="Wingdings" w:hAnsi="Wingdings" w:cs="Wingdings"/>
      </w:rPr>
    </w:lvl>
    <w:lvl w:ilvl="6" w:tentative="0">
      <w:start w:val="1"/>
      <w:numFmt w:val="bullet"/>
      <w:lvlText w:val=""/>
      <w:lvlJc w:val="left"/>
      <w:pPr>
        <w:tabs>
          <w:tab w:val="left" w:pos="3507"/>
        </w:tabs>
        <w:ind w:left="3507" w:hanging="420"/>
      </w:pPr>
      <w:rPr>
        <w:rFonts w:hint="default" w:ascii="Wingdings" w:hAnsi="Wingdings" w:cs="Wingdings"/>
      </w:rPr>
    </w:lvl>
    <w:lvl w:ilvl="7" w:tentative="0">
      <w:start w:val="1"/>
      <w:numFmt w:val="bullet"/>
      <w:lvlText w:val=""/>
      <w:lvlJc w:val="left"/>
      <w:pPr>
        <w:tabs>
          <w:tab w:val="left" w:pos="3927"/>
        </w:tabs>
        <w:ind w:left="3927" w:hanging="420"/>
      </w:pPr>
      <w:rPr>
        <w:rFonts w:hint="default" w:ascii="Wingdings" w:hAnsi="Wingdings" w:cs="Wingdings"/>
      </w:rPr>
    </w:lvl>
    <w:lvl w:ilvl="8" w:tentative="0">
      <w:start w:val="1"/>
      <w:numFmt w:val="bullet"/>
      <w:lvlText w:val=""/>
      <w:lvlJc w:val="left"/>
      <w:pPr>
        <w:tabs>
          <w:tab w:val="left" w:pos="4347"/>
        </w:tabs>
        <w:ind w:left="4347" w:hanging="420"/>
      </w:pPr>
      <w:rPr>
        <w:rFonts w:hint="default" w:ascii="Wingdings" w:hAnsi="Wingdings" w:cs="Wingdings"/>
      </w:rPr>
    </w:lvl>
  </w:abstractNum>
  <w:abstractNum w:abstractNumId="1">
    <w:nsid w:val="00A31556"/>
    <w:multiLevelType w:val="multilevel"/>
    <w:tmpl w:val="00A3155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0A3CC5"/>
    <w:multiLevelType w:val="multilevel"/>
    <w:tmpl w:val="070A3CC5"/>
    <w:lvl w:ilvl="0" w:tentative="0">
      <w:start w:val="30"/>
      <w:numFmt w:val="decimal"/>
      <w:lvlText w:val="%1"/>
      <w:lvlJc w:val="left"/>
      <w:pPr>
        <w:ind w:left="600" w:hanging="600"/>
      </w:pPr>
      <w:rPr>
        <w:rFonts w:hint="default"/>
      </w:rPr>
    </w:lvl>
    <w:lvl w:ilvl="1" w:tentative="0">
      <w:start w:val="5"/>
      <w:numFmt w:val="decimal"/>
      <w:lvlText w:val="%1.%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708" w:hanging="1440"/>
      </w:pPr>
      <w:rPr>
        <w:rFonts w:hint="default"/>
      </w:rPr>
    </w:lvl>
    <w:lvl w:ilvl="5" w:tentative="0">
      <w:start w:val="1"/>
      <w:numFmt w:val="decimal"/>
      <w:lvlText w:val="%1.%2.%3.%4.%5.%6"/>
      <w:lvlJc w:val="left"/>
      <w:pPr>
        <w:ind w:left="4635" w:hanging="1800"/>
      </w:pPr>
      <w:rPr>
        <w:rFonts w:hint="default"/>
      </w:rPr>
    </w:lvl>
    <w:lvl w:ilvl="6" w:tentative="0">
      <w:start w:val="1"/>
      <w:numFmt w:val="decimal"/>
      <w:lvlText w:val="%1.%2.%3.%4.%5.%6.%7"/>
      <w:lvlJc w:val="left"/>
      <w:pPr>
        <w:ind w:left="5562" w:hanging="2160"/>
      </w:pPr>
      <w:rPr>
        <w:rFonts w:hint="default"/>
      </w:rPr>
    </w:lvl>
    <w:lvl w:ilvl="7" w:tentative="0">
      <w:start w:val="1"/>
      <w:numFmt w:val="decimal"/>
      <w:lvlText w:val="%1.%2.%3.%4.%5.%6.%7.%8"/>
      <w:lvlJc w:val="left"/>
      <w:pPr>
        <w:ind w:left="6129" w:hanging="2160"/>
      </w:pPr>
      <w:rPr>
        <w:rFonts w:hint="default"/>
      </w:rPr>
    </w:lvl>
    <w:lvl w:ilvl="8" w:tentative="0">
      <w:start w:val="1"/>
      <w:numFmt w:val="decimal"/>
      <w:lvlText w:val="%1.%2.%3.%4.%5.%6.%7.%8.%9"/>
      <w:lvlJc w:val="left"/>
      <w:pPr>
        <w:ind w:left="7056" w:hanging="2520"/>
      </w:pPr>
      <w:rPr>
        <w:rFonts w:hint="default"/>
      </w:rPr>
    </w:lvl>
  </w:abstractNum>
  <w:abstractNum w:abstractNumId="3">
    <w:nsid w:val="07E6460F"/>
    <w:multiLevelType w:val="multilevel"/>
    <w:tmpl w:val="07E646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EF67C5"/>
    <w:multiLevelType w:val="multilevel"/>
    <w:tmpl w:val="1BEF67C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FB80B1F"/>
    <w:multiLevelType w:val="multilevel"/>
    <w:tmpl w:val="1FB80B1F"/>
    <w:lvl w:ilvl="0" w:tentative="0">
      <w:start w:val="1"/>
      <w:numFmt w:val="decimal"/>
      <w:lvlText w:val="(%1)"/>
      <w:lvlJc w:val="left"/>
      <w:pPr>
        <w:ind w:left="424" w:hanging="420"/>
      </w:pPr>
      <w:rPr>
        <w:rFonts w:hint="eastAsia" w:ascii="宋体" w:hAnsi="宋体" w:eastAsia="宋体"/>
      </w:rPr>
    </w:lvl>
    <w:lvl w:ilvl="1" w:tentative="0">
      <w:start w:val="1"/>
      <w:numFmt w:val="lowerLetter"/>
      <w:lvlText w:val="%2)"/>
      <w:lvlJc w:val="left"/>
      <w:pPr>
        <w:ind w:left="844" w:hanging="420"/>
      </w:pPr>
    </w:lvl>
    <w:lvl w:ilvl="2" w:tentative="0">
      <w:start w:val="1"/>
      <w:numFmt w:val="lowerRoman"/>
      <w:lvlText w:val="%3."/>
      <w:lvlJc w:val="right"/>
      <w:pPr>
        <w:ind w:left="1264" w:hanging="420"/>
      </w:pPr>
    </w:lvl>
    <w:lvl w:ilvl="3" w:tentative="0">
      <w:start w:val="1"/>
      <w:numFmt w:val="decimal"/>
      <w:lvlText w:val="%4."/>
      <w:lvlJc w:val="left"/>
      <w:pPr>
        <w:ind w:left="1684" w:hanging="420"/>
      </w:pPr>
    </w:lvl>
    <w:lvl w:ilvl="4" w:tentative="0">
      <w:start w:val="1"/>
      <w:numFmt w:val="lowerLetter"/>
      <w:lvlText w:val="%5)"/>
      <w:lvlJc w:val="left"/>
      <w:pPr>
        <w:ind w:left="2104" w:hanging="420"/>
      </w:pPr>
    </w:lvl>
    <w:lvl w:ilvl="5" w:tentative="0">
      <w:start w:val="1"/>
      <w:numFmt w:val="lowerRoman"/>
      <w:lvlText w:val="%6."/>
      <w:lvlJc w:val="right"/>
      <w:pPr>
        <w:ind w:left="2524" w:hanging="420"/>
      </w:pPr>
    </w:lvl>
    <w:lvl w:ilvl="6" w:tentative="0">
      <w:start w:val="1"/>
      <w:numFmt w:val="decimal"/>
      <w:lvlText w:val="%7."/>
      <w:lvlJc w:val="left"/>
      <w:pPr>
        <w:ind w:left="2944" w:hanging="420"/>
      </w:pPr>
    </w:lvl>
    <w:lvl w:ilvl="7" w:tentative="0">
      <w:start w:val="1"/>
      <w:numFmt w:val="lowerLetter"/>
      <w:lvlText w:val="%8)"/>
      <w:lvlJc w:val="left"/>
      <w:pPr>
        <w:ind w:left="3364" w:hanging="420"/>
      </w:pPr>
    </w:lvl>
    <w:lvl w:ilvl="8" w:tentative="0">
      <w:start w:val="1"/>
      <w:numFmt w:val="lowerRoman"/>
      <w:lvlText w:val="%9."/>
      <w:lvlJc w:val="right"/>
      <w:pPr>
        <w:ind w:left="3784" w:hanging="420"/>
      </w:pPr>
    </w:lvl>
  </w:abstractNum>
  <w:abstractNum w:abstractNumId="6">
    <w:nsid w:val="26D033E7"/>
    <w:multiLevelType w:val="multilevel"/>
    <w:tmpl w:val="26D033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446CC8"/>
    <w:multiLevelType w:val="multilevel"/>
    <w:tmpl w:val="2C446CC8"/>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8F7FD4"/>
    <w:multiLevelType w:val="multilevel"/>
    <w:tmpl w:val="2D8F7FD4"/>
    <w:lvl w:ilvl="0" w:tentative="0">
      <w:start w:val="1"/>
      <w:numFmt w:val="decimal"/>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9">
    <w:nsid w:val="31873DA1"/>
    <w:multiLevelType w:val="multilevel"/>
    <w:tmpl w:val="31873DA1"/>
    <w:lvl w:ilvl="0" w:tentative="0">
      <w:start w:val="1"/>
      <w:numFmt w:val="upperLetter"/>
      <w:lvlText w:val="%1."/>
      <w:lvlJc w:val="left"/>
      <w:pPr>
        <w:ind w:left="1497" w:hanging="420"/>
      </w:pPr>
      <w:rPr>
        <w:rFonts w:hint="eastAsia"/>
      </w:rPr>
    </w:lvl>
    <w:lvl w:ilvl="1" w:tentative="0">
      <w:start w:val="1"/>
      <w:numFmt w:val="lowerLetter"/>
      <w:lvlText w:val="%2)"/>
      <w:lvlJc w:val="left"/>
      <w:pPr>
        <w:ind w:left="1264" w:hanging="419"/>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34A859B3"/>
    <w:multiLevelType w:val="multilevel"/>
    <w:tmpl w:val="34A859B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2796872"/>
    <w:multiLevelType w:val="multilevel"/>
    <w:tmpl w:val="42796872"/>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4815B6C"/>
    <w:multiLevelType w:val="multilevel"/>
    <w:tmpl w:val="44815B6C"/>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60B50B3"/>
    <w:multiLevelType w:val="multilevel"/>
    <w:tmpl w:val="460B50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upperLetter"/>
      <w:lvlText w:val="%3、"/>
      <w:lvlJc w:val="left"/>
      <w:pPr>
        <w:ind w:left="1680" w:hanging="84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93A0C3B"/>
    <w:multiLevelType w:val="multilevel"/>
    <w:tmpl w:val="493A0C3B"/>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F47271A"/>
    <w:multiLevelType w:val="multilevel"/>
    <w:tmpl w:val="4F47271A"/>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52973ED6"/>
    <w:multiLevelType w:val="multilevel"/>
    <w:tmpl w:val="52973ED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586732A7"/>
    <w:multiLevelType w:val="multilevel"/>
    <w:tmpl w:val="586732A7"/>
    <w:lvl w:ilvl="0" w:tentative="0">
      <w:start w:val="30"/>
      <w:numFmt w:val="decimal"/>
      <w:lvlText w:val="%1"/>
      <w:lvlJc w:val="left"/>
      <w:pPr>
        <w:ind w:left="600" w:hanging="600"/>
      </w:pPr>
      <w:rPr>
        <w:rFonts w:hint="default"/>
      </w:rPr>
    </w:lvl>
    <w:lvl w:ilvl="1" w:tentative="0">
      <w:start w:val="3"/>
      <w:numFmt w:val="decimal"/>
      <w:lvlText w:val="%1.%2"/>
      <w:lvlJc w:val="left"/>
      <w:pPr>
        <w:ind w:left="1287"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708" w:hanging="1440"/>
      </w:pPr>
      <w:rPr>
        <w:rFonts w:hint="default"/>
      </w:rPr>
    </w:lvl>
    <w:lvl w:ilvl="5" w:tentative="0">
      <w:start w:val="1"/>
      <w:numFmt w:val="decimal"/>
      <w:lvlText w:val="%1.%2.%3.%4.%5.%6"/>
      <w:lvlJc w:val="left"/>
      <w:pPr>
        <w:ind w:left="4635" w:hanging="1800"/>
      </w:pPr>
      <w:rPr>
        <w:rFonts w:hint="default"/>
      </w:rPr>
    </w:lvl>
    <w:lvl w:ilvl="6" w:tentative="0">
      <w:start w:val="1"/>
      <w:numFmt w:val="decimal"/>
      <w:lvlText w:val="%1.%2.%3.%4.%5.%6.%7"/>
      <w:lvlJc w:val="left"/>
      <w:pPr>
        <w:ind w:left="5562" w:hanging="2160"/>
      </w:pPr>
      <w:rPr>
        <w:rFonts w:hint="default"/>
      </w:rPr>
    </w:lvl>
    <w:lvl w:ilvl="7" w:tentative="0">
      <w:start w:val="1"/>
      <w:numFmt w:val="decimal"/>
      <w:lvlText w:val="%1.%2.%3.%4.%5.%6.%7.%8"/>
      <w:lvlJc w:val="left"/>
      <w:pPr>
        <w:ind w:left="6129" w:hanging="2160"/>
      </w:pPr>
      <w:rPr>
        <w:rFonts w:hint="default"/>
      </w:rPr>
    </w:lvl>
    <w:lvl w:ilvl="8" w:tentative="0">
      <w:start w:val="1"/>
      <w:numFmt w:val="decimal"/>
      <w:lvlText w:val="%1.%2.%3.%4.%5.%6.%7.%8.%9"/>
      <w:lvlJc w:val="left"/>
      <w:pPr>
        <w:ind w:left="7056" w:hanging="2520"/>
      </w:pPr>
      <w:rPr>
        <w:rFonts w:hint="default"/>
      </w:rPr>
    </w:lvl>
  </w:abstractNum>
  <w:abstractNum w:abstractNumId="18">
    <w:nsid w:val="5F022A5F"/>
    <w:multiLevelType w:val="multilevel"/>
    <w:tmpl w:val="5F022A5F"/>
    <w:lvl w:ilvl="0" w:tentative="0">
      <w:start w:val="1"/>
      <w:numFmt w:val="decimal"/>
      <w:lvlText w:val="(%1)"/>
      <w:lvlJc w:val="left"/>
      <w:pPr>
        <w:tabs>
          <w:tab w:val="left" w:pos="1134"/>
        </w:tabs>
        <w:ind w:left="1134" w:hanging="567"/>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0E27AAA"/>
    <w:multiLevelType w:val="multilevel"/>
    <w:tmpl w:val="60E27A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3427BC1"/>
    <w:multiLevelType w:val="multilevel"/>
    <w:tmpl w:val="73427B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default" w:ascii="Times New Roman" w:hAnsi="Times New Roman"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58E17AA"/>
    <w:multiLevelType w:val="multilevel"/>
    <w:tmpl w:val="758E17AA"/>
    <w:lvl w:ilvl="0" w:tentative="0">
      <w:start w:val="1"/>
      <w:numFmt w:val="upperLetter"/>
      <w:lvlText w:val="%1."/>
      <w:lvlJc w:val="left"/>
      <w:pPr>
        <w:ind w:left="1503" w:hanging="426"/>
      </w:pPr>
      <w:rPr>
        <w:rFonts w:hint="eastAsia"/>
      </w:rPr>
    </w:lvl>
    <w:lvl w:ilvl="1" w:tentative="0">
      <w:start w:val="1"/>
      <w:numFmt w:val="lowerLetter"/>
      <w:lvlText w:val="%2)"/>
      <w:lvlJc w:val="left"/>
      <w:pPr>
        <w:ind w:left="1403" w:hanging="420"/>
      </w:pPr>
    </w:lvl>
    <w:lvl w:ilvl="2" w:tentative="0">
      <w:start w:val="1"/>
      <w:numFmt w:val="lowerRoman"/>
      <w:lvlText w:val="%3."/>
      <w:lvlJc w:val="right"/>
      <w:pPr>
        <w:ind w:left="1823" w:hanging="420"/>
      </w:pPr>
    </w:lvl>
    <w:lvl w:ilvl="3" w:tentative="0">
      <w:start w:val="1"/>
      <w:numFmt w:val="decimal"/>
      <w:lvlText w:val="%4."/>
      <w:lvlJc w:val="left"/>
      <w:pPr>
        <w:ind w:left="2243" w:hanging="420"/>
      </w:pPr>
    </w:lvl>
    <w:lvl w:ilvl="4" w:tentative="0">
      <w:start w:val="1"/>
      <w:numFmt w:val="lowerLetter"/>
      <w:lvlText w:val="%5)"/>
      <w:lvlJc w:val="left"/>
      <w:pPr>
        <w:ind w:left="2663" w:hanging="420"/>
      </w:pPr>
    </w:lvl>
    <w:lvl w:ilvl="5" w:tentative="0">
      <w:start w:val="1"/>
      <w:numFmt w:val="lowerRoman"/>
      <w:lvlText w:val="%6."/>
      <w:lvlJc w:val="right"/>
      <w:pPr>
        <w:ind w:left="3083" w:hanging="420"/>
      </w:pPr>
    </w:lvl>
    <w:lvl w:ilvl="6" w:tentative="0">
      <w:start w:val="1"/>
      <w:numFmt w:val="decimal"/>
      <w:lvlText w:val="%7."/>
      <w:lvlJc w:val="left"/>
      <w:pPr>
        <w:ind w:left="3503" w:hanging="420"/>
      </w:pPr>
    </w:lvl>
    <w:lvl w:ilvl="7" w:tentative="0">
      <w:start w:val="1"/>
      <w:numFmt w:val="lowerLetter"/>
      <w:lvlText w:val="%8)"/>
      <w:lvlJc w:val="left"/>
      <w:pPr>
        <w:ind w:left="3923" w:hanging="420"/>
      </w:pPr>
    </w:lvl>
    <w:lvl w:ilvl="8" w:tentative="0">
      <w:start w:val="1"/>
      <w:numFmt w:val="lowerRoman"/>
      <w:lvlText w:val="%9."/>
      <w:lvlJc w:val="right"/>
      <w:pPr>
        <w:ind w:left="4343" w:hanging="420"/>
      </w:pPr>
    </w:lvl>
  </w:abstractNum>
  <w:abstractNum w:abstractNumId="22">
    <w:nsid w:val="7D684E16"/>
    <w:multiLevelType w:val="multilevel"/>
    <w:tmpl w:val="7D684E16"/>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7DE514F0"/>
    <w:multiLevelType w:val="multilevel"/>
    <w:tmpl w:val="7DE514F0"/>
    <w:lvl w:ilvl="0" w:tentative="0">
      <w:start w:val="1"/>
      <w:numFmt w:val="decimal"/>
      <w:lvlText w:val="%1."/>
      <w:lvlJc w:val="left"/>
      <w:pPr>
        <w:ind w:left="420" w:hanging="420"/>
      </w:pPr>
      <w:rPr>
        <w:rFonts w:hint="default"/>
      </w:rPr>
    </w:lvl>
    <w:lvl w:ilvl="1" w:tentative="0">
      <w:start w:val="1"/>
      <w:numFmt w:val="decimal"/>
      <w:lvlText w:val="%2."/>
      <w:lvlJc w:val="left"/>
      <w:pPr>
        <w:ind w:left="1170" w:hanging="7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850" w:hanging="114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17"/>
  </w:num>
  <w:num w:numId="9">
    <w:abstractNumId w:val="2"/>
  </w:num>
  <w:num w:numId="10">
    <w:abstractNumId w:val="1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676B688D00008828" w:val=" "/>
    <w:docVar w:name="676B694A00006BD7" w:val=" "/>
    <w:docVar w:name="676B766D0000BB86" w:val=" "/>
  </w:docVars>
  <w:rsids>
    <w:rsidRoot w:val="00562EA3"/>
    <w:rsid w:val="00002A5B"/>
    <w:rsid w:val="00007914"/>
    <w:rsid w:val="00010D5F"/>
    <w:rsid w:val="00030705"/>
    <w:rsid w:val="0003228A"/>
    <w:rsid w:val="00032B9D"/>
    <w:rsid w:val="000354D5"/>
    <w:rsid w:val="00042C6C"/>
    <w:rsid w:val="000621C8"/>
    <w:rsid w:val="00066E9F"/>
    <w:rsid w:val="00067CE5"/>
    <w:rsid w:val="00071AB7"/>
    <w:rsid w:val="0007795A"/>
    <w:rsid w:val="000A450C"/>
    <w:rsid w:val="000C25F3"/>
    <w:rsid w:val="000C712B"/>
    <w:rsid w:val="000D5E7E"/>
    <w:rsid w:val="000E232A"/>
    <w:rsid w:val="000F1FC5"/>
    <w:rsid w:val="00111A62"/>
    <w:rsid w:val="00130C3E"/>
    <w:rsid w:val="00135BA9"/>
    <w:rsid w:val="0014152C"/>
    <w:rsid w:val="00143221"/>
    <w:rsid w:val="001458A3"/>
    <w:rsid w:val="00170145"/>
    <w:rsid w:val="00173A79"/>
    <w:rsid w:val="00177CC7"/>
    <w:rsid w:val="00186728"/>
    <w:rsid w:val="001928BA"/>
    <w:rsid w:val="001D0D54"/>
    <w:rsid w:val="00202970"/>
    <w:rsid w:val="0020557B"/>
    <w:rsid w:val="0022530D"/>
    <w:rsid w:val="00225938"/>
    <w:rsid w:val="00286EDA"/>
    <w:rsid w:val="0029211F"/>
    <w:rsid w:val="002A31D9"/>
    <w:rsid w:val="002B48EC"/>
    <w:rsid w:val="002C2824"/>
    <w:rsid w:val="002C3546"/>
    <w:rsid w:val="002C495F"/>
    <w:rsid w:val="002C5406"/>
    <w:rsid w:val="002C7DAA"/>
    <w:rsid w:val="002C7E2B"/>
    <w:rsid w:val="002D68A3"/>
    <w:rsid w:val="002D798F"/>
    <w:rsid w:val="002E0E4C"/>
    <w:rsid w:val="002F019F"/>
    <w:rsid w:val="002F2DBF"/>
    <w:rsid w:val="0030046C"/>
    <w:rsid w:val="00303AAF"/>
    <w:rsid w:val="003253A5"/>
    <w:rsid w:val="00330075"/>
    <w:rsid w:val="00337F88"/>
    <w:rsid w:val="00350E51"/>
    <w:rsid w:val="00354458"/>
    <w:rsid w:val="00355CDA"/>
    <w:rsid w:val="00365B38"/>
    <w:rsid w:val="00377BBB"/>
    <w:rsid w:val="00394380"/>
    <w:rsid w:val="00394EF7"/>
    <w:rsid w:val="003A395A"/>
    <w:rsid w:val="003B047B"/>
    <w:rsid w:val="003B19E3"/>
    <w:rsid w:val="003C3AD7"/>
    <w:rsid w:val="003C41C7"/>
    <w:rsid w:val="003C7656"/>
    <w:rsid w:val="003D732C"/>
    <w:rsid w:val="003F27CB"/>
    <w:rsid w:val="0041442B"/>
    <w:rsid w:val="00422A23"/>
    <w:rsid w:val="004515CC"/>
    <w:rsid w:val="004563BD"/>
    <w:rsid w:val="00460E3B"/>
    <w:rsid w:val="004638AE"/>
    <w:rsid w:val="00472AA7"/>
    <w:rsid w:val="00487D34"/>
    <w:rsid w:val="004A0506"/>
    <w:rsid w:val="004A7C85"/>
    <w:rsid w:val="004B5E7B"/>
    <w:rsid w:val="004D0500"/>
    <w:rsid w:val="004D1AA4"/>
    <w:rsid w:val="004D2EBD"/>
    <w:rsid w:val="004F221B"/>
    <w:rsid w:val="00512FE9"/>
    <w:rsid w:val="00513E08"/>
    <w:rsid w:val="00515786"/>
    <w:rsid w:val="00520460"/>
    <w:rsid w:val="0052135E"/>
    <w:rsid w:val="00530E7F"/>
    <w:rsid w:val="005468F8"/>
    <w:rsid w:val="00550EC7"/>
    <w:rsid w:val="00562EA3"/>
    <w:rsid w:val="005649D6"/>
    <w:rsid w:val="005872BE"/>
    <w:rsid w:val="005A4288"/>
    <w:rsid w:val="005A5694"/>
    <w:rsid w:val="005D7240"/>
    <w:rsid w:val="005E17FF"/>
    <w:rsid w:val="005E7252"/>
    <w:rsid w:val="005F4630"/>
    <w:rsid w:val="006167BA"/>
    <w:rsid w:val="00617C3C"/>
    <w:rsid w:val="006214A5"/>
    <w:rsid w:val="006279FE"/>
    <w:rsid w:val="00644850"/>
    <w:rsid w:val="0066115E"/>
    <w:rsid w:val="00661A9A"/>
    <w:rsid w:val="00663041"/>
    <w:rsid w:val="0067005C"/>
    <w:rsid w:val="00675B94"/>
    <w:rsid w:val="00686126"/>
    <w:rsid w:val="00686BDF"/>
    <w:rsid w:val="00693EF3"/>
    <w:rsid w:val="006A00F8"/>
    <w:rsid w:val="006A5426"/>
    <w:rsid w:val="006A6144"/>
    <w:rsid w:val="006A662E"/>
    <w:rsid w:val="006B4256"/>
    <w:rsid w:val="006C768E"/>
    <w:rsid w:val="006E087D"/>
    <w:rsid w:val="007274B8"/>
    <w:rsid w:val="00730671"/>
    <w:rsid w:val="00744192"/>
    <w:rsid w:val="00765D21"/>
    <w:rsid w:val="00777D7E"/>
    <w:rsid w:val="00784970"/>
    <w:rsid w:val="007B04CC"/>
    <w:rsid w:val="007D13CD"/>
    <w:rsid w:val="007D1EA0"/>
    <w:rsid w:val="007D4C63"/>
    <w:rsid w:val="008008B7"/>
    <w:rsid w:val="008341BE"/>
    <w:rsid w:val="00844CD7"/>
    <w:rsid w:val="008464ED"/>
    <w:rsid w:val="008524ED"/>
    <w:rsid w:val="0086097E"/>
    <w:rsid w:val="00861710"/>
    <w:rsid w:val="00861B38"/>
    <w:rsid w:val="008631DD"/>
    <w:rsid w:val="0087605E"/>
    <w:rsid w:val="00883056"/>
    <w:rsid w:val="00886D7B"/>
    <w:rsid w:val="008970F2"/>
    <w:rsid w:val="008B11DB"/>
    <w:rsid w:val="008B1314"/>
    <w:rsid w:val="008B1788"/>
    <w:rsid w:val="008B383C"/>
    <w:rsid w:val="008B490F"/>
    <w:rsid w:val="008C7E0F"/>
    <w:rsid w:val="008D5C1E"/>
    <w:rsid w:val="008F1ECC"/>
    <w:rsid w:val="008F6D57"/>
    <w:rsid w:val="008F6D94"/>
    <w:rsid w:val="00926ED1"/>
    <w:rsid w:val="009277FC"/>
    <w:rsid w:val="00927EAE"/>
    <w:rsid w:val="009412A3"/>
    <w:rsid w:val="00942F38"/>
    <w:rsid w:val="00946A49"/>
    <w:rsid w:val="00976C15"/>
    <w:rsid w:val="00977A9A"/>
    <w:rsid w:val="00983004"/>
    <w:rsid w:val="00985D7F"/>
    <w:rsid w:val="009905D5"/>
    <w:rsid w:val="0099211B"/>
    <w:rsid w:val="00992CC1"/>
    <w:rsid w:val="00997767"/>
    <w:rsid w:val="009A4CFB"/>
    <w:rsid w:val="009B78FE"/>
    <w:rsid w:val="009C2425"/>
    <w:rsid w:val="009E39BB"/>
    <w:rsid w:val="009E7500"/>
    <w:rsid w:val="009F08E0"/>
    <w:rsid w:val="009F5435"/>
    <w:rsid w:val="009F5D8A"/>
    <w:rsid w:val="009F7468"/>
    <w:rsid w:val="00A00ECB"/>
    <w:rsid w:val="00A025AF"/>
    <w:rsid w:val="00A05134"/>
    <w:rsid w:val="00A35D75"/>
    <w:rsid w:val="00A373A6"/>
    <w:rsid w:val="00A42FF9"/>
    <w:rsid w:val="00A44692"/>
    <w:rsid w:val="00A6228D"/>
    <w:rsid w:val="00A72296"/>
    <w:rsid w:val="00A76ED9"/>
    <w:rsid w:val="00A92DE7"/>
    <w:rsid w:val="00AC193A"/>
    <w:rsid w:val="00AE044B"/>
    <w:rsid w:val="00B06C0A"/>
    <w:rsid w:val="00B075E2"/>
    <w:rsid w:val="00B11F14"/>
    <w:rsid w:val="00B20303"/>
    <w:rsid w:val="00B20695"/>
    <w:rsid w:val="00B21FC8"/>
    <w:rsid w:val="00B27F90"/>
    <w:rsid w:val="00B42018"/>
    <w:rsid w:val="00B542CC"/>
    <w:rsid w:val="00B55975"/>
    <w:rsid w:val="00B63466"/>
    <w:rsid w:val="00B667B3"/>
    <w:rsid w:val="00B73A15"/>
    <w:rsid w:val="00B74967"/>
    <w:rsid w:val="00B91FFA"/>
    <w:rsid w:val="00BA18E8"/>
    <w:rsid w:val="00BB784B"/>
    <w:rsid w:val="00BD40B8"/>
    <w:rsid w:val="00BE7439"/>
    <w:rsid w:val="00BF68E5"/>
    <w:rsid w:val="00C061CA"/>
    <w:rsid w:val="00C0633C"/>
    <w:rsid w:val="00C22FBA"/>
    <w:rsid w:val="00C3162E"/>
    <w:rsid w:val="00C47647"/>
    <w:rsid w:val="00C52881"/>
    <w:rsid w:val="00C83F7E"/>
    <w:rsid w:val="00C91377"/>
    <w:rsid w:val="00C9454D"/>
    <w:rsid w:val="00C952E1"/>
    <w:rsid w:val="00CB73ED"/>
    <w:rsid w:val="00CB772B"/>
    <w:rsid w:val="00CC6301"/>
    <w:rsid w:val="00CC6C32"/>
    <w:rsid w:val="00CD77B6"/>
    <w:rsid w:val="00CE2CC7"/>
    <w:rsid w:val="00CF2143"/>
    <w:rsid w:val="00D16812"/>
    <w:rsid w:val="00D16965"/>
    <w:rsid w:val="00D22C88"/>
    <w:rsid w:val="00D468B8"/>
    <w:rsid w:val="00D470F4"/>
    <w:rsid w:val="00D51C46"/>
    <w:rsid w:val="00D80706"/>
    <w:rsid w:val="00D84D71"/>
    <w:rsid w:val="00D84E02"/>
    <w:rsid w:val="00D87485"/>
    <w:rsid w:val="00D94DED"/>
    <w:rsid w:val="00DA0134"/>
    <w:rsid w:val="00DA25D6"/>
    <w:rsid w:val="00DC677C"/>
    <w:rsid w:val="00DD1BA7"/>
    <w:rsid w:val="00E06056"/>
    <w:rsid w:val="00E10779"/>
    <w:rsid w:val="00E1470B"/>
    <w:rsid w:val="00E3789D"/>
    <w:rsid w:val="00E54341"/>
    <w:rsid w:val="00E67A40"/>
    <w:rsid w:val="00E71C37"/>
    <w:rsid w:val="00EA1D4B"/>
    <w:rsid w:val="00EA5038"/>
    <w:rsid w:val="00ED13B0"/>
    <w:rsid w:val="00ED5F4E"/>
    <w:rsid w:val="00F0039D"/>
    <w:rsid w:val="00F132E4"/>
    <w:rsid w:val="00F145B9"/>
    <w:rsid w:val="00F20212"/>
    <w:rsid w:val="00F2094B"/>
    <w:rsid w:val="00F5470F"/>
    <w:rsid w:val="00F5560B"/>
    <w:rsid w:val="00F567D5"/>
    <w:rsid w:val="00F60705"/>
    <w:rsid w:val="00F73EBD"/>
    <w:rsid w:val="00F74D92"/>
    <w:rsid w:val="00F76846"/>
    <w:rsid w:val="00F80C94"/>
    <w:rsid w:val="00F824F6"/>
    <w:rsid w:val="00FA0582"/>
    <w:rsid w:val="00FA404C"/>
    <w:rsid w:val="00FA650B"/>
    <w:rsid w:val="00FB6931"/>
    <w:rsid w:val="00FE0415"/>
    <w:rsid w:val="00FF0CF4"/>
    <w:rsid w:val="00FF72F1"/>
    <w:rsid w:val="08EC7AEB"/>
    <w:rsid w:val="122A45BE"/>
    <w:rsid w:val="27E26AC8"/>
    <w:rsid w:val="3F904DA9"/>
    <w:rsid w:val="53860B89"/>
    <w:rsid w:val="54694231"/>
    <w:rsid w:val="5DE3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Plain Text"/>
    <w:basedOn w:val="1"/>
    <w:link w:val="14"/>
    <w:qFormat/>
    <w:uiPriority w:val="0"/>
    <w:rPr>
      <w:rFonts w:ascii="宋体" w:hAnsi="Courier New" w:eastAsiaTheme="minorEastAsia" w:cstheme="minorBidi"/>
      <w:szCs w:val="22"/>
    </w:rPr>
  </w:style>
  <w:style w:type="paragraph" w:styleId="4">
    <w:name w:val="Balloon Text"/>
    <w:basedOn w:val="1"/>
    <w:link w:val="19"/>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2"/>
    <w:semiHidden/>
    <w:unhideWhenUsed/>
    <w:qFormat/>
    <w:uiPriority w:val="99"/>
    <w:rPr>
      <w:b/>
      <w:bCs/>
    </w:rPr>
  </w:style>
  <w:style w:type="character" w:styleId="10">
    <w:name w:val="page number"/>
    <w:basedOn w:val="9"/>
    <w:qFormat/>
    <w:uiPriority w:val="99"/>
  </w:style>
  <w:style w:type="character" w:styleId="11">
    <w:name w:val="annotation reference"/>
    <w:basedOn w:val="9"/>
    <w:unhideWhenUsed/>
    <w:qFormat/>
    <w:uiPriority w:val="99"/>
    <w:rPr>
      <w:sz w:val="21"/>
      <w:szCs w:val="21"/>
    </w:rPr>
  </w:style>
  <w:style w:type="character" w:customStyle="1" w:styleId="12">
    <w:name w:val="页眉 Char"/>
    <w:basedOn w:val="9"/>
    <w:link w:val="6"/>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1"/>
    <w:link w:val="3"/>
    <w:locked/>
    <w:uiPriority w:val="0"/>
    <w:rPr>
      <w:rFonts w:ascii="宋体" w:hAnsi="Courier New"/>
    </w:rPr>
  </w:style>
  <w:style w:type="character" w:customStyle="1" w:styleId="15">
    <w:name w:val="纯文本 Char"/>
    <w:basedOn w:val="9"/>
    <w:qFormat/>
    <w:uiPriority w:val="99"/>
    <w:rPr>
      <w:rFonts w:ascii="宋体" w:hAnsi="Courier New" w:eastAsia="宋体" w:cs="Courier New"/>
      <w:szCs w:val="21"/>
    </w:rPr>
  </w:style>
  <w:style w:type="paragraph" w:customStyle="1" w:styleId="16">
    <w:name w:val="招标正文3"/>
    <w:basedOn w:val="1"/>
    <w:qFormat/>
    <w:uiPriority w:val="99"/>
    <w:pPr>
      <w:spacing w:line="360" w:lineRule="auto"/>
      <w:ind w:firstLine="480" w:firstLineChars="200"/>
    </w:pPr>
    <w:rPr>
      <w:rFonts w:ascii="宋体" w:hAnsi="宋体" w:cs="宋体" w:eastAsiaTheme="minorEastAsia"/>
      <w:sz w:val="24"/>
      <w:szCs w:val="24"/>
    </w:rPr>
  </w:style>
  <w:style w:type="paragraph" w:styleId="17">
    <w:name w:val="List Paragraph"/>
    <w:basedOn w:val="1"/>
    <w:link w:val="25"/>
    <w:qFormat/>
    <w:uiPriority w:val="34"/>
    <w:pPr>
      <w:widowControl/>
      <w:ind w:firstLine="420" w:firstLineChars="200"/>
      <w:jc w:val="left"/>
    </w:pPr>
    <w:rPr>
      <w:kern w:val="0"/>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9"/>
    <w:link w:val="4"/>
    <w:semiHidden/>
    <w:qFormat/>
    <w:uiPriority w:val="99"/>
    <w:rPr>
      <w:rFonts w:ascii="Times New Roman" w:hAnsi="Times New Roman" w:eastAsia="宋体" w:cs="Times New Roman"/>
      <w:sz w:val="18"/>
      <w:szCs w:val="18"/>
    </w:rPr>
  </w:style>
  <w:style w:type="paragraph" w:customStyle="1" w:styleId="20">
    <w:name w:val="列出段落1"/>
    <w:basedOn w:val="1"/>
    <w:qFormat/>
    <w:uiPriority w:val="34"/>
    <w:pPr>
      <w:widowControl/>
      <w:ind w:firstLine="420" w:firstLineChars="200"/>
      <w:jc w:val="left"/>
    </w:pPr>
    <w:rPr>
      <w:kern w:val="0"/>
    </w:rPr>
  </w:style>
  <w:style w:type="character" w:customStyle="1" w:styleId="21">
    <w:name w:val="批注文字 Char"/>
    <w:basedOn w:val="9"/>
    <w:link w:val="2"/>
    <w:qFormat/>
    <w:uiPriority w:val="99"/>
    <w:rPr>
      <w:rFonts w:ascii="Times New Roman" w:hAnsi="Times New Roman" w:eastAsia="宋体" w:cs="Times New Roman"/>
      <w:szCs w:val="20"/>
    </w:rPr>
  </w:style>
  <w:style w:type="character" w:customStyle="1" w:styleId="22">
    <w:name w:val="批注主题 Char"/>
    <w:basedOn w:val="21"/>
    <w:link w:val="7"/>
    <w:semiHidden/>
    <w:qFormat/>
    <w:uiPriority w:val="99"/>
    <w:rPr>
      <w:rFonts w:ascii="Times New Roman" w:hAnsi="Times New Roman" w:eastAsia="宋体" w:cs="Times New Roman"/>
      <w:b/>
      <w:bCs/>
      <w:szCs w:val="20"/>
    </w:rPr>
  </w:style>
  <w:style w:type="paragraph" w:customStyle="1" w:styleId="23">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paragraph" w:customStyle="1" w:styleId="24">
    <w:name w:val="修订1"/>
    <w:hidden/>
    <w:semiHidden/>
    <w:qFormat/>
    <w:uiPriority w:val="99"/>
    <w:rPr>
      <w:rFonts w:ascii="Times New Roman" w:hAnsi="Times New Roman" w:eastAsia="宋体" w:cs="Times New Roman"/>
      <w:kern w:val="2"/>
      <w:sz w:val="21"/>
      <w:lang w:val="en-US" w:eastAsia="zh-CN" w:bidi="ar-SA"/>
    </w:rPr>
  </w:style>
  <w:style w:type="character" w:customStyle="1" w:styleId="25">
    <w:name w:val="列出段落 Char"/>
    <w:link w:val="17"/>
    <w:qFormat/>
    <w:locked/>
    <w:uiPriority w:val="34"/>
    <w:rPr>
      <w:rFonts w:ascii="Times New Roman" w:hAnsi="Times New Roman" w:eastAsia="宋体" w:cs="Times New Roman"/>
      <w:kern w:val="0"/>
      <w:szCs w:val="20"/>
    </w:rPr>
  </w:style>
  <w:style w:type="paragraph" w:customStyle="1" w:styleId="26">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7">
    <w:name w:val="段 Char"/>
    <w:link w:val="26"/>
    <w:qFormat/>
    <w:uiPriority w:val="0"/>
    <w:rPr>
      <w:rFonts w:ascii="宋体" w:hAnsi="Times New Roman" w:eastAsia="宋体" w:cs="Times New Roman"/>
      <w:kern w:val="0"/>
      <w:szCs w:val="20"/>
    </w:rPr>
  </w:style>
  <w:style w:type="paragraph" w:customStyle="1" w:styleId="28">
    <w:name w:val="文二"/>
    <w:basedOn w:val="1"/>
    <w:qFormat/>
    <w:uiPriority w:val="0"/>
    <w:pPr>
      <w:jc w:val="left"/>
    </w:pPr>
    <w:rPr>
      <w:rFonts w:ascii="宋体" w:hAnsi="宋体" w:cs="宋体"/>
      <w:szCs w:val="21"/>
    </w:rPr>
  </w:style>
  <w:style w:type="paragraph" w:customStyle="1" w:styleId="29">
    <w:name w:val="文一"/>
    <w:basedOn w:val="1"/>
    <w:qFormat/>
    <w:uiPriority w:val="0"/>
    <w:pPr>
      <w:topLinePunct/>
      <w:adjustRightInd w:val="0"/>
      <w:snapToGrid w:val="0"/>
      <w:spacing w:line="360" w:lineRule="auto"/>
      <w:ind w:firstLine="200" w:firstLineChars="200"/>
    </w:pPr>
    <w:rPr>
      <w:spacing w:val="4"/>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CA293-16B3-4089-8B0E-1B11F29A662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82</Pages>
  <Words>27726</Words>
  <Characters>28598</Characters>
  <Lines>281</Lines>
  <Paragraphs>79</Paragraphs>
  <TotalTime>0</TotalTime>
  <ScaleCrop>false</ScaleCrop>
  <LinksUpToDate>false</LinksUpToDate>
  <CharactersWithSpaces>29769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2024-12-25T03:06:00Z</dcterms:created>
  <dc:creator>麦健</dc:creator>
  <cp:lastModifiedBy>钟鐘鈡鍾</cp:lastModifiedBy>
  <dcterms:modified xsi:type="dcterms:W3CDTF">2024-12-26T08:12:33Z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D6394320C3D5439AAAB1E525027E1B9C_13</vt:lpwstr>
  </property>
</Properties>
</file>