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E0264">
      <w:pPr>
        <w:jc w:val="center"/>
        <w:outlineLvl w:val="0"/>
        <w:rPr>
          <w:rFonts w:hint="eastAsia" w:ascii="宋体" w:hAnsi="宋体" w:eastAsia="宋体" w:cs="宋体"/>
          <w:b/>
          <w:bCs/>
          <w:color w:val="auto"/>
          <w:sz w:val="48"/>
          <w:szCs w:val="36"/>
          <w:highlight w:val="none"/>
        </w:rPr>
      </w:pPr>
    </w:p>
    <w:p w14:paraId="2414F288">
      <w:pPr>
        <w:jc w:val="center"/>
        <w:outlineLvl w:val="0"/>
        <w:rPr>
          <w:rFonts w:hint="eastAsia" w:ascii="宋体" w:hAnsi="宋体" w:eastAsia="宋体" w:cs="宋体"/>
          <w:b/>
          <w:bCs/>
          <w:color w:val="auto"/>
          <w:sz w:val="48"/>
          <w:szCs w:val="36"/>
          <w:highlight w:val="none"/>
        </w:rPr>
      </w:pPr>
    </w:p>
    <w:p w14:paraId="6C2C151D">
      <w:pPr>
        <w:jc w:val="center"/>
        <w:outlineLvl w:val="0"/>
        <w:rPr>
          <w:rFonts w:hint="eastAsia" w:ascii="宋体" w:hAnsi="宋体" w:eastAsia="宋体" w:cs="宋体"/>
          <w:color w:val="auto"/>
          <w:sz w:val="72"/>
          <w:szCs w:val="72"/>
          <w:highlight w:val="none"/>
        </w:rPr>
      </w:pPr>
      <w:r>
        <w:rPr>
          <w:rFonts w:hint="eastAsia" w:ascii="宋体" w:hAnsi="宋体" w:eastAsia="宋体" w:cs="宋体"/>
          <w:b/>
          <w:bCs/>
          <w:color w:val="auto"/>
          <w:sz w:val="48"/>
          <w:szCs w:val="36"/>
          <w:highlight w:val="none"/>
        </w:rPr>
        <w:t>广州发展中航光电（广东）有限公司分布式光伏电站建设合作项目EPC总承包</w:t>
      </w:r>
    </w:p>
    <w:p w14:paraId="12215408">
      <w:pPr>
        <w:jc w:val="center"/>
        <w:rPr>
          <w:rFonts w:hint="eastAsia" w:ascii="宋体" w:hAnsi="宋体" w:eastAsia="宋体" w:cs="宋体"/>
          <w:color w:val="auto"/>
          <w:sz w:val="72"/>
          <w:szCs w:val="72"/>
          <w:highlight w:val="none"/>
        </w:rPr>
      </w:pPr>
    </w:p>
    <w:p w14:paraId="5254D834">
      <w:pPr>
        <w:pStyle w:val="7"/>
        <w:rPr>
          <w:rFonts w:hint="eastAsia" w:ascii="宋体" w:hAnsi="宋体" w:eastAsia="宋体" w:cs="宋体"/>
          <w:color w:val="auto"/>
          <w:sz w:val="72"/>
          <w:szCs w:val="72"/>
          <w:highlight w:val="none"/>
        </w:rPr>
      </w:pPr>
    </w:p>
    <w:p w14:paraId="626FB4B4">
      <w:pPr>
        <w:rPr>
          <w:rFonts w:hint="eastAsia"/>
          <w:color w:val="auto"/>
          <w:highlight w:val="none"/>
        </w:rPr>
      </w:pPr>
    </w:p>
    <w:p w14:paraId="76E85918">
      <w:pPr>
        <w:rPr>
          <w:rFonts w:hint="eastAsia" w:ascii="宋体" w:hAnsi="宋体" w:eastAsia="宋体" w:cs="宋体"/>
          <w:color w:val="auto"/>
          <w:highlight w:val="none"/>
        </w:rPr>
      </w:pPr>
    </w:p>
    <w:p w14:paraId="528B9435">
      <w:pPr>
        <w:rPr>
          <w:rFonts w:hint="eastAsia" w:ascii="宋体" w:hAnsi="宋体" w:eastAsia="宋体" w:cs="宋体"/>
          <w:color w:val="auto"/>
          <w:highlight w:val="none"/>
        </w:rPr>
      </w:pPr>
    </w:p>
    <w:p w14:paraId="7D21F01D">
      <w:pPr>
        <w:rPr>
          <w:rFonts w:hint="eastAsia" w:ascii="宋体" w:hAnsi="宋体" w:eastAsia="宋体" w:cs="宋体"/>
          <w:color w:val="auto"/>
          <w:highlight w:val="none"/>
        </w:rPr>
      </w:pPr>
    </w:p>
    <w:p w14:paraId="7544A7D1">
      <w:pPr>
        <w:jc w:val="center"/>
        <w:outlineLvl w:val="0"/>
        <w:rPr>
          <w:rFonts w:hint="eastAsia" w:ascii="宋体" w:hAnsi="宋体" w:eastAsia="宋体" w:cs="宋体"/>
          <w:b/>
          <w:bCs/>
          <w:color w:val="auto"/>
          <w:sz w:val="84"/>
          <w:szCs w:val="84"/>
          <w:highlight w:val="none"/>
          <w:lang w:eastAsia="zh-CN"/>
        </w:rPr>
      </w:pPr>
      <w:bookmarkStart w:id="0" w:name="_Toc26417"/>
      <w:r>
        <w:rPr>
          <w:rFonts w:hint="eastAsia" w:ascii="宋体" w:hAnsi="宋体" w:eastAsia="宋体" w:cs="宋体"/>
          <w:b/>
          <w:bCs/>
          <w:color w:val="auto"/>
          <w:sz w:val="84"/>
          <w:szCs w:val="84"/>
          <w:highlight w:val="none"/>
        </w:rPr>
        <w:t xml:space="preserve">招 标 </w:t>
      </w:r>
      <w:r>
        <w:rPr>
          <w:rFonts w:hint="eastAsia" w:ascii="宋体" w:hAnsi="宋体" w:eastAsia="宋体" w:cs="宋体"/>
          <w:b/>
          <w:bCs/>
          <w:color w:val="auto"/>
          <w:sz w:val="84"/>
          <w:szCs w:val="84"/>
          <w:highlight w:val="none"/>
          <w:lang w:eastAsia="zh-CN"/>
        </w:rPr>
        <w:t>公</w:t>
      </w:r>
      <w:r>
        <w:rPr>
          <w:rFonts w:hint="eastAsia" w:ascii="宋体" w:hAnsi="宋体" w:eastAsia="宋体" w:cs="宋体"/>
          <w:b/>
          <w:bCs/>
          <w:color w:val="auto"/>
          <w:sz w:val="84"/>
          <w:szCs w:val="84"/>
          <w:highlight w:val="none"/>
        </w:rPr>
        <w:t xml:space="preserve"> </w:t>
      </w:r>
      <w:bookmarkEnd w:id="0"/>
      <w:r>
        <w:rPr>
          <w:rFonts w:hint="eastAsia" w:ascii="宋体" w:hAnsi="宋体" w:eastAsia="宋体" w:cs="宋体"/>
          <w:b/>
          <w:bCs/>
          <w:color w:val="auto"/>
          <w:sz w:val="84"/>
          <w:szCs w:val="84"/>
          <w:highlight w:val="none"/>
          <w:lang w:eastAsia="zh-CN"/>
        </w:rPr>
        <w:t>告</w:t>
      </w:r>
    </w:p>
    <w:p w14:paraId="1BE8655F">
      <w:pPr>
        <w:jc w:val="center"/>
        <w:rPr>
          <w:rStyle w:val="16"/>
          <w:rFonts w:hint="eastAsia" w:ascii="宋体" w:hAnsi="宋体" w:eastAsia="宋体" w:cs="宋体"/>
          <w:color w:val="auto"/>
          <w:sz w:val="48"/>
          <w:szCs w:val="48"/>
          <w:highlight w:val="none"/>
        </w:rPr>
      </w:pPr>
    </w:p>
    <w:p w14:paraId="225E63BD">
      <w:pPr>
        <w:jc w:val="center"/>
        <w:rPr>
          <w:rFonts w:hint="eastAsia" w:ascii="宋体" w:hAnsi="宋体" w:eastAsia="宋体" w:cs="宋体"/>
          <w:color w:val="auto"/>
          <w:sz w:val="48"/>
          <w:szCs w:val="48"/>
          <w:highlight w:val="none"/>
        </w:rPr>
      </w:pPr>
    </w:p>
    <w:p w14:paraId="59FAC192">
      <w:pPr>
        <w:jc w:val="center"/>
        <w:rPr>
          <w:rFonts w:hint="eastAsia" w:ascii="宋体" w:hAnsi="宋体" w:eastAsia="宋体" w:cs="宋体"/>
          <w:color w:val="auto"/>
          <w:sz w:val="48"/>
          <w:szCs w:val="48"/>
          <w:highlight w:val="none"/>
        </w:rPr>
      </w:pPr>
    </w:p>
    <w:p w14:paraId="67B361B9">
      <w:pPr>
        <w:jc w:val="center"/>
        <w:rPr>
          <w:rFonts w:hint="eastAsia" w:ascii="宋体" w:hAnsi="宋体" w:eastAsia="宋体" w:cs="宋体"/>
          <w:color w:val="auto"/>
          <w:sz w:val="48"/>
          <w:szCs w:val="48"/>
          <w:highlight w:val="none"/>
        </w:rPr>
      </w:pPr>
    </w:p>
    <w:p w14:paraId="631BB21A">
      <w:pPr>
        <w:pStyle w:val="12"/>
        <w:rPr>
          <w:color w:val="auto"/>
          <w:highlight w:val="none"/>
        </w:rPr>
      </w:pPr>
    </w:p>
    <w:p w14:paraId="6DC92B1A">
      <w:pPr>
        <w:rPr>
          <w:rFonts w:hint="eastAsia" w:ascii="宋体" w:hAnsi="宋体" w:eastAsia="宋体" w:cs="宋体"/>
          <w:color w:val="auto"/>
          <w:sz w:val="48"/>
          <w:szCs w:val="48"/>
          <w:highlight w:val="none"/>
        </w:rPr>
      </w:pPr>
    </w:p>
    <w:p w14:paraId="28E29111">
      <w:pPr>
        <w:rPr>
          <w:rFonts w:hint="eastAsia" w:ascii="宋体" w:hAnsi="宋体" w:eastAsia="宋体" w:cs="宋体"/>
          <w:color w:val="auto"/>
          <w:highlight w:val="none"/>
        </w:rPr>
      </w:pPr>
    </w:p>
    <w:p w14:paraId="54B53C51">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 标  单 位：</w:t>
      </w:r>
      <w:r>
        <w:rPr>
          <w:rFonts w:hint="eastAsia" w:ascii="宋体" w:hAnsi="宋体" w:eastAsia="宋体" w:cs="宋体"/>
          <w:color w:val="auto"/>
          <w:sz w:val="32"/>
          <w:szCs w:val="32"/>
          <w:highlight w:val="none"/>
          <w:u w:val="single"/>
        </w:rPr>
        <w:t>广州发展新能源集团股份有限公司</w:t>
      </w:r>
    </w:p>
    <w:p w14:paraId="3E0CD7D7">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u w:val="single"/>
        </w:rPr>
        <w:t>北京中交建设工程咨询有限公司</w:t>
      </w:r>
      <w:r>
        <w:rPr>
          <w:rFonts w:hint="eastAsia" w:ascii="宋体" w:hAnsi="宋体" w:eastAsia="宋体" w:cs="宋体"/>
          <w:color w:val="auto"/>
          <w:sz w:val="32"/>
          <w:szCs w:val="32"/>
          <w:highlight w:val="none"/>
        </w:rPr>
        <w:t xml:space="preserve"> </w:t>
      </w:r>
    </w:p>
    <w:p w14:paraId="6299097B">
      <w:pPr>
        <w:spacing w:line="360" w:lineRule="auto"/>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招标机构签章位置</w:t>
      </w:r>
    </w:p>
    <w:p w14:paraId="0CDF540A">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期：2024年</w:t>
      </w:r>
      <w:r>
        <w:rPr>
          <w:rFonts w:hint="eastAsia" w:ascii="宋体" w:hAnsi="宋体" w:eastAsia="宋体" w:cs="宋体"/>
          <w:color w:val="auto"/>
          <w:sz w:val="32"/>
          <w:szCs w:val="32"/>
          <w:highlight w:val="none"/>
          <w:lang w:val="en-US" w:eastAsia="zh-CN"/>
        </w:rPr>
        <w:t>12</w:t>
      </w:r>
      <w:r>
        <w:rPr>
          <w:rFonts w:hint="eastAsia" w:ascii="宋体" w:hAnsi="宋体" w:eastAsia="宋体" w:cs="宋体"/>
          <w:color w:val="auto"/>
          <w:sz w:val="32"/>
          <w:szCs w:val="32"/>
          <w:highlight w:val="none"/>
        </w:rPr>
        <w:t>月</w:t>
      </w:r>
    </w:p>
    <w:p w14:paraId="1A2E04EB">
      <w:pPr>
        <w:spacing w:line="360" w:lineRule="auto"/>
        <w:jc w:val="center"/>
        <w:rPr>
          <w:rFonts w:hint="eastAsia" w:ascii="宋体" w:hAnsi="宋体" w:eastAsia="宋体" w:cs="宋体"/>
          <w:b/>
          <w:bCs/>
          <w:color w:val="auto"/>
          <w:sz w:val="44"/>
          <w:szCs w:val="44"/>
          <w:highlight w:val="none"/>
        </w:rPr>
        <w:sectPr>
          <w:footerReference r:id="rId4" w:type="first"/>
          <w:footerReference r:id="rId3" w:type="default"/>
          <w:pgSz w:w="11905" w:h="16838"/>
          <w:pgMar w:top="1440" w:right="1440" w:bottom="1440" w:left="1440" w:header="850" w:footer="992" w:gutter="0"/>
          <w:paperSrc/>
          <w:pgNumType w:start="1"/>
          <w:cols w:space="0" w:num="1"/>
          <w:rtlGutter w:val="0"/>
          <w:docGrid w:linePitch="316" w:charSpace="0"/>
        </w:sectPr>
      </w:pPr>
    </w:p>
    <w:p w14:paraId="6392440B">
      <w:pPr>
        <w:pStyle w:val="5"/>
        <w:widowControl/>
        <w:spacing w:line="240" w:lineRule="auto"/>
        <w:jc w:val="center"/>
        <w:rPr>
          <w:rFonts w:hint="eastAsia" w:ascii="宋体" w:hAnsi="宋体" w:eastAsia="宋体" w:cs="宋体"/>
          <w:color w:val="auto"/>
          <w:sz w:val="36"/>
          <w:szCs w:val="36"/>
          <w:highlight w:val="none"/>
        </w:rPr>
      </w:pPr>
      <w:bookmarkStart w:id="1" w:name="_Toc17872"/>
      <w:bookmarkStart w:id="2" w:name="_Toc152045511"/>
      <w:bookmarkStart w:id="3" w:name="_Toc144974479"/>
      <w:bookmarkStart w:id="4" w:name="_Toc247527533"/>
      <w:bookmarkStart w:id="5" w:name="_Toc152042287"/>
      <w:bookmarkStart w:id="6" w:name="_Toc247513932"/>
      <w:r>
        <w:rPr>
          <w:rFonts w:hint="eastAsia" w:ascii="宋体" w:hAnsi="宋体" w:eastAsia="宋体" w:cs="宋体"/>
          <w:color w:val="auto"/>
          <w:sz w:val="36"/>
          <w:szCs w:val="36"/>
          <w:highlight w:val="none"/>
        </w:rPr>
        <w:t>招标公告</w:t>
      </w:r>
      <w:bookmarkEnd w:id="1"/>
    </w:p>
    <w:bookmarkEnd w:id="2"/>
    <w:bookmarkEnd w:id="3"/>
    <w:bookmarkEnd w:id="4"/>
    <w:bookmarkEnd w:id="5"/>
    <w:bookmarkEnd w:id="6"/>
    <w:p w14:paraId="0D35663D">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w:t>
      </w:r>
      <w:r>
        <w:rPr>
          <w:rFonts w:hint="eastAsia" w:ascii="宋体" w:hAnsi="宋体" w:eastAsia="宋体" w:cs="宋体"/>
          <w:color w:val="auto"/>
          <w:sz w:val="24"/>
          <w:highlight w:val="none"/>
          <w:u w:val="single"/>
        </w:rPr>
        <w:t>目为</w:t>
      </w:r>
      <w:r>
        <w:rPr>
          <w:rFonts w:hint="eastAsia" w:ascii="宋体" w:hAnsi="宋体" w:eastAsia="宋体" w:cs="宋体"/>
          <w:color w:val="auto"/>
          <w:sz w:val="24"/>
          <w:highlight w:val="none"/>
          <w:u w:val="single"/>
          <w:lang w:bidi="ar"/>
        </w:rPr>
        <w:t>广州发展中航光电（广东）有限公司分布式光伏电站建设合作项目EPC总承包</w:t>
      </w:r>
      <w:r>
        <w:rPr>
          <w:rFonts w:hint="eastAsia" w:ascii="宋体" w:hAnsi="宋体" w:eastAsia="宋体" w:cs="宋体"/>
          <w:color w:val="auto"/>
          <w:sz w:val="24"/>
          <w:highlight w:val="none"/>
          <w:u w:val="single"/>
        </w:rPr>
        <w:t>已</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u w:val="single"/>
        </w:rPr>
        <w:t>番禺区发展和改革局</w:t>
      </w:r>
      <w:r>
        <w:rPr>
          <w:rFonts w:hint="eastAsia" w:ascii="宋体" w:hAnsi="宋体" w:eastAsia="宋体" w:cs="宋体"/>
          <w:color w:val="auto"/>
          <w:sz w:val="24"/>
          <w:highlight w:val="none"/>
        </w:rPr>
        <w:t>签发</w:t>
      </w:r>
      <w:r>
        <w:rPr>
          <w:rFonts w:hint="eastAsia" w:ascii="宋体" w:hAnsi="宋体" w:eastAsia="宋体" w:cs="宋体"/>
          <w:color w:val="auto"/>
          <w:sz w:val="24"/>
          <w:highlight w:val="none"/>
          <w:u w:val="single"/>
        </w:rPr>
        <w:t>广东省企业投资项目备案证（2410-440113-04-05-357167）</w:t>
      </w:r>
      <w:r>
        <w:rPr>
          <w:rFonts w:hint="eastAsia" w:ascii="宋体" w:hAnsi="宋体" w:eastAsia="宋体" w:cs="宋体"/>
          <w:color w:val="auto"/>
          <w:sz w:val="24"/>
          <w:highlight w:val="none"/>
        </w:rPr>
        <w:t>，项目业主为</w:t>
      </w:r>
      <w:r>
        <w:rPr>
          <w:rFonts w:hint="eastAsia" w:ascii="宋体" w:hAnsi="宋体" w:eastAsia="宋体" w:cs="宋体"/>
          <w:color w:val="auto"/>
          <w:sz w:val="24"/>
          <w:highlight w:val="none"/>
          <w:u w:val="single"/>
        </w:rPr>
        <w:t>广州发展新能源集团股份有限公司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企业自筹资金</w:t>
      </w:r>
      <w:r>
        <w:rPr>
          <w:rFonts w:hint="eastAsia" w:ascii="宋体" w:hAnsi="宋体" w:eastAsia="宋体" w:cs="宋体"/>
          <w:color w:val="auto"/>
          <w:sz w:val="24"/>
          <w:highlight w:val="none"/>
        </w:rPr>
        <w:t>，招标单位为</w:t>
      </w:r>
      <w:r>
        <w:rPr>
          <w:rFonts w:hint="eastAsia" w:ascii="宋体" w:hAnsi="宋体" w:eastAsia="宋体" w:cs="宋体"/>
          <w:color w:val="auto"/>
          <w:sz w:val="24"/>
          <w:highlight w:val="none"/>
          <w:u w:val="single"/>
        </w:rPr>
        <w:t>广州发展新能源集团股份有限公司</w:t>
      </w:r>
      <w:r>
        <w:rPr>
          <w:rFonts w:hint="eastAsia" w:ascii="宋体" w:hAnsi="宋体" w:eastAsia="宋体" w:cs="宋体"/>
          <w:color w:val="auto"/>
          <w:sz w:val="24"/>
          <w:highlight w:val="none"/>
        </w:rPr>
        <w:t>。本项目已具备招标条件，现对该项目的EPC总承包进行公开招标。欢迎合格的投标人参加投标。</w:t>
      </w:r>
    </w:p>
    <w:p w14:paraId="205B2619">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一、项目名称：</w:t>
      </w:r>
      <w:r>
        <w:rPr>
          <w:rFonts w:hint="eastAsia" w:ascii="宋体" w:hAnsi="宋体" w:eastAsia="宋体" w:cs="宋体"/>
          <w:color w:val="auto"/>
          <w:sz w:val="24"/>
          <w:highlight w:val="none"/>
          <w:u w:val="single"/>
          <w:lang w:bidi="ar"/>
        </w:rPr>
        <w:t>广州发展中航光电（广东）有限公司分布式光伏电站建设合作项目EPC总承包</w:t>
      </w:r>
    </w:p>
    <w:p w14:paraId="73688B08">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二、招标单位：</w:t>
      </w:r>
      <w:r>
        <w:rPr>
          <w:rFonts w:hint="eastAsia" w:ascii="宋体" w:hAnsi="宋体" w:eastAsia="宋体" w:cs="宋体"/>
          <w:color w:val="auto"/>
          <w:sz w:val="24"/>
          <w:highlight w:val="none"/>
          <w:u w:val="single"/>
          <w:lang w:bidi="ar"/>
        </w:rPr>
        <w:t>广州发展新能源集团股份有限公司</w:t>
      </w:r>
    </w:p>
    <w:p w14:paraId="51E329A3">
      <w:pPr>
        <w:tabs>
          <w:tab w:val="center" w:pos="4415"/>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联系人：</w:t>
      </w:r>
      <w:bookmarkStart w:id="7" w:name="OLE_LINK5"/>
      <w:r>
        <w:rPr>
          <w:rFonts w:hint="eastAsia" w:ascii="宋体" w:hAnsi="宋体" w:eastAsia="宋体" w:cs="宋体"/>
          <w:color w:val="auto"/>
          <w:sz w:val="24"/>
          <w:highlight w:val="none"/>
          <w:u w:val="single"/>
          <w:lang w:bidi="ar"/>
        </w:rPr>
        <w:t>陈工</w:t>
      </w:r>
      <w:bookmarkEnd w:id="7"/>
      <w:r>
        <w:rPr>
          <w:rFonts w:hint="eastAsia" w:ascii="宋体" w:hAnsi="宋体" w:eastAsia="宋体" w:cs="宋体"/>
          <w:color w:val="auto"/>
          <w:sz w:val="24"/>
          <w:highlight w:val="none"/>
          <w:lang w:bidi="ar"/>
        </w:rPr>
        <w:t xml:space="preserve">     联系电话：</w:t>
      </w:r>
      <w:bookmarkStart w:id="8" w:name="OLE_LINK161"/>
      <w:r>
        <w:rPr>
          <w:rFonts w:hint="eastAsia" w:ascii="宋体" w:hAnsi="宋体" w:eastAsia="宋体" w:cs="宋体"/>
          <w:color w:val="auto"/>
          <w:sz w:val="24"/>
          <w:highlight w:val="none"/>
          <w:u w:val="single"/>
          <w:lang w:bidi="ar"/>
        </w:rPr>
        <w:t>020-87571846</w:t>
      </w:r>
      <w:bookmarkEnd w:id="8"/>
    </w:p>
    <w:p w14:paraId="4C698EB7">
      <w:pPr>
        <w:tabs>
          <w:tab w:val="center" w:pos="441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北京中交建设工程咨询有限公司</w:t>
      </w:r>
    </w:p>
    <w:p w14:paraId="61040AE4">
      <w:pPr>
        <w:tabs>
          <w:tab w:val="center" w:pos="4415"/>
        </w:tabs>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唐工、方工</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020-87575800-835/838</w:t>
      </w:r>
    </w:p>
    <w:p w14:paraId="0EE0EDBB">
      <w:pPr>
        <w:tabs>
          <w:tab w:val="center" w:pos="4415"/>
        </w:tabs>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招标监督机构：</w:t>
      </w:r>
      <w:r>
        <w:rPr>
          <w:rFonts w:hint="eastAsia" w:ascii="宋体" w:hAnsi="宋体" w:eastAsia="宋体" w:cs="宋体"/>
          <w:color w:val="auto"/>
          <w:sz w:val="24"/>
          <w:highlight w:val="none"/>
          <w:u w:val="single"/>
          <w:lang w:bidi="ar"/>
        </w:rPr>
        <w:t>广州发展集团股份有限公司招标管理部</w:t>
      </w:r>
    </w:p>
    <w:p w14:paraId="36EEEA29">
      <w:pPr>
        <w:tabs>
          <w:tab w:val="center" w:pos="4415"/>
        </w:tabs>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监督电话：</w:t>
      </w:r>
      <w:r>
        <w:rPr>
          <w:rFonts w:hint="eastAsia" w:ascii="宋体" w:hAnsi="宋体" w:eastAsia="宋体" w:cs="宋体"/>
          <w:color w:val="auto"/>
          <w:sz w:val="24"/>
          <w:highlight w:val="none"/>
          <w:u w:val="single"/>
          <w:lang w:bidi="ar"/>
        </w:rPr>
        <w:t>020-37850890</w:t>
      </w:r>
    </w:p>
    <w:p w14:paraId="0CB576F1">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三、建设地点及项目概况：</w:t>
      </w:r>
    </w:p>
    <w:p w14:paraId="34FA73ED">
      <w:pPr>
        <w:tabs>
          <w:tab w:val="left" w:pos="567"/>
          <w:tab w:val="left" w:pos="735"/>
          <w:tab w:val="left" w:pos="2160"/>
        </w:tabs>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本项目位于广东省广州市番禺区化龙镇金轩一路6号，地理坐标为东经113°47.444′，北纬23°2.4588′。</w:t>
      </w:r>
    </w:p>
    <w:p w14:paraId="30471454">
      <w:pPr>
        <w:tabs>
          <w:tab w:val="left" w:pos="567"/>
          <w:tab w:val="left" w:pos="735"/>
          <w:tab w:val="left" w:pos="216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项目包括太阳能光伏发电系统相应的配套上网设施、运维设施完成当地电网所要求的全部并网检测、现场测试及性能验证等，拟采用10kV电压并网，采用“自发自用，余电上网”，最终接入方式以电网批复方案为准。</w:t>
      </w:r>
    </w:p>
    <w:p w14:paraId="2DAEFFA1">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四、标段划分及各标段招标内容、规模：</w:t>
      </w:r>
    </w:p>
    <w:p w14:paraId="7FB9E333">
      <w:pPr>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1、本项目划分为</w:t>
      </w:r>
      <w:r>
        <w:rPr>
          <w:rFonts w:hint="eastAsia" w:ascii="宋体" w:hAnsi="宋体" w:eastAsia="宋体" w:cs="宋体"/>
          <w:color w:val="auto"/>
          <w:sz w:val="24"/>
          <w:highlight w:val="none"/>
          <w:u w:val="single"/>
          <w:lang w:bidi="ar"/>
        </w:rPr>
        <w:t>1</w:t>
      </w:r>
      <w:r>
        <w:rPr>
          <w:rFonts w:hint="eastAsia" w:ascii="宋体" w:hAnsi="宋体" w:eastAsia="宋体" w:cs="宋体"/>
          <w:color w:val="auto"/>
          <w:sz w:val="24"/>
          <w:highlight w:val="none"/>
          <w:lang w:bidi="ar"/>
        </w:rPr>
        <w:t>个标段：</w:t>
      </w:r>
    </w:p>
    <w:p w14:paraId="376878C8">
      <w:pPr>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2、招标内容、规模：</w:t>
      </w:r>
    </w:p>
    <w:p w14:paraId="080A3068">
      <w:pPr>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本项目采取总承包交钥匙方式完成，</w:t>
      </w:r>
      <w:r>
        <w:rPr>
          <w:rFonts w:hint="eastAsia" w:ascii="宋体" w:hAnsi="宋体" w:eastAsia="宋体" w:cs="宋体"/>
          <w:b/>
          <w:bCs/>
          <w:color w:val="auto"/>
          <w:sz w:val="24"/>
          <w:highlight w:val="none"/>
          <w:lang w:bidi="ar"/>
        </w:rPr>
        <w:t>组件由招标方采购</w:t>
      </w:r>
      <w:r>
        <w:rPr>
          <w:rFonts w:hint="eastAsia" w:ascii="宋体" w:hAnsi="宋体" w:eastAsia="宋体" w:cs="宋体"/>
          <w:color w:val="auto"/>
          <w:sz w:val="24"/>
          <w:highlight w:val="none"/>
          <w:lang w:bidi="ar"/>
        </w:rPr>
        <w:t>，拟将光伏组件安装在广东省广州市广州发展中航光电（广东）有限公司建筑屋顶上，光伏电站总装机容量约为7488.97kWp。主要电力和电气设备包括：光伏组件、直或交流汇流箱、逆变器、升压变压器、10kV开关柜、二次设备等设施；主要使用的材料有光伏组件支架、交直流电力电缆、电缆桥架等。合同内容包括太阳能光伏电站太阳能电池至并网点的全部工程设计、设备材料采购供应、所有设备的二次搬运与保管、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14:paraId="3E078158">
      <w:pPr>
        <w:spacing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并网接入工作所包含的一切费用属于投标方范围，包括但不限于取得可再生能源质监站出具的并网批复及意见单（委托电力质监、与可再生能源质监相关单位签订咨询服务合同（如需））、接入方案编制及评审、接入施工图编制及评审、工程设备费用、用户侧或站端与调度运行间的通讯、继电保护设备费、设备检测费、并网验收所产生的相关费用等，其中配电柜、线缆、计量、通讯、控制部分选型必须满足南方电网相关标准，设备必须同建筑所有者内部配电设备相匹配、厂家一致或高于建筑所有者内部配电设备要求，关键元件需严格满足业主和建筑所有权者的要求。消防（包含报建、检测、验收）、防雷设计审核及防雷装置竣工验收等所需办理的各种手续，由投标方以招标方的名义办理并承担费用。</w:t>
      </w:r>
    </w:p>
    <w:p w14:paraId="290C2072">
      <w:pPr>
        <w:adjustRightInd w:val="0"/>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招标范围除新建满足招标文件技术要求的完整的太阳能并网光伏电站外，还包括因建造光伏电站需要而对原有建、构筑物局部的拆除、还建、修复、防水补漏等。</w:t>
      </w:r>
    </w:p>
    <w:p w14:paraId="60A3B44A">
      <w:pPr>
        <w:adjustRightInd w:val="0"/>
        <w:snapToGrid w:val="0"/>
        <w:spacing w:line="360" w:lineRule="auto"/>
        <w:ind w:firstLine="42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3、计划工期：进场10天内提交开工报告，合同签订后15天内完成设计图纸评审；正式开工之日起6个月内通过并网验收</w:t>
      </w:r>
      <w:r>
        <w:rPr>
          <w:rFonts w:hint="eastAsia" w:ascii="宋体" w:hAnsi="宋体" w:eastAsia="宋体" w:cs="宋体"/>
          <w:bCs/>
          <w:color w:val="auto"/>
          <w:sz w:val="24"/>
          <w:highlight w:val="none"/>
        </w:rPr>
        <w:t>。</w:t>
      </w:r>
    </w:p>
    <w:p w14:paraId="72A62881">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具体要求详见招标文件第五章《发包人要求》。</w:t>
      </w:r>
    </w:p>
    <w:p w14:paraId="5B3CA44B">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五、投标人资格要求：</w:t>
      </w:r>
    </w:p>
    <w:p w14:paraId="4F1EA4CB">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1、投标人参加投标的意思表达清楚，投标人代表被授权有效。</w:t>
      </w:r>
    </w:p>
    <w:p w14:paraId="0E608759">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highlight w:val="none"/>
          <w:lang w:bidi="ar"/>
        </w:rPr>
        <w:t>。</w:t>
      </w:r>
    </w:p>
    <w:p w14:paraId="4D067A4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14:paraId="2E95518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A:设计资质：具有工程设计综合甲级资质，或工程设计电力行业乙级或以上资质，或工程设计电力行业（新能源）专业乙级。</w:t>
      </w:r>
    </w:p>
    <w:p w14:paraId="11EB38B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B:施工资质：具有电力工程施工总承包三级或以上资质,及持有建设行政主管部门颁发的有效期内的安全生产许可证。</w:t>
      </w:r>
    </w:p>
    <w:p w14:paraId="01410FC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[需提供符合上述要求的投标人资质证书扫描件。]</w:t>
      </w:r>
    </w:p>
    <w:p w14:paraId="4A60245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4、投标人（若为联合体投标，指联合体主办方）自2019年1月1日起至投标截止日期止至少有1个已并网的单项容量</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MW或以上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28784D4A">
      <w:pPr>
        <w:adjustRightInd w:val="0"/>
        <w:snapToGrid w:val="0"/>
        <w:spacing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rPr>
        <w:t>或竣工验收时间</w:t>
      </w:r>
      <w:r>
        <w:rPr>
          <w:rFonts w:hint="eastAsia" w:ascii="宋体" w:hAnsi="宋体" w:eastAsia="宋体" w:cs="宋体"/>
          <w:b/>
          <w:color w:val="auto"/>
          <w:sz w:val="24"/>
          <w:highlight w:val="none"/>
          <w:lang w:bidi="ar"/>
        </w:rPr>
        <w:t>为准。</w:t>
      </w:r>
    </w:p>
    <w:p w14:paraId="3AB3868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5、投标人（指</w:t>
      </w:r>
      <w:r>
        <w:rPr>
          <w:rFonts w:hint="eastAsia" w:ascii="宋体" w:hAnsi="宋体" w:eastAsia="宋体" w:cs="宋体"/>
          <w:color w:val="auto"/>
          <w:sz w:val="24"/>
          <w:highlight w:val="none"/>
        </w:rPr>
        <w:t>联合体成员方</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自2019年1月1日起至投标截止日期止至少有1个已并网的单项容量</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MW或以上的光伏电站设计或施工业绩</w:t>
      </w:r>
      <w:r>
        <w:rPr>
          <w:rFonts w:hint="eastAsia" w:ascii="宋体" w:hAnsi="宋体" w:eastAsia="宋体" w:cs="宋体"/>
          <w:b/>
          <w:bCs/>
          <w:color w:val="auto"/>
          <w:sz w:val="24"/>
          <w:highlight w:val="none"/>
        </w:rPr>
        <w:t>（根据成员方在本项目承担的任务确认业绩类型要求）</w:t>
      </w:r>
      <w:r>
        <w:rPr>
          <w:rFonts w:hint="eastAsia"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3AB9A026">
      <w:pPr>
        <w:snapToGrid w:val="0"/>
        <w:spacing w:line="360" w:lineRule="auto"/>
        <w:ind w:firstLine="482" w:firstLineChars="200"/>
        <w:rPr>
          <w:rFonts w:hint="eastAsia" w:ascii="宋体" w:hAnsi="宋体" w:eastAsia="宋体" w:cs="宋体"/>
          <w:color w:val="auto"/>
          <w:sz w:val="24"/>
          <w:highlight w:val="none"/>
          <w:lang w:bidi="ar"/>
        </w:rPr>
      </w:pPr>
      <w:r>
        <w:rPr>
          <w:rFonts w:hint="eastAsia" w:ascii="宋体" w:hAnsi="宋体" w:eastAsia="宋体" w:cs="宋体"/>
          <w:b/>
          <w:color w:val="auto"/>
          <w:sz w:val="24"/>
          <w:highlight w:val="none"/>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lang w:bidi="ar"/>
        </w:rPr>
        <w:t>或竣工验收时间</w:t>
      </w:r>
      <w:r>
        <w:rPr>
          <w:rFonts w:hint="eastAsia" w:ascii="宋体" w:hAnsi="宋体" w:eastAsia="宋体" w:cs="宋体"/>
          <w:b/>
          <w:color w:val="auto"/>
          <w:sz w:val="24"/>
          <w:highlight w:val="none"/>
          <w:lang w:bidi="ar"/>
        </w:rPr>
        <w:t>为准。</w:t>
      </w:r>
    </w:p>
    <w:p w14:paraId="1A113C2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highlight w:val="none"/>
          <w:lang w:bidi="ar"/>
        </w:rPr>
        <w:t>投标人声明。</w:t>
      </w:r>
    </w:p>
    <w:p w14:paraId="58550D1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1AE46425">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8、本次招标接受联合体投标。只接受不多于2家单位组成的联合体，承担设计任务的联合体成员1家，承担施工任务的联合体成员1家，并签定联合体协议书。联合体协议书应明确约定各方拟承担的工作和责任。 </w:t>
      </w:r>
    </w:p>
    <w:p w14:paraId="20167C19">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注：1）参加联合体的各成员不得再以自己的名义单独投标，也不得同时参加两个或两个以上的联合体投标。出现上述情况者，其投标和与此有关的联合体的投标将被拒绝。 </w:t>
      </w:r>
    </w:p>
    <w:p w14:paraId="61CF4D6C">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2）投标人拟任本工程的项目经理、设计负责人必须是联合体中对应分工成员的正式员工，以上人员不得重复兼任。</w:t>
      </w:r>
    </w:p>
    <w:p w14:paraId="5C395F80">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3）组成联合体的投标人，应在联合体协议中明确承接工作任务（施工任务或设计任务）的成员单位。</w:t>
      </w:r>
    </w:p>
    <w:p w14:paraId="5EB222D1">
      <w:pPr>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六、公告发布日期、领取招标文件事宜、递交投标文件时间与开标时间：</w:t>
      </w:r>
    </w:p>
    <w:p w14:paraId="07138269">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bidi="ar"/>
        </w:rPr>
        <w:t>2024年  月  日  时  分</w:t>
      </w:r>
      <w:r>
        <w:rPr>
          <w:rFonts w:hint="eastAsia" w:ascii="宋体" w:hAnsi="宋体" w:eastAsia="宋体" w:cs="宋体"/>
          <w:color w:val="auto"/>
          <w:kern w:val="0"/>
          <w:sz w:val="24"/>
          <w:highlight w:val="none"/>
          <w:shd w:val="clear" w:color="auto" w:fill="FFFFFF"/>
          <w:lang w:bidi="ar"/>
        </w:rPr>
        <w:t>。</w:t>
      </w:r>
    </w:p>
    <w:p w14:paraId="71729D4F">
      <w:pPr>
        <w:spacing w:line="360" w:lineRule="auto"/>
        <w:ind w:firstLine="720" w:firstLineChars="3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bidi="ar"/>
        </w:rPr>
        <w:t>2024年  月  日  时  分</w:t>
      </w:r>
      <w:r>
        <w:rPr>
          <w:rFonts w:hint="eastAsia" w:ascii="宋体" w:hAnsi="宋体" w:eastAsia="宋体" w:cs="宋体"/>
          <w:color w:val="auto"/>
          <w:kern w:val="0"/>
          <w:sz w:val="24"/>
          <w:highlight w:val="none"/>
          <w:shd w:val="clear" w:color="auto" w:fill="FFFFFF"/>
          <w:lang w:bidi="ar"/>
        </w:rPr>
        <w:t>。</w:t>
      </w:r>
    </w:p>
    <w:p w14:paraId="5C515312">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45A5B1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2、投标登记及领取招标文件方式：</w:t>
      </w:r>
    </w:p>
    <w:p w14:paraId="03F3BCD3">
      <w:pPr>
        <w:wordWrap w:val="0"/>
        <w:spacing w:after="0" w:line="360" w:lineRule="auto"/>
        <w:ind w:left="239" w:leftChars="114" w:firstLine="307" w:firstLineChars="128"/>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在广州公共资源交易中心业务系统完成了线上投标登记的投标人须在</w:t>
      </w:r>
      <w:r>
        <w:rPr>
          <w:rFonts w:hint="eastAsia" w:ascii="宋体" w:hAnsi="宋体" w:eastAsia="宋体" w:cs="宋体"/>
          <w:color w:val="auto"/>
          <w:kern w:val="0"/>
          <w:sz w:val="24"/>
          <w:highlight w:val="none"/>
          <w:u w:val="none"/>
          <w:shd w:val="clear" w:color="auto" w:fill="FFFFFF"/>
          <w:lang w:bidi="ar"/>
        </w:rPr>
        <w:t>2024年  月 日  时  分</w:t>
      </w:r>
      <w:r>
        <w:rPr>
          <w:rFonts w:hint="eastAsia" w:ascii="宋体" w:hAnsi="宋体" w:eastAsia="宋体" w:cs="宋体"/>
          <w:color w:val="auto"/>
          <w:kern w:val="0"/>
          <w:sz w:val="24"/>
          <w:highlight w:val="none"/>
          <w:shd w:val="clear" w:color="auto" w:fill="FFFFFF"/>
          <w:lang w:bidi="ar"/>
        </w:rPr>
        <w:t>至</w:t>
      </w:r>
      <w:r>
        <w:rPr>
          <w:rFonts w:hint="eastAsia" w:ascii="宋体" w:hAnsi="宋体" w:eastAsia="宋体" w:cs="宋体"/>
          <w:color w:val="auto"/>
          <w:kern w:val="0"/>
          <w:sz w:val="24"/>
          <w:highlight w:val="none"/>
          <w:u w:val="none"/>
          <w:shd w:val="clear" w:color="auto" w:fill="FFFFFF"/>
          <w:lang w:bidi="ar"/>
        </w:rPr>
        <w:t>2024年  月  日  时  分</w:t>
      </w:r>
      <w:r>
        <w:rPr>
          <w:rFonts w:hint="eastAsia" w:ascii="宋体" w:hAnsi="宋体" w:eastAsia="宋体" w:cs="宋体"/>
          <w:color w:val="auto"/>
          <w:kern w:val="0"/>
          <w:sz w:val="24"/>
          <w:highlight w:val="none"/>
          <w:shd w:val="clear" w:color="auto" w:fill="FFFFFF"/>
          <w:lang w:bidi="ar"/>
        </w:rPr>
        <w:t>联系招标代理机构（联系人：唐工，电话：020-87575800-835）办理招标文件购买，招标文件每套售价500元（售后不退），招标代理机构只开具对应金额电子增值税普通发票，投标登记时间结束后统一发至所留邮箱，请自行下载。</w:t>
      </w:r>
    </w:p>
    <w:p w14:paraId="2E87B828">
      <w:pPr>
        <w:pStyle w:val="2"/>
        <w:wordWrap w:val="0"/>
        <w:spacing w:after="0"/>
        <w:ind w:firstLine="480"/>
        <w:rPr>
          <w:rFonts w:hint="eastAsia" w:ascii="宋体" w:hAnsi="宋体" w:cs="宋体"/>
          <w:color w:val="auto"/>
          <w:sz w:val="24"/>
          <w:highlight w:val="none"/>
        </w:rPr>
      </w:pPr>
      <w:r>
        <w:rPr>
          <w:rFonts w:hint="eastAsia" w:ascii="宋体" w:hAnsi="宋体" w:cs="宋体"/>
          <w:color w:val="auto"/>
          <w:sz w:val="24"/>
          <w:highlight w:val="none"/>
        </w:rPr>
        <w:t>注：上述费用在获取招标文件后不予退还。</w:t>
      </w:r>
    </w:p>
    <w:p w14:paraId="2A017CBF">
      <w:pPr>
        <w:shd w:val="clear" w:color="auto" w:fill="FFFFFF"/>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3、递交投标文件起始时间：2024年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w:t>
      </w:r>
    </w:p>
    <w:p w14:paraId="6FACA12F">
      <w:pPr>
        <w:shd w:val="clear" w:color="auto" w:fill="FFFFFF"/>
        <w:snapToGrid w:val="0"/>
        <w:spacing w:line="360" w:lineRule="auto"/>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截止时间：2024年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w:t>
      </w:r>
    </w:p>
    <w:p w14:paraId="79431039">
      <w:pPr>
        <w:spacing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bidi="ar"/>
        </w:rPr>
        <w:t>4、投标人通过</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bidi="ar"/>
        </w:rPr>
        <w:t>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bidi="ar"/>
        </w:rPr>
        <w:t>广州公共资源交易中心交易网站（网址：http://www.gzggzy.cn）。</w:t>
      </w:r>
    </w:p>
    <w:p w14:paraId="07AE3D3A">
      <w:pPr>
        <w:spacing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5、递交电子投标文件备用光盘或U盘时间：</w:t>
      </w:r>
      <w:r>
        <w:rPr>
          <w:rFonts w:hint="eastAsia" w:ascii="宋体" w:hAnsi="宋体" w:eastAsia="宋体" w:cs="宋体"/>
          <w:color w:val="auto"/>
          <w:sz w:val="24"/>
          <w:highlight w:val="none"/>
          <w:shd w:val="clear" w:color="auto" w:fill="FFFFFF"/>
        </w:rPr>
        <w:t>2024年  月  日 时  分</w:t>
      </w:r>
      <w:r>
        <w:rPr>
          <w:rFonts w:hint="eastAsia" w:ascii="宋体" w:hAnsi="宋体" w:eastAsia="宋体" w:cs="宋体"/>
          <w:color w:val="auto"/>
          <w:sz w:val="24"/>
          <w:highlight w:val="none"/>
          <w:shd w:val="clear" w:color="auto" w:fill="FFFFFF"/>
          <w:lang w:bidi="ar"/>
        </w:rPr>
        <w:t>至</w:t>
      </w:r>
      <w:r>
        <w:rPr>
          <w:rFonts w:hint="eastAsia" w:ascii="宋体" w:hAnsi="宋体" w:eastAsia="宋体" w:cs="宋体"/>
          <w:color w:val="auto"/>
          <w:sz w:val="24"/>
          <w:highlight w:val="none"/>
          <w:shd w:val="clear" w:color="auto" w:fill="FFFFFF"/>
        </w:rPr>
        <w:t>2024年  月 日  时  分</w:t>
      </w:r>
      <w:r>
        <w:rPr>
          <w:rFonts w:hint="eastAsia" w:ascii="宋体" w:hAnsi="宋体" w:eastAsia="宋体" w:cs="宋体"/>
          <w:color w:val="auto"/>
          <w:sz w:val="24"/>
          <w:highlight w:val="none"/>
          <w:shd w:val="clear" w:color="auto" w:fill="FFFFFF"/>
          <w:lang w:bidi="ar"/>
        </w:rPr>
        <w:t>，递交地点：广州公共资源交易中心（广州市天河区天润路333号）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14:paraId="2CA8E373">
      <w:pPr>
        <w:spacing w:line="360" w:lineRule="auto"/>
        <w:ind w:firstLine="537" w:firstLineChars="224"/>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shd w:val="clear" w:color="auto" w:fill="FFFFFF"/>
        </w:rPr>
        <w:t>6、开标开始时间：</w:t>
      </w:r>
      <w:r>
        <w:rPr>
          <w:rFonts w:hint="eastAsia" w:ascii="宋体" w:hAnsi="宋体" w:eastAsia="宋体" w:cs="宋体"/>
          <w:color w:val="auto"/>
          <w:sz w:val="24"/>
          <w:highlight w:val="none"/>
          <w:u w:val="single"/>
        </w:rPr>
        <w:t>2024年  月  日  时 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14:paraId="7BA6BE4D">
      <w:pPr>
        <w:spacing w:line="360" w:lineRule="auto"/>
        <w:ind w:firstLine="511"/>
        <w:jc w:val="left"/>
        <w:rPr>
          <w:rFonts w:hint="eastAsia"/>
          <w:color w:val="auto"/>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w:t>
      </w:r>
    </w:p>
    <w:p w14:paraId="6D161260">
      <w:pPr>
        <w:widowControl/>
        <w:spacing w:line="360" w:lineRule="auto"/>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文件截止时间的信息为准。</w:t>
      </w:r>
    </w:p>
    <w:p w14:paraId="2E917A7A">
      <w:pPr>
        <w:spacing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8、逾期送达的投标文件，电子招标投标交易平台将予以拒收。</w:t>
      </w:r>
    </w:p>
    <w:p w14:paraId="7298F03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八、资格审查方式：</w:t>
      </w:r>
    </w:p>
    <w:p w14:paraId="060B4A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本工程采用资格后审方式，由评标委员会负责资格审查。</w:t>
      </w:r>
    </w:p>
    <w:p w14:paraId="3363D3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九、满足资格审查合格条件的投标人不足3 名或通过有效性审查的投标人不足3名时为招标失败。招标人分析招标失败原因，修正招标方案，报有关管理部门核准后，重新组织招标。</w:t>
      </w:r>
    </w:p>
    <w:p w14:paraId="78976407">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十、本工程根据国家和省有关计价规范设置最高投标限价。</w:t>
      </w:r>
    </w:p>
    <w:p w14:paraId="4693807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最高投标限价：人民币</w:t>
      </w:r>
      <w:r>
        <w:rPr>
          <w:rFonts w:hint="eastAsia" w:ascii="宋体" w:hAnsi="宋体" w:eastAsia="宋体" w:cs="宋体"/>
          <w:color w:val="auto"/>
          <w:sz w:val="24"/>
          <w:highlight w:val="none"/>
          <w:u w:val="single"/>
        </w:rPr>
        <w:t>23608084.00</w:t>
      </w:r>
      <w:r>
        <w:rPr>
          <w:rFonts w:hint="eastAsia" w:ascii="宋体" w:hAnsi="宋体" w:eastAsia="宋体" w:cs="宋体"/>
          <w:color w:val="auto"/>
          <w:sz w:val="24"/>
          <w:highlight w:val="none"/>
        </w:rPr>
        <w:t>元，其中【非竞争性费用】：绿色施工安全防护措费用为人民币</w:t>
      </w:r>
      <w:r>
        <w:rPr>
          <w:rFonts w:hint="eastAsia" w:ascii="宋体" w:hAnsi="宋体" w:eastAsia="宋体" w:cs="宋体"/>
          <w:color w:val="auto"/>
          <w:sz w:val="24"/>
          <w:highlight w:val="none"/>
          <w:u w:val="single"/>
        </w:rPr>
        <w:t>320030.20</w:t>
      </w:r>
      <w:r>
        <w:rPr>
          <w:rFonts w:hint="eastAsia" w:ascii="宋体" w:hAnsi="宋体" w:eastAsia="宋体" w:cs="宋体"/>
          <w:color w:val="auto"/>
          <w:sz w:val="24"/>
          <w:highlight w:val="none"/>
        </w:rPr>
        <w:t>元，暂估价：防水补漏费人民币</w:t>
      </w:r>
      <w:r>
        <w:rPr>
          <w:rFonts w:hint="eastAsia" w:ascii="宋体" w:hAnsi="宋体" w:eastAsia="宋体" w:cs="宋体"/>
          <w:color w:val="auto"/>
          <w:sz w:val="24"/>
          <w:highlight w:val="none"/>
          <w:u w:val="single"/>
        </w:rPr>
        <w:t>207800.00</w:t>
      </w:r>
      <w:r>
        <w:rPr>
          <w:rFonts w:hint="eastAsia" w:ascii="宋体" w:hAnsi="宋体" w:eastAsia="宋体" w:cs="宋体"/>
          <w:color w:val="auto"/>
          <w:sz w:val="24"/>
          <w:highlight w:val="none"/>
        </w:rPr>
        <w:t>元。</w:t>
      </w:r>
    </w:p>
    <w:p w14:paraId="254057C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十一、前期服务机构（可行性研究报告编制单位）：</w:t>
      </w:r>
      <w:r>
        <w:rPr>
          <w:rFonts w:hint="eastAsia" w:ascii="宋体" w:hAnsi="宋体" w:eastAsia="宋体" w:cs="宋体"/>
          <w:color w:val="auto"/>
          <w:sz w:val="24"/>
          <w:highlight w:val="none"/>
          <w:u w:val="single"/>
        </w:rPr>
        <w:t>九州能源有限公司</w:t>
      </w:r>
      <w:r>
        <w:rPr>
          <w:rFonts w:hint="eastAsia" w:ascii="宋体" w:hAnsi="宋体" w:eastAsia="宋体" w:cs="宋体"/>
          <w:color w:val="auto"/>
          <w:sz w:val="24"/>
          <w:highlight w:val="none"/>
        </w:rPr>
        <w:t>。</w:t>
      </w:r>
    </w:p>
    <w:p w14:paraId="0CC8CF1E">
      <w:pPr>
        <w:spacing w:line="360" w:lineRule="auto"/>
        <w:rPr>
          <w:rFonts w:hint="eastAsia" w:ascii="宋体" w:hAnsi="宋体" w:eastAsia="宋体" w:cs="宋体"/>
          <w:vanish/>
          <w:color w:val="auto"/>
          <w:sz w:val="24"/>
          <w:highlight w:val="none"/>
        </w:rPr>
      </w:pPr>
    </w:p>
    <w:p w14:paraId="661C0510">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十二、潜在投标人或利害关系人对本招标公告及招标文件有异议的，向招标人书面提出。</w:t>
      </w:r>
    </w:p>
    <w:p w14:paraId="31760EC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异议受理部门：</w:t>
      </w:r>
      <w:r>
        <w:rPr>
          <w:rFonts w:hint="eastAsia" w:ascii="宋体" w:hAnsi="宋体" w:eastAsia="宋体" w:cs="宋体"/>
          <w:color w:val="auto"/>
          <w:sz w:val="24"/>
          <w:highlight w:val="none"/>
          <w:u w:val="single"/>
          <w:lang w:bidi="ar"/>
        </w:rPr>
        <w:t>广州发展新能源集团股份有限公司</w:t>
      </w:r>
    </w:p>
    <w:p w14:paraId="590DC39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异议受理电话：</w:t>
      </w:r>
      <w:r>
        <w:rPr>
          <w:rFonts w:hint="eastAsia" w:ascii="宋体" w:hAnsi="宋体" w:eastAsia="宋体" w:cs="宋体"/>
          <w:color w:val="auto"/>
          <w:sz w:val="24"/>
          <w:highlight w:val="none"/>
          <w:u w:val="single"/>
          <w:lang w:bidi="ar"/>
        </w:rPr>
        <w:t>020-87571846</w:t>
      </w:r>
    </w:p>
    <w:p w14:paraId="633045D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u w:val="single"/>
          <w:lang w:bidi="ar"/>
        </w:rPr>
        <w:t>广州市天河区临江大道3号发展中心29楼</w:t>
      </w:r>
    </w:p>
    <w:p w14:paraId="7AF5300C">
      <w:pPr>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三、本公告在广州公共资源交易中心网（网址：http://www.gzggzy.cn/）、广东省招标投标监管网（网址：http://zbtb.gd.gov.cn/#/index）、中国招标投标公共服务平台（网址：http://www.cebpubservice.com）、广州国企阳光采购信息发布平台（网址：http://ygcg.gzggzy.cn/）及广州发展电子采购平台（网址：</w:t>
      </w:r>
      <w:r>
        <w:rPr>
          <w:color w:val="auto"/>
          <w:highlight w:val="none"/>
        </w:rPr>
        <w:fldChar w:fldCharType="begin"/>
      </w:r>
      <w:r>
        <w:rPr>
          <w:color w:val="auto"/>
          <w:highlight w:val="none"/>
        </w:rPr>
        <w:instrText xml:space="preserve"> HYPERLINK "https://eps.gdg.com.cn）及" </w:instrText>
      </w:r>
      <w:r>
        <w:rPr>
          <w:color w:val="auto"/>
          <w:highlight w:val="none"/>
        </w:rPr>
        <w:fldChar w:fldCharType="separate"/>
      </w:r>
      <w:r>
        <w:rPr>
          <w:rFonts w:hint="eastAsia" w:ascii="宋体" w:hAnsi="宋体" w:eastAsia="宋体" w:cs="宋体"/>
          <w:color w:val="auto"/>
          <w:sz w:val="24"/>
          <w:highlight w:val="none"/>
          <w:lang w:bidi="ar"/>
        </w:rPr>
        <w:t>https://eps.gdg.com.cn）</w:t>
      </w:r>
      <w:r>
        <w:rPr>
          <w:rFonts w:hint="eastAsia" w:ascii="宋体" w:hAnsi="宋体" w:eastAsia="宋体" w:cs="宋体"/>
          <w:color w:val="auto"/>
          <w:sz w:val="24"/>
          <w:highlight w:val="none"/>
          <w:lang w:bidi="ar"/>
        </w:rPr>
        <w:fldChar w:fldCharType="end"/>
      </w:r>
      <w:r>
        <w:rPr>
          <w:color w:val="auto"/>
          <w:highlight w:val="none"/>
        </w:rPr>
        <w:fldChar w:fldCharType="begin"/>
      </w:r>
      <w:r>
        <w:rPr>
          <w:color w:val="auto"/>
          <w:highlight w:val="none"/>
        </w:rPr>
        <w:instrText xml:space="preserve"> HYPERLINK "http://www.bjztc.com/）发布，本公告的修改、补充，在广州公共资源交易中心网发布。" </w:instrText>
      </w:r>
      <w:r>
        <w:rPr>
          <w:color w:val="auto"/>
          <w:highlight w:val="none"/>
        </w:rPr>
        <w:fldChar w:fldCharType="separate"/>
      </w:r>
      <w:r>
        <w:rPr>
          <w:rStyle w:val="15"/>
          <w:rFonts w:hint="default" w:ascii="宋体" w:hAnsi="宋体" w:eastAsia="宋体" w:cs="宋体"/>
          <w:color w:val="auto"/>
          <w:sz w:val="24"/>
          <w:highlight w:val="none"/>
          <w:lang w:bidi="ar"/>
        </w:rPr>
        <w:t>发布，本公告的修改、补充，在广州公共资源交易中心网发布。</w:t>
      </w:r>
      <w:r>
        <w:rPr>
          <w:rStyle w:val="15"/>
          <w:rFonts w:hint="default" w:ascii="宋体" w:hAnsi="宋体" w:eastAsia="宋体" w:cs="宋体"/>
          <w:color w:val="auto"/>
          <w:sz w:val="24"/>
          <w:highlight w:val="none"/>
          <w:lang w:bidi="ar"/>
        </w:rPr>
        <w:fldChar w:fldCharType="end"/>
      </w:r>
    </w:p>
    <w:p w14:paraId="3A68CBBE">
      <w:pPr>
        <w:widowControl/>
        <w:spacing w:line="360" w:lineRule="auto"/>
        <w:ind w:right="28" w:firstLine="3840" w:firstLineChars="1600"/>
        <w:jc w:val="right"/>
        <w:rPr>
          <w:rFonts w:hint="eastAsia" w:ascii="宋体" w:hAnsi="宋体" w:eastAsia="宋体" w:cs="宋体"/>
          <w:color w:val="auto"/>
          <w:sz w:val="24"/>
          <w:highlight w:val="none"/>
          <w:lang w:bidi="ar"/>
        </w:rPr>
      </w:pPr>
    </w:p>
    <w:p w14:paraId="4EF4B129">
      <w:pPr>
        <w:widowControl/>
        <w:spacing w:line="360" w:lineRule="auto"/>
        <w:ind w:right="28" w:firstLine="3840" w:firstLineChars="1600"/>
        <w:jc w:val="right"/>
        <w:rPr>
          <w:rFonts w:hint="eastAsia" w:ascii="宋体" w:hAnsi="宋体" w:eastAsia="宋体" w:cs="宋体"/>
          <w:color w:val="auto"/>
          <w:sz w:val="24"/>
          <w:highlight w:val="none"/>
          <w:lang w:bidi="ar"/>
        </w:rPr>
      </w:pPr>
    </w:p>
    <w:p w14:paraId="35C2F0E7">
      <w:pPr>
        <w:widowControl/>
        <w:spacing w:line="360" w:lineRule="auto"/>
        <w:ind w:right="28" w:firstLine="3840" w:firstLineChars="1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招标人：广州发展新能源集团股份有限公司</w:t>
      </w:r>
    </w:p>
    <w:p w14:paraId="29AB8355">
      <w:pPr>
        <w:widowControl/>
        <w:tabs>
          <w:tab w:val="center" w:pos="4415"/>
        </w:tabs>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招标代理单位：北京中交建设工程咨询有限公司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14:paraId="02D7D2CA">
      <w:pPr>
        <w:widowControl/>
        <w:spacing w:line="360" w:lineRule="auto"/>
        <w:ind w:right="26" w:firstLine="4560" w:firstLineChars="19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日期：2024年</w:t>
      </w:r>
      <w:r>
        <w:rPr>
          <w:rFonts w:hint="eastAsia" w:ascii="宋体" w:hAnsi="宋体" w:eastAsia="宋体" w:cs="宋体"/>
          <w:color w:val="auto"/>
          <w:sz w:val="24"/>
          <w:highlight w:val="none"/>
          <w:lang w:val="en-US" w:eastAsia="zh-CN" w:bidi="ar"/>
        </w:rPr>
        <w:t>12</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19</w:t>
      </w:r>
      <w:r>
        <w:rPr>
          <w:rFonts w:hint="eastAsia" w:ascii="宋体" w:hAnsi="宋体" w:eastAsia="宋体" w:cs="宋体"/>
          <w:color w:val="auto"/>
          <w:sz w:val="24"/>
          <w:highlight w:val="none"/>
          <w:lang w:bidi="ar"/>
        </w:rPr>
        <w:t>日</w:t>
      </w:r>
    </w:p>
    <w:p w14:paraId="3EF1297A">
      <w:pPr>
        <w:rPr>
          <w:rFonts w:hint="eastAsia" w:ascii="宋体" w:hAnsi="宋体" w:eastAsia="宋体" w:cs="宋体"/>
          <w:color w:val="auto"/>
          <w:kern w:val="0"/>
          <w:sz w:val="24"/>
          <w:highlight w:val="none"/>
          <w:lang w:bidi="ar"/>
        </w:rPr>
      </w:pPr>
      <w:bookmarkStart w:id="9" w:name="_GoBack"/>
      <w:bookmarkEnd w:id="9"/>
      <w:r>
        <w:rPr>
          <w:rFonts w:hint="eastAsia" w:ascii="宋体" w:hAnsi="宋体" w:eastAsia="宋体" w:cs="宋体"/>
          <w:color w:val="auto"/>
          <w:kern w:val="0"/>
          <w:sz w:val="24"/>
          <w:highlight w:val="none"/>
          <w:lang w:bidi="ar"/>
        </w:rPr>
        <w:br w:type="page"/>
      </w:r>
    </w:p>
    <w:p w14:paraId="08188020">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附件：</w:t>
      </w:r>
    </w:p>
    <w:p w14:paraId="29FB6A82">
      <w:pPr>
        <w:autoSpaceDE w:val="0"/>
        <w:autoSpaceDN w:val="0"/>
        <w:adjustRightIn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14:paraId="0EB6981E">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14:paraId="034BA1F7">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1307B461">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1FACA06D">
      <w:pPr>
        <w:rPr>
          <w:rFonts w:hint="eastAsia"/>
          <w:color w:val="auto"/>
          <w:highlight w:val="none"/>
        </w:rPr>
      </w:pPr>
      <w:r>
        <w:rPr>
          <w:rFonts w:hint="eastAsia"/>
          <w:color w:val="auto"/>
          <w:highlight w:val="none"/>
        </w:rPr>
        <w:t xml:space="preserve"> </w:t>
      </w:r>
    </w:p>
    <w:p w14:paraId="5134F954">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14:paraId="1924B54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498C0FAF">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5296BE48">
      <w:pPr>
        <w:rPr>
          <w:rFonts w:hint="eastAsia"/>
          <w:color w:val="auto"/>
          <w:highlight w:val="none"/>
        </w:rPr>
      </w:pPr>
      <w:r>
        <w:rPr>
          <w:rFonts w:hint="eastAsia"/>
          <w:color w:val="auto"/>
          <w:highlight w:val="none"/>
        </w:rPr>
        <w:t xml:space="preserve"> </w:t>
      </w:r>
    </w:p>
    <w:p w14:paraId="2755280C">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14:paraId="4EA0B6AB">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14:paraId="187B5D8C">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39A921A5">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3、主办方公司做出的同(项目名称：      )相关的行为对联合体全体成员均具有法律效力,</w:t>
      </w:r>
      <w:r>
        <w:rPr>
          <w:rFonts w:hint="eastAsia" w:ascii="宋体" w:hAnsi="宋体" w:eastAsia="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14:paraId="7839A364">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14:paraId="454FBAD3">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14:paraId="664201F3">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4DA5228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777CA693">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0F7DD56D">
      <w:pPr>
        <w:pStyle w:val="1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主办方公司名称(盖单位公章):</w:t>
      </w:r>
    </w:p>
    <w:p w14:paraId="5E7E0876">
      <w:pPr>
        <w:pStyle w:val="1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3204330E">
      <w:pPr>
        <w:pStyle w:val="1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日期：</w:t>
      </w:r>
    </w:p>
    <w:p w14:paraId="4A8CBA34">
      <w:pPr>
        <w:rPr>
          <w:rFonts w:hint="eastAsia"/>
          <w:color w:val="auto"/>
          <w:highlight w:val="none"/>
        </w:rPr>
      </w:pPr>
      <w:r>
        <w:rPr>
          <w:rFonts w:hint="eastAsia"/>
          <w:color w:val="auto"/>
          <w:highlight w:val="none"/>
        </w:rPr>
        <w:t xml:space="preserve"> </w:t>
      </w:r>
    </w:p>
    <w:p w14:paraId="73690DA2">
      <w:pPr>
        <w:pStyle w:val="1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成员方公司名称(盖单位公章):</w:t>
      </w:r>
    </w:p>
    <w:p w14:paraId="1BB9D198">
      <w:pPr>
        <w:pStyle w:val="11"/>
        <w:widowControl w:val="0"/>
        <w:spacing w:before="0" w:beforeAutospacing="0" w:after="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034AF596">
      <w:pPr>
        <w:pStyle w:val="11"/>
        <w:widowControl w:val="0"/>
        <w:spacing w:before="0" w:beforeAutospacing="0" w:after="0" w:afterAutospacing="0" w:line="360" w:lineRule="auto"/>
        <w:ind w:firstLine="480" w:firstLineChars="200"/>
        <w:jc w:val="both"/>
        <w:rPr>
          <w:rFonts w:hint="eastAsia" w:eastAsia="宋体"/>
          <w:color w:val="auto"/>
          <w:highlight w:val="none"/>
        </w:rPr>
      </w:pPr>
      <w:r>
        <w:rPr>
          <w:rFonts w:hint="eastAsia" w:eastAsia="宋体"/>
          <w:color w:val="auto"/>
          <w:kern w:val="1"/>
          <w:highlight w:val="none"/>
          <w:lang w:bidi="ar"/>
        </w:rPr>
        <w:t>日期：</w:t>
      </w:r>
    </w:p>
    <w:p w14:paraId="46CA9FC7">
      <w:pPr>
        <w:pStyle w:val="12"/>
        <w:outlineLvl w:val="9"/>
        <w:rPr>
          <w:color w:val="auto"/>
          <w:highlight w:val="none"/>
        </w:rPr>
      </w:pPr>
    </w:p>
    <w:p w14:paraId="22B16155"/>
    <w:sectPr>
      <w:pgSz w:w="11906" w:h="16838"/>
      <w:pgMar w:top="1440" w:right="1440" w:bottom="1440" w:left="1440" w:header="851" w:footer="992" w:gutter="0"/>
      <w:paperSrc/>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6D67">
    <w:pPr>
      <w:jc w:val="center"/>
      <w:rPr>
        <w:rFonts w:hint="eastAsia"/>
      </w:rPr>
    </w:pPr>
  </w:p>
  <w:p w14:paraId="131AB6DE">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6F57">
    <w:pPr>
      <w:pStyle w:val="8"/>
      <w:rPr>
        <w:rFonts w:ascii="Cambria" w:hAnsi="Cambria"/>
        <w:color w:val="4F81BD"/>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92963A">
                          <w:pPr>
                            <w:pStyle w:val="8"/>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1A92963A">
                    <w:pPr>
                      <w:pStyle w:val="8"/>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0DA94F32">
    <w:pPr>
      <w:pStyle w:val="8"/>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5727A"/>
    <w:rsid w:val="1145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60" w:lineRule="auto"/>
      <w:ind w:left="0" w:leftChars="0" w:firstLine="420"/>
      <w:textAlignment w:val="baseline"/>
    </w:pPr>
    <w:rPr>
      <w:rFonts w:ascii="Times New Roman" w:hAnsi="Times New Roman" w:eastAsia="宋体"/>
    </w:rPr>
  </w:style>
  <w:style w:type="paragraph" w:styleId="3">
    <w:name w:val="Body Text Indent"/>
    <w:basedOn w:val="1"/>
    <w:next w:val="4"/>
    <w:qFormat/>
    <w:uiPriority w:val="99"/>
    <w:pPr>
      <w:spacing w:after="120"/>
      <w:ind w:left="420" w:leftChars="200"/>
    </w:pPr>
  </w:style>
  <w:style w:type="paragraph" w:styleId="4">
    <w:name w:val="toc 9"/>
    <w:basedOn w:val="1"/>
    <w:next w:val="1"/>
    <w:unhideWhenUsed/>
    <w:qFormat/>
    <w:uiPriority w:val="39"/>
    <w:pPr>
      <w:ind w:left="3360" w:leftChars="1600"/>
    </w:pPr>
    <w:rPr>
      <w:rFonts w:ascii="Calibri" w:hAnsi="Calibri"/>
      <w:szCs w:val="22"/>
    </w:rPr>
  </w:style>
  <w:style w:type="paragraph" w:styleId="6">
    <w:name w:val="Body Text"/>
    <w:basedOn w:val="7"/>
    <w:next w:val="7"/>
    <w:qFormat/>
    <w:uiPriority w:val="0"/>
    <w:pPr>
      <w:spacing w:after="120"/>
    </w:pPr>
  </w:style>
  <w:style w:type="paragraph" w:styleId="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8">
    <w:name w:val="footer"/>
    <w:basedOn w:val="1"/>
    <w:qFormat/>
    <w:uiPriority w:val="99"/>
    <w:pPr>
      <w:tabs>
        <w:tab w:val="center" w:pos="4153"/>
        <w:tab w:val="right" w:pos="8306"/>
      </w:tabs>
      <w:snapToGrid w:val="0"/>
      <w:jc w:val="left"/>
    </w:pPr>
    <w:rPr>
      <w:sz w:val="18"/>
    </w:rPr>
  </w:style>
  <w:style w:type="paragraph" w:styleId="9">
    <w:name w:val="toc 1"/>
    <w:basedOn w:val="1"/>
    <w:next w:val="1"/>
    <w:qFormat/>
    <w:uiPriority w:val="39"/>
    <w:pPr>
      <w:spacing w:before="120" w:after="120"/>
      <w:jc w:val="left"/>
    </w:pPr>
    <w:rPr>
      <w:b/>
      <w:bCs/>
      <w:caps/>
      <w:sz w:val="20"/>
      <w:szCs w:val="20"/>
    </w:rPr>
  </w:style>
  <w:style w:type="paragraph" w:styleId="10">
    <w:name w:val="toc 2"/>
    <w:basedOn w:val="1"/>
    <w:next w:val="1"/>
    <w:qFormat/>
    <w:uiPriority w:val="3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6"/>
    <w:next w:val="1"/>
    <w:qFormat/>
    <w:uiPriority w:val="0"/>
    <w:pPr>
      <w:spacing w:line="312" w:lineRule="auto"/>
      <w:ind w:firstLine="420"/>
    </w:pPr>
  </w:style>
  <w:style w:type="character" w:styleId="15">
    <w:name w:val="Hyperlink"/>
    <w:basedOn w:val="14"/>
    <w:qFormat/>
    <w:uiPriority w:val="99"/>
    <w:rPr>
      <w:rFonts w:hint="eastAsia" w:ascii="微软雅黑" w:hAnsi="微软雅黑" w:eastAsia="微软雅黑" w:cs="微软雅黑"/>
      <w:color w:val="337AB7"/>
      <w:u w:val="none"/>
    </w:rPr>
  </w:style>
  <w:style w:type="character" w:styleId="16">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2024-12-19T06:29:00Z</dcterms:created>
  <dc:creator>Zeo干到周五</dc:creator>
  <cp:lastModifiedBy>Zeo干到周五</cp:lastModifiedBy>
  <dcterms:modified xsi:type="dcterms:W3CDTF">2024-12-19T06:30:26Z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1DEC5C77BB6D4959B0322A5401D5EB17_11</vt:lpwstr>
  </property>
</Properties>
</file>