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4CB3C">
      <w:pPr>
        <w:snapToGrid w:val="0"/>
        <w:spacing w:before="120" w:line="400" w:lineRule="exact"/>
        <w:ind w:left="-210" w:leftChars="-100" w:right="-210" w:rightChars="-100"/>
        <w:rPr>
          <w:rFonts w:ascii="宋体" w:hAnsi="宋体"/>
          <w:b/>
          <w:color w:val="auto"/>
          <w:sz w:val="24"/>
          <w:highlight w:val="none"/>
        </w:rPr>
      </w:pPr>
    </w:p>
    <w:p w14:paraId="7CF57CA2">
      <w:pPr>
        <w:snapToGrid w:val="0"/>
        <w:spacing w:before="120" w:line="400" w:lineRule="exact"/>
        <w:ind w:left="-210" w:leftChars="-100" w:right="-210" w:rightChars="-100"/>
        <w:rPr>
          <w:rFonts w:ascii="宋体" w:hAnsi="宋体"/>
          <w:b/>
          <w:color w:val="auto"/>
          <w:sz w:val="24"/>
          <w:highlight w:val="none"/>
        </w:rPr>
      </w:pPr>
    </w:p>
    <w:p w14:paraId="70BB49C3">
      <w:pPr>
        <w:snapToGrid w:val="0"/>
        <w:spacing w:before="120" w:line="400" w:lineRule="exact"/>
        <w:ind w:left="-210" w:leftChars="-100" w:right="-210" w:rightChars="-100"/>
        <w:rPr>
          <w:rFonts w:ascii="宋体" w:hAnsi="宋体"/>
          <w:b/>
          <w:color w:val="auto"/>
          <w:sz w:val="24"/>
          <w:highlight w:val="none"/>
        </w:rPr>
      </w:pPr>
    </w:p>
    <w:p w14:paraId="5C09A1DE">
      <w:pPr>
        <w:snapToGrid w:val="0"/>
        <w:spacing w:before="120" w:line="400" w:lineRule="exact"/>
        <w:ind w:left="-210" w:leftChars="-100" w:right="-210" w:rightChars="-100"/>
        <w:rPr>
          <w:rFonts w:ascii="宋体" w:hAnsi="宋体"/>
          <w:b/>
          <w:color w:val="auto"/>
          <w:sz w:val="24"/>
          <w:highlight w:val="none"/>
        </w:rPr>
      </w:pPr>
    </w:p>
    <w:p w14:paraId="7893AE5E">
      <w:pPr>
        <w:snapToGrid w:val="0"/>
        <w:spacing w:before="120" w:line="400" w:lineRule="exact"/>
        <w:ind w:right="-210" w:rightChars="-100"/>
        <w:rPr>
          <w:rFonts w:ascii="宋体" w:hAnsi="宋体"/>
          <w:b/>
          <w:color w:val="auto"/>
          <w:sz w:val="24"/>
          <w:highlight w:val="none"/>
        </w:rPr>
      </w:pPr>
    </w:p>
    <w:p w14:paraId="54953B7E">
      <w:pPr>
        <w:snapToGrid w:val="0"/>
        <w:spacing w:before="120" w:line="400" w:lineRule="exact"/>
        <w:ind w:right="-210" w:rightChars="-100"/>
        <w:rPr>
          <w:rFonts w:ascii="宋体" w:hAnsi="宋体"/>
          <w:b/>
          <w:color w:val="auto"/>
          <w:sz w:val="36"/>
          <w:szCs w:val="36"/>
          <w:highlight w:val="none"/>
        </w:rPr>
      </w:pPr>
      <w:r>
        <w:rPr>
          <w:rFonts w:hint="eastAsia" w:ascii="宋体" w:hAnsi="宋体"/>
          <w:b/>
          <w:color w:val="auto"/>
          <w:sz w:val="36"/>
          <w:szCs w:val="36"/>
          <w:highlight w:val="none"/>
          <w:u w:val="single"/>
        </w:rPr>
        <w:t>顺丰翠园住宅（自编号F-5、F</w:t>
      </w:r>
      <w:r>
        <w:rPr>
          <w:rFonts w:ascii="宋体" w:hAnsi="宋体"/>
          <w:b/>
          <w:color w:val="auto"/>
          <w:sz w:val="36"/>
          <w:szCs w:val="36"/>
          <w:highlight w:val="none"/>
          <w:u w:val="single"/>
        </w:rPr>
        <w:t>-</w:t>
      </w:r>
      <w:r>
        <w:rPr>
          <w:rFonts w:hint="eastAsia" w:ascii="宋体" w:hAnsi="宋体"/>
          <w:b/>
          <w:color w:val="auto"/>
          <w:sz w:val="36"/>
          <w:szCs w:val="36"/>
          <w:highlight w:val="none"/>
          <w:u w:val="single"/>
        </w:rPr>
        <w:t>6）及地下车库、住宅楼（自编号F-8、F-9）、住宅（自编号F-10、F</w:t>
      </w:r>
      <w:r>
        <w:rPr>
          <w:rFonts w:ascii="宋体" w:hAnsi="宋体"/>
          <w:b/>
          <w:color w:val="auto"/>
          <w:sz w:val="36"/>
          <w:szCs w:val="36"/>
          <w:highlight w:val="none"/>
          <w:u w:val="single"/>
        </w:rPr>
        <w:t>-</w:t>
      </w:r>
      <w:r>
        <w:rPr>
          <w:rFonts w:hint="eastAsia" w:ascii="宋体" w:hAnsi="宋体"/>
          <w:b/>
          <w:color w:val="auto"/>
          <w:sz w:val="36"/>
          <w:szCs w:val="36"/>
          <w:highlight w:val="none"/>
          <w:u w:val="single"/>
        </w:rPr>
        <w:t>11）工程项目</w:t>
      </w:r>
    </w:p>
    <w:p w14:paraId="7C18279D">
      <w:pPr>
        <w:snapToGrid w:val="0"/>
        <w:spacing w:before="120" w:line="400" w:lineRule="exact"/>
        <w:ind w:right="-210" w:rightChars="-100"/>
        <w:jc w:val="center"/>
        <w:rPr>
          <w:rFonts w:ascii="宋体" w:hAnsi="宋体"/>
          <w:b/>
          <w:color w:val="auto"/>
          <w:sz w:val="36"/>
          <w:szCs w:val="36"/>
          <w:highlight w:val="none"/>
          <w:u w:val="single"/>
        </w:rPr>
      </w:pPr>
      <w:r>
        <w:rPr>
          <w:rFonts w:hint="eastAsia" w:ascii="宋体" w:hAnsi="宋体"/>
          <w:b/>
          <w:color w:val="auto"/>
          <w:sz w:val="36"/>
          <w:szCs w:val="36"/>
          <w:highlight w:val="none"/>
          <w:u w:val="single"/>
        </w:rPr>
        <w:t>园建绿化、海绵城市及小市政工程施工合同</w:t>
      </w:r>
    </w:p>
    <w:p w14:paraId="45B49FE1">
      <w:pPr>
        <w:snapToGrid w:val="0"/>
        <w:spacing w:before="120" w:line="400" w:lineRule="exact"/>
        <w:ind w:right="-210" w:rightChars="-100"/>
        <w:rPr>
          <w:rFonts w:ascii="宋体" w:hAnsi="宋体"/>
          <w:b/>
          <w:color w:val="auto"/>
          <w:sz w:val="24"/>
          <w:highlight w:val="none"/>
        </w:rPr>
      </w:pPr>
    </w:p>
    <w:p w14:paraId="3D665FAB">
      <w:pPr>
        <w:snapToGrid w:val="0"/>
        <w:spacing w:before="120" w:line="400" w:lineRule="exact"/>
        <w:ind w:right="-210" w:rightChars="-100" w:firstLine="3373" w:firstLineChars="1400"/>
        <w:rPr>
          <w:rFonts w:ascii="宋体" w:hAnsi="宋体"/>
          <w:b/>
          <w:color w:val="auto"/>
          <w:sz w:val="24"/>
          <w:highlight w:val="none"/>
        </w:rPr>
      </w:pPr>
      <w:r>
        <w:rPr>
          <w:rFonts w:hint="eastAsia" w:ascii="宋体" w:hAnsi="宋体"/>
          <w:b/>
          <w:color w:val="auto"/>
          <w:sz w:val="24"/>
          <w:highlight w:val="none"/>
        </w:rPr>
        <w:t xml:space="preserve">          </w:t>
      </w:r>
    </w:p>
    <w:p w14:paraId="1B70F04D">
      <w:pPr>
        <w:snapToGrid w:val="0"/>
        <w:spacing w:before="120" w:line="400" w:lineRule="exact"/>
        <w:ind w:right="-210" w:rightChars="-100" w:firstLine="3373" w:firstLineChars="1400"/>
        <w:rPr>
          <w:rFonts w:ascii="宋体" w:hAnsi="宋体"/>
          <w:b/>
          <w:color w:val="auto"/>
          <w:sz w:val="24"/>
          <w:highlight w:val="none"/>
        </w:rPr>
      </w:pPr>
    </w:p>
    <w:p w14:paraId="56BF70E5">
      <w:pPr>
        <w:snapToGrid w:val="0"/>
        <w:spacing w:before="120" w:line="400" w:lineRule="exact"/>
        <w:ind w:right="-210" w:rightChars="-100" w:firstLine="3373" w:firstLineChars="1400"/>
        <w:rPr>
          <w:rFonts w:ascii="宋体" w:hAnsi="宋体"/>
          <w:b/>
          <w:color w:val="auto"/>
          <w:sz w:val="24"/>
          <w:highlight w:val="none"/>
        </w:rPr>
      </w:pPr>
    </w:p>
    <w:p w14:paraId="095AE081">
      <w:pPr>
        <w:snapToGrid w:val="0"/>
        <w:spacing w:before="120" w:line="400" w:lineRule="exact"/>
        <w:ind w:right="-210" w:rightChars="-100" w:firstLine="3373" w:firstLineChars="1400"/>
        <w:rPr>
          <w:rFonts w:ascii="宋体" w:hAnsi="宋体"/>
          <w:b/>
          <w:color w:val="auto"/>
          <w:sz w:val="24"/>
          <w:highlight w:val="none"/>
        </w:rPr>
      </w:pPr>
      <w:r>
        <w:rPr>
          <w:rFonts w:hint="eastAsia" w:ascii="宋体" w:hAnsi="宋体"/>
          <w:b/>
          <w:color w:val="auto"/>
          <w:sz w:val="24"/>
          <w:highlight w:val="none"/>
        </w:rPr>
        <w:t xml:space="preserve">   </w:t>
      </w:r>
    </w:p>
    <w:p w14:paraId="7E636A22">
      <w:pPr>
        <w:snapToGrid w:val="0"/>
        <w:spacing w:before="120" w:line="400" w:lineRule="exact"/>
        <w:ind w:left="-210" w:leftChars="-100" w:right="-210" w:rightChars="-100"/>
        <w:rPr>
          <w:rFonts w:ascii="宋体" w:hAnsi="宋体"/>
          <w:b/>
          <w:color w:val="auto"/>
          <w:sz w:val="24"/>
          <w:highlight w:val="none"/>
        </w:rPr>
      </w:pPr>
    </w:p>
    <w:p w14:paraId="46EBA02C">
      <w:pPr>
        <w:snapToGrid w:val="0"/>
        <w:spacing w:before="120" w:line="400" w:lineRule="exact"/>
        <w:ind w:left="-210" w:leftChars="-100" w:right="-210" w:rightChars="-100"/>
        <w:rPr>
          <w:rFonts w:ascii="宋体" w:hAnsi="宋体"/>
          <w:b/>
          <w:color w:val="auto"/>
          <w:sz w:val="24"/>
          <w:highlight w:val="none"/>
        </w:rPr>
      </w:pPr>
    </w:p>
    <w:p w14:paraId="586CA1B5">
      <w:pPr>
        <w:snapToGrid w:val="0"/>
        <w:spacing w:before="120" w:line="400" w:lineRule="exact"/>
        <w:ind w:left="-210" w:leftChars="-100" w:right="-210" w:rightChars="-100"/>
        <w:rPr>
          <w:rFonts w:ascii="宋体" w:hAnsi="宋体"/>
          <w:b/>
          <w:color w:val="auto"/>
          <w:sz w:val="24"/>
          <w:highlight w:val="none"/>
        </w:rPr>
      </w:pPr>
    </w:p>
    <w:p w14:paraId="5A8481E8">
      <w:pPr>
        <w:snapToGrid w:val="0"/>
        <w:spacing w:before="120" w:line="400" w:lineRule="exact"/>
        <w:ind w:left="-210" w:leftChars="-100" w:right="-210" w:rightChars="-100"/>
        <w:rPr>
          <w:rFonts w:ascii="宋体" w:hAnsi="宋体"/>
          <w:b/>
          <w:color w:val="auto"/>
          <w:sz w:val="24"/>
          <w:highlight w:val="none"/>
        </w:rPr>
      </w:pPr>
    </w:p>
    <w:p w14:paraId="2878835D">
      <w:pPr>
        <w:snapToGrid w:val="0"/>
        <w:spacing w:before="120" w:line="400" w:lineRule="exact"/>
        <w:ind w:right="-210" w:rightChars="-100" w:firstLine="2168" w:firstLineChars="900"/>
        <w:rPr>
          <w:rFonts w:ascii="宋体" w:hAnsi="宋体"/>
          <w:b/>
          <w:color w:val="auto"/>
          <w:sz w:val="24"/>
          <w:highlight w:val="none"/>
        </w:rPr>
      </w:pPr>
    </w:p>
    <w:tbl>
      <w:tblPr>
        <w:tblStyle w:val="30"/>
        <w:tblpPr w:leftFromText="180" w:rightFromText="180" w:vertAnchor="text" w:horzAnchor="page" w:tblpX="2287" w:tblpY="77"/>
        <w:tblW w:w="0" w:type="auto"/>
        <w:tblInd w:w="0" w:type="dxa"/>
        <w:tblLayout w:type="fixed"/>
        <w:tblCellMar>
          <w:top w:w="0" w:type="dxa"/>
          <w:left w:w="108" w:type="dxa"/>
          <w:bottom w:w="0" w:type="dxa"/>
          <w:right w:w="108" w:type="dxa"/>
        </w:tblCellMar>
      </w:tblPr>
      <w:tblGrid>
        <w:gridCol w:w="1311"/>
        <w:gridCol w:w="2014"/>
        <w:gridCol w:w="1964"/>
        <w:gridCol w:w="2451"/>
      </w:tblGrid>
      <w:tr w14:paraId="79537469">
        <w:tblPrEx>
          <w:tblCellMar>
            <w:top w:w="0" w:type="dxa"/>
            <w:left w:w="108" w:type="dxa"/>
            <w:bottom w:w="0" w:type="dxa"/>
            <w:right w:w="108" w:type="dxa"/>
          </w:tblCellMar>
        </w:tblPrEx>
        <w:trPr>
          <w:trHeight w:val="454" w:hRule="atLeast"/>
        </w:trPr>
        <w:tc>
          <w:tcPr>
            <w:tcW w:w="1311" w:type="dxa"/>
            <w:tcBorders>
              <w:top w:val="single" w:color="auto" w:sz="4" w:space="0"/>
              <w:left w:val="single" w:color="auto" w:sz="4" w:space="0"/>
              <w:bottom w:val="single" w:color="auto" w:sz="4" w:space="0"/>
              <w:right w:val="single" w:color="auto" w:sz="4" w:space="0"/>
            </w:tcBorders>
            <w:vAlign w:val="center"/>
          </w:tcPr>
          <w:p w14:paraId="325457B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合同编号</w:t>
            </w:r>
          </w:p>
        </w:tc>
        <w:tc>
          <w:tcPr>
            <w:tcW w:w="2014" w:type="dxa"/>
            <w:tcBorders>
              <w:top w:val="single" w:color="auto" w:sz="4" w:space="0"/>
              <w:left w:val="nil"/>
              <w:bottom w:val="single" w:color="auto" w:sz="4" w:space="0"/>
              <w:right w:val="single" w:color="auto" w:sz="4" w:space="0"/>
            </w:tcBorders>
            <w:vAlign w:val="center"/>
          </w:tcPr>
          <w:p w14:paraId="68B59B2F">
            <w:pPr>
              <w:spacing w:line="400" w:lineRule="exact"/>
              <w:jc w:val="center"/>
              <w:rPr>
                <w:rFonts w:ascii="宋体" w:hAnsi="宋体" w:cs="宋体"/>
                <w:color w:val="auto"/>
                <w:sz w:val="24"/>
                <w:highlight w:val="none"/>
              </w:rPr>
            </w:pPr>
          </w:p>
        </w:tc>
        <w:tc>
          <w:tcPr>
            <w:tcW w:w="1964" w:type="dxa"/>
            <w:tcBorders>
              <w:top w:val="single" w:color="auto" w:sz="4" w:space="0"/>
              <w:left w:val="nil"/>
              <w:bottom w:val="single" w:color="auto" w:sz="4" w:space="0"/>
              <w:right w:val="single" w:color="auto" w:sz="4" w:space="0"/>
            </w:tcBorders>
            <w:vAlign w:val="center"/>
          </w:tcPr>
          <w:p w14:paraId="1A0F518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ERP编号</w:t>
            </w:r>
          </w:p>
        </w:tc>
        <w:tc>
          <w:tcPr>
            <w:tcW w:w="2451" w:type="dxa"/>
            <w:tcBorders>
              <w:top w:val="single" w:color="auto" w:sz="4" w:space="0"/>
              <w:left w:val="nil"/>
              <w:bottom w:val="single" w:color="auto" w:sz="4" w:space="0"/>
              <w:right w:val="single" w:color="auto" w:sz="4" w:space="0"/>
            </w:tcBorders>
            <w:vAlign w:val="center"/>
          </w:tcPr>
          <w:p w14:paraId="58B6D698">
            <w:pPr>
              <w:spacing w:line="400" w:lineRule="exact"/>
              <w:jc w:val="center"/>
              <w:rPr>
                <w:rFonts w:ascii="宋体" w:hAnsi="宋体" w:cs="宋体"/>
                <w:color w:val="auto"/>
                <w:sz w:val="24"/>
                <w:highlight w:val="none"/>
              </w:rPr>
            </w:pPr>
          </w:p>
        </w:tc>
      </w:tr>
      <w:tr w14:paraId="71B0C66D">
        <w:tblPrEx>
          <w:tblCellMar>
            <w:top w:w="0" w:type="dxa"/>
            <w:left w:w="108" w:type="dxa"/>
            <w:bottom w:w="0" w:type="dxa"/>
            <w:right w:w="108" w:type="dxa"/>
          </w:tblCellMar>
        </w:tblPrEx>
        <w:trPr>
          <w:trHeight w:val="454" w:hRule="atLeast"/>
        </w:trPr>
        <w:tc>
          <w:tcPr>
            <w:tcW w:w="1311" w:type="dxa"/>
            <w:tcBorders>
              <w:top w:val="nil"/>
              <w:left w:val="single" w:color="auto" w:sz="4" w:space="0"/>
              <w:bottom w:val="single" w:color="auto" w:sz="4" w:space="0"/>
              <w:right w:val="single" w:color="auto" w:sz="4" w:space="0"/>
            </w:tcBorders>
            <w:vAlign w:val="center"/>
          </w:tcPr>
          <w:p w14:paraId="11A5CF4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合同类别</w:t>
            </w:r>
          </w:p>
        </w:tc>
        <w:tc>
          <w:tcPr>
            <w:tcW w:w="2014" w:type="dxa"/>
            <w:tcBorders>
              <w:top w:val="nil"/>
              <w:left w:val="nil"/>
              <w:bottom w:val="single" w:color="auto" w:sz="4" w:space="0"/>
              <w:right w:val="single" w:color="auto" w:sz="4" w:space="0"/>
            </w:tcBorders>
            <w:vAlign w:val="center"/>
          </w:tcPr>
          <w:p w14:paraId="210D259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施工合同</w:t>
            </w:r>
          </w:p>
        </w:tc>
        <w:tc>
          <w:tcPr>
            <w:tcW w:w="1964" w:type="dxa"/>
            <w:tcBorders>
              <w:top w:val="nil"/>
              <w:left w:val="nil"/>
              <w:bottom w:val="single" w:color="auto" w:sz="4" w:space="0"/>
              <w:right w:val="single" w:color="auto" w:sz="4" w:space="0"/>
            </w:tcBorders>
            <w:vAlign w:val="center"/>
          </w:tcPr>
          <w:p w14:paraId="1066F88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签约日期</w:t>
            </w:r>
          </w:p>
        </w:tc>
        <w:tc>
          <w:tcPr>
            <w:tcW w:w="2451" w:type="dxa"/>
            <w:tcBorders>
              <w:top w:val="nil"/>
              <w:left w:val="nil"/>
              <w:bottom w:val="single" w:color="auto" w:sz="4" w:space="0"/>
              <w:right w:val="single" w:color="auto" w:sz="4" w:space="0"/>
            </w:tcBorders>
            <w:vAlign w:val="center"/>
          </w:tcPr>
          <w:p w14:paraId="595A20FF">
            <w:pPr>
              <w:spacing w:line="400" w:lineRule="exact"/>
              <w:jc w:val="center"/>
              <w:rPr>
                <w:rFonts w:ascii="宋体" w:hAnsi="宋体" w:cs="宋体"/>
                <w:color w:val="auto"/>
                <w:sz w:val="24"/>
                <w:highlight w:val="none"/>
              </w:rPr>
            </w:pPr>
          </w:p>
        </w:tc>
      </w:tr>
      <w:tr w14:paraId="0B68A945">
        <w:tblPrEx>
          <w:tblCellMar>
            <w:top w:w="0" w:type="dxa"/>
            <w:left w:w="108" w:type="dxa"/>
            <w:bottom w:w="0" w:type="dxa"/>
            <w:right w:w="108" w:type="dxa"/>
          </w:tblCellMar>
        </w:tblPrEx>
        <w:trPr>
          <w:trHeight w:val="454" w:hRule="atLeast"/>
        </w:trPr>
        <w:tc>
          <w:tcPr>
            <w:tcW w:w="1311" w:type="dxa"/>
            <w:tcBorders>
              <w:top w:val="nil"/>
              <w:left w:val="single" w:color="auto" w:sz="4" w:space="0"/>
              <w:bottom w:val="single" w:color="auto" w:sz="4" w:space="0"/>
              <w:right w:val="single" w:color="auto" w:sz="4" w:space="0"/>
            </w:tcBorders>
            <w:vAlign w:val="center"/>
          </w:tcPr>
          <w:p w14:paraId="25B9441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甲方</w:t>
            </w:r>
          </w:p>
        </w:tc>
        <w:tc>
          <w:tcPr>
            <w:tcW w:w="6429" w:type="dxa"/>
            <w:gridSpan w:val="3"/>
            <w:tcBorders>
              <w:top w:val="single" w:color="auto" w:sz="4" w:space="0"/>
              <w:left w:val="nil"/>
              <w:bottom w:val="single" w:color="auto" w:sz="4" w:space="0"/>
              <w:right w:val="single" w:color="auto" w:sz="4" w:space="0"/>
            </w:tcBorders>
            <w:vAlign w:val="center"/>
          </w:tcPr>
          <w:p w14:paraId="4F7660B4">
            <w:pPr>
              <w:spacing w:line="400" w:lineRule="exact"/>
              <w:rPr>
                <w:rFonts w:ascii="宋体" w:hAnsi="宋体" w:cs="宋体"/>
                <w:color w:val="auto"/>
                <w:sz w:val="24"/>
                <w:highlight w:val="none"/>
              </w:rPr>
            </w:pPr>
            <w:r>
              <w:rPr>
                <w:rFonts w:ascii="宋体" w:hAnsi="宋体"/>
                <w:color w:val="auto"/>
                <w:sz w:val="24"/>
                <w:highlight w:val="none"/>
              </w:rPr>
              <w:t>广州市继丰房地产开发有限公司</w:t>
            </w:r>
          </w:p>
        </w:tc>
      </w:tr>
      <w:tr w14:paraId="223A28C9">
        <w:tblPrEx>
          <w:tblCellMar>
            <w:top w:w="0" w:type="dxa"/>
            <w:left w:w="108" w:type="dxa"/>
            <w:bottom w:w="0" w:type="dxa"/>
            <w:right w:w="108" w:type="dxa"/>
          </w:tblCellMar>
        </w:tblPrEx>
        <w:trPr>
          <w:trHeight w:val="454" w:hRule="atLeast"/>
        </w:trPr>
        <w:tc>
          <w:tcPr>
            <w:tcW w:w="1311" w:type="dxa"/>
            <w:tcBorders>
              <w:top w:val="nil"/>
              <w:left w:val="single" w:color="auto" w:sz="4" w:space="0"/>
              <w:bottom w:val="single" w:color="auto" w:sz="4" w:space="0"/>
              <w:right w:val="single" w:color="auto" w:sz="4" w:space="0"/>
            </w:tcBorders>
            <w:vAlign w:val="center"/>
          </w:tcPr>
          <w:p w14:paraId="4932614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乙方</w:t>
            </w:r>
          </w:p>
        </w:tc>
        <w:tc>
          <w:tcPr>
            <w:tcW w:w="6429" w:type="dxa"/>
            <w:gridSpan w:val="3"/>
            <w:tcBorders>
              <w:top w:val="single" w:color="auto" w:sz="4" w:space="0"/>
              <w:left w:val="nil"/>
              <w:bottom w:val="single" w:color="auto" w:sz="4" w:space="0"/>
              <w:right w:val="single" w:color="auto" w:sz="4" w:space="0"/>
            </w:tcBorders>
            <w:vAlign w:val="center"/>
          </w:tcPr>
          <w:p w14:paraId="2CCBD1BE">
            <w:pPr>
              <w:spacing w:line="400" w:lineRule="exact"/>
              <w:rPr>
                <w:rFonts w:ascii="宋体" w:hAnsi="宋体" w:cs="宋体"/>
                <w:color w:val="auto"/>
                <w:sz w:val="24"/>
                <w:highlight w:val="none"/>
              </w:rPr>
            </w:pPr>
          </w:p>
        </w:tc>
      </w:tr>
    </w:tbl>
    <w:p w14:paraId="2C3B7ACA">
      <w:pPr>
        <w:snapToGrid w:val="0"/>
        <w:spacing w:before="120" w:line="400" w:lineRule="exact"/>
        <w:ind w:left="-210" w:leftChars="-100" w:right="-210" w:rightChars="-100"/>
        <w:rPr>
          <w:rFonts w:ascii="宋体" w:hAnsi="宋体"/>
          <w:b/>
          <w:color w:val="auto"/>
          <w:sz w:val="24"/>
          <w:highlight w:val="none"/>
        </w:rPr>
      </w:pPr>
    </w:p>
    <w:p w14:paraId="00E27413">
      <w:pPr>
        <w:snapToGrid w:val="0"/>
        <w:spacing w:before="120" w:line="400" w:lineRule="exact"/>
        <w:ind w:left="-210" w:leftChars="-100" w:right="-210" w:rightChars="-100"/>
        <w:rPr>
          <w:rFonts w:ascii="宋体" w:hAnsi="宋体"/>
          <w:b/>
          <w:color w:val="auto"/>
          <w:sz w:val="24"/>
          <w:highlight w:val="none"/>
        </w:rPr>
      </w:pPr>
      <w:r>
        <w:rPr>
          <w:rFonts w:hint="eastAsia" w:ascii="宋体" w:hAnsi="宋体"/>
          <w:b/>
          <w:color w:val="auto"/>
          <w:sz w:val="24"/>
          <w:highlight w:val="none"/>
        </w:rPr>
        <w:t xml:space="preserve">           </w:t>
      </w:r>
    </w:p>
    <w:p w14:paraId="0A8BA478">
      <w:pPr>
        <w:snapToGrid w:val="0"/>
        <w:spacing w:before="120" w:line="400" w:lineRule="exact"/>
        <w:ind w:left="-210" w:leftChars="-100" w:right="-210" w:rightChars="-100"/>
        <w:rPr>
          <w:rFonts w:ascii="宋体" w:hAnsi="宋体"/>
          <w:b/>
          <w:color w:val="auto"/>
          <w:sz w:val="24"/>
          <w:highlight w:val="none"/>
        </w:rPr>
      </w:pPr>
    </w:p>
    <w:p w14:paraId="2A313F7A">
      <w:pPr>
        <w:snapToGrid w:val="0"/>
        <w:spacing w:before="120" w:line="400" w:lineRule="exact"/>
        <w:ind w:right="-210" w:rightChars="-100"/>
        <w:rPr>
          <w:rFonts w:ascii="宋体" w:hAnsi="宋体"/>
          <w:b/>
          <w:color w:val="auto"/>
          <w:szCs w:val="21"/>
          <w:highlight w:val="none"/>
        </w:rPr>
      </w:pPr>
    </w:p>
    <w:p w14:paraId="3E5CECEC">
      <w:pPr>
        <w:snapToGrid w:val="0"/>
        <w:spacing w:before="120" w:line="360" w:lineRule="auto"/>
        <w:ind w:right="-210" w:rightChars="-100"/>
        <w:rPr>
          <w:rFonts w:ascii="宋体" w:hAnsi="宋体"/>
          <w:b/>
          <w:color w:val="auto"/>
          <w:sz w:val="24"/>
          <w:szCs w:val="24"/>
          <w:highlight w:val="none"/>
        </w:rPr>
      </w:pPr>
    </w:p>
    <w:p w14:paraId="3FE699D8">
      <w:pPr>
        <w:snapToGrid w:val="0"/>
        <w:spacing w:before="120" w:line="360" w:lineRule="auto"/>
        <w:ind w:right="-210" w:rightChars="-100"/>
        <w:rPr>
          <w:rFonts w:ascii="宋体" w:hAnsi="宋体"/>
          <w:b/>
          <w:color w:val="auto"/>
          <w:sz w:val="24"/>
          <w:szCs w:val="24"/>
          <w:highlight w:val="none"/>
        </w:rPr>
        <w:sectPr>
          <w:headerReference r:id="rId4" w:type="first"/>
          <w:footerReference r:id="rId6" w:type="first"/>
          <w:headerReference r:id="rId3" w:type="default"/>
          <w:footerReference r:id="rId5" w:type="default"/>
          <w:pgSz w:w="11906" w:h="16838"/>
          <w:pgMar w:top="1134" w:right="1274" w:bottom="1134" w:left="1418" w:header="851" w:footer="992" w:gutter="0"/>
          <w:pgNumType w:start="1"/>
          <w:cols w:space="720" w:num="1"/>
          <w:titlePg/>
          <w:docGrid w:type="lines" w:linePitch="312" w:charSpace="0"/>
        </w:sectPr>
      </w:pPr>
    </w:p>
    <w:sdt>
      <w:sdtPr>
        <w:rPr>
          <w:rFonts w:ascii="Times New Roman" w:hAnsi="Times New Roman" w:eastAsia="宋体" w:cs="Times New Roman"/>
          <w:color w:val="auto"/>
          <w:kern w:val="2"/>
          <w:sz w:val="21"/>
          <w:szCs w:val="20"/>
          <w:highlight w:val="none"/>
          <w:lang w:val="zh-CN"/>
        </w:rPr>
        <w:id w:val="-1"/>
        <w:docPartObj>
          <w:docPartGallery w:val="Table of Contents"/>
          <w:docPartUnique/>
        </w:docPartObj>
      </w:sdtPr>
      <w:sdtEndPr>
        <w:rPr>
          <w:rFonts w:ascii="Times New Roman" w:hAnsi="Times New Roman" w:eastAsia="宋体" w:cs="Times New Roman"/>
          <w:color w:val="auto"/>
          <w:kern w:val="2"/>
          <w:sz w:val="21"/>
          <w:szCs w:val="20"/>
          <w:highlight w:val="none"/>
          <w:lang w:val="en-US"/>
        </w:rPr>
      </w:sdtEndPr>
      <w:sdtContent>
        <w:p w14:paraId="46490F79">
          <w:pPr>
            <w:pStyle w:val="99"/>
            <w:jc w:val="center"/>
            <w:rPr>
              <w:rFonts w:ascii="宋体" w:hAnsi="宋体" w:eastAsia="宋体"/>
              <w:b/>
              <w:bCs/>
              <w:color w:val="auto"/>
              <w:highlight w:val="none"/>
            </w:rPr>
          </w:pPr>
          <w:r>
            <w:rPr>
              <w:rFonts w:hint="eastAsia" w:ascii="宋体" w:hAnsi="宋体" w:eastAsia="宋体"/>
              <w:b/>
              <w:bCs/>
              <w:color w:val="auto"/>
              <w:highlight w:val="none"/>
            </w:rPr>
            <w:t>目 录</w:t>
          </w:r>
        </w:p>
        <w:p w14:paraId="52583C64">
          <w:pPr>
            <w:pStyle w:val="23"/>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"_Toc180591459" </w:instrText>
          </w:r>
          <w:r>
            <w:rPr>
              <w:color w:val="auto"/>
              <w:highlight w:val="none"/>
            </w:rPr>
            <w:fldChar w:fldCharType="separate"/>
          </w:r>
          <w:r>
            <w:rPr>
              <w:rStyle w:val="35"/>
              <w:rFonts w:hint="eastAsia"/>
              <w:color w:val="auto"/>
              <w:highlight w:val="none"/>
            </w:rPr>
            <w:t>第一部分</w:t>
          </w:r>
          <w:r>
            <w:rPr>
              <w:rStyle w:val="35"/>
              <w:color w:val="auto"/>
              <w:highlight w:val="none"/>
            </w:rPr>
            <w:t xml:space="preserve"> </w:t>
          </w:r>
          <w:r>
            <w:rPr>
              <w:rStyle w:val="35"/>
              <w:rFonts w:hint="eastAsia"/>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_Toc180591459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E11B653">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"_Toc180591460" </w:instrText>
          </w:r>
          <w:r>
            <w:rPr>
              <w:color w:val="auto"/>
              <w:highlight w:val="none"/>
            </w:rPr>
            <w:fldChar w:fldCharType="separate"/>
          </w:r>
          <w:r>
            <w:rPr>
              <w:rStyle w:val="35"/>
              <w:rFonts w:hint="eastAsia"/>
              <w:color w:val="auto"/>
              <w:highlight w:val="none"/>
            </w:rPr>
            <w:t>第</w:t>
          </w:r>
          <w:r>
            <w:rPr>
              <w:rStyle w:val="35"/>
              <w:color w:val="auto"/>
              <w:highlight w:val="none"/>
            </w:rPr>
            <w:t>1</w:t>
          </w:r>
          <w:r>
            <w:rPr>
              <w:rStyle w:val="35"/>
              <w:rFonts w:hint="eastAsia"/>
              <w:color w:val="auto"/>
              <w:highlight w:val="none"/>
            </w:rPr>
            <w:t>条　工程概况</w:t>
          </w:r>
          <w:r>
            <w:rPr>
              <w:color w:val="auto"/>
              <w:highlight w:val="none"/>
            </w:rPr>
            <w:tab/>
          </w:r>
          <w:r>
            <w:rPr>
              <w:color w:val="auto"/>
              <w:highlight w:val="none"/>
            </w:rPr>
            <w:fldChar w:fldCharType="begin"/>
          </w:r>
          <w:r>
            <w:rPr>
              <w:color w:val="auto"/>
              <w:highlight w:val="none"/>
            </w:rPr>
            <w:instrText xml:space="preserve"> PAGEREF _Toc180591460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88C5A82">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"_Toc180591461" </w:instrText>
          </w:r>
          <w:r>
            <w:rPr>
              <w:color w:val="auto"/>
              <w:highlight w:val="none"/>
            </w:rPr>
            <w:fldChar w:fldCharType="separate"/>
          </w:r>
          <w:r>
            <w:rPr>
              <w:rStyle w:val="35"/>
              <w:rFonts w:hint="eastAsia"/>
              <w:color w:val="auto"/>
              <w:highlight w:val="none"/>
            </w:rPr>
            <w:t>第</w:t>
          </w:r>
          <w:r>
            <w:rPr>
              <w:rStyle w:val="35"/>
              <w:color w:val="auto"/>
              <w:highlight w:val="none"/>
            </w:rPr>
            <w:t>2</w:t>
          </w:r>
          <w:r>
            <w:rPr>
              <w:rStyle w:val="35"/>
              <w:rFonts w:hint="eastAsia"/>
              <w:color w:val="auto"/>
              <w:highlight w:val="none"/>
            </w:rPr>
            <w:t>条　工作内容及承包方式</w:t>
          </w:r>
          <w:r>
            <w:rPr>
              <w:color w:val="auto"/>
              <w:highlight w:val="none"/>
            </w:rPr>
            <w:tab/>
          </w:r>
          <w:r>
            <w:rPr>
              <w:color w:val="auto"/>
              <w:highlight w:val="none"/>
            </w:rPr>
            <w:fldChar w:fldCharType="begin"/>
          </w:r>
          <w:r>
            <w:rPr>
              <w:color w:val="auto"/>
              <w:highlight w:val="none"/>
            </w:rPr>
            <w:instrText xml:space="preserve"> PAGEREF _Toc180591461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B78E43A">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"_Toc180591462" </w:instrText>
          </w:r>
          <w:r>
            <w:rPr>
              <w:color w:val="auto"/>
              <w:highlight w:val="none"/>
            </w:rPr>
            <w:fldChar w:fldCharType="separate"/>
          </w:r>
          <w:r>
            <w:rPr>
              <w:rStyle w:val="35"/>
              <w:rFonts w:hint="eastAsia"/>
              <w:color w:val="auto"/>
              <w:highlight w:val="none"/>
            </w:rPr>
            <w:t>第</w:t>
          </w:r>
          <w:r>
            <w:rPr>
              <w:rStyle w:val="35"/>
              <w:color w:val="auto"/>
              <w:highlight w:val="none"/>
            </w:rPr>
            <w:t>3</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合同工期</w:t>
          </w:r>
          <w:r>
            <w:rPr>
              <w:color w:val="auto"/>
              <w:highlight w:val="none"/>
            </w:rPr>
            <w:tab/>
          </w:r>
          <w:r>
            <w:rPr>
              <w:color w:val="auto"/>
              <w:highlight w:val="none"/>
            </w:rPr>
            <w:fldChar w:fldCharType="begin"/>
          </w:r>
          <w:r>
            <w:rPr>
              <w:color w:val="auto"/>
              <w:highlight w:val="none"/>
            </w:rPr>
            <w:instrText xml:space="preserve"> PAGEREF _Toc180591462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7D844FC">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"_Toc180591463" </w:instrText>
          </w:r>
          <w:r>
            <w:rPr>
              <w:color w:val="auto"/>
              <w:highlight w:val="none"/>
            </w:rPr>
            <w:fldChar w:fldCharType="separate"/>
          </w:r>
          <w:r>
            <w:rPr>
              <w:rStyle w:val="35"/>
              <w:rFonts w:hint="eastAsia"/>
              <w:color w:val="auto"/>
              <w:highlight w:val="none"/>
            </w:rPr>
            <w:t>第</w:t>
          </w:r>
          <w:r>
            <w:rPr>
              <w:rStyle w:val="35"/>
              <w:color w:val="auto"/>
              <w:highlight w:val="none"/>
            </w:rPr>
            <w:t>4</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合同造价</w:t>
          </w:r>
          <w:r>
            <w:rPr>
              <w:color w:val="auto"/>
              <w:highlight w:val="none"/>
            </w:rPr>
            <w:tab/>
          </w:r>
          <w:r>
            <w:rPr>
              <w:color w:val="auto"/>
              <w:highlight w:val="none"/>
            </w:rPr>
            <w:fldChar w:fldCharType="begin"/>
          </w:r>
          <w:r>
            <w:rPr>
              <w:color w:val="auto"/>
              <w:highlight w:val="none"/>
            </w:rPr>
            <w:instrText xml:space="preserve"> PAGEREF _Toc180591463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EDB4F11">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"_Toc180591464" </w:instrText>
          </w:r>
          <w:r>
            <w:rPr>
              <w:color w:val="auto"/>
              <w:highlight w:val="none"/>
            </w:rPr>
            <w:fldChar w:fldCharType="separate"/>
          </w:r>
          <w:r>
            <w:rPr>
              <w:rStyle w:val="35"/>
              <w:rFonts w:hint="eastAsia"/>
              <w:color w:val="auto"/>
              <w:highlight w:val="none"/>
            </w:rPr>
            <w:t>第</w:t>
          </w:r>
          <w:r>
            <w:rPr>
              <w:rStyle w:val="35"/>
              <w:color w:val="auto"/>
              <w:highlight w:val="none"/>
            </w:rPr>
            <w:t>5</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质量目标</w:t>
          </w:r>
          <w:r>
            <w:rPr>
              <w:color w:val="auto"/>
              <w:highlight w:val="none"/>
            </w:rPr>
            <w:tab/>
          </w:r>
          <w:r>
            <w:rPr>
              <w:color w:val="auto"/>
              <w:highlight w:val="none"/>
            </w:rPr>
            <w:fldChar w:fldCharType="begin"/>
          </w:r>
          <w:r>
            <w:rPr>
              <w:color w:val="auto"/>
              <w:highlight w:val="none"/>
            </w:rPr>
            <w:instrText xml:space="preserve"> PAGEREF _Toc180591464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E74F8A5">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"_Toc180591465" </w:instrText>
          </w:r>
          <w:r>
            <w:rPr>
              <w:color w:val="auto"/>
              <w:highlight w:val="none"/>
            </w:rPr>
            <w:fldChar w:fldCharType="separate"/>
          </w:r>
          <w:r>
            <w:rPr>
              <w:rStyle w:val="35"/>
              <w:rFonts w:hint="eastAsia"/>
              <w:color w:val="auto"/>
              <w:highlight w:val="none"/>
            </w:rPr>
            <w:t>第</w:t>
          </w:r>
          <w:r>
            <w:rPr>
              <w:rStyle w:val="35"/>
              <w:color w:val="auto"/>
              <w:highlight w:val="none"/>
            </w:rPr>
            <w:t>6</w:t>
          </w:r>
          <w:r>
            <w:rPr>
              <w:rStyle w:val="35"/>
              <w:rFonts w:hint="eastAsia"/>
              <w:color w:val="auto"/>
              <w:highlight w:val="none"/>
            </w:rPr>
            <w:t>条　合同文件解释顺序</w:t>
          </w:r>
          <w:r>
            <w:rPr>
              <w:color w:val="auto"/>
              <w:highlight w:val="none"/>
            </w:rPr>
            <w:tab/>
          </w:r>
          <w:r>
            <w:rPr>
              <w:color w:val="auto"/>
              <w:highlight w:val="none"/>
            </w:rPr>
            <w:fldChar w:fldCharType="begin"/>
          </w:r>
          <w:r>
            <w:rPr>
              <w:color w:val="auto"/>
              <w:highlight w:val="none"/>
            </w:rPr>
            <w:instrText xml:space="preserve"> PAGEREF _Toc180591465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873B7FE">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"_Toc180591466" </w:instrText>
          </w:r>
          <w:r>
            <w:rPr>
              <w:color w:val="auto"/>
              <w:highlight w:val="none"/>
            </w:rPr>
            <w:fldChar w:fldCharType="separate"/>
          </w:r>
          <w:r>
            <w:rPr>
              <w:rStyle w:val="35"/>
              <w:rFonts w:hint="eastAsia"/>
              <w:color w:val="auto"/>
              <w:highlight w:val="none"/>
            </w:rPr>
            <w:t>第</w:t>
          </w:r>
          <w:r>
            <w:rPr>
              <w:rStyle w:val="35"/>
              <w:color w:val="auto"/>
              <w:highlight w:val="none"/>
            </w:rPr>
            <w:t>7</w:t>
          </w:r>
          <w:r>
            <w:rPr>
              <w:rStyle w:val="35"/>
              <w:rFonts w:hint="eastAsia"/>
              <w:color w:val="auto"/>
              <w:highlight w:val="none"/>
            </w:rPr>
            <w:t>条　合同生效与终止</w:t>
          </w:r>
          <w:r>
            <w:rPr>
              <w:color w:val="auto"/>
              <w:highlight w:val="none"/>
            </w:rPr>
            <w:tab/>
          </w:r>
          <w:r>
            <w:rPr>
              <w:color w:val="auto"/>
              <w:highlight w:val="none"/>
            </w:rPr>
            <w:fldChar w:fldCharType="begin"/>
          </w:r>
          <w:r>
            <w:rPr>
              <w:color w:val="auto"/>
              <w:highlight w:val="none"/>
            </w:rPr>
            <w:instrText xml:space="preserve"> PAGEREF _Toc180591466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A667440">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"_Toc180591467" </w:instrText>
          </w:r>
          <w:r>
            <w:rPr>
              <w:color w:val="auto"/>
              <w:highlight w:val="none"/>
            </w:rPr>
            <w:fldChar w:fldCharType="separate"/>
          </w:r>
          <w:r>
            <w:rPr>
              <w:rStyle w:val="35"/>
              <w:rFonts w:hint="eastAsia"/>
              <w:color w:val="auto"/>
              <w:highlight w:val="none"/>
            </w:rPr>
            <w:t>第</w:t>
          </w:r>
          <w:r>
            <w:rPr>
              <w:rStyle w:val="35"/>
              <w:color w:val="auto"/>
              <w:highlight w:val="none"/>
            </w:rPr>
            <w:t>8</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合同份数</w:t>
          </w:r>
          <w:r>
            <w:rPr>
              <w:color w:val="auto"/>
              <w:highlight w:val="none"/>
            </w:rPr>
            <w:tab/>
          </w:r>
          <w:r>
            <w:rPr>
              <w:color w:val="auto"/>
              <w:highlight w:val="none"/>
            </w:rPr>
            <w:fldChar w:fldCharType="begin"/>
          </w:r>
          <w:r>
            <w:rPr>
              <w:color w:val="auto"/>
              <w:highlight w:val="none"/>
            </w:rPr>
            <w:instrText xml:space="preserve"> PAGEREF _Toc180591467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7868115">
          <w:pPr>
            <w:pStyle w:val="23"/>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"_Toc180591468" </w:instrText>
          </w:r>
          <w:r>
            <w:rPr>
              <w:color w:val="auto"/>
              <w:highlight w:val="none"/>
            </w:rPr>
            <w:fldChar w:fldCharType="separate"/>
          </w:r>
          <w:r>
            <w:rPr>
              <w:rStyle w:val="35"/>
              <w:rFonts w:hint="eastAsia"/>
              <w:color w:val="auto"/>
              <w:highlight w:val="none"/>
            </w:rPr>
            <w:t>第二部分</w:t>
          </w:r>
          <w:r>
            <w:rPr>
              <w:rStyle w:val="35"/>
              <w:color w:val="auto"/>
              <w:highlight w:val="none"/>
            </w:rPr>
            <w:t xml:space="preserve"> </w:t>
          </w:r>
          <w:r>
            <w:rPr>
              <w:rStyle w:val="35"/>
              <w:rFonts w:hint="eastAsia"/>
              <w:color w:val="auto"/>
              <w:highlight w:val="none"/>
            </w:rPr>
            <w:t>合同通用条款</w:t>
          </w:r>
          <w:r>
            <w:rPr>
              <w:color w:val="auto"/>
              <w:highlight w:val="none"/>
            </w:rPr>
            <w:tab/>
          </w:r>
          <w:r>
            <w:rPr>
              <w:color w:val="auto"/>
              <w:highlight w:val="none"/>
            </w:rPr>
            <w:fldChar w:fldCharType="begin"/>
          </w:r>
          <w:r>
            <w:rPr>
              <w:color w:val="auto"/>
              <w:highlight w:val="none"/>
            </w:rPr>
            <w:instrText xml:space="preserve"> PAGEREF _Toc180591468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E12E78F">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"_Toc180591469" </w:instrText>
          </w:r>
          <w:r>
            <w:rPr>
              <w:color w:val="auto"/>
              <w:highlight w:val="none"/>
            </w:rPr>
            <w:fldChar w:fldCharType="separate"/>
          </w:r>
          <w:r>
            <w:rPr>
              <w:rStyle w:val="35"/>
              <w:rFonts w:hint="eastAsia"/>
              <w:color w:val="auto"/>
              <w:highlight w:val="none"/>
            </w:rPr>
            <w:t>第</w:t>
          </w:r>
          <w:r>
            <w:rPr>
              <w:rStyle w:val="35"/>
              <w:color w:val="auto"/>
              <w:highlight w:val="none"/>
            </w:rPr>
            <w:t>1</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承包工作详细内容</w:t>
          </w:r>
          <w:r>
            <w:rPr>
              <w:color w:val="auto"/>
              <w:highlight w:val="none"/>
            </w:rPr>
            <w:tab/>
          </w:r>
          <w:r>
            <w:rPr>
              <w:color w:val="auto"/>
              <w:highlight w:val="none"/>
            </w:rPr>
            <w:fldChar w:fldCharType="begin"/>
          </w:r>
          <w:r>
            <w:rPr>
              <w:color w:val="auto"/>
              <w:highlight w:val="none"/>
            </w:rPr>
            <w:instrText xml:space="preserve"> PAGEREF _Toc180591469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64A2621">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"_Toc180591470" </w:instrText>
          </w:r>
          <w:r>
            <w:rPr>
              <w:color w:val="auto"/>
              <w:highlight w:val="none"/>
            </w:rPr>
            <w:fldChar w:fldCharType="separate"/>
          </w:r>
          <w:r>
            <w:rPr>
              <w:rStyle w:val="35"/>
              <w:rFonts w:hint="eastAsia"/>
              <w:color w:val="auto"/>
              <w:highlight w:val="none"/>
            </w:rPr>
            <w:t>第</w:t>
          </w:r>
          <w:r>
            <w:rPr>
              <w:rStyle w:val="35"/>
              <w:color w:val="auto"/>
              <w:highlight w:val="none"/>
            </w:rPr>
            <w:t>2</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施工图纸</w:t>
          </w:r>
          <w:r>
            <w:rPr>
              <w:color w:val="auto"/>
              <w:highlight w:val="none"/>
            </w:rPr>
            <w:tab/>
          </w:r>
          <w:r>
            <w:rPr>
              <w:color w:val="auto"/>
              <w:highlight w:val="none"/>
            </w:rPr>
            <w:fldChar w:fldCharType="begin"/>
          </w:r>
          <w:r>
            <w:rPr>
              <w:color w:val="auto"/>
              <w:highlight w:val="none"/>
            </w:rPr>
            <w:instrText xml:space="preserve"> PAGEREF _Toc180591470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5A576EA">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"_Toc180591471" </w:instrText>
          </w:r>
          <w:r>
            <w:rPr>
              <w:color w:val="auto"/>
              <w:highlight w:val="none"/>
            </w:rPr>
            <w:fldChar w:fldCharType="separate"/>
          </w:r>
          <w:r>
            <w:rPr>
              <w:rStyle w:val="35"/>
              <w:rFonts w:hint="eastAsia"/>
              <w:color w:val="auto"/>
              <w:highlight w:val="none"/>
            </w:rPr>
            <w:t>第</w:t>
          </w:r>
          <w:r>
            <w:rPr>
              <w:rStyle w:val="35"/>
              <w:color w:val="auto"/>
              <w:highlight w:val="none"/>
            </w:rPr>
            <w:t>3</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_Toc180591471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7CFA7F4">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"_Toc180591472" </w:instrText>
          </w:r>
          <w:r>
            <w:rPr>
              <w:color w:val="auto"/>
              <w:highlight w:val="none"/>
            </w:rPr>
            <w:fldChar w:fldCharType="separate"/>
          </w:r>
          <w:r>
            <w:rPr>
              <w:rStyle w:val="35"/>
              <w:rFonts w:hint="eastAsia"/>
              <w:color w:val="auto"/>
              <w:highlight w:val="none"/>
            </w:rPr>
            <w:t>第</w:t>
          </w:r>
          <w:r>
            <w:rPr>
              <w:rStyle w:val="35"/>
              <w:color w:val="auto"/>
              <w:highlight w:val="none"/>
            </w:rPr>
            <w:t>4</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通讯联络</w:t>
          </w:r>
          <w:r>
            <w:rPr>
              <w:color w:val="auto"/>
              <w:highlight w:val="none"/>
            </w:rPr>
            <w:tab/>
          </w:r>
          <w:r>
            <w:rPr>
              <w:color w:val="auto"/>
              <w:highlight w:val="none"/>
            </w:rPr>
            <w:fldChar w:fldCharType="begin"/>
          </w:r>
          <w:r>
            <w:rPr>
              <w:color w:val="auto"/>
              <w:highlight w:val="none"/>
            </w:rPr>
            <w:instrText xml:space="preserve"> PAGEREF _Toc180591472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46B1747">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"_Toc180591473" </w:instrText>
          </w:r>
          <w:r>
            <w:rPr>
              <w:color w:val="auto"/>
              <w:highlight w:val="none"/>
            </w:rPr>
            <w:fldChar w:fldCharType="separate"/>
          </w:r>
          <w:r>
            <w:rPr>
              <w:rStyle w:val="35"/>
              <w:rFonts w:hint="eastAsia"/>
              <w:color w:val="auto"/>
              <w:highlight w:val="none"/>
            </w:rPr>
            <w:t>第</w:t>
          </w:r>
          <w:r>
            <w:rPr>
              <w:rStyle w:val="35"/>
              <w:color w:val="auto"/>
              <w:highlight w:val="none"/>
            </w:rPr>
            <w:t>5</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现场勘察</w:t>
          </w:r>
          <w:r>
            <w:rPr>
              <w:color w:val="auto"/>
              <w:highlight w:val="none"/>
            </w:rPr>
            <w:tab/>
          </w:r>
          <w:r>
            <w:rPr>
              <w:color w:val="auto"/>
              <w:highlight w:val="none"/>
            </w:rPr>
            <w:fldChar w:fldCharType="begin"/>
          </w:r>
          <w:r>
            <w:rPr>
              <w:color w:val="auto"/>
              <w:highlight w:val="none"/>
            </w:rPr>
            <w:instrText xml:space="preserve"> PAGEREF _Toc180591473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B68DE41">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"_Toc180591474" </w:instrText>
          </w:r>
          <w:r>
            <w:rPr>
              <w:color w:val="auto"/>
              <w:highlight w:val="none"/>
            </w:rPr>
            <w:fldChar w:fldCharType="separate"/>
          </w:r>
          <w:r>
            <w:rPr>
              <w:rStyle w:val="35"/>
              <w:rFonts w:hint="eastAsia"/>
              <w:color w:val="auto"/>
              <w:highlight w:val="none"/>
            </w:rPr>
            <w:t>第</w:t>
          </w:r>
          <w:r>
            <w:rPr>
              <w:rStyle w:val="35"/>
              <w:color w:val="auto"/>
              <w:highlight w:val="none"/>
            </w:rPr>
            <w:t>6</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甲方义务</w:t>
          </w:r>
          <w:r>
            <w:rPr>
              <w:color w:val="auto"/>
              <w:highlight w:val="none"/>
            </w:rPr>
            <w:tab/>
          </w:r>
          <w:r>
            <w:rPr>
              <w:color w:val="auto"/>
              <w:highlight w:val="none"/>
            </w:rPr>
            <w:fldChar w:fldCharType="begin"/>
          </w:r>
          <w:r>
            <w:rPr>
              <w:color w:val="auto"/>
              <w:highlight w:val="none"/>
            </w:rPr>
            <w:instrText xml:space="preserve"> PAGEREF _Toc180591474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12326D3">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"_Toc180591475" </w:instrText>
          </w:r>
          <w:r>
            <w:rPr>
              <w:color w:val="auto"/>
              <w:highlight w:val="none"/>
            </w:rPr>
            <w:fldChar w:fldCharType="separate"/>
          </w:r>
          <w:r>
            <w:rPr>
              <w:rStyle w:val="35"/>
              <w:rFonts w:hint="eastAsia"/>
              <w:color w:val="auto"/>
              <w:highlight w:val="none"/>
            </w:rPr>
            <w:t>第</w:t>
          </w:r>
          <w:r>
            <w:rPr>
              <w:rStyle w:val="35"/>
              <w:color w:val="auto"/>
              <w:highlight w:val="none"/>
            </w:rPr>
            <w:t>7</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乙方义务</w:t>
          </w:r>
          <w:r>
            <w:rPr>
              <w:color w:val="auto"/>
              <w:highlight w:val="none"/>
            </w:rPr>
            <w:tab/>
          </w:r>
          <w:r>
            <w:rPr>
              <w:color w:val="auto"/>
              <w:highlight w:val="none"/>
            </w:rPr>
            <w:fldChar w:fldCharType="begin"/>
          </w:r>
          <w:r>
            <w:rPr>
              <w:color w:val="auto"/>
              <w:highlight w:val="none"/>
            </w:rPr>
            <w:instrText xml:space="preserve"> PAGEREF _Toc180591475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C9543DE">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"_Toc180591476" </w:instrText>
          </w:r>
          <w:r>
            <w:rPr>
              <w:color w:val="auto"/>
              <w:highlight w:val="none"/>
            </w:rPr>
            <w:fldChar w:fldCharType="separate"/>
          </w:r>
          <w:r>
            <w:rPr>
              <w:rStyle w:val="35"/>
              <w:rFonts w:hint="eastAsia"/>
              <w:color w:val="auto"/>
              <w:highlight w:val="none"/>
            </w:rPr>
            <w:t>第</w:t>
          </w:r>
          <w:r>
            <w:rPr>
              <w:rStyle w:val="35"/>
              <w:color w:val="auto"/>
              <w:highlight w:val="none"/>
            </w:rPr>
            <w:t>8</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工期</w:t>
          </w:r>
          <w:r>
            <w:rPr>
              <w:color w:val="auto"/>
              <w:highlight w:val="none"/>
            </w:rPr>
            <w:tab/>
          </w:r>
          <w:r>
            <w:rPr>
              <w:color w:val="auto"/>
              <w:highlight w:val="none"/>
            </w:rPr>
            <w:fldChar w:fldCharType="begin"/>
          </w:r>
          <w:r>
            <w:rPr>
              <w:color w:val="auto"/>
              <w:highlight w:val="none"/>
            </w:rPr>
            <w:instrText xml:space="preserve"> PAGEREF _Toc180591476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55985FA">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"_Toc180591477" </w:instrText>
          </w:r>
          <w:r>
            <w:rPr>
              <w:color w:val="auto"/>
              <w:highlight w:val="none"/>
            </w:rPr>
            <w:fldChar w:fldCharType="separate"/>
          </w:r>
          <w:r>
            <w:rPr>
              <w:rStyle w:val="35"/>
              <w:rFonts w:hint="eastAsia"/>
              <w:color w:val="auto"/>
              <w:highlight w:val="none"/>
            </w:rPr>
            <w:t>第</w:t>
          </w:r>
          <w:r>
            <w:rPr>
              <w:rStyle w:val="35"/>
              <w:color w:val="auto"/>
              <w:highlight w:val="none"/>
            </w:rPr>
            <w:t>9</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工程质量与验收</w:t>
          </w:r>
          <w:r>
            <w:rPr>
              <w:color w:val="auto"/>
              <w:highlight w:val="none"/>
            </w:rPr>
            <w:tab/>
          </w:r>
          <w:r>
            <w:rPr>
              <w:color w:val="auto"/>
              <w:highlight w:val="none"/>
            </w:rPr>
            <w:fldChar w:fldCharType="begin"/>
          </w:r>
          <w:r>
            <w:rPr>
              <w:color w:val="auto"/>
              <w:highlight w:val="none"/>
            </w:rPr>
            <w:instrText xml:space="preserve"> PAGEREF _Toc180591477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67571A2">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"_Toc180591478" </w:instrText>
          </w:r>
          <w:r>
            <w:rPr>
              <w:color w:val="auto"/>
              <w:highlight w:val="none"/>
            </w:rPr>
            <w:fldChar w:fldCharType="separate"/>
          </w:r>
          <w:r>
            <w:rPr>
              <w:rStyle w:val="35"/>
              <w:rFonts w:hint="eastAsia"/>
              <w:color w:val="auto"/>
              <w:highlight w:val="none"/>
            </w:rPr>
            <w:t>第</w:t>
          </w:r>
          <w:r>
            <w:rPr>
              <w:rStyle w:val="35"/>
              <w:color w:val="auto"/>
              <w:highlight w:val="none"/>
            </w:rPr>
            <w:t>10</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安全文明施工</w:t>
          </w:r>
          <w:r>
            <w:rPr>
              <w:color w:val="auto"/>
              <w:highlight w:val="none"/>
            </w:rPr>
            <w:tab/>
          </w:r>
          <w:r>
            <w:rPr>
              <w:color w:val="auto"/>
              <w:highlight w:val="none"/>
            </w:rPr>
            <w:fldChar w:fldCharType="begin"/>
          </w:r>
          <w:r>
            <w:rPr>
              <w:color w:val="auto"/>
              <w:highlight w:val="none"/>
            </w:rPr>
            <w:instrText xml:space="preserve"> PAGEREF _Toc180591478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29514F8">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"_Toc180591479" </w:instrText>
          </w:r>
          <w:r>
            <w:rPr>
              <w:color w:val="auto"/>
              <w:highlight w:val="none"/>
            </w:rPr>
            <w:fldChar w:fldCharType="separate"/>
          </w:r>
          <w:r>
            <w:rPr>
              <w:rStyle w:val="35"/>
              <w:rFonts w:hint="eastAsia"/>
              <w:color w:val="auto"/>
              <w:highlight w:val="none"/>
            </w:rPr>
            <w:t>第</w:t>
          </w:r>
          <w:r>
            <w:rPr>
              <w:rStyle w:val="35"/>
              <w:color w:val="auto"/>
              <w:highlight w:val="none"/>
            </w:rPr>
            <w:t>11</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材料设备供应</w:t>
          </w:r>
          <w:r>
            <w:rPr>
              <w:color w:val="auto"/>
              <w:highlight w:val="none"/>
            </w:rPr>
            <w:tab/>
          </w:r>
          <w:r>
            <w:rPr>
              <w:color w:val="auto"/>
              <w:highlight w:val="none"/>
            </w:rPr>
            <w:fldChar w:fldCharType="begin"/>
          </w:r>
          <w:r>
            <w:rPr>
              <w:color w:val="auto"/>
              <w:highlight w:val="none"/>
            </w:rPr>
            <w:instrText xml:space="preserve"> PAGEREF _Toc180591479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C521BA7">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"_Toc180591480" </w:instrText>
          </w:r>
          <w:r>
            <w:rPr>
              <w:color w:val="auto"/>
              <w:highlight w:val="none"/>
            </w:rPr>
            <w:fldChar w:fldCharType="separate"/>
          </w:r>
          <w:r>
            <w:rPr>
              <w:rStyle w:val="35"/>
              <w:rFonts w:hint="eastAsia"/>
              <w:color w:val="auto"/>
              <w:highlight w:val="none"/>
            </w:rPr>
            <w:t>第</w:t>
          </w:r>
          <w:r>
            <w:rPr>
              <w:rStyle w:val="35"/>
              <w:color w:val="auto"/>
              <w:highlight w:val="none"/>
            </w:rPr>
            <w:t>12</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临时设施</w:t>
          </w:r>
          <w:r>
            <w:rPr>
              <w:color w:val="auto"/>
              <w:highlight w:val="none"/>
            </w:rPr>
            <w:tab/>
          </w:r>
          <w:r>
            <w:rPr>
              <w:color w:val="auto"/>
              <w:highlight w:val="none"/>
            </w:rPr>
            <w:fldChar w:fldCharType="begin"/>
          </w:r>
          <w:r>
            <w:rPr>
              <w:color w:val="auto"/>
              <w:highlight w:val="none"/>
            </w:rPr>
            <w:instrText xml:space="preserve"> PAGEREF _Toc180591480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4FB99EE">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"_Toc180591481" </w:instrText>
          </w:r>
          <w:r>
            <w:rPr>
              <w:color w:val="auto"/>
              <w:highlight w:val="none"/>
            </w:rPr>
            <w:fldChar w:fldCharType="separate"/>
          </w:r>
          <w:r>
            <w:rPr>
              <w:rStyle w:val="35"/>
              <w:rFonts w:hint="eastAsia"/>
              <w:color w:val="auto"/>
              <w:highlight w:val="none"/>
            </w:rPr>
            <w:t>第</w:t>
          </w:r>
          <w:r>
            <w:rPr>
              <w:rStyle w:val="35"/>
              <w:color w:val="auto"/>
              <w:highlight w:val="none"/>
            </w:rPr>
            <w:t>13</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造价</w:t>
          </w:r>
          <w:r>
            <w:rPr>
              <w:color w:val="auto"/>
              <w:highlight w:val="none"/>
            </w:rPr>
            <w:tab/>
          </w:r>
          <w:r>
            <w:rPr>
              <w:color w:val="auto"/>
              <w:highlight w:val="none"/>
            </w:rPr>
            <w:fldChar w:fldCharType="begin"/>
          </w:r>
          <w:r>
            <w:rPr>
              <w:color w:val="auto"/>
              <w:highlight w:val="none"/>
            </w:rPr>
            <w:instrText xml:space="preserve"> PAGEREF _Toc180591481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34D1C26">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"_Toc180591482" </w:instrText>
          </w:r>
          <w:r>
            <w:rPr>
              <w:color w:val="auto"/>
              <w:highlight w:val="none"/>
            </w:rPr>
            <w:fldChar w:fldCharType="separate"/>
          </w:r>
          <w:r>
            <w:rPr>
              <w:rStyle w:val="35"/>
              <w:rFonts w:hint="eastAsia"/>
              <w:color w:val="auto"/>
              <w:highlight w:val="none"/>
            </w:rPr>
            <w:t>第</w:t>
          </w:r>
          <w:r>
            <w:rPr>
              <w:rStyle w:val="35"/>
              <w:color w:val="auto"/>
              <w:highlight w:val="none"/>
            </w:rPr>
            <w:t>14</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工程款支付</w:t>
          </w:r>
          <w:r>
            <w:rPr>
              <w:color w:val="auto"/>
              <w:highlight w:val="none"/>
            </w:rPr>
            <w:tab/>
          </w:r>
          <w:r>
            <w:rPr>
              <w:color w:val="auto"/>
              <w:highlight w:val="none"/>
            </w:rPr>
            <w:fldChar w:fldCharType="begin"/>
          </w:r>
          <w:r>
            <w:rPr>
              <w:color w:val="auto"/>
              <w:highlight w:val="none"/>
            </w:rPr>
            <w:instrText xml:space="preserve"> PAGEREF _Toc180591482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03DABBA">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"_Toc180591483" </w:instrText>
          </w:r>
          <w:r>
            <w:rPr>
              <w:color w:val="auto"/>
              <w:highlight w:val="none"/>
            </w:rPr>
            <w:fldChar w:fldCharType="separate"/>
          </w:r>
          <w:r>
            <w:rPr>
              <w:rStyle w:val="35"/>
              <w:rFonts w:hint="eastAsia"/>
              <w:color w:val="auto"/>
              <w:highlight w:val="none"/>
            </w:rPr>
            <w:t>第</w:t>
          </w:r>
          <w:r>
            <w:rPr>
              <w:rStyle w:val="35"/>
              <w:color w:val="auto"/>
              <w:highlight w:val="none"/>
            </w:rPr>
            <w:t>15</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工人工资支付</w:t>
          </w:r>
          <w:r>
            <w:rPr>
              <w:color w:val="auto"/>
              <w:highlight w:val="none"/>
            </w:rPr>
            <w:tab/>
          </w:r>
          <w:r>
            <w:rPr>
              <w:color w:val="auto"/>
              <w:highlight w:val="none"/>
            </w:rPr>
            <w:fldChar w:fldCharType="begin"/>
          </w:r>
          <w:r>
            <w:rPr>
              <w:color w:val="auto"/>
              <w:highlight w:val="none"/>
            </w:rPr>
            <w:instrText xml:space="preserve"> PAGEREF _Toc180591483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8F1FB2D">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"_Toc180591484" </w:instrText>
          </w:r>
          <w:r>
            <w:rPr>
              <w:color w:val="auto"/>
              <w:highlight w:val="none"/>
            </w:rPr>
            <w:fldChar w:fldCharType="separate"/>
          </w:r>
          <w:r>
            <w:rPr>
              <w:rStyle w:val="35"/>
              <w:rFonts w:hint="eastAsia"/>
              <w:color w:val="auto"/>
              <w:highlight w:val="none"/>
            </w:rPr>
            <w:t>第</w:t>
          </w:r>
          <w:r>
            <w:rPr>
              <w:rStyle w:val="35"/>
              <w:color w:val="auto"/>
              <w:highlight w:val="none"/>
            </w:rPr>
            <w:t>16</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_Toc180591484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63DC9CF">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"_Toc180591485" </w:instrText>
          </w:r>
          <w:r>
            <w:rPr>
              <w:color w:val="auto"/>
              <w:highlight w:val="none"/>
            </w:rPr>
            <w:fldChar w:fldCharType="separate"/>
          </w:r>
          <w:r>
            <w:rPr>
              <w:rStyle w:val="35"/>
              <w:rFonts w:hint="eastAsia"/>
              <w:color w:val="auto"/>
              <w:highlight w:val="none"/>
            </w:rPr>
            <w:t>第</w:t>
          </w:r>
          <w:r>
            <w:rPr>
              <w:rStyle w:val="35"/>
              <w:color w:val="auto"/>
              <w:highlight w:val="none"/>
            </w:rPr>
            <w:t>17</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履约保证</w:t>
          </w:r>
          <w:r>
            <w:rPr>
              <w:color w:val="auto"/>
              <w:highlight w:val="none"/>
            </w:rPr>
            <w:tab/>
          </w:r>
          <w:r>
            <w:rPr>
              <w:color w:val="auto"/>
              <w:highlight w:val="none"/>
            </w:rPr>
            <w:fldChar w:fldCharType="begin"/>
          </w:r>
          <w:r>
            <w:rPr>
              <w:color w:val="auto"/>
              <w:highlight w:val="none"/>
            </w:rPr>
            <w:instrText xml:space="preserve"> PAGEREF _Toc180591485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B73E994">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"_Toc180591486" </w:instrText>
          </w:r>
          <w:r>
            <w:rPr>
              <w:color w:val="auto"/>
              <w:highlight w:val="none"/>
            </w:rPr>
            <w:fldChar w:fldCharType="separate"/>
          </w:r>
          <w:r>
            <w:rPr>
              <w:rStyle w:val="35"/>
              <w:rFonts w:hint="eastAsia"/>
              <w:color w:val="auto"/>
              <w:highlight w:val="none"/>
            </w:rPr>
            <w:t>第</w:t>
          </w:r>
          <w:r>
            <w:rPr>
              <w:rStyle w:val="35"/>
              <w:color w:val="auto"/>
              <w:highlight w:val="none"/>
            </w:rPr>
            <w:t>18</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_Toc180591486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8D4DBBC">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"_Toc180591487" </w:instrText>
          </w:r>
          <w:r>
            <w:rPr>
              <w:color w:val="auto"/>
              <w:highlight w:val="none"/>
            </w:rPr>
            <w:fldChar w:fldCharType="separate"/>
          </w:r>
          <w:r>
            <w:rPr>
              <w:rStyle w:val="35"/>
              <w:rFonts w:hint="eastAsia"/>
              <w:color w:val="auto"/>
              <w:highlight w:val="none"/>
            </w:rPr>
            <w:t>第</w:t>
          </w:r>
          <w:r>
            <w:rPr>
              <w:rStyle w:val="35"/>
              <w:color w:val="auto"/>
              <w:highlight w:val="none"/>
            </w:rPr>
            <w:t>19</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工程保修</w:t>
          </w:r>
          <w:r>
            <w:rPr>
              <w:color w:val="auto"/>
              <w:highlight w:val="none"/>
            </w:rPr>
            <w:tab/>
          </w:r>
          <w:r>
            <w:rPr>
              <w:color w:val="auto"/>
              <w:highlight w:val="none"/>
            </w:rPr>
            <w:fldChar w:fldCharType="begin"/>
          </w:r>
          <w:r>
            <w:rPr>
              <w:color w:val="auto"/>
              <w:highlight w:val="none"/>
            </w:rPr>
            <w:instrText xml:space="preserve"> PAGEREF _Toc180591487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08FE96A3">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"_Toc180591488" </w:instrText>
          </w:r>
          <w:r>
            <w:rPr>
              <w:color w:val="auto"/>
              <w:highlight w:val="none"/>
            </w:rPr>
            <w:fldChar w:fldCharType="separate"/>
          </w:r>
          <w:r>
            <w:rPr>
              <w:rStyle w:val="35"/>
              <w:rFonts w:hint="eastAsia"/>
              <w:color w:val="auto"/>
              <w:highlight w:val="none"/>
            </w:rPr>
            <w:t>第</w:t>
          </w:r>
          <w:r>
            <w:rPr>
              <w:rStyle w:val="35"/>
              <w:color w:val="auto"/>
              <w:highlight w:val="none"/>
            </w:rPr>
            <w:t>20</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_Toc180591488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9E5AECD">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"_Toc180591489" </w:instrText>
          </w:r>
          <w:r>
            <w:rPr>
              <w:color w:val="auto"/>
              <w:highlight w:val="none"/>
            </w:rPr>
            <w:fldChar w:fldCharType="separate"/>
          </w:r>
          <w:r>
            <w:rPr>
              <w:rStyle w:val="35"/>
              <w:rFonts w:hint="eastAsia"/>
              <w:color w:val="auto"/>
              <w:highlight w:val="none"/>
            </w:rPr>
            <w:t>第</w:t>
          </w:r>
          <w:r>
            <w:rPr>
              <w:rStyle w:val="35"/>
              <w:color w:val="auto"/>
              <w:highlight w:val="none"/>
            </w:rPr>
            <w:t>21</w:t>
          </w:r>
          <w:r>
            <w:rPr>
              <w:rStyle w:val="35"/>
              <w:rFonts w:hint="eastAsia"/>
              <w:color w:val="auto"/>
              <w:highlight w:val="none"/>
            </w:rPr>
            <w:t>条　合同争议、解除</w:t>
          </w:r>
          <w:r>
            <w:rPr>
              <w:color w:val="auto"/>
              <w:highlight w:val="none"/>
            </w:rPr>
            <w:tab/>
          </w:r>
          <w:r>
            <w:rPr>
              <w:color w:val="auto"/>
              <w:highlight w:val="none"/>
            </w:rPr>
            <w:fldChar w:fldCharType="begin"/>
          </w:r>
          <w:r>
            <w:rPr>
              <w:color w:val="auto"/>
              <w:highlight w:val="none"/>
            </w:rPr>
            <w:instrText xml:space="preserve"> PAGEREF _Toc180591489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6B6FC22A">
          <w:pPr>
            <w:pStyle w:val="23"/>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"_Toc180591490" </w:instrText>
          </w:r>
          <w:r>
            <w:rPr>
              <w:color w:val="auto"/>
              <w:highlight w:val="none"/>
            </w:rPr>
            <w:fldChar w:fldCharType="separate"/>
          </w:r>
          <w:r>
            <w:rPr>
              <w:rStyle w:val="35"/>
              <w:rFonts w:hint="eastAsia"/>
              <w:color w:val="auto"/>
              <w:highlight w:val="none"/>
            </w:rPr>
            <w:t>第三部分</w:t>
          </w:r>
          <w:r>
            <w:rPr>
              <w:rStyle w:val="35"/>
              <w:color w:val="auto"/>
              <w:highlight w:val="none"/>
            </w:rPr>
            <w:t xml:space="preserve"> </w:t>
          </w:r>
          <w:r>
            <w:rPr>
              <w:rStyle w:val="35"/>
              <w:rFonts w:hint="eastAsia"/>
              <w:color w:val="auto"/>
              <w:highlight w:val="none"/>
            </w:rPr>
            <w:t>合同专用条款</w:t>
          </w:r>
          <w:r>
            <w:rPr>
              <w:color w:val="auto"/>
              <w:highlight w:val="none"/>
            </w:rPr>
            <w:tab/>
          </w:r>
          <w:r>
            <w:rPr>
              <w:color w:val="auto"/>
              <w:highlight w:val="none"/>
            </w:rPr>
            <w:fldChar w:fldCharType="begin"/>
          </w:r>
          <w:r>
            <w:rPr>
              <w:color w:val="auto"/>
              <w:highlight w:val="none"/>
            </w:rPr>
            <w:instrText xml:space="preserve"> PAGEREF _Toc180591490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978C157">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"_Toc180591491" </w:instrText>
          </w:r>
          <w:r>
            <w:rPr>
              <w:color w:val="auto"/>
              <w:highlight w:val="none"/>
            </w:rPr>
            <w:fldChar w:fldCharType="separate"/>
          </w:r>
          <w:r>
            <w:rPr>
              <w:rStyle w:val="35"/>
              <w:rFonts w:hint="eastAsia"/>
              <w:color w:val="auto"/>
              <w:highlight w:val="none"/>
            </w:rPr>
            <w:t>第</w:t>
          </w:r>
          <w:r>
            <w:rPr>
              <w:rStyle w:val="35"/>
              <w:color w:val="auto"/>
              <w:highlight w:val="none"/>
            </w:rPr>
            <w:t>1</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通讯联络</w:t>
          </w:r>
          <w:r>
            <w:rPr>
              <w:color w:val="auto"/>
              <w:highlight w:val="none"/>
            </w:rPr>
            <w:tab/>
          </w:r>
          <w:r>
            <w:rPr>
              <w:color w:val="auto"/>
              <w:highlight w:val="none"/>
            </w:rPr>
            <w:fldChar w:fldCharType="begin"/>
          </w:r>
          <w:r>
            <w:rPr>
              <w:color w:val="auto"/>
              <w:highlight w:val="none"/>
            </w:rPr>
            <w:instrText xml:space="preserve"> PAGEREF _Toc180591491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689DF8A6">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"_Toc180591492" </w:instrText>
          </w:r>
          <w:r>
            <w:rPr>
              <w:color w:val="auto"/>
              <w:highlight w:val="none"/>
            </w:rPr>
            <w:fldChar w:fldCharType="separate"/>
          </w:r>
          <w:r>
            <w:rPr>
              <w:rStyle w:val="35"/>
              <w:rFonts w:hint="eastAsia"/>
              <w:color w:val="auto"/>
              <w:highlight w:val="none"/>
            </w:rPr>
            <w:t>第</w:t>
          </w:r>
          <w:r>
            <w:rPr>
              <w:rStyle w:val="35"/>
              <w:color w:val="auto"/>
              <w:highlight w:val="none"/>
            </w:rPr>
            <w:t>2</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甲方义务</w:t>
          </w:r>
          <w:r>
            <w:rPr>
              <w:color w:val="auto"/>
              <w:highlight w:val="none"/>
            </w:rPr>
            <w:tab/>
          </w:r>
          <w:r>
            <w:rPr>
              <w:color w:val="auto"/>
              <w:highlight w:val="none"/>
            </w:rPr>
            <w:fldChar w:fldCharType="begin"/>
          </w:r>
          <w:r>
            <w:rPr>
              <w:color w:val="auto"/>
              <w:highlight w:val="none"/>
            </w:rPr>
            <w:instrText xml:space="preserve"> PAGEREF _Toc180591492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F58F48A">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"_Toc180591493" </w:instrText>
          </w:r>
          <w:r>
            <w:rPr>
              <w:color w:val="auto"/>
              <w:highlight w:val="none"/>
            </w:rPr>
            <w:fldChar w:fldCharType="separate"/>
          </w:r>
          <w:r>
            <w:rPr>
              <w:rStyle w:val="35"/>
              <w:rFonts w:hint="eastAsia"/>
              <w:color w:val="auto"/>
              <w:highlight w:val="none"/>
            </w:rPr>
            <w:t>第</w:t>
          </w:r>
          <w:r>
            <w:rPr>
              <w:rStyle w:val="35"/>
              <w:color w:val="auto"/>
              <w:highlight w:val="none"/>
            </w:rPr>
            <w:t>3</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乙方义务</w:t>
          </w:r>
          <w:r>
            <w:rPr>
              <w:color w:val="auto"/>
              <w:highlight w:val="none"/>
            </w:rPr>
            <w:tab/>
          </w:r>
          <w:r>
            <w:rPr>
              <w:color w:val="auto"/>
              <w:highlight w:val="none"/>
            </w:rPr>
            <w:fldChar w:fldCharType="begin"/>
          </w:r>
          <w:r>
            <w:rPr>
              <w:color w:val="auto"/>
              <w:highlight w:val="none"/>
            </w:rPr>
            <w:instrText xml:space="preserve"> PAGEREF _Toc180591493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62AA0BC0">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"_Toc180591494" </w:instrText>
          </w:r>
          <w:r>
            <w:rPr>
              <w:color w:val="auto"/>
              <w:highlight w:val="none"/>
            </w:rPr>
            <w:fldChar w:fldCharType="separate"/>
          </w:r>
          <w:r>
            <w:rPr>
              <w:rStyle w:val="35"/>
              <w:rFonts w:hint="eastAsia"/>
              <w:color w:val="auto"/>
              <w:highlight w:val="none"/>
            </w:rPr>
            <w:t>第</w:t>
          </w:r>
          <w:r>
            <w:rPr>
              <w:rStyle w:val="35"/>
              <w:color w:val="auto"/>
              <w:highlight w:val="none"/>
            </w:rPr>
            <w:t>4</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工程质量与验收</w:t>
          </w:r>
          <w:r>
            <w:rPr>
              <w:color w:val="auto"/>
              <w:highlight w:val="none"/>
            </w:rPr>
            <w:tab/>
          </w:r>
          <w:r>
            <w:rPr>
              <w:color w:val="auto"/>
              <w:highlight w:val="none"/>
            </w:rPr>
            <w:fldChar w:fldCharType="begin"/>
          </w:r>
          <w:r>
            <w:rPr>
              <w:color w:val="auto"/>
              <w:highlight w:val="none"/>
            </w:rPr>
            <w:instrText xml:space="preserve"> PAGEREF _Toc180591494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091B8BE">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"_Toc180591495" </w:instrText>
          </w:r>
          <w:r>
            <w:rPr>
              <w:color w:val="auto"/>
              <w:highlight w:val="none"/>
            </w:rPr>
            <w:fldChar w:fldCharType="separate"/>
          </w:r>
          <w:r>
            <w:rPr>
              <w:rStyle w:val="35"/>
              <w:rFonts w:hint="eastAsia"/>
              <w:color w:val="auto"/>
              <w:highlight w:val="none"/>
            </w:rPr>
            <w:t>第</w:t>
          </w:r>
          <w:r>
            <w:rPr>
              <w:rStyle w:val="35"/>
              <w:color w:val="auto"/>
              <w:highlight w:val="none"/>
            </w:rPr>
            <w:t>5</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安全文明施工</w:t>
          </w:r>
          <w:r>
            <w:rPr>
              <w:color w:val="auto"/>
              <w:highlight w:val="none"/>
            </w:rPr>
            <w:tab/>
          </w:r>
          <w:r>
            <w:rPr>
              <w:color w:val="auto"/>
              <w:highlight w:val="none"/>
            </w:rPr>
            <w:fldChar w:fldCharType="begin"/>
          </w:r>
          <w:r>
            <w:rPr>
              <w:color w:val="auto"/>
              <w:highlight w:val="none"/>
            </w:rPr>
            <w:instrText xml:space="preserve"> PAGEREF _Toc180591495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1690B64">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"_Toc180591496" </w:instrText>
          </w:r>
          <w:r>
            <w:rPr>
              <w:color w:val="auto"/>
              <w:highlight w:val="none"/>
            </w:rPr>
            <w:fldChar w:fldCharType="separate"/>
          </w:r>
          <w:r>
            <w:rPr>
              <w:rStyle w:val="35"/>
              <w:rFonts w:hint="eastAsia"/>
              <w:color w:val="auto"/>
              <w:highlight w:val="none"/>
            </w:rPr>
            <w:t>第</w:t>
          </w:r>
          <w:r>
            <w:rPr>
              <w:rStyle w:val="35"/>
              <w:color w:val="auto"/>
              <w:highlight w:val="none"/>
            </w:rPr>
            <w:t>6</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材料设备供应</w:t>
          </w:r>
          <w:r>
            <w:rPr>
              <w:color w:val="auto"/>
              <w:highlight w:val="none"/>
            </w:rPr>
            <w:tab/>
          </w:r>
          <w:r>
            <w:rPr>
              <w:color w:val="auto"/>
              <w:highlight w:val="none"/>
            </w:rPr>
            <w:fldChar w:fldCharType="begin"/>
          </w:r>
          <w:r>
            <w:rPr>
              <w:color w:val="auto"/>
              <w:highlight w:val="none"/>
            </w:rPr>
            <w:instrText xml:space="preserve"> PAGEREF _Toc180591496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5E6E847">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"_Toc180591497" </w:instrText>
          </w:r>
          <w:r>
            <w:rPr>
              <w:color w:val="auto"/>
              <w:highlight w:val="none"/>
            </w:rPr>
            <w:fldChar w:fldCharType="separate"/>
          </w:r>
          <w:r>
            <w:rPr>
              <w:rStyle w:val="35"/>
              <w:rFonts w:hint="eastAsia"/>
              <w:color w:val="auto"/>
              <w:highlight w:val="none"/>
            </w:rPr>
            <w:t>第</w:t>
          </w:r>
          <w:r>
            <w:rPr>
              <w:rStyle w:val="35"/>
              <w:color w:val="auto"/>
              <w:highlight w:val="none"/>
            </w:rPr>
            <w:t>7</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临时设施</w:t>
          </w:r>
          <w:r>
            <w:rPr>
              <w:color w:val="auto"/>
              <w:highlight w:val="none"/>
            </w:rPr>
            <w:tab/>
          </w:r>
          <w:r>
            <w:rPr>
              <w:color w:val="auto"/>
              <w:highlight w:val="none"/>
            </w:rPr>
            <w:fldChar w:fldCharType="begin"/>
          </w:r>
          <w:r>
            <w:rPr>
              <w:color w:val="auto"/>
              <w:highlight w:val="none"/>
            </w:rPr>
            <w:instrText xml:space="preserve"> PAGEREF _Toc180591497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669A350">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"_Toc180591498" </w:instrText>
          </w:r>
          <w:r>
            <w:rPr>
              <w:color w:val="auto"/>
              <w:highlight w:val="none"/>
            </w:rPr>
            <w:fldChar w:fldCharType="separate"/>
          </w:r>
          <w:r>
            <w:rPr>
              <w:rStyle w:val="35"/>
              <w:rFonts w:hint="eastAsia"/>
              <w:color w:val="auto"/>
              <w:highlight w:val="none"/>
            </w:rPr>
            <w:t>第</w:t>
          </w:r>
          <w:r>
            <w:rPr>
              <w:rStyle w:val="35"/>
              <w:color w:val="auto"/>
              <w:highlight w:val="none"/>
            </w:rPr>
            <w:t>8</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造价</w:t>
          </w:r>
          <w:r>
            <w:rPr>
              <w:color w:val="auto"/>
              <w:highlight w:val="none"/>
            </w:rPr>
            <w:tab/>
          </w:r>
          <w:r>
            <w:rPr>
              <w:color w:val="auto"/>
              <w:highlight w:val="none"/>
            </w:rPr>
            <w:fldChar w:fldCharType="begin"/>
          </w:r>
          <w:r>
            <w:rPr>
              <w:color w:val="auto"/>
              <w:highlight w:val="none"/>
            </w:rPr>
            <w:instrText xml:space="preserve"> PAGEREF _Toc180591498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DAB24C2">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"_Toc180591499" </w:instrText>
          </w:r>
          <w:r>
            <w:rPr>
              <w:color w:val="auto"/>
              <w:highlight w:val="none"/>
            </w:rPr>
            <w:fldChar w:fldCharType="separate"/>
          </w:r>
          <w:r>
            <w:rPr>
              <w:rStyle w:val="35"/>
              <w:rFonts w:hint="eastAsia"/>
              <w:color w:val="auto"/>
              <w:highlight w:val="none"/>
            </w:rPr>
            <w:t>第</w:t>
          </w:r>
          <w:r>
            <w:rPr>
              <w:rStyle w:val="35"/>
              <w:color w:val="auto"/>
              <w:highlight w:val="none"/>
            </w:rPr>
            <w:t>9</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工程款支付</w:t>
          </w:r>
          <w:r>
            <w:rPr>
              <w:color w:val="auto"/>
              <w:highlight w:val="none"/>
            </w:rPr>
            <w:tab/>
          </w:r>
          <w:r>
            <w:rPr>
              <w:color w:val="auto"/>
              <w:highlight w:val="none"/>
            </w:rPr>
            <w:fldChar w:fldCharType="begin"/>
          </w:r>
          <w:r>
            <w:rPr>
              <w:color w:val="auto"/>
              <w:highlight w:val="none"/>
            </w:rPr>
            <w:instrText xml:space="preserve"> PAGEREF _Toc180591499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9ADE126">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"_Toc180591500" </w:instrText>
          </w:r>
          <w:r>
            <w:rPr>
              <w:color w:val="auto"/>
              <w:highlight w:val="none"/>
            </w:rPr>
            <w:fldChar w:fldCharType="separate"/>
          </w:r>
          <w:r>
            <w:rPr>
              <w:rStyle w:val="35"/>
              <w:rFonts w:hint="eastAsia"/>
              <w:color w:val="auto"/>
              <w:highlight w:val="none"/>
            </w:rPr>
            <w:t>第</w:t>
          </w:r>
          <w:r>
            <w:rPr>
              <w:rStyle w:val="35"/>
              <w:color w:val="auto"/>
              <w:highlight w:val="none"/>
            </w:rPr>
            <w:t>10</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履约保证</w:t>
          </w:r>
          <w:r>
            <w:rPr>
              <w:color w:val="auto"/>
              <w:highlight w:val="none"/>
            </w:rPr>
            <w:tab/>
          </w:r>
          <w:r>
            <w:rPr>
              <w:color w:val="auto"/>
              <w:highlight w:val="none"/>
            </w:rPr>
            <w:fldChar w:fldCharType="begin"/>
          </w:r>
          <w:r>
            <w:rPr>
              <w:color w:val="auto"/>
              <w:highlight w:val="none"/>
            </w:rPr>
            <w:instrText xml:space="preserve"> PAGEREF _Toc180591500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EA32AE6">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"_Toc180591501" </w:instrText>
          </w:r>
          <w:r>
            <w:rPr>
              <w:color w:val="auto"/>
              <w:highlight w:val="none"/>
            </w:rPr>
            <w:fldChar w:fldCharType="separate"/>
          </w:r>
          <w:r>
            <w:rPr>
              <w:rStyle w:val="35"/>
              <w:rFonts w:hint="eastAsia"/>
              <w:color w:val="auto"/>
              <w:highlight w:val="none"/>
            </w:rPr>
            <w:t>第</w:t>
          </w:r>
          <w:r>
            <w:rPr>
              <w:rStyle w:val="35"/>
              <w:color w:val="auto"/>
              <w:highlight w:val="none"/>
            </w:rPr>
            <w:t>11</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质量管理</w:t>
          </w:r>
          <w:r>
            <w:rPr>
              <w:color w:val="auto"/>
              <w:highlight w:val="none"/>
            </w:rPr>
            <w:tab/>
          </w:r>
          <w:r>
            <w:rPr>
              <w:color w:val="auto"/>
              <w:highlight w:val="none"/>
            </w:rPr>
            <w:fldChar w:fldCharType="begin"/>
          </w:r>
          <w:r>
            <w:rPr>
              <w:color w:val="auto"/>
              <w:highlight w:val="none"/>
            </w:rPr>
            <w:instrText xml:space="preserve"> PAGEREF _Toc180591501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14B186F5">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"_Toc180591502" </w:instrText>
          </w:r>
          <w:r>
            <w:rPr>
              <w:color w:val="auto"/>
              <w:highlight w:val="none"/>
            </w:rPr>
            <w:fldChar w:fldCharType="separate"/>
          </w:r>
          <w:r>
            <w:rPr>
              <w:rStyle w:val="35"/>
              <w:rFonts w:hint="eastAsia"/>
              <w:color w:val="auto"/>
              <w:highlight w:val="none"/>
            </w:rPr>
            <w:t>第</w:t>
          </w:r>
          <w:r>
            <w:rPr>
              <w:rStyle w:val="35"/>
              <w:color w:val="auto"/>
              <w:highlight w:val="none"/>
            </w:rPr>
            <w:t>12</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_Toc180591502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99330D4">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"_Toc180591503" </w:instrText>
          </w:r>
          <w:r>
            <w:rPr>
              <w:color w:val="auto"/>
              <w:highlight w:val="none"/>
            </w:rPr>
            <w:fldChar w:fldCharType="separate"/>
          </w:r>
          <w:r>
            <w:rPr>
              <w:rStyle w:val="35"/>
              <w:rFonts w:hint="eastAsia"/>
              <w:color w:val="auto"/>
              <w:highlight w:val="none"/>
            </w:rPr>
            <w:t>第</w:t>
          </w:r>
          <w:r>
            <w:rPr>
              <w:rStyle w:val="35"/>
              <w:color w:val="auto"/>
              <w:highlight w:val="none"/>
            </w:rPr>
            <w:t>13</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工程竣工及移交</w:t>
          </w:r>
          <w:r>
            <w:rPr>
              <w:color w:val="auto"/>
              <w:highlight w:val="none"/>
            </w:rPr>
            <w:tab/>
          </w:r>
          <w:r>
            <w:rPr>
              <w:color w:val="auto"/>
              <w:highlight w:val="none"/>
            </w:rPr>
            <w:fldChar w:fldCharType="begin"/>
          </w:r>
          <w:r>
            <w:rPr>
              <w:color w:val="auto"/>
              <w:highlight w:val="none"/>
            </w:rPr>
            <w:instrText xml:space="preserve"> PAGEREF _Toc180591503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EC52E54">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"_Toc180591504" </w:instrText>
          </w:r>
          <w:r>
            <w:rPr>
              <w:color w:val="auto"/>
              <w:highlight w:val="none"/>
            </w:rPr>
            <w:fldChar w:fldCharType="separate"/>
          </w:r>
          <w:r>
            <w:rPr>
              <w:rStyle w:val="35"/>
              <w:rFonts w:hint="eastAsia"/>
              <w:color w:val="auto"/>
              <w:highlight w:val="none"/>
            </w:rPr>
            <w:t>第</w:t>
          </w:r>
          <w:r>
            <w:rPr>
              <w:rStyle w:val="35"/>
              <w:color w:val="auto"/>
              <w:highlight w:val="none"/>
            </w:rPr>
            <w:t>14</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工程保修</w:t>
          </w:r>
          <w:r>
            <w:rPr>
              <w:color w:val="auto"/>
              <w:highlight w:val="none"/>
            </w:rPr>
            <w:tab/>
          </w:r>
          <w:r>
            <w:rPr>
              <w:color w:val="auto"/>
              <w:highlight w:val="none"/>
            </w:rPr>
            <w:fldChar w:fldCharType="begin"/>
          </w:r>
          <w:r>
            <w:rPr>
              <w:color w:val="auto"/>
              <w:highlight w:val="none"/>
            </w:rPr>
            <w:instrText xml:space="preserve"> PAGEREF _Toc180591504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D8F02FE">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"_Toc180591505" </w:instrText>
          </w:r>
          <w:r>
            <w:rPr>
              <w:color w:val="auto"/>
              <w:highlight w:val="none"/>
            </w:rPr>
            <w:fldChar w:fldCharType="separate"/>
          </w:r>
          <w:r>
            <w:rPr>
              <w:rStyle w:val="35"/>
              <w:rFonts w:hint="eastAsia"/>
              <w:color w:val="auto"/>
              <w:highlight w:val="none"/>
            </w:rPr>
            <w:t>第</w:t>
          </w:r>
          <w:r>
            <w:rPr>
              <w:rStyle w:val="35"/>
              <w:color w:val="auto"/>
              <w:highlight w:val="none"/>
            </w:rPr>
            <w:t>15</w:t>
          </w:r>
          <w:r>
            <w:rPr>
              <w:rStyle w:val="35"/>
              <w:rFonts w:hint="eastAsia"/>
              <w:color w:val="auto"/>
              <w:highlight w:val="none"/>
            </w:rPr>
            <w:t>条</w:t>
          </w:r>
          <w:r>
            <w:rPr>
              <w:rStyle w:val="35"/>
              <w:color w:val="auto"/>
              <w:highlight w:val="none"/>
            </w:rPr>
            <w:t xml:space="preserve">  </w:t>
          </w:r>
          <w:r>
            <w:rPr>
              <w:rStyle w:val="35"/>
              <w:rFonts w:hint="eastAsia"/>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_Toc180591505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2727FC6">
          <w:pPr>
            <w:pStyle w:val="23"/>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"_Toc180591506" </w:instrText>
          </w:r>
          <w:r>
            <w:rPr>
              <w:color w:val="auto"/>
              <w:highlight w:val="none"/>
            </w:rPr>
            <w:fldChar w:fldCharType="separate"/>
          </w:r>
          <w:r>
            <w:rPr>
              <w:rStyle w:val="35"/>
              <w:rFonts w:hint="eastAsia"/>
              <w:color w:val="auto"/>
              <w:highlight w:val="none"/>
            </w:rPr>
            <w:t>第四部分</w:t>
          </w:r>
          <w:r>
            <w:rPr>
              <w:rStyle w:val="35"/>
              <w:color w:val="auto"/>
              <w:highlight w:val="none"/>
            </w:rPr>
            <w:t xml:space="preserve"> </w:t>
          </w:r>
          <w:r>
            <w:rPr>
              <w:rStyle w:val="35"/>
              <w:rFonts w:hint="eastAsia"/>
              <w:color w:val="auto"/>
              <w:highlight w:val="none"/>
            </w:rPr>
            <w:t>合同附件</w:t>
          </w:r>
          <w:r>
            <w:rPr>
              <w:color w:val="auto"/>
              <w:highlight w:val="none"/>
            </w:rPr>
            <w:tab/>
          </w:r>
          <w:r>
            <w:rPr>
              <w:color w:val="auto"/>
              <w:highlight w:val="none"/>
            </w:rPr>
            <w:fldChar w:fldCharType="begin"/>
          </w:r>
          <w:r>
            <w:rPr>
              <w:color w:val="auto"/>
              <w:highlight w:val="none"/>
            </w:rPr>
            <w:instrText xml:space="preserve"> PAGEREF _Toc180591506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D9C9CEE">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"_Toc180591507" </w:instrText>
          </w:r>
          <w:r>
            <w:rPr>
              <w:color w:val="auto"/>
              <w:highlight w:val="none"/>
            </w:rPr>
            <w:fldChar w:fldCharType="separate"/>
          </w:r>
          <w:r>
            <w:rPr>
              <w:rStyle w:val="35"/>
              <w:rFonts w:hint="eastAsia"/>
              <w:color w:val="auto"/>
              <w:highlight w:val="none"/>
            </w:rPr>
            <w:t>附件一</w:t>
          </w:r>
          <w:r>
            <w:rPr>
              <w:rStyle w:val="35"/>
              <w:color w:val="auto"/>
              <w:highlight w:val="none"/>
            </w:rPr>
            <w:t xml:space="preserve">  </w:t>
          </w:r>
          <w:r>
            <w:rPr>
              <w:rStyle w:val="35"/>
              <w:rFonts w:hint="eastAsia"/>
              <w:color w:val="auto"/>
              <w:highlight w:val="none"/>
            </w:rPr>
            <w:t>乙方主要管理人员名单及职责</w:t>
          </w:r>
          <w:r>
            <w:rPr>
              <w:color w:val="auto"/>
              <w:highlight w:val="none"/>
            </w:rPr>
            <w:tab/>
          </w:r>
          <w:r>
            <w:rPr>
              <w:color w:val="auto"/>
              <w:highlight w:val="none"/>
            </w:rPr>
            <w:fldChar w:fldCharType="begin"/>
          </w:r>
          <w:r>
            <w:rPr>
              <w:color w:val="auto"/>
              <w:highlight w:val="none"/>
            </w:rPr>
            <w:instrText xml:space="preserve"> PAGEREF _Toc180591507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C3D33AC">
          <w:pPr>
            <w:pStyle w:val="24"/>
            <w:tabs>
              <w:tab w:val="right" w:leader="dot" w:pos="920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"_Toc180591508" </w:instrText>
          </w:r>
          <w:r>
            <w:rPr>
              <w:color w:val="auto"/>
              <w:highlight w:val="none"/>
            </w:rPr>
            <w:fldChar w:fldCharType="separate"/>
          </w:r>
          <w:r>
            <w:rPr>
              <w:rStyle w:val="35"/>
              <w:rFonts w:hint="eastAsia"/>
              <w:color w:val="auto"/>
              <w:highlight w:val="none"/>
            </w:rPr>
            <w:t>附件二</w:t>
          </w:r>
          <w:r>
            <w:rPr>
              <w:rStyle w:val="35"/>
              <w:color w:val="auto"/>
              <w:highlight w:val="none"/>
            </w:rPr>
            <w:t xml:space="preserve">  </w:t>
          </w:r>
          <w:r>
            <w:rPr>
              <w:rStyle w:val="35"/>
              <w:rFonts w:hint="eastAsia"/>
              <w:color w:val="auto"/>
              <w:highlight w:val="none"/>
            </w:rPr>
            <w:t>工程量清单计价表</w:t>
          </w:r>
          <w:r>
            <w:rPr>
              <w:color w:val="auto"/>
              <w:highlight w:val="none"/>
            </w:rPr>
            <w:tab/>
          </w:r>
          <w:r>
            <w:rPr>
              <w:color w:val="auto"/>
              <w:highlight w:val="none"/>
            </w:rPr>
            <w:fldChar w:fldCharType="begin"/>
          </w:r>
          <w:r>
            <w:rPr>
              <w:color w:val="auto"/>
              <w:highlight w:val="none"/>
            </w:rPr>
            <w:instrText xml:space="preserve"> PAGEREF _Toc180591508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4E482B88">
          <w:pPr>
            <w:rPr>
              <w:color w:val="auto"/>
              <w:highlight w:val="none"/>
            </w:rPr>
          </w:pPr>
          <w:r>
            <w:rPr>
              <w:b/>
              <w:bCs/>
              <w:color w:val="auto"/>
              <w:highlight w:val="none"/>
              <w:lang w:val="zh-CN"/>
            </w:rPr>
            <w:fldChar w:fldCharType="end"/>
          </w:r>
        </w:p>
      </w:sdtContent>
    </w:sdt>
    <w:p w14:paraId="41BADAC5">
      <w:pPr>
        <w:snapToGrid w:val="0"/>
        <w:spacing w:before="120" w:line="360" w:lineRule="auto"/>
        <w:ind w:right="-210" w:rightChars="-100"/>
        <w:rPr>
          <w:rFonts w:ascii="宋体" w:hAnsi="宋体"/>
          <w:b/>
          <w:color w:val="auto"/>
          <w:sz w:val="24"/>
          <w:szCs w:val="24"/>
          <w:highlight w:val="none"/>
        </w:rPr>
      </w:pPr>
    </w:p>
    <w:p w14:paraId="3DF7F33A">
      <w:pPr>
        <w:snapToGrid w:val="0"/>
        <w:spacing w:before="120" w:line="360" w:lineRule="auto"/>
        <w:ind w:right="-210" w:rightChars="-100"/>
        <w:rPr>
          <w:rFonts w:ascii="宋体" w:hAnsi="宋体"/>
          <w:b/>
          <w:color w:val="auto"/>
          <w:sz w:val="24"/>
          <w:szCs w:val="24"/>
          <w:highlight w:val="none"/>
        </w:rPr>
        <w:sectPr>
          <w:pgSz w:w="11906" w:h="16838"/>
          <w:pgMar w:top="1134" w:right="1274" w:bottom="1134" w:left="1418" w:header="851" w:footer="992" w:gutter="0"/>
          <w:pgNumType w:start="1"/>
          <w:cols w:space="720" w:num="1"/>
          <w:titlePg/>
          <w:docGrid w:type="lines" w:linePitch="312" w:charSpace="0"/>
        </w:sectPr>
      </w:pPr>
    </w:p>
    <w:p w14:paraId="78985092">
      <w:pPr>
        <w:pStyle w:val="96"/>
        <w:rPr>
          <w:color w:val="auto"/>
          <w:highlight w:val="none"/>
        </w:rPr>
      </w:pPr>
      <w:bookmarkStart w:id="0" w:name="_Toc180591459"/>
      <w:r>
        <w:rPr>
          <w:rFonts w:hint="eastAsia"/>
          <w:color w:val="auto"/>
          <w:highlight w:val="none"/>
        </w:rPr>
        <w:t>第一部分 合同协议书</w:t>
      </w:r>
      <w:bookmarkEnd w:id="0"/>
    </w:p>
    <w:p w14:paraId="0657E841">
      <w:pPr>
        <w:snapToGrid w:val="0"/>
        <w:spacing w:line="360" w:lineRule="auto"/>
        <w:ind w:firstLine="420" w:firstLineChars="200"/>
        <w:contextualSpacing/>
        <w:rPr>
          <w:rFonts w:ascii="宋体" w:hAnsi="宋体"/>
          <w:color w:val="auto"/>
          <w:szCs w:val="21"/>
          <w:highlight w:val="none"/>
        </w:rPr>
      </w:pPr>
    </w:p>
    <w:p w14:paraId="220AD159">
      <w:pPr>
        <w:snapToGrid w:val="0"/>
        <w:spacing w:line="360" w:lineRule="auto"/>
        <w:ind w:firstLine="420" w:firstLineChars="200"/>
        <w:contextualSpacing/>
        <w:rPr>
          <w:rFonts w:ascii="宋体" w:hAnsi="宋体"/>
          <w:color w:val="auto"/>
          <w:szCs w:val="21"/>
          <w:highlight w:val="none"/>
        </w:rPr>
      </w:pPr>
      <w:r>
        <w:rPr>
          <w:rFonts w:ascii="宋体" w:hAnsi="宋体"/>
          <w:color w:val="auto"/>
          <w:szCs w:val="21"/>
          <w:highlight w:val="none"/>
        </w:rPr>
        <w:t>甲方：广州市继丰房地产开发有限公司</w:t>
      </w:r>
    </w:p>
    <w:p w14:paraId="6C1316F2">
      <w:pPr>
        <w:snapToGrid w:val="0"/>
        <w:spacing w:line="360" w:lineRule="auto"/>
        <w:ind w:firstLine="420" w:firstLineChars="200"/>
        <w:contextualSpacing/>
        <w:rPr>
          <w:rFonts w:ascii="宋体" w:hAnsi="宋体"/>
          <w:color w:val="auto"/>
          <w:szCs w:val="21"/>
          <w:highlight w:val="none"/>
        </w:rPr>
      </w:pPr>
      <w:r>
        <w:rPr>
          <w:rFonts w:ascii="宋体" w:hAnsi="宋体"/>
          <w:color w:val="auto"/>
          <w:szCs w:val="21"/>
          <w:highlight w:val="none"/>
        </w:rPr>
        <w:t>乙方：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53F07FC">
      <w:pPr>
        <w:snapToGrid w:val="0"/>
        <w:spacing w:line="360" w:lineRule="auto"/>
        <w:ind w:firstLine="420" w:firstLineChars="200"/>
        <w:contextualSpacing/>
        <w:rPr>
          <w:rFonts w:ascii="宋体" w:hAnsi="宋体"/>
          <w:color w:val="auto"/>
          <w:szCs w:val="21"/>
          <w:highlight w:val="none"/>
        </w:rPr>
      </w:pPr>
    </w:p>
    <w:p w14:paraId="7575B8C9">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依照《中华人民共和国民法典》《中华人民共和国建筑法》及其他有关法律、行政法规，遵循平等、自愿、公平和诚实信用的原则，在乙方充分了解及熟悉本合同所述工程内容及相关特点、背景的情况下，双方就</w:t>
      </w:r>
      <w:r>
        <w:rPr>
          <w:rFonts w:hint="eastAsia" w:ascii="宋体" w:hAnsi="宋体"/>
          <w:color w:val="auto"/>
          <w:szCs w:val="21"/>
          <w:highlight w:val="none"/>
          <w:u w:val="single"/>
        </w:rPr>
        <w:t>顺丰翠园住宅（自编号F-5、F-6）及地下车库、住宅楼（自编号F-8、F-9）、住宅（自编号F-10、F-11）工程项目园建绿化、海绵城市及小市政工程</w:t>
      </w:r>
      <w:r>
        <w:rPr>
          <w:rFonts w:hint="eastAsia" w:ascii="宋体" w:hAnsi="宋体"/>
          <w:color w:val="auto"/>
          <w:szCs w:val="21"/>
          <w:highlight w:val="none"/>
        </w:rPr>
        <w:t>施工事宜经甲、乙双方协商一致，订立本合同，以资共同遵照执行。</w:t>
      </w:r>
    </w:p>
    <w:p w14:paraId="403EF98C">
      <w:pPr>
        <w:pStyle w:val="97"/>
        <w:ind w:firstLine="422"/>
        <w:rPr>
          <w:color w:val="auto"/>
          <w:highlight w:val="none"/>
        </w:rPr>
      </w:pPr>
      <w:bookmarkStart w:id="1" w:name="_Toc180591460"/>
      <w:bookmarkStart w:id="2" w:name="_Toc7776"/>
      <w:r>
        <w:rPr>
          <w:rFonts w:hint="eastAsia"/>
          <w:color w:val="auto"/>
          <w:highlight w:val="none"/>
        </w:rPr>
        <w:t>第1条　工程概况</w:t>
      </w:r>
      <w:bookmarkEnd w:id="1"/>
      <w:bookmarkEnd w:id="2"/>
    </w:p>
    <w:p w14:paraId="4AF83385">
      <w:pPr>
        <w:autoSpaceDE w:val="0"/>
        <w:autoSpaceDN w:val="0"/>
        <w:adjustRightInd w:val="0"/>
        <w:spacing w:line="360" w:lineRule="auto"/>
        <w:ind w:firstLine="420" w:firstLineChars="200"/>
        <w:rPr>
          <w:rFonts w:ascii="宋体" w:hAnsi="宋体" w:cs="TimesNewRomanPSMT"/>
          <w:color w:val="auto"/>
          <w:kern w:val="0"/>
          <w:szCs w:val="21"/>
          <w:highlight w:val="none"/>
          <w:u w:val="single"/>
        </w:rPr>
      </w:pPr>
      <w:bookmarkStart w:id="3" w:name="_Toc25366"/>
      <w:r>
        <w:rPr>
          <w:rFonts w:ascii="宋体" w:hAnsi="宋体"/>
          <w:color w:val="auto"/>
          <w:szCs w:val="21"/>
          <w:highlight w:val="none"/>
        </w:rPr>
        <w:t>1</w:t>
      </w:r>
      <w:r>
        <w:rPr>
          <w:rFonts w:hint="eastAsia" w:ascii="宋体" w:hAnsi="宋体"/>
          <w:color w:val="auto"/>
          <w:szCs w:val="21"/>
          <w:highlight w:val="none"/>
        </w:rPr>
        <w:t>.1 工程名称：</w:t>
      </w:r>
      <w:r>
        <w:rPr>
          <w:rFonts w:hint="eastAsia" w:ascii="宋体" w:hAnsi="宋体" w:cs="TimesNewRomanPSMT"/>
          <w:color w:val="auto"/>
          <w:kern w:val="0"/>
          <w:szCs w:val="21"/>
          <w:highlight w:val="none"/>
          <w:u w:val="single"/>
        </w:rPr>
        <w:t xml:space="preserve">   顺丰翠园住宅（自编号F-5、F</w:t>
      </w:r>
      <w:r>
        <w:rPr>
          <w:rFonts w:ascii="宋体" w:hAnsi="宋体" w:cs="TimesNewRomanPSMT"/>
          <w:color w:val="auto"/>
          <w:kern w:val="0"/>
          <w:szCs w:val="21"/>
          <w:highlight w:val="none"/>
          <w:u w:val="single"/>
        </w:rPr>
        <w:t>-</w:t>
      </w:r>
      <w:r>
        <w:rPr>
          <w:rFonts w:hint="eastAsia" w:ascii="宋体" w:hAnsi="宋体" w:cs="TimesNewRomanPSMT"/>
          <w:color w:val="auto"/>
          <w:kern w:val="0"/>
          <w:szCs w:val="21"/>
          <w:highlight w:val="none"/>
          <w:u w:val="single"/>
        </w:rPr>
        <w:t>6）及地下车库、住宅楼（自编号F-8、F-9）、住宅（自编号F-10、F</w:t>
      </w:r>
      <w:r>
        <w:rPr>
          <w:rFonts w:ascii="宋体" w:hAnsi="宋体" w:cs="TimesNewRomanPSMT"/>
          <w:color w:val="auto"/>
          <w:kern w:val="0"/>
          <w:szCs w:val="21"/>
          <w:highlight w:val="none"/>
          <w:u w:val="single"/>
        </w:rPr>
        <w:t>-</w:t>
      </w:r>
      <w:r>
        <w:rPr>
          <w:rFonts w:hint="eastAsia" w:ascii="宋体" w:hAnsi="宋体" w:cs="TimesNewRomanPSMT"/>
          <w:color w:val="auto"/>
          <w:kern w:val="0"/>
          <w:szCs w:val="21"/>
          <w:highlight w:val="none"/>
          <w:u w:val="single"/>
        </w:rPr>
        <w:t>11）工程项目</w:t>
      </w:r>
      <w:r>
        <w:rPr>
          <w:rFonts w:hint="eastAsia" w:ascii="宋体" w:hAnsi="宋体"/>
          <w:color w:val="auto"/>
          <w:szCs w:val="21"/>
          <w:highlight w:val="none"/>
          <w:u w:val="single"/>
        </w:rPr>
        <w:t>园建绿化、海绵城市及小市政</w:t>
      </w:r>
      <w:r>
        <w:rPr>
          <w:rFonts w:hint="eastAsia" w:ascii="宋体" w:hAnsi="宋体" w:cs="TimesNewRomanPSMT"/>
          <w:color w:val="auto"/>
          <w:kern w:val="0"/>
          <w:szCs w:val="21"/>
          <w:highlight w:val="none"/>
          <w:u w:val="single"/>
        </w:rPr>
        <w:t xml:space="preserve">工程                                     </w:t>
      </w:r>
    </w:p>
    <w:p w14:paraId="2EDD4FFB">
      <w:pPr>
        <w:snapToGrid w:val="0"/>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1</w:t>
      </w:r>
      <w:r>
        <w:rPr>
          <w:rFonts w:hint="eastAsia" w:ascii="宋体" w:hAnsi="宋体"/>
          <w:color w:val="auto"/>
          <w:szCs w:val="21"/>
          <w:highlight w:val="none"/>
        </w:rPr>
        <w:t>.2 工程地点：</w:t>
      </w:r>
      <w:r>
        <w:rPr>
          <w:rFonts w:hint="eastAsia" w:ascii="宋体" w:hAnsi="宋体" w:cs="TimesNewRomanPSMT"/>
          <w:color w:val="auto"/>
          <w:kern w:val="0"/>
          <w:szCs w:val="21"/>
          <w:highlight w:val="none"/>
          <w:u w:val="single"/>
        </w:rPr>
        <w:t xml:space="preserve">     广州市白云区广花高速公路东侧石井新镇区       </w:t>
      </w:r>
    </w:p>
    <w:p w14:paraId="7B5221C7">
      <w:pPr>
        <w:snapToGrid w:val="0"/>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1.3</w:t>
      </w:r>
      <w:r>
        <w:rPr>
          <w:rFonts w:hint="eastAsia" w:ascii="宋体" w:hAnsi="宋体"/>
          <w:color w:val="auto"/>
          <w:szCs w:val="21"/>
          <w:highlight w:val="none"/>
        </w:rPr>
        <w:t xml:space="preserve"> 结构类型：</w:t>
      </w:r>
      <w:r>
        <w:rPr>
          <w:rFonts w:hint="eastAsia" w:ascii="宋体" w:hAnsi="宋体"/>
          <w:color w:val="auto"/>
          <w:szCs w:val="21"/>
          <w:highlight w:val="none"/>
          <w:u w:val="single"/>
        </w:rPr>
        <w:t xml:space="preserve">      框架-剪力墙结构                                         </w:t>
      </w:r>
    </w:p>
    <w:p w14:paraId="18E6C815">
      <w:pPr>
        <w:snapToGrid w:val="0"/>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 xml:space="preserve"> 建筑面积：</w:t>
      </w:r>
      <w:r>
        <w:rPr>
          <w:rFonts w:hint="eastAsia" w:ascii="宋体" w:hAnsi="宋体"/>
          <w:color w:val="auto"/>
          <w:szCs w:val="21"/>
          <w:highlight w:val="none"/>
          <w:u w:val="single"/>
        </w:rPr>
        <w:t xml:space="preserve">      </w:t>
      </w:r>
      <w:r>
        <w:rPr>
          <w:rFonts w:ascii="宋体" w:hAnsi="宋体"/>
          <w:color w:val="auto"/>
          <w:szCs w:val="21"/>
          <w:highlight w:val="none"/>
          <w:u w:val="single"/>
        </w:rPr>
        <w:t>131655.1平方米</w:t>
      </w:r>
      <w:r>
        <w:rPr>
          <w:rFonts w:hint="eastAsia" w:ascii="宋体" w:hAnsi="宋体"/>
          <w:color w:val="auto"/>
          <w:szCs w:val="21"/>
          <w:highlight w:val="none"/>
          <w:u w:val="single"/>
        </w:rPr>
        <w:t xml:space="preserve">                                              </w:t>
      </w:r>
    </w:p>
    <w:p w14:paraId="6896799C">
      <w:pPr>
        <w:snapToGrid w:val="0"/>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1.5</w:t>
      </w:r>
      <w:r>
        <w:rPr>
          <w:rFonts w:hint="eastAsia" w:ascii="宋体" w:hAnsi="宋体"/>
          <w:color w:val="auto"/>
          <w:szCs w:val="21"/>
          <w:highlight w:val="none"/>
        </w:rPr>
        <w:t>安全创优目标:</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达到广东省房屋市政工程安全生产文明施工工地的要求，保证施工场地清洁、扬尘及噪音管理符合环境卫生管理的有关规定</w:t>
      </w:r>
      <w:r>
        <w:rPr>
          <w:rFonts w:ascii="宋体" w:hAnsi="宋体"/>
          <w:color w:val="auto"/>
          <w:szCs w:val="21"/>
          <w:highlight w:val="none"/>
          <w:u w:val="single"/>
        </w:rPr>
        <w:t xml:space="preserve">                            </w:t>
      </w:r>
    </w:p>
    <w:p w14:paraId="6FC4476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.6</w:t>
      </w:r>
      <w:r>
        <w:rPr>
          <w:rFonts w:hint="eastAsia" w:ascii="宋体" w:hAnsi="宋体"/>
          <w:color w:val="auto"/>
          <w:szCs w:val="21"/>
          <w:highlight w:val="none"/>
        </w:rPr>
        <w:t>安全管理目标:</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不发生工伤死亡，不发生工伤重伤，不发生火灾事故，不发生坍塌事故，不发生中毒事故。</w:t>
      </w:r>
    </w:p>
    <w:p w14:paraId="57F47D01">
      <w:pPr>
        <w:pStyle w:val="97"/>
        <w:ind w:firstLine="422"/>
        <w:rPr>
          <w:color w:val="auto"/>
          <w:highlight w:val="none"/>
        </w:rPr>
      </w:pPr>
      <w:bookmarkStart w:id="4" w:name="_Toc180591461"/>
      <w:r>
        <w:rPr>
          <w:rFonts w:hint="eastAsia"/>
          <w:color w:val="auto"/>
          <w:highlight w:val="none"/>
        </w:rPr>
        <w:t>第2条　工作内容</w:t>
      </w:r>
      <w:bookmarkEnd w:id="3"/>
      <w:r>
        <w:rPr>
          <w:rFonts w:hint="eastAsia"/>
          <w:color w:val="auto"/>
          <w:highlight w:val="none"/>
        </w:rPr>
        <w:t>及承包方式</w:t>
      </w:r>
      <w:bookmarkEnd w:id="4"/>
      <w:bookmarkStart w:id="287" w:name="_GoBack"/>
      <w:bookmarkEnd w:id="287"/>
    </w:p>
    <w:p w14:paraId="596C84ED">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2.1工作内容</w:t>
      </w:r>
    </w:p>
    <w:p w14:paraId="4589D97B">
      <w:pPr>
        <w:widowControl/>
        <w:spacing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2.1.1</w:t>
      </w:r>
      <w:r>
        <w:rPr>
          <w:rFonts w:hint="eastAsia" w:ascii="宋体" w:hAnsi="宋体"/>
          <w:bCs/>
          <w:color w:val="auto"/>
          <w:szCs w:val="21"/>
          <w:highlight w:val="none"/>
        </w:rPr>
        <w:t xml:space="preserve"> </w:t>
      </w:r>
      <w:r>
        <w:rPr>
          <w:rFonts w:ascii="宋体" w:hAnsi="宋体"/>
          <w:bCs/>
          <w:color w:val="auto"/>
          <w:szCs w:val="21"/>
          <w:highlight w:val="none"/>
        </w:rPr>
        <w:t xml:space="preserve"> 工作范围：</w:t>
      </w:r>
      <w:r>
        <w:rPr>
          <w:rFonts w:hint="eastAsia" w:ascii="宋体" w:hAnsi="宋体"/>
          <w:color w:val="auto"/>
          <w:szCs w:val="21"/>
          <w:highlight w:val="none"/>
        </w:rPr>
        <w:t>顺丰翠园住宅（自编号F-5、F</w:t>
      </w:r>
      <w:r>
        <w:rPr>
          <w:rFonts w:ascii="宋体" w:hAnsi="宋体"/>
          <w:color w:val="auto"/>
          <w:szCs w:val="21"/>
          <w:highlight w:val="none"/>
        </w:rPr>
        <w:t>-</w:t>
      </w:r>
      <w:r>
        <w:rPr>
          <w:rFonts w:hint="eastAsia" w:ascii="宋体" w:hAnsi="宋体"/>
          <w:color w:val="auto"/>
          <w:szCs w:val="21"/>
          <w:highlight w:val="none"/>
        </w:rPr>
        <w:t>6）及地下车库、住宅楼（自编号F-8、F-9）、住宅（自编号F-10、F</w:t>
      </w:r>
      <w:r>
        <w:rPr>
          <w:rFonts w:ascii="宋体" w:hAnsi="宋体"/>
          <w:color w:val="auto"/>
          <w:szCs w:val="21"/>
          <w:highlight w:val="none"/>
        </w:rPr>
        <w:t>-</w:t>
      </w:r>
      <w:r>
        <w:rPr>
          <w:rFonts w:hint="eastAsia" w:ascii="宋体" w:hAnsi="宋体"/>
          <w:color w:val="auto"/>
          <w:szCs w:val="21"/>
          <w:highlight w:val="none"/>
        </w:rPr>
        <w:t>11）工程项目</w:t>
      </w:r>
      <w:r>
        <w:rPr>
          <w:rFonts w:hint="eastAsia" w:ascii="宋体" w:hAnsi="宋体"/>
          <w:color w:val="auto"/>
          <w:kern w:val="0"/>
          <w:szCs w:val="21"/>
          <w:highlight w:val="none"/>
        </w:rPr>
        <w:t>范围内的围墙、绿化、园林、海绵城市、市政道路及排水工程。工作内容：甲方提供的设计图纸及甲方现场项目部指定的内容为准（详见合同附件工程量清单），</w:t>
      </w:r>
      <w:r>
        <w:rPr>
          <w:rFonts w:hint="eastAsia" w:ascii="宋体" w:hAnsi="宋体"/>
          <w:color w:val="auto"/>
          <w:kern w:val="0"/>
          <w:szCs w:val="21"/>
          <w:highlight w:val="none"/>
        </w:rPr>
        <w:t>包括但不限于：</w:t>
      </w:r>
    </w:p>
    <w:p w14:paraId="5EC1194F">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①涉及园林景观的深化设计；</w:t>
      </w:r>
    </w:p>
    <w:p w14:paraId="3AC95F9B">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②景观工程：土石方工程、碾压平整、路面及屋面铺装、防撞设备、变形缝、墙面铺装、石凳、花池、排水沟、喷涂油漆、轴线水景、景观廊亭、景观树池</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围墙</w:t>
      </w:r>
      <w:r>
        <w:rPr>
          <w:rFonts w:hint="eastAsia" w:ascii="宋体" w:hAnsi="宋体"/>
          <w:color w:val="auto"/>
          <w:kern w:val="0"/>
          <w:szCs w:val="21"/>
          <w:highlight w:val="none"/>
        </w:rPr>
        <w:t>等；</w:t>
      </w:r>
    </w:p>
    <w:p w14:paraId="2BAD9C5E">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③绿化工程：图纸范围内的场地整理、土石方工程（绿化土方平整及换、填土）、栽植乔木、灌木、花卉、竹类、地被类、铺种草坡等包种、包活、包养护全部内容（含起苗、包装、运输、挖坑、换土、采购杂肥、栽种、支撑（含木支撑）、清场、</w:t>
      </w:r>
      <w:r>
        <w:rPr>
          <w:rFonts w:hint="eastAsia" w:ascii="宋体" w:hAnsi="宋体"/>
          <w:color w:val="auto"/>
          <w:kern w:val="0"/>
          <w:szCs w:val="21"/>
          <w:highlight w:val="none"/>
        </w:rPr>
        <w:t>1年</w:t>
      </w:r>
      <w:r>
        <w:rPr>
          <w:rFonts w:hint="eastAsia" w:ascii="宋体" w:hAnsi="宋体"/>
          <w:color w:val="auto"/>
          <w:kern w:val="0"/>
          <w:szCs w:val="21"/>
          <w:highlight w:val="none"/>
        </w:rPr>
        <w:t>养护期间浇水、治虫、除草、减枝、施肥、更换死亡苗木等）、喷灌管线安装等；</w:t>
      </w:r>
    </w:p>
    <w:p w14:paraId="4C112BB0">
      <w:pPr>
        <w:widowControl/>
        <w:spacing w:line="360" w:lineRule="auto"/>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④园林给排水工程：含园林给水工程、排水工程及雨水工程。园林给水自园林水表组起（含）至末端，接驳至总包机电引出的第一个闸阀）；园林排水工程含室外小市政污水管、污水井、化粪池、雨水管、雨水井、雨水篦子、废水管、废水井等工作内容；雨水回收系统；</w:t>
      </w:r>
      <w:r>
        <w:rPr>
          <w:rFonts w:hint="eastAsia" w:ascii="宋体" w:hAnsi="宋体"/>
          <w:color w:val="auto"/>
          <w:kern w:val="0"/>
          <w:szCs w:val="21"/>
          <w:highlight w:val="none"/>
          <w:lang w:val="en-US" w:eastAsia="zh-CN"/>
        </w:rPr>
        <w:t>雨污水红线外接驳至市政管网。</w:t>
      </w:r>
    </w:p>
    <w:p w14:paraId="48E8BBA2">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⑤室外园林景观照明工程；</w:t>
      </w:r>
    </w:p>
    <w:p w14:paraId="0D24E511">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⑥代理甲方办理公共排水设施接驳手续，排水接驳至市政管井，含对市政道路的开挖及修复的工程施工及施工手续申报。</w:t>
      </w:r>
    </w:p>
    <w:p w14:paraId="792F963F">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同时还包括海绵城市所要求的相关做法，包括与施工总承包单位及其他专业分包单位的施工配合，完工后的场地清理、成品保护，资料编制及整理、竣工清理、竣工验收、保修、合同中明示或暗示的履行合同和满足施工图纸、相关规范和技术要求的规定所涉及的其他工作与服务等工作，以及有经验的乙方根据实际情况可推断出的为完成此项完整工程所需要的全部工作。具体以工程量清单、招标图纸等资料为准。</w:t>
      </w:r>
    </w:p>
    <w:p w14:paraId="31A3D4A4">
      <w:pPr>
        <w:widowControl/>
        <w:spacing w:line="360" w:lineRule="auto"/>
        <w:ind w:firstLine="420" w:firstLineChars="200"/>
        <w:jc w:val="left"/>
        <w:rPr>
          <w:rFonts w:ascii="宋体" w:hAnsi="宋体"/>
          <w:color w:val="auto"/>
          <w:kern w:val="0"/>
          <w:szCs w:val="21"/>
          <w:highlight w:val="none"/>
        </w:rPr>
      </w:pPr>
      <w:r>
        <w:rPr>
          <w:rFonts w:hint="eastAsia" w:ascii="宋体" w:hAnsi="宋体"/>
          <w:bCs/>
          <w:color w:val="auto"/>
          <w:szCs w:val="21"/>
          <w:highlight w:val="none"/>
        </w:rPr>
        <w:t>2.</w:t>
      </w:r>
      <w:r>
        <w:rPr>
          <w:rFonts w:ascii="宋体" w:hAnsi="宋体"/>
          <w:bCs/>
          <w:color w:val="auto"/>
          <w:szCs w:val="21"/>
          <w:highlight w:val="none"/>
        </w:rPr>
        <w:t>1.</w:t>
      </w:r>
      <w:r>
        <w:rPr>
          <w:rFonts w:hint="eastAsia" w:ascii="宋体" w:hAnsi="宋体"/>
          <w:bCs/>
          <w:color w:val="auto"/>
          <w:szCs w:val="21"/>
          <w:highlight w:val="none"/>
        </w:rPr>
        <w:t>2</w:t>
      </w:r>
      <w:r>
        <w:rPr>
          <w:rFonts w:hint="eastAsia" w:ascii="宋体" w:hAnsi="宋体"/>
          <w:color w:val="auto"/>
          <w:kern w:val="0"/>
          <w:szCs w:val="21"/>
          <w:highlight w:val="none"/>
        </w:rPr>
        <w:t>上述2.</w:t>
      </w:r>
      <w:r>
        <w:rPr>
          <w:rFonts w:ascii="宋体" w:hAnsi="宋体"/>
          <w:color w:val="auto"/>
          <w:kern w:val="0"/>
          <w:szCs w:val="21"/>
          <w:highlight w:val="none"/>
        </w:rPr>
        <w:t>1.</w:t>
      </w:r>
      <w:r>
        <w:rPr>
          <w:rFonts w:hint="eastAsia" w:ascii="宋体" w:hAnsi="宋体"/>
          <w:color w:val="auto"/>
          <w:kern w:val="0"/>
          <w:szCs w:val="21"/>
          <w:highlight w:val="none"/>
        </w:rPr>
        <w:t>1条未列入及合同通用条款及专用条款未补充列入，施工图已包含项目，但作为一个有经验的承包商应该能知悉、预见并能完成的项目和工作内容，均视为在乙方承包范围内应完成的工程项目与工作内容。</w:t>
      </w:r>
    </w:p>
    <w:p w14:paraId="752164D4">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1.</w:t>
      </w:r>
      <w:r>
        <w:rPr>
          <w:rFonts w:hint="eastAsia" w:ascii="宋体" w:hAnsi="宋体"/>
          <w:color w:val="auto"/>
          <w:kern w:val="0"/>
          <w:szCs w:val="21"/>
          <w:highlight w:val="none"/>
        </w:rPr>
        <w:t>3对于某些不在本合同范围内，但与本工程有关联的或附属关系的周边项目或小型零星及小额项目，甲方有权要求乙方完成，计价计量原则按本合同，乙方不能以小额、小量及有难度、不合算等为由拒绝，若拒绝，甲方有权从乙方工程款中扣除该项小型项目另行发包，</w:t>
      </w:r>
      <w:r>
        <w:rPr>
          <w:rFonts w:hint="eastAsia" w:ascii="宋体" w:hAnsi="宋体"/>
          <w:color w:val="auto"/>
          <w:kern w:val="0"/>
          <w:szCs w:val="21"/>
          <w:highlight w:val="none"/>
        </w:rPr>
        <w:t>并对乙方扣罚发包价格的20%作为罚款</w:t>
      </w:r>
      <w:r>
        <w:rPr>
          <w:rFonts w:hint="eastAsia" w:ascii="宋体" w:hAnsi="宋体"/>
          <w:color w:val="auto"/>
          <w:kern w:val="0"/>
          <w:szCs w:val="21"/>
          <w:highlight w:val="none"/>
        </w:rPr>
        <w:t>。在同等条件下，乙方有优先承包与本工程有关联的或附属关系的周边零星或小型零碎及小额项目。</w:t>
      </w:r>
    </w:p>
    <w:p w14:paraId="1D25FD4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.1.4</w:t>
      </w:r>
      <w:r>
        <w:rPr>
          <w:rFonts w:hint="eastAsia" w:ascii="宋体" w:hAnsi="宋体"/>
          <w:color w:val="auto"/>
          <w:kern w:val="0"/>
          <w:szCs w:val="21"/>
          <w:highlight w:val="none"/>
        </w:rPr>
        <w:t>本绿化工程分期施工，第一期为F-5、F-6栋规划验收区域范围工程；第二期为F-8、F-9、F-10、F-11栋规划验收区域范围工程，甲方有权按工程的实际施工情况将第二期分一次或两次施工，具体按甲方下发开工通知为准。</w:t>
      </w:r>
    </w:p>
    <w:p w14:paraId="0A540FFE">
      <w:pPr>
        <w:spacing w:line="360" w:lineRule="auto"/>
        <w:ind w:firstLine="420" w:firstLineChars="200"/>
        <w:rPr>
          <w:rFonts w:ascii="宋体" w:hAnsi="宋体"/>
          <w:color w:val="auto"/>
          <w:kern w:val="0"/>
          <w:highlight w:val="none"/>
        </w:rPr>
      </w:pPr>
      <w:bookmarkStart w:id="5" w:name="_Toc11505"/>
      <w:r>
        <w:rPr>
          <w:rFonts w:ascii="宋体" w:hAnsi="宋体"/>
          <w:color w:val="auto"/>
          <w:kern w:val="0"/>
          <w:highlight w:val="none"/>
        </w:rPr>
        <w:t>2.2</w:t>
      </w:r>
      <w:r>
        <w:rPr>
          <w:rFonts w:hint="eastAsia" w:ascii="宋体" w:hAnsi="宋体"/>
          <w:color w:val="auto"/>
          <w:kern w:val="0"/>
          <w:highlight w:val="none"/>
        </w:rPr>
        <w:t>承包方式</w:t>
      </w:r>
    </w:p>
    <w:p w14:paraId="55F62690">
      <w:pPr>
        <w:spacing w:line="360" w:lineRule="auto"/>
        <w:ind w:firstLine="420" w:firstLineChars="200"/>
        <w:rPr>
          <w:color w:val="auto"/>
          <w:kern w:val="0"/>
          <w:highlight w:val="none"/>
        </w:rPr>
      </w:pPr>
      <w:r>
        <w:rPr>
          <w:rFonts w:hint="eastAsia" w:ascii="宋体" w:hAnsi="宋体"/>
          <w:color w:val="auto"/>
          <w:kern w:val="0"/>
          <w:highlight w:val="none"/>
        </w:rPr>
        <w:t>本工程实行包人工、包材料、包机械、包工期、包质量、包安全施工、包运输（含二次搬运和垂直运输）、包市场风险、包文明施工、包保修、</w:t>
      </w:r>
      <w:r>
        <w:rPr>
          <w:rFonts w:hint="eastAsia" w:ascii="宋体" w:hAnsi="宋体"/>
          <w:color w:val="auto"/>
          <w:kern w:val="0"/>
          <w:highlight w:val="none"/>
        </w:rPr>
        <w:t>包管护、</w:t>
      </w:r>
      <w:r>
        <w:rPr>
          <w:rFonts w:hint="eastAsia" w:ascii="宋体" w:hAnsi="宋体"/>
          <w:color w:val="auto"/>
          <w:kern w:val="0"/>
          <w:highlight w:val="none"/>
        </w:rPr>
        <w:t>包检测、包税费、包施工水电费、包施工人员及第三者意外伤害保险、包竣工验收等的</w:t>
      </w:r>
      <w:r>
        <w:rPr>
          <w:rFonts w:hint="eastAsia" w:ascii="宋体" w:hAnsi="宋体"/>
          <w:color w:val="auto"/>
          <w:kern w:val="0"/>
          <w:highlight w:val="none"/>
        </w:rPr>
        <w:t>综合单价包干工程量</w:t>
      </w:r>
      <w:r>
        <w:rPr>
          <w:rFonts w:hint="eastAsia" w:ascii="宋体" w:hAnsi="宋体"/>
          <w:color w:val="auto"/>
          <w:kern w:val="0"/>
          <w:highlight w:val="none"/>
        </w:rPr>
        <w:t>按实结算的承包方式施工。</w:t>
      </w:r>
      <w:bookmarkStart w:id="6" w:name="_Toc12725"/>
      <w:bookmarkEnd w:id="6"/>
      <w:bookmarkStart w:id="7" w:name="_Toc101358309"/>
      <w:bookmarkStart w:id="8" w:name="_Toc100862465"/>
      <w:bookmarkStart w:id="9" w:name="_Toc100839936"/>
      <w:bookmarkStart w:id="10" w:name="_Hlk100839722"/>
    </w:p>
    <w:p w14:paraId="5F32515B">
      <w:pPr>
        <w:pStyle w:val="97"/>
        <w:ind w:firstLine="422"/>
        <w:rPr>
          <w:color w:val="auto"/>
          <w:highlight w:val="none"/>
        </w:rPr>
      </w:pPr>
      <w:bookmarkStart w:id="11" w:name="_Toc180591462"/>
      <w:bookmarkStart w:id="12" w:name="_Hlk101376066"/>
      <w:bookmarkStart w:id="13" w:name="_Hlk101378697"/>
      <w:r>
        <w:rPr>
          <w:rFonts w:hint="eastAsia"/>
          <w:color w:val="auto"/>
          <w:highlight w:val="none"/>
        </w:rPr>
        <w:t>第</w:t>
      </w:r>
      <w:r>
        <w:rPr>
          <w:color w:val="auto"/>
          <w:highlight w:val="none"/>
        </w:rPr>
        <w:t>3</w:t>
      </w:r>
      <w:r>
        <w:rPr>
          <w:rFonts w:hint="eastAsia"/>
          <w:color w:val="auto"/>
          <w:highlight w:val="none"/>
        </w:rPr>
        <w:t xml:space="preserve">条 </w:t>
      </w:r>
      <w:r>
        <w:rPr>
          <w:color w:val="auto"/>
          <w:highlight w:val="none"/>
        </w:rPr>
        <w:t xml:space="preserve"> </w:t>
      </w:r>
      <w:r>
        <w:rPr>
          <w:rFonts w:hint="eastAsia"/>
          <w:color w:val="auto"/>
          <w:highlight w:val="none"/>
        </w:rPr>
        <w:t>合同工</w:t>
      </w:r>
      <w:bookmarkEnd w:id="7"/>
      <w:bookmarkEnd w:id="8"/>
      <w:bookmarkEnd w:id="9"/>
      <w:r>
        <w:rPr>
          <w:rFonts w:hint="eastAsia"/>
          <w:color w:val="auto"/>
          <w:highlight w:val="none"/>
        </w:rPr>
        <w:t>期</w:t>
      </w:r>
      <w:bookmarkEnd w:id="11"/>
    </w:p>
    <w:p w14:paraId="2867F13E">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暂定第一期开工时间：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日，以甲方下发开工通知为准。</w:t>
      </w:r>
    </w:p>
    <w:p w14:paraId="369EA18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暂定第一期完工时间：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EA889BE">
      <w:pPr>
        <w:snapToGri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120  </w:t>
      </w:r>
      <w:r>
        <w:rPr>
          <w:rFonts w:hint="eastAsia" w:ascii="宋体" w:hAnsi="宋体"/>
          <w:color w:val="auto"/>
          <w:szCs w:val="21"/>
          <w:highlight w:val="none"/>
        </w:rPr>
        <w:t>天。</w:t>
      </w:r>
    </w:p>
    <w:p w14:paraId="22B930F7">
      <w:pPr>
        <w:snapToGrid w:val="0"/>
        <w:spacing w:line="360" w:lineRule="auto"/>
        <w:ind w:firstLine="840" w:firstLineChars="400"/>
        <w:rPr>
          <w:rFonts w:ascii="宋体" w:hAnsi="宋体"/>
          <w:color w:val="auto"/>
          <w:szCs w:val="21"/>
          <w:highlight w:val="none"/>
        </w:rPr>
      </w:pPr>
      <w:r>
        <w:rPr>
          <w:rFonts w:ascii="宋体" w:hAnsi="宋体"/>
          <w:color w:val="auto"/>
          <w:szCs w:val="21"/>
          <w:highlight w:val="none"/>
        </w:rPr>
        <w:t>暂定第二期开工时间：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日，以甲方下发开工通知为准。</w:t>
      </w:r>
    </w:p>
    <w:p w14:paraId="35983FC9">
      <w:pPr>
        <w:snapToGri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暂定第二期完工时间：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日。甲方有权按工程的实际施工情况将第二期分一次或两次施工，具体按甲方下发开工通知为准。</w:t>
      </w:r>
    </w:p>
    <w:p w14:paraId="2CD3C382">
      <w:pPr>
        <w:snapToGrid w:val="0"/>
        <w:spacing w:line="360" w:lineRule="auto"/>
        <w:ind w:firstLine="840" w:firstLineChars="400"/>
        <w:rPr>
          <w:rFonts w:ascii="宋体" w:hAnsi="宋体"/>
          <w:color w:val="auto"/>
          <w:szCs w:val="21"/>
          <w:highlight w:val="none"/>
        </w:rPr>
      </w:pPr>
      <w:r>
        <w:rPr>
          <w:rFonts w:ascii="宋体" w:hAnsi="宋体"/>
          <w:color w:val="auto"/>
          <w:szCs w:val="21"/>
          <w:highlight w:val="none"/>
        </w:rPr>
        <w:t>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天。</w:t>
      </w:r>
    </w:p>
    <w:bookmarkEnd w:id="10"/>
    <w:bookmarkEnd w:id="12"/>
    <w:p w14:paraId="530022A0">
      <w:pPr>
        <w:pStyle w:val="97"/>
        <w:ind w:firstLine="422"/>
        <w:rPr>
          <w:color w:val="auto"/>
          <w:highlight w:val="none"/>
        </w:rPr>
      </w:pPr>
      <w:bookmarkStart w:id="14" w:name="_Toc10878"/>
      <w:bookmarkEnd w:id="14"/>
      <w:bookmarkStart w:id="15" w:name="_Toc180591463"/>
      <w:bookmarkStart w:id="16" w:name="_Toc101358310"/>
      <w:bookmarkStart w:id="17" w:name="_Toc100862466"/>
      <w:bookmarkStart w:id="18" w:name="_Hlk101364688"/>
      <w:bookmarkStart w:id="19" w:name="_Hlk101361590"/>
      <w:bookmarkStart w:id="20" w:name="_Hlk101376182"/>
      <w:r>
        <w:rPr>
          <w:rFonts w:hint="eastAsia"/>
          <w:color w:val="auto"/>
          <w:highlight w:val="none"/>
        </w:rPr>
        <w:t xml:space="preserve">第4条 </w:t>
      </w:r>
      <w:r>
        <w:rPr>
          <w:color w:val="auto"/>
          <w:highlight w:val="none"/>
        </w:rPr>
        <w:t xml:space="preserve"> </w:t>
      </w:r>
      <w:r>
        <w:rPr>
          <w:rFonts w:hint="eastAsia"/>
          <w:color w:val="auto"/>
          <w:highlight w:val="none"/>
        </w:rPr>
        <w:t>合同造价</w:t>
      </w:r>
      <w:bookmarkEnd w:id="15"/>
      <w:bookmarkEnd w:id="16"/>
      <w:bookmarkEnd w:id="17"/>
    </w:p>
    <w:bookmarkEnd w:id="18"/>
    <w:p w14:paraId="25F836A0">
      <w:pPr>
        <w:widowControl/>
        <w:spacing w:line="360" w:lineRule="auto"/>
        <w:jc w:val="left"/>
        <w:rPr>
          <w:rFonts w:ascii="宋体" w:hAnsi="宋体"/>
          <w:color w:val="auto"/>
          <w:kern w:val="0"/>
          <w:szCs w:val="21"/>
          <w:highlight w:val="none"/>
        </w:rPr>
      </w:pPr>
      <w:r>
        <w:rPr>
          <w:rFonts w:hint="eastAsia" w:ascii="宋体" w:hAnsi="宋体"/>
          <w:color w:val="auto"/>
          <w:szCs w:val="21"/>
          <w:highlight w:val="none"/>
        </w:rPr>
        <w:t>4</w:t>
      </w:r>
      <w:r>
        <w:rPr>
          <w:rFonts w:ascii="宋体" w:hAnsi="宋体"/>
          <w:color w:val="auto"/>
          <w:szCs w:val="21"/>
          <w:highlight w:val="none"/>
        </w:rPr>
        <w:t>.1</w:t>
      </w:r>
      <w:r>
        <w:rPr>
          <w:rFonts w:hint="eastAsia" w:ascii="宋体" w:hAnsi="宋体"/>
          <w:color w:val="auto"/>
          <w:szCs w:val="21"/>
          <w:highlight w:val="none"/>
        </w:rPr>
        <w:t>合同总价暂定含增值税金额为人民币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万元，本工程分两期完成，</w:t>
      </w:r>
      <w:r>
        <w:rPr>
          <w:rFonts w:ascii="宋体" w:hAnsi="宋体"/>
          <w:color w:val="auto"/>
          <w:kern w:val="0"/>
          <w:szCs w:val="21"/>
          <w:highlight w:val="none"/>
        </w:rPr>
        <w:t>第一期为F-5、F-6栋规划验收区域范围工程，暂定含增值税金额为人民币</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万元，第二期为F-8、F-9、F-10、F-11栋规划验收区域范围工程，暂定含增值税金额为人民币</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万元，</w:t>
      </w:r>
      <w:r>
        <w:rPr>
          <w:rFonts w:hint="eastAsia" w:ascii="宋体" w:hAnsi="宋体"/>
          <w:color w:val="auto"/>
          <w:kern w:val="0"/>
          <w:szCs w:val="21"/>
          <w:highlight w:val="none"/>
        </w:rPr>
        <w:t>以上价款已包含本合同实施出现的建筑垃圾清运、卫生清洁费及其他措施费；机械、燃油、管理费、进退场费、各种手续费、利润（乙方承担开出工程发票所需的所有税金费用）、技术措施费、与土建及其它专业单位的施工协调配合工作、与政府各部门之间的协调、安全、文明施工费用、资金周转费用、各类风险金和其它能使本工程及时、顺利完成的全部费用；施工</w:t>
      </w:r>
      <w:r>
        <w:rPr>
          <w:rFonts w:hint="eastAsia" w:ascii="宋体" w:hAnsi="宋体"/>
          <w:color w:val="auto"/>
          <w:kern w:val="0"/>
          <w:szCs w:val="21"/>
          <w:highlight w:val="none"/>
        </w:rPr>
        <w:t>总承包</w:t>
      </w:r>
      <w:r>
        <w:rPr>
          <w:rFonts w:ascii="宋体" w:hAnsi="宋体"/>
          <w:color w:val="auto"/>
          <w:kern w:val="0"/>
          <w:szCs w:val="21"/>
          <w:highlight w:val="none"/>
        </w:rPr>
        <w:t>服务</w:t>
      </w:r>
      <w:r>
        <w:rPr>
          <w:rFonts w:hint="eastAsia" w:ascii="宋体" w:hAnsi="宋体"/>
          <w:color w:val="auto"/>
          <w:kern w:val="0"/>
          <w:szCs w:val="21"/>
          <w:highlight w:val="none"/>
        </w:rPr>
        <w:t>费等费用</w:t>
      </w:r>
    </w:p>
    <w:p w14:paraId="473D2A2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甲方有权按工程的实际施工情况将第二期分一次或两次施工，具体按甲方下发开工通知为准</w:t>
      </w:r>
      <w:r>
        <w:rPr>
          <w:rFonts w:ascii="宋体" w:hAnsi="宋体"/>
          <w:color w:val="auto"/>
          <w:szCs w:val="21"/>
          <w:highlight w:val="none"/>
        </w:rPr>
        <w:t>。</w:t>
      </w:r>
      <w:r>
        <w:rPr>
          <w:rFonts w:hint="eastAsia" w:ascii="宋体" w:hAnsi="宋体"/>
          <w:color w:val="auto"/>
          <w:szCs w:val="21"/>
          <w:highlight w:val="none"/>
        </w:rPr>
        <w:t>两期工程独立施工。</w:t>
      </w:r>
    </w:p>
    <w:p w14:paraId="1086950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.2</w:t>
      </w:r>
      <w:r>
        <w:rPr>
          <w:rFonts w:hint="eastAsia" w:ascii="宋体" w:hAnsi="宋体"/>
          <w:color w:val="auto"/>
          <w:szCs w:val="21"/>
          <w:highlight w:val="none"/>
        </w:rPr>
        <w:t>如果国家政策税率发生变化，本工程合同总价不变。合同外签证、变更部分税率与本合同相同</w:t>
      </w:r>
      <w:bookmarkEnd w:id="19"/>
      <w:r>
        <w:rPr>
          <w:rFonts w:hint="eastAsia" w:ascii="宋体" w:hAnsi="宋体"/>
          <w:color w:val="auto"/>
          <w:szCs w:val="21"/>
          <w:highlight w:val="none"/>
        </w:rPr>
        <w:t>，最终以甲方造价服务单位审核报告为准。</w:t>
      </w:r>
    </w:p>
    <w:p w14:paraId="160EE663">
      <w:pPr>
        <w:pStyle w:val="97"/>
        <w:ind w:firstLine="422"/>
        <w:rPr>
          <w:color w:val="auto"/>
          <w:highlight w:val="none"/>
        </w:rPr>
      </w:pPr>
      <w:bookmarkStart w:id="21" w:name="_Toc180591464"/>
      <w:bookmarkStart w:id="22" w:name="_Toc101358311"/>
      <w:bookmarkStart w:id="23" w:name="_Toc100862467"/>
      <w:bookmarkStart w:id="24" w:name="_Hlk101361625"/>
      <w:r>
        <w:rPr>
          <w:rFonts w:hint="eastAsia"/>
          <w:color w:val="auto"/>
          <w:highlight w:val="none"/>
        </w:rPr>
        <w:t xml:space="preserve">第5条 </w:t>
      </w:r>
      <w:r>
        <w:rPr>
          <w:color w:val="auto"/>
          <w:highlight w:val="none"/>
        </w:rPr>
        <w:t xml:space="preserve"> </w:t>
      </w:r>
      <w:r>
        <w:rPr>
          <w:rFonts w:hint="eastAsia"/>
          <w:color w:val="auto"/>
          <w:highlight w:val="none"/>
        </w:rPr>
        <w:t>质量目标</w:t>
      </w:r>
      <w:bookmarkEnd w:id="21"/>
      <w:bookmarkEnd w:id="22"/>
      <w:bookmarkEnd w:id="23"/>
    </w:p>
    <w:p w14:paraId="54A91F15">
      <w:pPr>
        <w:widowControl/>
        <w:spacing w:line="360" w:lineRule="auto"/>
        <w:ind w:firstLine="420"/>
        <w:jc w:val="left"/>
        <w:rPr>
          <w:rFonts w:ascii="宋体" w:hAnsi="宋体"/>
          <w:bCs/>
          <w:color w:val="auto"/>
          <w:szCs w:val="21"/>
          <w:highlight w:val="none"/>
          <w:u w:val="single"/>
        </w:rPr>
      </w:pPr>
      <w:bookmarkStart w:id="25" w:name="_Toc101358312"/>
      <w:bookmarkStart w:id="26" w:name="_Toc100862468"/>
      <w:bookmarkStart w:id="27" w:name="_Hlk100863404"/>
      <w:r>
        <w:rPr>
          <w:rFonts w:hint="eastAsia" w:ascii="宋体" w:hAnsi="宋体"/>
          <w:color w:val="auto"/>
          <w:szCs w:val="21"/>
          <w:highlight w:val="none"/>
        </w:rPr>
        <w:t>本工程的质量标准为：本工程应满足国家施工验收规范，达到</w:t>
      </w:r>
      <w:r>
        <w:rPr>
          <w:rFonts w:hint="eastAsia" w:ascii="宋体" w:hAnsi="宋体" w:cs="宋体"/>
          <w:color w:val="auto"/>
          <w:szCs w:val="21"/>
          <w:highlight w:val="none"/>
          <w:u w:val="single"/>
        </w:rPr>
        <w:t>符合国家有关施工质量验收规范并达到合格标准，</w:t>
      </w:r>
      <w:r>
        <w:rPr>
          <w:rFonts w:hint="eastAsia" w:ascii="宋体" w:hAnsi="宋体"/>
          <w:color w:val="auto"/>
          <w:highlight w:val="none"/>
        </w:rPr>
        <w:t>工程合格率、苗木成活率达到</w:t>
      </w:r>
      <w:r>
        <w:rPr>
          <w:rFonts w:ascii="宋体" w:hAnsi="宋体"/>
          <w:color w:val="auto"/>
          <w:highlight w:val="none"/>
        </w:rPr>
        <w:t>100%</w:t>
      </w:r>
      <w:r>
        <w:rPr>
          <w:rFonts w:hint="eastAsia" w:ascii="宋体" w:hAnsi="宋体"/>
          <w:color w:val="auto"/>
          <w:szCs w:val="21"/>
          <w:highlight w:val="none"/>
        </w:rPr>
        <w:t>。</w:t>
      </w:r>
    </w:p>
    <w:p w14:paraId="771A4E87">
      <w:pPr>
        <w:pStyle w:val="97"/>
        <w:ind w:firstLine="422"/>
        <w:rPr>
          <w:color w:val="auto"/>
          <w:highlight w:val="none"/>
        </w:rPr>
      </w:pPr>
      <w:bookmarkStart w:id="28" w:name="_Toc180591465"/>
      <w:r>
        <w:rPr>
          <w:rFonts w:hint="eastAsia"/>
          <w:color w:val="auto"/>
          <w:highlight w:val="none"/>
        </w:rPr>
        <w:t>第</w:t>
      </w:r>
      <w:r>
        <w:rPr>
          <w:color w:val="auto"/>
          <w:highlight w:val="none"/>
        </w:rPr>
        <w:t>6</w:t>
      </w:r>
      <w:r>
        <w:rPr>
          <w:rFonts w:hint="eastAsia"/>
          <w:color w:val="auto"/>
          <w:highlight w:val="none"/>
        </w:rPr>
        <w:t>条　合同文件解释顺序</w:t>
      </w:r>
      <w:bookmarkEnd w:id="25"/>
      <w:bookmarkEnd w:id="26"/>
      <w:bookmarkEnd w:id="28"/>
    </w:p>
    <w:p w14:paraId="47439272">
      <w:pPr>
        <w:widowControl/>
        <w:spacing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 xml:space="preserve">.1 </w:t>
      </w:r>
      <w:r>
        <w:rPr>
          <w:rFonts w:ascii="宋体" w:hAnsi="宋体"/>
          <w:bCs/>
          <w:color w:val="auto"/>
          <w:szCs w:val="21"/>
          <w:highlight w:val="none"/>
        </w:rPr>
        <w:t xml:space="preserve"> </w:t>
      </w:r>
      <w:r>
        <w:rPr>
          <w:rFonts w:hint="eastAsia" w:ascii="宋体" w:hAnsi="宋体"/>
          <w:bCs/>
          <w:color w:val="auto"/>
          <w:szCs w:val="21"/>
          <w:highlight w:val="none"/>
        </w:rPr>
        <w:t xml:space="preserve">合同文件应能相互解释，互为说明。组成本合同的文件及优先解释顺序如下： </w:t>
      </w:r>
    </w:p>
    <w:p w14:paraId="0655ED9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（1）合同履行过程中</w:t>
      </w:r>
      <w:r>
        <w:rPr>
          <w:rFonts w:hint="eastAsia" w:ascii="宋体" w:hAnsi="宋体"/>
          <w:bCs/>
          <w:color w:val="auto"/>
          <w:szCs w:val="21"/>
          <w:highlight w:val="none"/>
        </w:rPr>
        <w:t>，甲</w:t>
      </w:r>
      <w:r>
        <w:rPr>
          <w:rFonts w:hint="eastAsia" w:ascii="宋体" w:hAnsi="宋体"/>
          <w:color w:val="auto"/>
          <w:szCs w:val="21"/>
          <w:highlight w:val="none"/>
        </w:rPr>
        <w:t>乙方协商一致并经甲方法定代表人或授权代理人签署的</w:t>
      </w:r>
      <w:r>
        <w:rPr>
          <w:rFonts w:hint="eastAsia" w:ascii="宋体" w:hAnsi="宋体"/>
          <w:bCs/>
          <w:color w:val="auto"/>
          <w:szCs w:val="21"/>
          <w:highlight w:val="none"/>
        </w:rPr>
        <w:t>洽商、会议纪要等书面文件（以倒顺序时间解释）；</w:t>
      </w:r>
    </w:p>
    <w:p w14:paraId="2987987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（2）履约过程中乙方向甲方做出的各项承诺；</w:t>
      </w:r>
    </w:p>
    <w:p w14:paraId="51F0B6F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rPr>
        <w:t>本合同的补充协议；</w:t>
      </w:r>
    </w:p>
    <w:p w14:paraId="1AA8023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rPr>
        <w:t>本合同及相关附件（本合同各部分优先解释顺序：合同协议书、专用条款、通用条款）；</w:t>
      </w:r>
    </w:p>
    <w:p w14:paraId="3A6AB63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bCs/>
          <w:color w:val="auto"/>
          <w:szCs w:val="21"/>
          <w:highlight w:val="none"/>
        </w:rPr>
        <w:t>投标文件</w:t>
      </w:r>
      <w:r>
        <w:rPr>
          <w:rFonts w:ascii="宋体" w:hAnsi="宋体"/>
          <w:bCs/>
          <w:color w:val="auto"/>
          <w:szCs w:val="21"/>
          <w:highlight w:val="none"/>
        </w:rPr>
        <w:t>、</w:t>
      </w:r>
      <w:r>
        <w:rPr>
          <w:rFonts w:hint="eastAsia" w:ascii="宋体" w:hAnsi="宋体"/>
          <w:bCs/>
          <w:color w:val="auto"/>
          <w:szCs w:val="21"/>
          <w:highlight w:val="none"/>
        </w:rPr>
        <w:t>投标时乙方向甲方做出的各项承诺、澄清文件、双方的议标记录；</w:t>
      </w:r>
    </w:p>
    <w:p w14:paraId="2ADCACC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（6）中标通知书（如有）；</w:t>
      </w:r>
    </w:p>
    <w:p w14:paraId="6EDD177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（7）合同清单</w:t>
      </w:r>
      <w:r>
        <w:rPr>
          <w:rFonts w:hint="eastAsia" w:ascii="宋体" w:hAnsi="宋体"/>
          <w:bCs/>
          <w:color w:val="auto"/>
          <w:szCs w:val="21"/>
          <w:highlight w:val="none"/>
        </w:rPr>
        <w:t>；</w:t>
      </w:r>
    </w:p>
    <w:p w14:paraId="32DB4EB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施工图纸及设计说明、设计变更资料；</w:t>
      </w:r>
    </w:p>
    <w:p w14:paraId="226855D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（9）本工程建设标准；</w:t>
      </w:r>
    </w:p>
    <w:p w14:paraId="17B2074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（10）甲方及总承包单位施工现场管理的各项规章制度及有关技术文件；</w:t>
      </w:r>
    </w:p>
    <w:p w14:paraId="23CCFC8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（11）甲方招标文件、招标合同条款。</w:t>
      </w:r>
    </w:p>
    <w:bookmarkEnd w:id="27"/>
    <w:p w14:paraId="0A010F41">
      <w:pPr>
        <w:pStyle w:val="97"/>
        <w:ind w:firstLine="422"/>
        <w:rPr>
          <w:color w:val="auto"/>
          <w:highlight w:val="none"/>
        </w:rPr>
      </w:pPr>
      <w:bookmarkStart w:id="29" w:name="_Toc100839940"/>
      <w:bookmarkStart w:id="30" w:name="_Toc100862469"/>
      <w:bookmarkStart w:id="31" w:name="_Toc101358313"/>
      <w:bookmarkStart w:id="32" w:name="_Toc180591466"/>
      <w:r>
        <w:rPr>
          <w:rFonts w:hint="eastAsia"/>
          <w:color w:val="auto"/>
          <w:highlight w:val="none"/>
        </w:rPr>
        <w:t>第</w:t>
      </w:r>
      <w:r>
        <w:rPr>
          <w:color w:val="auto"/>
          <w:highlight w:val="none"/>
        </w:rPr>
        <w:t>7</w:t>
      </w:r>
      <w:r>
        <w:rPr>
          <w:rFonts w:hint="eastAsia"/>
          <w:color w:val="auto"/>
          <w:highlight w:val="none"/>
        </w:rPr>
        <w:t>条　合同生效与终止</w:t>
      </w:r>
      <w:bookmarkEnd w:id="29"/>
      <w:bookmarkEnd w:id="30"/>
      <w:bookmarkEnd w:id="31"/>
      <w:bookmarkEnd w:id="32"/>
    </w:p>
    <w:p w14:paraId="65B2F146">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hint="eastAsia" w:ascii="宋体" w:hAnsi="宋体"/>
          <w:color w:val="auto"/>
          <w:szCs w:val="21"/>
          <w:highlight w:val="none"/>
        </w:rPr>
        <w:t>合同以乙方提供履约保证金或履约保函后正式生效，在合同约定相关款项结清后自行完结。</w:t>
      </w:r>
    </w:p>
    <w:p w14:paraId="1CDF0145">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.2工程交付建设单位且甲乙双方办清竣工结算后除保修</w:t>
      </w:r>
      <w:bookmarkStart w:id="33" w:name="_Hlk101376118"/>
      <w:r>
        <w:rPr>
          <w:rFonts w:hint="eastAsia" w:ascii="宋体" w:hAnsi="宋体"/>
          <w:color w:val="auto"/>
          <w:szCs w:val="21"/>
          <w:highlight w:val="none"/>
        </w:rPr>
        <w:t>条款外其它合同条款即告终止，保修期满后，有关保修条款亦自行失效。</w:t>
      </w:r>
    </w:p>
    <w:p w14:paraId="32406AB1">
      <w:pPr>
        <w:pStyle w:val="97"/>
        <w:ind w:firstLine="422"/>
        <w:rPr>
          <w:color w:val="auto"/>
          <w:highlight w:val="none"/>
        </w:rPr>
      </w:pPr>
      <w:bookmarkStart w:id="34" w:name="_Toc100839941"/>
      <w:bookmarkStart w:id="35" w:name="_Toc100862470"/>
      <w:bookmarkStart w:id="36" w:name="_Toc101358314"/>
      <w:bookmarkStart w:id="37" w:name="_Toc180591467"/>
      <w:r>
        <w:rPr>
          <w:rFonts w:hint="eastAsia"/>
          <w:color w:val="auto"/>
          <w:highlight w:val="none"/>
        </w:rPr>
        <w:t>第</w:t>
      </w:r>
      <w:r>
        <w:rPr>
          <w:color w:val="auto"/>
          <w:highlight w:val="none"/>
        </w:rPr>
        <w:t>8</w:t>
      </w:r>
      <w:r>
        <w:rPr>
          <w:rFonts w:hint="eastAsia"/>
          <w:color w:val="auto"/>
          <w:highlight w:val="none"/>
        </w:rPr>
        <w:t xml:space="preserve">条 </w:t>
      </w:r>
      <w:r>
        <w:rPr>
          <w:color w:val="auto"/>
          <w:highlight w:val="none"/>
        </w:rPr>
        <w:t xml:space="preserve"> </w:t>
      </w:r>
      <w:r>
        <w:rPr>
          <w:rFonts w:hint="eastAsia"/>
          <w:color w:val="auto"/>
          <w:highlight w:val="none"/>
        </w:rPr>
        <w:t>合同份数</w:t>
      </w:r>
      <w:bookmarkEnd w:id="34"/>
      <w:bookmarkEnd w:id="35"/>
      <w:bookmarkEnd w:id="36"/>
      <w:bookmarkEnd w:id="37"/>
    </w:p>
    <w:p w14:paraId="6C49CBBC">
      <w:pPr>
        <w:spacing w:line="360" w:lineRule="auto"/>
        <w:ind w:firstLine="420" w:firstLineChars="200"/>
        <w:rPr>
          <w:rFonts w:ascii="宋体" w:hAnsi="宋体"/>
          <w:color w:val="auto"/>
          <w:szCs w:val="21"/>
          <w:highlight w:val="none"/>
        </w:rPr>
      </w:pPr>
      <w:r>
        <w:rPr>
          <w:rFonts w:hint="eastAsia"/>
          <w:bCs/>
          <w:color w:val="auto"/>
          <w:highlight w:val="none"/>
        </w:rPr>
        <w:t>本合同一式</w:t>
      </w:r>
      <w:r>
        <w:rPr>
          <w:rFonts w:hint="eastAsia"/>
          <w:bCs/>
          <w:color w:val="auto"/>
          <w:highlight w:val="none"/>
          <w:u w:val="single"/>
        </w:rPr>
        <w:t xml:space="preserve"> 捌 </w:t>
      </w:r>
      <w:r>
        <w:rPr>
          <w:rFonts w:hint="eastAsia"/>
          <w:bCs/>
          <w:color w:val="auto"/>
          <w:highlight w:val="none"/>
        </w:rPr>
        <w:t>份，甲方执</w:t>
      </w:r>
      <w:r>
        <w:rPr>
          <w:rFonts w:hint="eastAsia"/>
          <w:bCs/>
          <w:color w:val="auto"/>
          <w:highlight w:val="none"/>
          <w:u w:val="single"/>
        </w:rPr>
        <w:t xml:space="preserve"> 四 </w:t>
      </w:r>
      <w:r>
        <w:rPr>
          <w:rFonts w:hint="eastAsia"/>
          <w:bCs/>
          <w:color w:val="auto"/>
          <w:highlight w:val="none"/>
        </w:rPr>
        <w:t>份，乙方执</w:t>
      </w:r>
      <w:r>
        <w:rPr>
          <w:rFonts w:hint="eastAsia"/>
          <w:bCs/>
          <w:color w:val="auto"/>
          <w:highlight w:val="none"/>
          <w:u w:val="single"/>
        </w:rPr>
        <w:t xml:space="preserve"> 四 </w:t>
      </w:r>
      <w:r>
        <w:rPr>
          <w:rFonts w:hint="eastAsia"/>
          <w:bCs/>
          <w:color w:val="auto"/>
          <w:highlight w:val="none"/>
        </w:rPr>
        <w:t>份，具有同等法律效力。</w:t>
      </w:r>
      <w:bookmarkEnd w:id="5"/>
      <w:bookmarkEnd w:id="13"/>
      <w:bookmarkEnd w:id="20"/>
      <w:bookmarkEnd w:id="24"/>
      <w:bookmarkEnd w:id="33"/>
      <w:bookmarkStart w:id="38" w:name="_Hlk66454938"/>
    </w:p>
    <w:bookmarkEnd w:id="38"/>
    <w:p w14:paraId="1BFC9A74">
      <w:pPr>
        <w:snapToGrid w:val="0"/>
        <w:spacing w:line="360" w:lineRule="auto"/>
        <w:rPr>
          <w:rFonts w:ascii="宋体" w:hAnsi="宋体"/>
          <w:color w:val="auto"/>
          <w:szCs w:val="21"/>
          <w:highlight w:val="none"/>
        </w:rPr>
      </w:pPr>
    </w:p>
    <w:p w14:paraId="44BE25AA">
      <w:pPr>
        <w:snapToGrid w:val="0"/>
        <w:spacing w:line="360" w:lineRule="auto"/>
        <w:ind w:left="7560" w:hanging="7560" w:hangingChars="3600"/>
        <w:rPr>
          <w:rFonts w:ascii="宋体" w:hAnsi="宋体"/>
          <w:color w:val="auto"/>
          <w:szCs w:val="21"/>
          <w:highlight w:val="none"/>
        </w:rPr>
      </w:pPr>
      <w:r>
        <w:rPr>
          <w:rFonts w:hint="eastAsia" w:ascii="宋体" w:hAnsi="宋体"/>
          <w:color w:val="auto"/>
          <w:szCs w:val="21"/>
          <w:highlight w:val="none"/>
        </w:rPr>
        <w:t xml:space="preserve">甲方：（公章）广州市继丰房地产开发有限公司 </w:t>
      </w:r>
      <w:r>
        <w:rPr>
          <w:rFonts w:ascii="宋体" w:hAnsi="宋体"/>
          <w:color w:val="auto"/>
          <w:szCs w:val="21"/>
          <w:highlight w:val="none"/>
        </w:rPr>
        <w:t xml:space="preserve">     </w:t>
      </w:r>
      <w:r>
        <w:rPr>
          <w:rFonts w:hint="eastAsia" w:ascii="宋体" w:hAnsi="宋体"/>
          <w:color w:val="auto"/>
          <w:szCs w:val="21"/>
          <w:highlight w:val="none"/>
        </w:rPr>
        <w:t xml:space="preserve">乙方：（公章）                        </w:t>
      </w:r>
    </w:p>
    <w:p w14:paraId="4DB7B636">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14:paraId="1BD60C16">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法定代表人或委托代表人：          </w:t>
      </w:r>
      <w:r>
        <w:rPr>
          <w:rFonts w:ascii="宋体" w:hAnsi="宋体"/>
          <w:color w:val="auto"/>
          <w:szCs w:val="21"/>
          <w:highlight w:val="none"/>
        </w:rPr>
        <w:t xml:space="preserve">        </w:t>
      </w:r>
      <w:r>
        <w:rPr>
          <w:rFonts w:hint="eastAsia" w:ascii="宋体" w:hAnsi="宋体"/>
          <w:color w:val="auto"/>
          <w:szCs w:val="21"/>
          <w:highlight w:val="none"/>
        </w:rPr>
        <w:t xml:space="preserve">      法定代表人或委托代表人：</w:t>
      </w:r>
    </w:p>
    <w:p w14:paraId="7D9A72FE">
      <w:pPr>
        <w:snapToGrid w:val="0"/>
        <w:spacing w:line="360" w:lineRule="auto"/>
        <w:ind w:firstLine="2730" w:firstLineChars="1300"/>
        <w:rPr>
          <w:rFonts w:ascii="宋体" w:hAnsi="宋体"/>
          <w:color w:val="auto"/>
          <w:szCs w:val="21"/>
          <w:highlight w:val="none"/>
        </w:rPr>
      </w:pPr>
    </w:p>
    <w:p w14:paraId="293A73A9">
      <w:pPr>
        <w:snapToGrid w:val="0"/>
        <w:spacing w:line="360" w:lineRule="auto"/>
        <w:rPr>
          <w:rFonts w:ascii="宋体" w:hAnsi="宋体"/>
          <w:color w:val="auto"/>
          <w:szCs w:val="21"/>
          <w:highlight w:val="none"/>
        </w:rPr>
      </w:pPr>
      <w:r>
        <w:rPr>
          <w:rFonts w:hint="eastAsia" w:ascii="宋体" w:hAnsi="宋体"/>
          <w:color w:val="auto"/>
          <w:szCs w:val="21"/>
          <w:highlight w:val="none"/>
        </w:rPr>
        <w:t>签合同地点：</w:t>
      </w:r>
    </w:p>
    <w:p w14:paraId="4273D7C3">
      <w:pPr>
        <w:spacing w:line="360" w:lineRule="auto"/>
        <w:rPr>
          <w:color w:val="auto"/>
          <w:highlight w:val="none"/>
        </w:rPr>
      </w:pPr>
    </w:p>
    <w:p w14:paraId="7129249C">
      <w:pPr>
        <w:widowControl/>
        <w:spacing w:line="360" w:lineRule="auto"/>
        <w:rPr>
          <w:color w:val="auto"/>
          <w:highlight w:val="none"/>
        </w:rPr>
      </w:pPr>
    </w:p>
    <w:p w14:paraId="03E46B9A">
      <w:pPr>
        <w:widowControl/>
        <w:spacing w:line="360" w:lineRule="auto"/>
        <w:rPr>
          <w:color w:val="auto"/>
          <w:highlight w:val="none"/>
        </w:rPr>
      </w:pPr>
    </w:p>
    <w:p w14:paraId="6D009C3A">
      <w:pPr>
        <w:widowControl/>
        <w:spacing w:line="360" w:lineRule="auto"/>
        <w:rPr>
          <w:color w:val="auto"/>
          <w:highlight w:val="none"/>
        </w:rPr>
      </w:pPr>
    </w:p>
    <w:p w14:paraId="73B3FFDF">
      <w:pPr>
        <w:widowControl/>
        <w:spacing w:line="360" w:lineRule="auto"/>
        <w:rPr>
          <w:color w:val="auto"/>
          <w:highlight w:val="none"/>
        </w:rPr>
      </w:pPr>
    </w:p>
    <w:p w14:paraId="08758266">
      <w:pPr>
        <w:widowControl/>
        <w:spacing w:line="360" w:lineRule="auto"/>
        <w:rPr>
          <w:color w:val="auto"/>
          <w:highlight w:val="none"/>
        </w:rPr>
      </w:pPr>
    </w:p>
    <w:p w14:paraId="5DDF47F8">
      <w:pPr>
        <w:widowControl/>
        <w:spacing w:line="360" w:lineRule="auto"/>
        <w:rPr>
          <w:color w:val="auto"/>
          <w:highlight w:val="none"/>
        </w:rPr>
      </w:pPr>
    </w:p>
    <w:p w14:paraId="2A4E51F0">
      <w:pPr>
        <w:widowControl/>
        <w:spacing w:line="360" w:lineRule="auto"/>
        <w:rPr>
          <w:color w:val="auto"/>
          <w:highlight w:val="none"/>
        </w:rPr>
      </w:pPr>
    </w:p>
    <w:p w14:paraId="011B2A3E">
      <w:pPr>
        <w:widowControl/>
        <w:spacing w:line="360" w:lineRule="auto"/>
        <w:rPr>
          <w:color w:val="auto"/>
          <w:highlight w:val="none"/>
        </w:rPr>
      </w:pPr>
    </w:p>
    <w:p w14:paraId="1EF305B7">
      <w:pPr>
        <w:widowControl/>
        <w:spacing w:line="360" w:lineRule="auto"/>
        <w:rPr>
          <w:color w:val="auto"/>
          <w:highlight w:val="none"/>
        </w:rPr>
      </w:pPr>
    </w:p>
    <w:p w14:paraId="1FEBE665">
      <w:pPr>
        <w:widowControl/>
        <w:spacing w:line="360" w:lineRule="auto"/>
        <w:rPr>
          <w:color w:val="auto"/>
          <w:highlight w:val="none"/>
        </w:rPr>
      </w:pPr>
    </w:p>
    <w:p w14:paraId="3A1D0561">
      <w:pPr>
        <w:widowControl/>
        <w:spacing w:line="360" w:lineRule="auto"/>
        <w:rPr>
          <w:color w:val="auto"/>
          <w:highlight w:val="none"/>
        </w:rPr>
      </w:pPr>
    </w:p>
    <w:p w14:paraId="6541EA30">
      <w:pPr>
        <w:widowControl/>
        <w:spacing w:line="360" w:lineRule="auto"/>
        <w:rPr>
          <w:color w:val="auto"/>
          <w:highlight w:val="none"/>
        </w:rPr>
      </w:pPr>
    </w:p>
    <w:p w14:paraId="0E8CF3B5">
      <w:pPr>
        <w:widowControl/>
        <w:spacing w:line="360" w:lineRule="auto"/>
        <w:rPr>
          <w:color w:val="auto"/>
          <w:highlight w:val="none"/>
        </w:rPr>
      </w:pPr>
    </w:p>
    <w:p w14:paraId="491F9A8D">
      <w:pPr>
        <w:widowControl/>
        <w:spacing w:line="360" w:lineRule="auto"/>
        <w:rPr>
          <w:color w:val="auto"/>
          <w:highlight w:val="none"/>
        </w:rPr>
      </w:pPr>
    </w:p>
    <w:p w14:paraId="7CBF5119">
      <w:pPr>
        <w:widowControl/>
        <w:spacing w:line="360" w:lineRule="auto"/>
        <w:rPr>
          <w:color w:val="auto"/>
          <w:highlight w:val="none"/>
        </w:rPr>
      </w:pPr>
    </w:p>
    <w:p w14:paraId="04CAA760">
      <w:pPr>
        <w:widowControl/>
        <w:spacing w:line="360" w:lineRule="auto"/>
        <w:rPr>
          <w:color w:val="auto"/>
          <w:highlight w:val="none"/>
        </w:rPr>
      </w:pPr>
    </w:p>
    <w:p w14:paraId="02B88B12">
      <w:pPr>
        <w:widowControl/>
        <w:spacing w:line="360" w:lineRule="auto"/>
        <w:rPr>
          <w:color w:val="auto"/>
          <w:highlight w:val="none"/>
        </w:rPr>
      </w:pPr>
    </w:p>
    <w:p w14:paraId="526E6D88">
      <w:pPr>
        <w:pStyle w:val="96"/>
        <w:rPr>
          <w:color w:val="auto"/>
          <w:highlight w:val="none"/>
        </w:rPr>
      </w:pPr>
      <w:bookmarkStart w:id="39" w:name="_Toc180591468"/>
      <w:r>
        <w:rPr>
          <w:rFonts w:hint="eastAsia"/>
          <w:color w:val="auto"/>
          <w:highlight w:val="none"/>
        </w:rPr>
        <w:t>第二部分 合同通用条款</w:t>
      </w:r>
      <w:bookmarkEnd w:id="39"/>
    </w:p>
    <w:p w14:paraId="716CD3CB">
      <w:pPr>
        <w:rPr>
          <w:color w:val="auto"/>
          <w:highlight w:val="none"/>
        </w:rPr>
      </w:pPr>
    </w:p>
    <w:p w14:paraId="77060755">
      <w:pPr>
        <w:pStyle w:val="97"/>
        <w:ind w:firstLine="422"/>
        <w:rPr>
          <w:color w:val="auto"/>
          <w:highlight w:val="none"/>
        </w:rPr>
      </w:pPr>
      <w:bookmarkStart w:id="40" w:name="_Toc84333702"/>
      <w:bookmarkStart w:id="41" w:name="_Toc180591469"/>
      <w:r>
        <w:rPr>
          <w:rFonts w:hint="eastAsia"/>
          <w:color w:val="auto"/>
          <w:highlight w:val="none"/>
        </w:rPr>
        <w:t>第</w:t>
      </w:r>
      <w:r>
        <w:rPr>
          <w:color w:val="auto"/>
          <w:highlight w:val="none"/>
        </w:rPr>
        <w:t>1</w:t>
      </w:r>
      <w:r>
        <w:rPr>
          <w:rFonts w:hint="eastAsia"/>
          <w:color w:val="auto"/>
          <w:highlight w:val="none"/>
        </w:rPr>
        <w:t>条  承包工作详细内容</w:t>
      </w:r>
      <w:bookmarkEnd w:id="40"/>
      <w:bookmarkEnd w:id="41"/>
    </w:p>
    <w:p w14:paraId="3D5439FF">
      <w:pPr>
        <w:pStyle w:val="101"/>
        <w:ind w:firstLine="420"/>
        <w:rPr>
          <w:color w:val="auto"/>
          <w:highlight w:val="none"/>
        </w:rPr>
      </w:pPr>
      <w:r>
        <w:rPr>
          <w:rFonts w:hint="eastAsia"/>
          <w:color w:val="auto"/>
          <w:highlight w:val="none"/>
        </w:rPr>
        <w:t>详见协议书第2条。</w:t>
      </w:r>
    </w:p>
    <w:p w14:paraId="6341B7B0">
      <w:pPr>
        <w:pStyle w:val="97"/>
        <w:ind w:firstLine="422"/>
        <w:rPr>
          <w:color w:val="auto"/>
          <w:highlight w:val="none"/>
        </w:rPr>
      </w:pPr>
      <w:bookmarkStart w:id="42" w:name="_Toc180591470"/>
      <w:bookmarkStart w:id="43" w:name="_Toc102402646"/>
      <w:bookmarkStart w:id="44" w:name="_Toc84333705"/>
      <w:bookmarkStart w:id="45" w:name="_Hlk107925173"/>
      <w:bookmarkStart w:id="46" w:name="_Hlk107928489"/>
      <w:r>
        <w:rPr>
          <w:rFonts w:hint="eastAsia"/>
          <w:color w:val="auto"/>
          <w:highlight w:val="none"/>
        </w:rPr>
        <w:t>第</w:t>
      </w:r>
      <w:r>
        <w:rPr>
          <w:color w:val="auto"/>
          <w:highlight w:val="none"/>
        </w:rPr>
        <w:t>2</w:t>
      </w:r>
      <w:r>
        <w:rPr>
          <w:rFonts w:hint="eastAsia"/>
          <w:color w:val="auto"/>
          <w:highlight w:val="none"/>
        </w:rPr>
        <w:t>条  施工图纸</w:t>
      </w:r>
      <w:bookmarkEnd w:id="42"/>
      <w:bookmarkEnd w:id="43"/>
      <w:bookmarkEnd w:id="44"/>
    </w:p>
    <w:p w14:paraId="6B30C2C9">
      <w:pPr>
        <w:pStyle w:val="101"/>
        <w:ind w:firstLine="420"/>
        <w:rPr>
          <w:color w:val="auto"/>
          <w:highlight w:val="none"/>
          <w:u w:val="none"/>
        </w:rPr>
      </w:pPr>
      <w:bookmarkStart w:id="47" w:name="_Hlk100854709"/>
      <w:r>
        <w:rPr>
          <w:rFonts w:ascii="宋体" w:hAnsi="宋体"/>
          <w:color w:val="auto"/>
          <w:szCs w:val="21"/>
          <w:highlight w:val="none"/>
          <w:u w:val="none"/>
        </w:rPr>
        <w:t>2.1甲方向乙方提供经甲方工程部确认后的施工图</w:t>
      </w:r>
      <w:r>
        <w:rPr>
          <w:rFonts w:hint="eastAsia"/>
          <w:color w:val="auto"/>
          <w:highlight w:val="none"/>
          <w:u w:val="none"/>
        </w:rPr>
        <w:t>数量：</w:t>
      </w:r>
      <w:bookmarkStart w:id="48" w:name="_Hlk100863953"/>
      <w:r>
        <w:rPr>
          <w:rFonts w:hint="eastAsia"/>
          <w:color w:val="auto"/>
          <w:highlight w:val="none"/>
          <w:u w:val="none"/>
        </w:rPr>
        <w:t>甲方提供绿化施工图纸</w:t>
      </w:r>
      <w:r>
        <w:rPr>
          <w:color w:val="auto"/>
          <w:highlight w:val="none"/>
          <w:u w:val="none"/>
        </w:rPr>
        <w:t>2</w:t>
      </w:r>
      <w:r>
        <w:rPr>
          <w:rFonts w:hint="eastAsia"/>
          <w:color w:val="auto"/>
          <w:highlight w:val="none"/>
          <w:u w:val="none"/>
        </w:rPr>
        <w:t>套，</w:t>
      </w:r>
      <w:r>
        <w:rPr>
          <w:rFonts w:hint="eastAsia"/>
          <w:color w:val="auto"/>
          <w:highlight w:val="none"/>
          <w:u w:val="none"/>
        </w:rPr>
        <w:t>其余</w:t>
      </w:r>
      <w:r>
        <w:rPr>
          <w:rFonts w:hint="eastAsia"/>
          <w:color w:val="auto"/>
          <w:highlight w:val="none"/>
          <w:u w:val="none"/>
        </w:rPr>
        <w:t>由乙方自行复印并承担费用，</w:t>
      </w:r>
      <w:r>
        <w:rPr>
          <w:rFonts w:hint="eastAsia" w:ascii="宋体" w:hAnsi="宋体"/>
          <w:color w:val="auto"/>
          <w:szCs w:val="21"/>
          <w:highlight w:val="none"/>
          <w:u w:val="none"/>
        </w:rPr>
        <w:t>国家或部颁或省市级标准图（书）由乙方自备。</w:t>
      </w:r>
      <w:bookmarkEnd w:id="48"/>
    </w:p>
    <w:bookmarkEnd w:id="47"/>
    <w:p w14:paraId="48AD8FC8">
      <w:pPr>
        <w:widowControl/>
        <w:spacing w:line="360" w:lineRule="auto"/>
        <w:ind w:firstLine="420" w:firstLineChars="200"/>
        <w:jc w:val="left"/>
        <w:rPr>
          <w:rFonts w:ascii="宋体" w:hAnsi="宋体"/>
          <w:color w:val="auto"/>
          <w:szCs w:val="21"/>
          <w:highlight w:val="none"/>
        </w:rPr>
      </w:pPr>
      <w:bookmarkStart w:id="49" w:name="_Hlk100863851"/>
      <w:r>
        <w:rPr>
          <w:rFonts w:ascii="宋体" w:hAnsi="宋体"/>
          <w:bCs/>
          <w:color w:val="auto"/>
          <w:szCs w:val="21"/>
          <w:highlight w:val="none"/>
        </w:rPr>
        <w:t>2</w:t>
      </w:r>
      <w:r>
        <w:rPr>
          <w:rFonts w:hint="eastAsia" w:ascii="宋体" w:hAnsi="宋体"/>
          <w:bCs/>
          <w:color w:val="auto"/>
          <w:szCs w:val="21"/>
          <w:highlight w:val="none"/>
        </w:rPr>
        <w:t xml:space="preserve">.2 </w:t>
      </w:r>
      <w:r>
        <w:rPr>
          <w:rFonts w:hint="eastAsia" w:ascii="宋体" w:hAnsi="宋体"/>
          <w:color w:val="auto"/>
          <w:szCs w:val="21"/>
          <w:highlight w:val="none"/>
        </w:rPr>
        <w:t>乙方不得将甲方提供的图纸挪作与本工程无关的用途；</w:t>
      </w:r>
    </w:p>
    <w:p w14:paraId="4571C1C0">
      <w:pPr>
        <w:widowControl/>
        <w:spacing w:line="360" w:lineRule="auto"/>
        <w:ind w:firstLine="420" w:firstLineChars="200"/>
        <w:jc w:val="left"/>
        <w:rPr>
          <w:rFonts w:ascii="宋体" w:hAnsi="宋体"/>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.3 乙方应在收到甲方提供的图纸后14天内，认真核阅施工图纸，有预见性的提出图纸的纰漏或错误，通知甲方并组织设计单位、监理单位、建设单位进行施工图会审；</w:t>
      </w:r>
    </w:p>
    <w:p w14:paraId="3822B147">
      <w:pPr>
        <w:widowControl/>
        <w:spacing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.4 甲方对工程图纸有保密义务的，乙方应负责工程范围内图纸的保密工作，乙方的保密义务在合同终止后，应当继续履行。</w:t>
      </w:r>
    </w:p>
    <w:bookmarkEnd w:id="49"/>
    <w:p w14:paraId="25F7B20F">
      <w:pPr>
        <w:pStyle w:val="97"/>
        <w:ind w:firstLine="422"/>
        <w:rPr>
          <w:color w:val="auto"/>
          <w:highlight w:val="none"/>
        </w:rPr>
      </w:pPr>
      <w:bookmarkStart w:id="50" w:name="_Toc180591471"/>
      <w:bookmarkStart w:id="51" w:name="_Toc102402647"/>
      <w:bookmarkStart w:id="52" w:name="_Toc84333706"/>
      <w:bookmarkStart w:id="53" w:name="_Hlk107923786"/>
      <w:bookmarkStart w:id="54" w:name="_Hlk107861812"/>
      <w:bookmarkStart w:id="55" w:name="_Hlk107861751"/>
      <w:bookmarkStart w:id="56" w:name="_Hlk107862743"/>
      <w:r>
        <w:rPr>
          <w:rFonts w:hint="eastAsia"/>
          <w:color w:val="auto"/>
          <w:highlight w:val="none"/>
        </w:rPr>
        <w:t>第</w:t>
      </w:r>
      <w:r>
        <w:rPr>
          <w:color w:val="auto"/>
          <w:highlight w:val="none"/>
        </w:rPr>
        <w:t>3</w:t>
      </w:r>
      <w:r>
        <w:rPr>
          <w:rFonts w:hint="eastAsia"/>
          <w:color w:val="auto"/>
          <w:highlight w:val="none"/>
        </w:rPr>
        <w:t>条</w:t>
      </w:r>
      <w:r>
        <w:rPr>
          <w:color w:val="auto"/>
          <w:highlight w:val="none"/>
        </w:rPr>
        <w:t xml:space="preserve">  </w:t>
      </w:r>
      <w:r>
        <w:rPr>
          <w:rFonts w:hint="eastAsia"/>
          <w:color w:val="auto"/>
          <w:highlight w:val="none"/>
        </w:rPr>
        <w:t>知识产权</w:t>
      </w:r>
      <w:bookmarkEnd w:id="50"/>
      <w:bookmarkEnd w:id="51"/>
      <w:bookmarkEnd w:id="52"/>
    </w:p>
    <w:p w14:paraId="2A76A4F2">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1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14:paraId="24A293EF">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2乙方为实施工程所编制的文件，著作权属于甲方，乙方可因实施工程的运行、调试、维修、改造等目的而复制、使用此类文件，但不能用于与合同无关的其他事项。未经甲方书面同意，乙方不得为了合同以外的目的而复制、使用</w:t>
      </w:r>
      <w:r>
        <w:rPr>
          <w:rFonts w:hint="eastAsia" w:ascii="宋体" w:hAnsi="宋体"/>
          <w:color w:val="auto"/>
          <w:szCs w:val="21"/>
          <w:highlight w:val="none"/>
        </w:rPr>
        <w:t>上述文件或将之提供给任何第三方。</w:t>
      </w:r>
    </w:p>
    <w:p w14:paraId="0C11FE43">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3乙方保证在履行合同过程中不侵犯对方及第三方的知识产权。乙方在是使用材料、施工设备、工程设备或采用施工工艺时，因侵犯他人的专利权或其他知识产权所引起的责任，由乙方承担。如因上述原因导致甲方受到损害，乙方应赔偿甲方所受到的损失。</w:t>
      </w:r>
    </w:p>
    <w:p w14:paraId="2953F9ED">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4乙方在合同签订前或签订时已确定采用的专利、专有技术、技术秘密的使用费已包含在合同价款中，甲方不再另行支付。</w:t>
      </w:r>
      <w:bookmarkEnd w:id="53"/>
    </w:p>
    <w:p w14:paraId="15A7CBAC">
      <w:pPr>
        <w:pStyle w:val="97"/>
        <w:ind w:firstLine="422"/>
        <w:rPr>
          <w:color w:val="auto"/>
          <w:highlight w:val="none"/>
        </w:rPr>
      </w:pPr>
      <w:bookmarkStart w:id="57" w:name="_Toc102402648"/>
      <w:bookmarkStart w:id="58" w:name="_Toc84333707"/>
      <w:bookmarkStart w:id="59" w:name="_Toc180591472"/>
      <w:bookmarkStart w:id="60" w:name="_Hlk107923800"/>
      <w:r>
        <w:rPr>
          <w:rFonts w:hint="eastAsia"/>
          <w:color w:val="auto"/>
          <w:highlight w:val="none"/>
        </w:rPr>
        <w:t>第</w:t>
      </w:r>
      <w:r>
        <w:rPr>
          <w:color w:val="auto"/>
          <w:highlight w:val="none"/>
        </w:rPr>
        <w:t>4</w:t>
      </w:r>
      <w:r>
        <w:rPr>
          <w:rFonts w:hint="eastAsia"/>
          <w:color w:val="auto"/>
          <w:highlight w:val="none"/>
        </w:rPr>
        <w:t>条</w:t>
      </w:r>
      <w:r>
        <w:rPr>
          <w:color w:val="auto"/>
          <w:highlight w:val="none"/>
        </w:rPr>
        <w:t xml:space="preserve">  </w:t>
      </w:r>
      <w:r>
        <w:rPr>
          <w:rFonts w:hint="eastAsia"/>
          <w:color w:val="auto"/>
          <w:highlight w:val="none"/>
        </w:rPr>
        <w:t>通讯联络</w:t>
      </w:r>
      <w:bookmarkEnd w:id="57"/>
      <w:bookmarkEnd w:id="58"/>
      <w:bookmarkEnd w:id="59"/>
    </w:p>
    <w:p w14:paraId="613D3F67">
      <w:pPr>
        <w:spacing w:line="360" w:lineRule="auto"/>
        <w:ind w:firstLine="420" w:firstLineChars="200"/>
        <w:rPr>
          <w:rFonts w:ascii="宋体"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 xml:space="preserve"> 甲方向乙方发送的文件</w:t>
      </w:r>
      <w:r>
        <w:rPr>
          <w:rFonts w:ascii="宋体" w:hAnsi="宋体"/>
          <w:color w:val="auto"/>
          <w:szCs w:val="21"/>
          <w:highlight w:val="none"/>
        </w:rPr>
        <w:t xml:space="preserve">/函件/资料，可采用书面形式或电子邮件形式送达，甲方的文件发送至乙方指定通讯地址或电子邮箱即视为送达；乙方对甲方发送的文件/函件/资料，必须采用书面形式送达至本合同约定的甲方指定通讯地址，否则视为未送达。 </w:t>
      </w:r>
    </w:p>
    <w:p w14:paraId="05B63BEC">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.2 双方文件/函件/资料签收人：</w:t>
      </w:r>
    </w:p>
    <w:p w14:paraId="3B2576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甲方签收人：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p>
    <w:p w14:paraId="274479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乙方签收人：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p>
    <w:p w14:paraId="09032345">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.3 通讯地址和收件人： </w:t>
      </w:r>
    </w:p>
    <w:p w14:paraId="586CD2B3">
      <w:pPr>
        <w:spacing w:line="360" w:lineRule="auto"/>
        <w:ind w:firstLine="420" w:firstLineChars="200"/>
        <w:rPr>
          <w:rFonts w:ascii="宋体" w:hAnsi="宋体"/>
          <w:color w:val="auto"/>
          <w:szCs w:val="21"/>
          <w:highlight w:val="none"/>
        </w:rPr>
      </w:pPr>
      <w:bookmarkStart w:id="61" w:name="_Hlk101360886"/>
      <w:r>
        <w:rPr>
          <w:rFonts w:hint="eastAsia" w:ascii="宋体" w:hAnsi="宋体"/>
          <w:color w:val="auto"/>
          <w:szCs w:val="21"/>
          <w:highlight w:val="none"/>
        </w:rPr>
        <w:t>(1)甲方</w:t>
      </w:r>
    </w:p>
    <w:p w14:paraId="61DC05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通讯地址：</w:t>
      </w:r>
      <w:r>
        <w:rPr>
          <w:rFonts w:hint="eastAsia" w:ascii="宋体" w:hAnsi="宋体"/>
          <w:color w:val="auto"/>
          <w:szCs w:val="21"/>
          <w:highlight w:val="none"/>
          <w:u w:val="single"/>
        </w:rPr>
        <w:t xml:space="preserve"> 广州市白云区兆丰路1</w:t>
      </w:r>
      <w:r>
        <w:rPr>
          <w:rFonts w:ascii="宋体" w:hAnsi="宋体"/>
          <w:color w:val="auto"/>
          <w:szCs w:val="21"/>
          <w:highlight w:val="none"/>
          <w:u w:val="single"/>
        </w:rPr>
        <w:t>38号五楼</w:t>
      </w:r>
      <w:r>
        <w:rPr>
          <w:rFonts w:hint="eastAsia" w:ascii="宋体" w:hAnsi="宋体"/>
          <w:color w:val="auto"/>
          <w:szCs w:val="21"/>
          <w:highlight w:val="none"/>
          <w:u w:val="single"/>
        </w:rPr>
        <w:t>5</w:t>
      </w:r>
      <w:r>
        <w:rPr>
          <w:rFonts w:ascii="宋体" w:hAnsi="宋体"/>
          <w:color w:val="auto"/>
          <w:szCs w:val="21"/>
          <w:highlight w:val="none"/>
          <w:u w:val="single"/>
        </w:rPr>
        <w:t xml:space="preserve">02室                                 </w:t>
      </w:r>
    </w:p>
    <w:p w14:paraId="50CDD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特快专递收件人：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45659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邮政编码：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510430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电话号码：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020-86423693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FBDE5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w:t>
      </w:r>
    </w:p>
    <w:p w14:paraId="332110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通讯地址：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679C2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特快专递收件人：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81E8212">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电话号码：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570BE70">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bookmarkEnd w:id="61"/>
    <w:p w14:paraId="7146969E">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.4双方应保证本合同中所记载的地址或电子邮箱准确无误，合同中记载的地址或电子邮箱变更时应及时通知对方。</w:t>
      </w:r>
      <w:bookmarkEnd w:id="60"/>
    </w:p>
    <w:bookmarkEnd w:id="54"/>
    <w:p w14:paraId="3C0D13A0">
      <w:pPr>
        <w:pStyle w:val="97"/>
        <w:ind w:firstLine="422"/>
        <w:rPr>
          <w:color w:val="auto"/>
          <w:highlight w:val="none"/>
        </w:rPr>
      </w:pPr>
      <w:bookmarkStart w:id="62" w:name="_Toc180591473"/>
      <w:bookmarkStart w:id="63" w:name="_Toc102402649"/>
      <w:bookmarkStart w:id="64" w:name="_Toc84333708"/>
      <w:bookmarkStart w:id="65" w:name="_Hlk107923819"/>
      <w:r>
        <w:rPr>
          <w:rFonts w:hint="eastAsia"/>
          <w:color w:val="auto"/>
          <w:highlight w:val="none"/>
        </w:rPr>
        <w:t>第</w:t>
      </w:r>
      <w:r>
        <w:rPr>
          <w:color w:val="auto"/>
          <w:highlight w:val="none"/>
        </w:rPr>
        <w:t>5</w:t>
      </w:r>
      <w:r>
        <w:rPr>
          <w:rFonts w:hint="eastAsia"/>
          <w:color w:val="auto"/>
          <w:highlight w:val="none"/>
        </w:rPr>
        <w:t>条  现场勘察</w:t>
      </w:r>
      <w:bookmarkEnd w:id="62"/>
      <w:bookmarkEnd w:id="63"/>
      <w:bookmarkEnd w:id="64"/>
    </w:p>
    <w:p w14:paraId="5CB6AE13">
      <w:pPr>
        <w:autoSpaceDE w:val="0"/>
        <w:autoSpaceDN w:val="0"/>
        <w:adjustRightInd w:val="0"/>
        <w:spacing w:line="360" w:lineRule="auto"/>
        <w:ind w:firstLine="420" w:firstLineChars="200"/>
        <w:rPr>
          <w:rFonts w:ascii="宋体" w:hAnsi="宋体" w:cs="Arial"/>
          <w:color w:val="auto"/>
          <w:kern w:val="0"/>
          <w:szCs w:val="21"/>
          <w:highlight w:val="none"/>
        </w:rPr>
      </w:pPr>
      <w:r>
        <w:rPr>
          <w:rFonts w:hint="eastAsia" w:ascii="宋体" w:hAnsi="宋体" w:cs="宋体"/>
          <w:color w:val="auto"/>
          <w:kern w:val="0"/>
          <w:szCs w:val="21"/>
          <w:highlight w:val="none"/>
          <w:lang w:val="zh-CN"/>
        </w:rPr>
        <w:t>乙方在签订本合同时已充分了解并考虑了现场及其周围环境的影响，包括但不限于以下内容：</w:t>
      </w:r>
      <w:r>
        <w:rPr>
          <w:rFonts w:hint="eastAsia" w:ascii="宋体" w:hAnsi="宋体" w:cs="Arial"/>
          <w:color w:val="auto"/>
          <w:kern w:val="0"/>
          <w:szCs w:val="21"/>
          <w:highlight w:val="none"/>
        </w:rPr>
        <w:t xml:space="preserve"> </w:t>
      </w:r>
    </w:p>
    <w:p w14:paraId="6740FDA5">
      <w:pPr>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.1 现场地质情况及地形地貌特征；</w:t>
      </w:r>
      <w:r>
        <w:rPr>
          <w:rFonts w:hint="eastAsia" w:ascii="宋体" w:hAnsi="宋体" w:cs="Arial"/>
          <w:color w:val="auto"/>
          <w:kern w:val="0"/>
          <w:szCs w:val="21"/>
          <w:highlight w:val="none"/>
        </w:rPr>
        <w:t xml:space="preserve"> </w:t>
      </w:r>
    </w:p>
    <w:p w14:paraId="434F8E9D">
      <w:pPr>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.2 水文和气候条件；</w:t>
      </w:r>
      <w:r>
        <w:rPr>
          <w:rFonts w:hint="eastAsia" w:ascii="宋体" w:hAnsi="宋体" w:cs="Arial"/>
          <w:color w:val="auto"/>
          <w:kern w:val="0"/>
          <w:szCs w:val="21"/>
          <w:highlight w:val="none"/>
        </w:rPr>
        <w:t xml:space="preserve"> </w:t>
      </w:r>
    </w:p>
    <w:p w14:paraId="5E1EF78C">
      <w:pPr>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.3 为实施、完成并保修合同工程所需的临时工程和措施项目；</w:t>
      </w:r>
      <w:r>
        <w:rPr>
          <w:rFonts w:hint="eastAsia" w:ascii="宋体" w:hAnsi="宋体" w:cs="Arial"/>
          <w:color w:val="auto"/>
          <w:kern w:val="0"/>
          <w:szCs w:val="21"/>
          <w:highlight w:val="none"/>
        </w:rPr>
        <w:t xml:space="preserve"> </w:t>
      </w:r>
    </w:p>
    <w:p w14:paraId="650B9FE2">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 xml:space="preserve">.4 为实施、完成并保修合同工程所需的材料采购和加工、设备的采购，及所需的施工设备、周转性材料、人员和管理等； </w:t>
      </w:r>
    </w:p>
    <w:p w14:paraId="0A017BC5">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 xml:space="preserve">.5 场地内外的交通情况及水、电、食宿供应条件； </w:t>
      </w:r>
    </w:p>
    <w:p w14:paraId="75F5DFCC">
      <w:pPr>
        <w:autoSpaceDE w:val="0"/>
        <w:autoSpaceDN w:val="0"/>
        <w:adjustRightInd w:val="0"/>
        <w:spacing w:line="360" w:lineRule="auto"/>
        <w:ind w:firstLine="420" w:firstLineChars="200"/>
        <w:jc w:val="left"/>
        <w:rPr>
          <w:rFonts w:ascii="宋体" w:hAnsi="宋体" w:cs="宋体"/>
          <w:color w:val="auto"/>
          <w:kern w:val="0"/>
          <w:szCs w:val="21"/>
          <w:highlight w:val="none"/>
          <w:lang w:val="zh-CN"/>
        </w:rPr>
      </w:pPr>
      <w:bookmarkStart w:id="66" w:name="_Hlk100854793"/>
      <w:r>
        <w:rPr>
          <w:rFonts w:ascii="宋体" w:hAnsi="宋体" w:cs="宋体"/>
          <w:color w:val="auto"/>
          <w:kern w:val="0"/>
          <w:szCs w:val="21"/>
          <w:highlight w:val="none"/>
          <w:lang w:val="zh-CN"/>
        </w:rPr>
        <w:t xml:space="preserve">5.6 </w:t>
      </w:r>
      <w:r>
        <w:rPr>
          <w:rFonts w:hint="eastAsia" w:ascii="宋体" w:hAnsi="宋体" w:cs="宋体"/>
          <w:color w:val="auto"/>
          <w:kern w:val="0"/>
          <w:szCs w:val="21"/>
          <w:highlight w:val="none"/>
          <w:lang w:val="zh-CN"/>
        </w:rPr>
        <w:t>项目所在地固定举行的影响工期事件，如高考、重大会议、展览等；</w:t>
      </w:r>
    </w:p>
    <w:p w14:paraId="74978DE4">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7</w:t>
      </w:r>
      <w:r>
        <w:rPr>
          <w:rFonts w:hint="eastAsia" w:ascii="宋体" w:hAnsi="宋体" w:cs="宋体"/>
          <w:color w:val="auto"/>
          <w:kern w:val="0"/>
          <w:szCs w:val="21"/>
          <w:highlight w:val="none"/>
          <w:lang w:val="zh-CN"/>
        </w:rPr>
        <w:t xml:space="preserve"> 其他可能对工程有影响或起作用的其他情况。</w:t>
      </w:r>
    </w:p>
    <w:bookmarkEnd w:id="66"/>
    <w:p w14:paraId="752B5C89">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Arial"/>
          <w:color w:val="auto"/>
          <w:kern w:val="0"/>
          <w:szCs w:val="21"/>
          <w:highlight w:val="none"/>
        </w:rPr>
        <w:t>在施工过程中、结算时，乙方均不得因现场及其周围环境因素的影响向甲方提出签证和索赔要求。</w:t>
      </w:r>
      <w:bookmarkEnd w:id="45"/>
      <w:bookmarkEnd w:id="55"/>
      <w:bookmarkEnd w:id="65"/>
    </w:p>
    <w:p w14:paraId="1B89E597">
      <w:pPr>
        <w:pStyle w:val="97"/>
        <w:ind w:firstLine="422"/>
        <w:rPr>
          <w:color w:val="auto"/>
          <w:highlight w:val="none"/>
        </w:rPr>
      </w:pPr>
      <w:bookmarkStart w:id="67" w:name="_Toc102402650"/>
      <w:bookmarkStart w:id="68" w:name="_Toc84333709"/>
      <w:bookmarkStart w:id="69" w:name="_Toc180591474"/>
      <w:bookmarkStart w:id="70" w:name="_Hlk107861850"/>
      <w:r>
        <w:rPr>
          <w:rFonts w:hint="eastAsia"/>
          <w:color w:val="auto"/>
          <w:highlight w:val="none"/>
        </w:rPr>
        <w:t>第</w:t>
      </w:r>
      <w:r>
        <w:rPr>
          <w:color w:val="auto"/>
          <w:highlight w:val="none"/>
        </w:rPr>
        <w:t>6</w:t>
      </w:r>
      <w:r>
        <w:rPr>
          <w:rFonts w:hint="eastAsia"/>
          <w:color w:val="auto"/>
          <w:highlight w:val="none"/>
        </w:rPr>
        <w:t>条  甲方义务</w:t>
      </w:r>
      <w:bookmarkEnd w:id="67"/>
      <w:bookmarkEnd w:id="68"/>
      <w:bookmarkEnd w:id="69"/>
    </w:p>
    <w:p w14:paraId="1439820A">
      <w:pPr>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 xml:space="preserve">.1 </w:t>
      </w:r>
      <w:r>
        <w:rPr>
          <w:rFonts w:hint="eastAsia" w:ascii="宋体" w:hAnsi="宋体"/>
          <w:color w:val="auto"/>
          <w:szCs w:val="21"/>
          <w:highlight w:val="none"/>
        </w:rPr>
        <w:t>甲方项目经理为：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D3E653D">
      <w:pPr>
        <w:spacing w:line="360" w:lineRule="auto"/>
        <w:ind w:firstLine="420" w:firstLineChars="200"/>
        <w:rPr>
          <w:rFonts w:ascii="宋体" w:hAnsi="宋体"/>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.2</w:t>
      </w:r>
      <w:r>
        <w:rPr>
          <w:rFonts w:hint="eastAsia" w:ascii="宋体" w:hAnsi="宋体"/>
          <w:color w:val="auto"/>
          <w:szCs w:val="21"/>
          <w:highlight w:val="none"/>
        </w:rPr>
        <w:t>全面</w:t>
      </w:r>
      <w:r>
        <w:rPr>
          <w:rFonts w:hint="eastAsia" w:ascii="宋体" w:hAnsi="宋体"/>
          <w:color w:val="auto"/>
          <w:szCs w:val="21"/>
          <w:highlight w:val="none"/>
        </w:rPr>
        <w:t>监督乙方</w:t>
      </w:r>
      <w:r>
        <w:rPr>
          <w:rFonts w:hint="eastAsia" w:ascii="宋体" w:hAnsi="宋体"/>
          <w:color w:val="auto"/>
          <w:szCs w:val="21"/>
          <w:highlight w:val="none"/>
        </w:rPr>
        <w:t>工程进度、工程质量、施工技术、文明施工等管理工作，按时向乙方提供本工程用结构、建筑图纸，审核乙方报送的工程进度计划，组织图纸会审，进行技术、安全交底；</w:t>
      </w:r>
    </w:p>
    <w:p w14:paraId="7B687569">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 </w:t>
      </w:r>
      <w:r>
        <w:rPr>
          <w:rFonts w:hint="eastAsia" w:ascii="宋体" w:hAnsi="宋体"/>
          <w:color w:val="auto"/>
          <w:szCs w:val="21"/>
          <w:highlight w:val="none"/>
        </w:rPr>
        <w:t xml:space="preserve"> 负责审核乙方编制的月进度报表、签证、工程结算，按约定办理工程付款手续；</w:t>
      </w:r>
    </w:p>
    <w:bookmarkEnd w:id="46"/>
    <w:bookmarkEnd w:id="56"/>
    <w:bookmarkEnd w:id="70"/>
    <w:p w14:paraId="05FFBAB5">
      <w:pPr>
        <w:pStyle w:val="97"/>
        <w:ind w:firstLine="422"/>
        <w:rPr>
          <w:color w:val="auto"/>
          <w:highlight w:val="none"/>
        </w:rPr>
      </w:pPr>
      <w:bookmarkStart w:id="71" w:name="_Toc84333710"/>
      <w:bookmarkStart w:id="72" w:name="_Toc180591475"/>
      <w:bookmarkStart w:id="73" w:name="_Toc102402651"/>
      <w:bookmarkStart w:id="74" w:name="_Hlk107942175"/>
      <w:r>
        <w:rPr>
          <w:rFonts w:hint="eastAsia"/>
          <w:color w:val="auto"/>
          <w:highlight w:val="none"/>
        </w:rPr>
        <w:t>第</w:t>
      </w:r>
      <w:r>
        <w:rPr>
          <w:color w:val="auto"/>
          <w:highlight w:val="none"/>
        </w:rPr>
        <w:t>7</w:t>
      </w:r>
      <w:r>
        <w:rPr>
          <w:rFonts w:hint="eastAsia"/>
          <w:color w:val="auto"/>
          <w:highlight w:val="none"/>
        </w:rPr>
        <w:t>条  乙方义务</w:t>
      </w:r>
      <w:bookmarkEnd w:id="71"/>
      <w:bookmarkEnd w:id="72"/>
      <w:bookmarkEnd w:id="73"/>
      <w:r>
        <w:rPr>
          <w:rFonts w:hint="eastAsia"/>
          <w:color w:val="auto"/>
          <w:highlight w:val="none"/>
        </w:rPr>
        <w:t xml:space="preserve">  </w:t>
      </w:r>
    </w:p>
    <w:p w14:paraId="3EAA6707">
      <w:pPr>
        <w:widowControl/>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 xml:space="preserve">.1 </w:t>
      </w:r>
      <w:bookmarkStart w:id="75" w:name="_Hlk71901762"/>
      <w:r>
        <w:rPr>
          <w:rFonts w:hint="eastAsia" w:ascii="宋体" w:hAnsi="宋体"/>
          <w:color w:val="auto"/>
          <w:szCs w:val="21"/>
          <w:highlight w:val="none"/>
        </w:rPr>
        <w:t>建立以</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为负责人的现场管理班子，包括专职技术负责人、安全员</w:t>
      </w:r>
      <w:r>
        <w:rPr>
          <w:rFonts w:hint="eastAsia" w:ascii="宋体" w:hAnsi="宋体"/>
          <w:b/>
          <w:bCs/>
          <w:color w:val="auto"/>
          <w:szCs w:val="21"/>
          <w:highlight w:val="none"/>
        </w:rPr>
        <w:t>（根据项目实际情况及合同约定是否需要配备该岗位人员）</w:t>
      </w:r>
      <w:r>
        <w:rPr>
          <w:rFonts w:hint="eastAsia" w:ascii="宋体" w:hAnsi="宋体"/>
          <w:color w:val="auto"/>
          <w:szCs w:val="21"/>
          <w:highlight w:val="none"/>
        </w:rPr>
        <w:t>，</w:t>
      </w:r>
      <w:bookmarkEnd w:id="75"/>
      <w:bookmarkStart w:id="76" w:name="_Hlk100855041"/>
      <w:bookmarkStart w:id="77" w:name="_Hlk71901780"/>
      <w:r>
        <w:rPr>
          <w:rFonts w:hint="eastAsia" w:ascii="宋体" w:hAnsi="宋体"/>
          <w:color w:val="auto"/>
          <w:szCs w:val="21"/>
          <w:highlight w:val="none"/>
        </w:rPr>
        <w:t>主要人员名单及职责见本合同附件</w:t>
      </w:r>
      <w:bookmarkEnd w:id="76"/>
      <w:r>
        <w:rPr>
          <w:rFonts w:hint="eastAsia" w:ascii="宋体" w:hAnsi="宋体"/>
          <w:color w:val="auto"/>
          <w:szCs w:val="21"/>
          <w:highlight w:val="none"/>
        </w:rPr>
        <w:t>《乙方主要管理人员名单及职责》，</w:t>
      </w:r>
      <w:bookmarkStart w:id="78" w:name="_Hlk100841614"/>
      <w:r>
        <w:rPr>
          <w:rFonts w:hint="eastAsia" w:ascii="宋体" w:hAnsi="宋体"/>
          <w:color w:val="auto"/>
          <w:szCs w:val="21"/>
          <w:highlight w:val="none"/>
        </w:rPr>
        <w:t>并保证在任何情况下上述人员均为一人一职</w:t>
      </w:r>
      <w:bookmarkEnd w:id="78"/>
      <w:r>
        <w:rPr>
          <w:rFonts w:ascii="宋体" w:hAnsi="宋体"/>
          <w:color w:val="auto"/>
          <w:szCs w:val="21"/>
          <w:highlight w:val="none"/>
        </w:rPr>
        <w:t>。</w:t>
      </w:r>
      <w:r>
        <w:rPr>
          <w:rFonts w:hint="eastAsia" w:ascii="宋体" w:hAnsi="宋体"/>
          <w:color w:val="auto"/>
          <w:szCs w:val="21"/>
          <w:highlight w:val="none"/>
        </w:rPr>
        <w:t>以上管理人员应为乙方公司员工，并由乙方在进场三个月内提供社保证明，否则甲方有权要求乙方更换管理人员。乙方不得擅自更换负责人，乙方如需更换管理人员，需提前一周书面通知甲方，征得甲方同意后</w:t>
      </w:r>
      <w:bookmarkStart w:id="79" w:name="_Hlk101364927"/>
      <w:r>
        <w:rPr>
          <w:rFonts w:hint="eastAsia" w:ascii="宋体" w:hAnsi="宋体"/>
          <w:color w:val="auto"/>
          <w:szCs w:val="21"/>
          <w:highlight w:val="none"/>
        </w:rPr>
        <w:t>且提供对应人员授权书</w:t>
      </w:r>
      <w:bookmarkEnd w:id="79"/>
      <w:r>
        <w:rPr>
          <w:rFonts w:hint="eastAsia" w:ascii="宋体" w:hAnsi="宋体"/>
          <w:color w:val="auto"/>
          <w:szCs w:val="21"/>
          <w:highlight w:val="none"/>
        </w:rPr>
        <w:t>方可更换；主要人员名单及职责（见本合同附件一）；</w:t>
      </w:r>
    </w:p>
    <w:p w14:paraId="62383EE2">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 乙方管理人员在位及参会情况最低要求：</w:t>
      </w:r>
      <w:r>
        <w:rPr>
          <w:rFonts w:hint="eastAsia" w:ascii="宋体" w:hAnsi="宋体"/>
          <w:color w:val="auto"/>
          <w:szCs w:val="21"/>
          <w:highlight w:val="none"/>
          <w:u w:val="single"/>
        </w:rPr>
        <w:t>由专用条款第3条约定</w:t>
      </w:r>
      <w:r>
        <w:rPr>
          <w:rFonts w:hint="eastAsia" w:ascii="宋体" w:hAnsi="宋体"/>
          <w:color w:val="auto"/>
          <w:szCs w:val="21"/>
          <w:highlight w:val="none"/>
        </w:rPr>
        <w:t>；</w:t>
      </w:r>
    </w:p>
    <w:bookmarkEnd w:id="77"/>
    <w:p w14:paraId="22D15AB7">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7.3</w:t>
      </w:r>
      <w:r>
        <w:rPr>
          <w:rFonts w:hint="eastAsia" w:ascii="宋体" w:hAnsi="宋体"/>
          <w:color w:val="auto"/>
          <w:szCs w:val="21"/>
          <w:highlight w:val="none"/>
        </w:rPr>
        <w:t>乙方应接受总承包管理，乙方人员进场时应向总承包单位提供</w:t>
      </w:r>
      <w:r>
        <w:rPr>
          <w:rFonts w:hint="eastAsia" w:ascii="宋体" w:hAnsi="宋体"/>
          <w:color w:val="auto"/>
          <w:szCs w:val="21"/>
          <w:highlight w:val="none"/>
        </w:rPr>
        <w:t>人员花名册和身份证、技术证、特殊工种上岗证。乙方人员应遵从甲方、总承包管理条例，通过总承包单位实名制系统以面部识别方式进出施工现场及生活区。如需总承包单位办理相关证件，其费用则由乙方负责。若乙方自行办理，所有的证件中均不能出现总承包单位、甲方单位的下属单位字样，否则无效，并且由此造成总承包、甲方单位的损失以及相关责任由乙方承担；</w:t>
      </w:r>
    </w:p>
    <w:p w14:paraId="5491E690">
      <w:pPr>
        <w:spacing w:line="360" w:lineRule="auto"/>
        <w:ind w:firstLine="420" w:firstLineChars="200"/>
        <w:rPr>
          <w:rFonts w:ascii="宋体" w:hAnsi="宋体"/>
          <w:color w:val="auto"/>
          <w:szCs w:val="21"/>
          <w:highlight w:val="none"/>
        </w:rPr>
      </w:pPr>
      <w:bookmarkStart w:id="80" w:name="_Hlk100855095"/>
      <w:r>
        <w:rPr>
          <w:rFonts w:ascii="宋体" w:hAnsi="宋体"/>
          <w:color w:val="auto"/>
          <w:szCs w:val="21"/>
          <w:highlight w:val="none"/>
        </w:rPr>
        <w:t>7</w:t>
      </w:r>
      <w:r>
        <w:rPr>
          <w:rFonts w:hint="eastAsia" w:ascii="宋体" w:hAnsi="宋体"/>
          <w:color w:val="auto"/>
          <w:szCs w:val="21"/>
          <w:highlight w:val="none"/>
        </w:rPr>
        <w:t>.4乙方应在收到甲方提供的图纸后14天内，认真审阅施工图纸，有预见性的提出图纸的纰漏或错误并及时书面告之甲方，提请组织设计、监理单位、建设单位、施工单位进行图纸会审。</w:t>
      </w:r>
    </w:p>
    <w:bookmarkEnd w:id="80"/>
    <w:p w14:paraId="7C46F21C">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7.5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w:t>
      </w:r>
      <w:r>
        <w:rPr>
          <w:rFonts w:hint="eastAsia" w:ascii="宋体" w:hAnsi="宋体"/>
          <w:color w:val="auto"/>
          <w:szCs w:val="21"/>
          <w:highlight w:val="none"/>
        </w:rPr>
        <w:t>违约责任</w:t>
      </w:r>
      <w:r>
        <w:rPr>
          <w:rFonts w:ascii="宋体" w:hAnsi="宋体"/>
          <w:color w:val="auto"/>
          <w:szCs w:val="21"/>
          <w:highlight w:val="none"/>
        </w:rPr>
        <w:t>；</w:t>
      </w:r>
    </w:p>
    <w:p w14:paraId="48C3072B">
      <w:pPr>
        <w:spacing w:line="360" w:lineRule="auto"/>
        <w:ind w:firstLine="420" w:firstLineChars="200"/>
        <w:rPr>
          <w:rFonts w:ascii="宋体" w:hAnsi="宋体"/>
          <w:color w:val="auto"/>
          <w:szCs w:val="21"/>
          <w:highlight w:val="none"/>
        </w:rPr>
      </w:pPr>
      <w:bookmarkStart w:id="81" w:name="_Hlk100855222"/>
      <w:r>
        <w:rPr>
          <w:rFonts w:ascii="宋体" w:hAnsi="宋体"/>
          <w:color w:val="auto"/>
          <w:szCs w:val="21"/>
          <w:highlight w:val="none"/>
        </w:rPr>
        <w:t>7</w:t>
      </w:r>
      <w:r>
        <w:rPr>
          <w:rFonts w:hint="eastAsia" w:ascii="宋体" w:hAnsi="宋体"/>
          <w:color w:val="auto"/>
          <w:szCs w:val="21"/>
          <w:highlight w:val="none"/>
        </w:rPr>
        <w:t>.6全面负责工程参与人员的技术、安全学习及交底，严格执行国家、项目所在省、地级行政区划内现行有关技术安全规范和规定完成本工程的施工；</w:t>
      </w:r>
    </w:p>
    <w:bookmarkEnd w:id="81"/>
    <w:p w14:paraId="7CF6E525">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7.7</w:t>
      </w:r>
      <w:r>
        <w:rPr>
          <w:rFonts w:hint="eastAsia" w:ascii="宋体" w:hAnsi="宋体"/>
          <w:color w:val="auto"/>
          <w:szCs w:val="21"/>
          <w:highlight w:val="none"/>
        </w:rPr>
        <w:t>在施工过程中定期按标准和规范进行自控，随时接受甲方的质量检查，做好施工日志和各种原始记录，安全、准确地记录施工过程中的有关数据，为工程的中间验收和交工验收提供必要的原始资料；工程完工后必须按照甲方要求提交交工验收所需的基础性资料；</w:t>
      </w:r>
    </w:p>
    <w:p w14:paraId="26C1A531">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7.8</w:t>
      </w:r>
      <w:r>
        <w:rPr>
          <w:rFonts w:hint="eastAsia" w:ascii="宋体" w:hAnsi="宋体"/>
          <w:color w:val="auto"/>
          <w:szCs w:val="21"/>
          <w:highlight w:val="none"/>
        </w:rPr>
        <w:t>施工图预算、规定区域内的平面布置图，隐蔽工程验收通知，工程事故报告、施工进度计划；</w:t>
      </w:r>
    </w:p>
    <w:p w14:paraId="6DEB203D">
      <w:pPr>
        <w:spacing w:line="360" w:lineRule="auto"/>
        <w:ind w:firstLine="420" w:firstLineChars="200"/>
        <w:rPr>
          <w:rFonts w:ascii="宋体" w:hAnsi="宋体"/>
          <w:color w:val="auto"/>
          <w:kern w:val="0"/>
          <w:szCs w:val="21"/>
          <w:highlight w:val="none"/>
        </w:rPr>
      </w:pPr>
      <w:bookmarkStart w:id="82" w:name="_Hlk100855458"/>
      <w:r>
        <w:rPr>
          <w:rFonts w:ascii="宋体" w:hAnsi="宋体"/>
          <w:color w:val="auto"/>
          <w:kern w:val="0"/>
          <w:szCs w:val="21"/>
          <w:highlight w:val="none"/>
        </w:rPr>
        <w:t>7</w:t>
      </w:r>
      <w:r>
        <w:rPr>
          <w:rFonts w:hint="eastAsia" w:ascii="宋体" w:hAnsi="宋体"/>
          <w:color w:val="auto"/>
          <w:kern w:val="0"/>
          <w:szCs w:val="21"/>
          <w:highlight w:val="none"/>
        </w:rPr>
        <w:t>.</w:t>
      </w:r>
      <w:r>
        <w:rPr>
          <w:rFonts w:ascii="宋体" w:hAnsi="宋体"/>
          <w:color w:val="auto"/>
          <w:kern w:val="0"/>
          <w:szCs w:val="21"/>
          <w:highlight w:val="none"/>
        </w:rPr>
        <w:t>9</w:t>
      </w:r>
      <w:r>
        <w:rPr>
          <w:rFonts w:hint="eastAsia" w:ascii="宋体" w:hAnsi="宋体"/>
          <w:color w:val="auto"/>
          <w:kern w:val="0"/>
          <w:szCs w:val="21"/>
          <w:highlight w:val="none"/>
        </w:rPr>
        <w:t>乙方在进场7天内制定承包范围内的施工进度计划，进度计划需经过监理单位和甲方审批认可。</w:t>
      </w:r>
      <w:bookmarkEnd w:id="82"/>
      <w:bookmarkStart w:id="83" w:name="_Hlk100855281"/>
    </w:p>
    <w:p w14:paraId="7040C363">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10</w:t>
      </w:r>
      <w:bookmarkStart w:id="84" w:name="_Hlk100841883"/>
      <w:r>
        <w:rPr>
          <w:rFonts w:hint="eastAsia" w:ascii="宋体" w:hAnsi="宋体"/>
          <w:color w:val="auto"/>
          <w:szCs w:val="21"/>
          <w:highlight w:val="none"/>
        </w:rPr>
        <w:t>服从甲方及总承包统一管理，按总承包现场标准化管理要求自费统一布置现场</w:t>
      </w:r>
      <w:bookmarkEnd w:id="84"/>
      <w:r>
        <w:rPr>
          <w:rFonts w:hint="eastAsia" w:ascii="宋体" w:hAnsi="宋体"/>
          <w:color w:val="auto"/>
          <w:szCs w:val="21"/>
          <w:highlight w:val="none"/>
        </w:rPr>
        <w:t>，按总承包统一规划堆放材料、机具，按总承包标准化工地要求设置标牌，搞好生活区的管理，做好自身责任区的治安保卫工作；</w:t>
      </w:r>
    </w:p>
    <w:bookmarkEnd w:id="83"/>
    <w:p w14:paraId="7F949749">
      <w:pPr>
        <w:widowControl/>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7.</w:t>
      </w:r>
      <w:r>
        <w:rPr>
          <w:rFonts w:ascii="宋体" w:hAnsi="宋体"/>
          <w:color w:val="auto"/>
          <w:kern w:val="0"/>
          <w:szCs w:val="21"/>
          <w:highlight w:val="none"/>
        </w:rPr>
        <w:t>11</w:t>
      </w:r>
      <w:r>
        <w:rPr>
          <w:rFonts w:hint="eastAsia" w:ascii="宋体" w:hAnsi="宋体"/>
          <w:color w:val="auto"/>
          <w:kern w:val="0"/>
          <w:szCs w:val="21"/>
          <w:highlight w:val="none"/>
        </w:rPr>
        <w:t>负责自身施工范围内材料设备的二次搬运、入库、垂直运输、保管、返修设备及材料的装车、所有现场废料放置总承包指定位置；</w:t>
      </w:r>
    </w:p>
    <w:p w14:paraId="027CC223">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7.12</w:t>
      </w:r>
      <w:r>
        <w:rPr>
          <w:rFonts w:hint="eastAsia" w:ascii="宋体" w:hAnsi="宋体"/>
          <w:color w:val="auto"/>
          <w:szCs w:val="21"/>
          <w:highlight w:val="none"/>
        </w:rPr>
        <w:t xml:space="preserve">做好施工现场场地周围建筑物、构筑物和地下管线的保护工作。如有损坏，乙方自行承担由此引起的一切经济损失（包括各级政府部门处罚）； </w:t>
      </w:r>
    </w:p>
    <w:p w14:paraId="07305A83">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7.13</w:t>
      </w:r>
      <w:r>
        <w:rPr>
          <w:rFonts w:hint="eastAsia" w:ascii="宋体" w:hAnsi="宋体"/>
          <w:color w:val="auto"/>
          <w:szCs w:val="21"/>
          <w:highlight w:val="none"/>
        </w:rPr>
        <w:t>乙方在施工过程中应注意对总承包/其他分包商所承建工程的成品/半成品/材料/设备/机具等的保护，如因乙方原因造成第三方损失的，由乙方自行赔偿；给甲方及总承包带来负面影响或者损失的，甲方将视情况追究相应责任。自身施工的已竣工工程未交付甲方之前，乙方应负责已完工程的保护工作。保护期间发生损坏的，乙方自费予以修复；</w:t>
      </w:r>
    </w:p>
    <w:p w14:paraId="650D03FE">
      <w:pPr>
        <w:spacing w:line="360" w:lineRule="auto"/>
        <w:ind w:firstLine="422" w:firstLineChars="200"/>
        <w:rPr>
          <w:rFonts w:ascii="宋体" w:hAnsi="宋体"/>
          <w:b/>
          <w:bCs/>
          <w:color w:val="auto"/>
          <w:szCs w:val="21"/>
          <w:highlight w:val="none"/>
        </w:rPr>
      </w:pPr>
      <w:bookmarkStart w:id="85" w:name="_Hlk107925255"/>
      <w:bookmarkStart w:id="86" w:name="_Hlk100855553"/>
      <w:r>
        <w:rPr>
          <w:rFonts w:ascii="宋体" w:hAnsi="宋体"/>
          <w:b/>
          <w:bCs/>
          <w:color w:val="auto"/>
          <w:szCs w:val="21"/>
          <w:highlight w:val="none"/>
        </w:rPr>
        <w:t>7.14</w:t>
      </w:r>
      <w:r>
        <w:rPr>
          <w:rFonts w:hint="eastAsia" w:ascii="宋体" w:hAnsi="宋体"/>
          <w:b/>
          <w:bCs/>
          <w:color w:val="auto"/>
          <w:szCs w:val="21"/>
          <w:highlight w:val="none"/>
        </w:rPr>
        <w:t>乙方劳务人员进场准入标准：</w:t>
      </w:r>
    </w:p>
    <w:p w14:paraId="3F5F2525">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（1）一般作业：满16周岁，男性不超过55周岁，女性不超过50周岁；</w:t>
      </w:r>
    </w:p>
    <w:p w14:paraId="4020CCFD">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（2）特种作业：年满18周岁且符合一般作业要求，无癫痫等妨碍从事相应特种作业的疾病和生理缺陷；</w:t>
      </w:r>
    </w:p>
    <w:p w14:paraId="4564E9DD">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（3）从事高空、高温、特别繁重体力劳动和其他有害身体健康的工种，其年龄不得超过50周岁，且身体状况良好。对于超过50周岁的作业人员，乙方应安排从事劳动强度低、风险相对较小的作业。</w:t>
      </w:r>
    </w:p>
    <w:p w14:paraId="4B6CA8F6">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临时进场作业人员按要求排查人员信息，符合进场条件人员按照入场教育流程执行，填写临时人员一人一册，在乙方管理人员带领下方可进入现场；相关方及临时访问人员进场前需要专人陪同，不可独自进入现场；</w:t>
      </w:r>
    </w:p>
    <w:p w14:paraId="229AD1DE">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（5）</w:t>
      </w:r>
      <w:r>
        <w:rPr>
          <w:rFonts w:ascii="宋体" w:hAnsi="宋体"/>
          <w:b/>
          <w:bCs/>
          <w:color w:val="auto"/>
          <w:szCs w:val="21"/>
          <w:highlight w:val="none"/>
        </w:rPr>
        <w:t>乙方的所有现场工人做好进入施工现场登记手续</w:t>
      </w:r>
      <w:r>
        <w:rPr>
          <w:rFonts w:hint="eastAsia" w:ascii="宋体" w:hAnsi="宋体"/>
          <w:b/>
          <w:bCs/>
          <w:color w:val="auto"/>
          <w:szCs w:val="21"/>
          <w:highlight w:val="none"/>
        </w:rPr>
        <w:t>，否则甲方及总承包方有权拒绝其进场；</w:t>
      </w:r>
      <w:bookmarkEnd w:id="85"/>
    </w:p>
    <w:p w14:paraId="2871E5BA">
      <w:pPr>
        <w:spacing w:line="360" w:lineRule="auto"/>
        <w:ind w:firstLine="420" w:firstLineChars="200"/>
        <w:rPr>
          <w:rFonts w:ascii="宋体" w:hAnsi="宋体"/>
          <w:b/>
          <w:bCs/>
          <w:color w:val="auto"/>
          <w:szCs w:val="21"/>
          <w:highlight w:val="none"/>
        </w:rPr>
      </w:pPr>
      <w:r>
        <w:rPr>
          <w:rFonts w:ascii="宋体" w:hAnsi="宋体"/>
          <w:color w:val="auto"/>
          <w:kern w:val="0"/>
          <w:szCs w:val="21"/>
          <w:highlight w:val="none"/>
        </w:rPr>
        <w:t>7.15</w:t>
      </w:r>
      <w:r>
        <w:rPr>
          <w:rFonts w:hint="eastAsia" w:ascii="宋体" w:hAnsi="宋体"/>
          <w:color w:val="auto"/>
          <w:kern w:val="0"/>
          <w:szCs w:val="21"/>
          <w:highlight w:val="none"/>
        </w:rPr>
        <w:t>乙方应严格按照项目所在地主管部门发布的关于工人工资发放相关制度，做好工人实名制登记及考勤，避免因讨薪问题对甲方造成各方面的损失。如若发生此种情况，乙方须双倍赔偿，并在当期进度款中扣除。</w:t>
      </w:r>
      <w:r>
        <w:rPr>
          <w:rFonts w:hint="eastAsia" w:ascii="宋体" w:hAnsi="宋体"/>
          <w:bCs/>
          <w:color w:val="auto"/>
          <w:szCs w:val="21"/>
          <w:highlight w:val="none"/>
          <w:lang w:bidi="he-IL"/>
        </w:rPr>
        <w:t xml:space="preserve"> </w:t>
      </w:r>
    </w:p>
    <w:bookmarkEnd w:id="86"/>
    <w:p w14:paraId="3486CD43">
      <w:pPr>
        <w:spacing w:line="360" w:lineRule="auto"/>
        <w:ind w:firstLine="420" w:firstLineChars="200"/>
        <w:rPr>
          <w:rFonts w:ascii="宋体" w:hAnsi="宋体"/>
          <w:color w:val="auto"/>
          <w:szCs w:val="21"/>
          <w:highlight w:val="none"/>
        </w:rPr>
      </w:pPr>
      <w:bookmarkStart w:id="87" w:name="_Hlk100855570"/>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 xml:space="preserve"> 乙方应指派专人定期查看合同约定的电子邮箱，乙方应承担因怠于履行义务所引发的一切法律责任。</w:t>
      </w:r>
    </w:p>
    <w:p w14:paraId="327D6220">
      <w:pPr>
        <w:spacing w:line="360" w:lineRule="auto"/>
        <w:ind w:firstLine="420" w:firstLineChars="200"/>
        <w:rPr>
          <w:rFonts w:ascii="宋体" w:hAnsi="宋体"/>
          <w:color w:val="auto"/>
          <w:kern w:val="0"/>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17</w:t>
      </w:r>
      <w:r>
        <w:rPr>
          <w:rFonts w:hint="eastAsia" w:ascii="宋体" w:hAnsi="宋体"/>
          <w:color w:val="auto"/>
          <w:kern w:val="0"/>
          <w:szCs w:val="21"/>
          <w:highlight w:val="none"/>
        </w:rPr>
        <w:t>乙方应全面负责乙方施工范围内的测量放线工作，提前复核楼地面标高，发现偏差及时提出，不得以现场标高偏差的理由向甲方索赔；</w:t>
      </w:r>
    </w:p>
    <w:bookmarkEnd w:id="87"/>
    <w:p w14:paraId="0F2A36DA">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7.18</w:t>
      </w:r>
      <w:r>
        <w:rPr>
          <w:rFonts w:hint="eastAsia" w:ascii="宋体" w:hAnsi="宋体"/>
          <w:color w:val="auto"/>
          <w:szCs w:val="21"/>
          <w:highlight w:val="none"/>
        </w:rPr>
        <w:t>遵守国家、工程所在地政府关于工程施工的有关法规文件，遵守甲方关于施工现场管理的各项规章制度；</w:t>
      </w:r>
    </w:p>
    <w:p w14:paraId="6186F8C6">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7.19</w:t>
      </w:r>
      <w:r>
        <w:rPr>
          <w:rFonts w:hint="eastAsia" w:ascii="宋体" w:hAnsi="宋体"/>
          <w:color w:val="auto"/>
          <w:szCs w:val="21"/>
          <w:highlight w:val="none"/>
        </w:rPr>
        <w:t>乙方须安排经验丰富的专职资料员，按照 GB/T50328《建设工程文件归档整理规范》或工程所在地的建筑工程资料管理要求及甲方、监理的要求，记录、申报、审批、整理、保存工程技术及质量资料，并做好与其它分包人的接口工作；</w:t>
      </w:r>
    </w:p>
    <w:p w14:paraId="1202AAE2">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7.20</w:t>
      </w:r>
      <w:r>
        <w:rPr>
          <w:rFonts w:hint="eastAsia" w:ascii="宋体" w:hAnsi="宋体"/>
          <w:color w:val="auto"/>
          <w:szCs w:val="21"/>
          <w:highlight w:val="none"/>
        </w:rPr>
        <w:t>积极配合土建及其他专业单位施工；</w:t>
      </w:r>
    </w:p>
    <w:p w14:paraId="0B62699C">
      <w:pPr>
        <w:widowControl/>
        <w:spacing w:line="360" w:lineRule="auto"/>
        <w:ind w:firstLine="420" w:firstLineChars="200"/>
        <w:jc w:val="left"/>
        <w:rPr>
          <w:rFonts w:ascii="宋体" w:hAnsi="宋体"/>
          <w:color w:val="auto"/>
          <w:szCs w:val="21"/>
          <w:highlight w:val="none"/>
        </w:rPr>
      </w:pPr>
      <w:bookmarkStart w:id="88" w:name="_Hlk100855693"/>
      <w:r>
        <w:rPr>
          <w:rFonts w:ascii="宋体" w:hAnsi="宋体"/>
          <w:color w:val="auto"/>
          <w:szCs w:val="21"/>
          <w:highlight w:val="none"/>
        </w:rPr>
        <w:t>7.21</w:t>
      </w:r>
      <w:r>
        <w:rPr>
          <w:rFonts w:hint="eastAsia" w:ascii="宋体" w:hAnsi="宋体"/>
          <w:color w:val="auto"/>
          <w:szCs w:val="21"/>
          <w:highlight w:val="none"/>
        </w:rPr>
        <w:t>乙方应负责自身施工区域的场地清理工作，做到“工完场清”，该费用包含在合同总价中；如乙方未做到“工完场清”，甲方有权要求第三方进行清理，发生的费用由乙方承担。</w:t>
      </w:r>
      <w:bookmarkEnd w:id="88"/>
    </w:p>
    <w:p w14:paraId="597A406A">
      <w:pPr>
        <w:spacing w:line="360" w:lineRule="auto"/>
        <w:ind w:firstLine="420" w:firstLineChars="200"/>
        <w:rPr>
          <w:rFonts w:ascii="宋体" w:hAnsi="宋体"/>
          <w:color w:val="auto"/>
          <w:kern w:val="0"/>
          <w:szCs w:val="21"/>
          <w:highlight w:val="none"/>
        </w:rPr>
      </w:pPr>
      <w:r>
        <w:rPr>
          <w:rFonts w:ascii="宋体" w:hAnsi="宋体"/>
          <w:color w:val="auto"/>
          <w:szCs w:val="21"/>
          <w:highlight w:val="none"/>
        </w:rPr>
        <w:t>7.22</w:t>
      </w:r>
      <w:r>
        <w:rPr>
          <w:rFonts w:hint="eastAsia" w:ascii="宋体" w:hAnsi="宋体"/>
          <w:color w:val="auto"/>
          <w:szCs w:val="21"/>
          <w:highlight w:val="none"/>
        </w:rPr>
        <w:t>无论甲方移交的场地是否具备安全防护，乙方均应在甲方移交施工区域后，按甲方要求完善相应的安全防护。</w:t>
      </w:r>
      <w:bookmarkEnd w:id="74"/>
    </w:p>
    <w:p w14:paraId="42060BEF">
      <w:pPr>
        <w:widowControl/>
        <w:adjustRightInd w:val="0"/>
        <w:snapToGrid w:val="0"/>
        <w:spacing w:line="360" w:lineRule="auto"/>
        <w:ind w:firstLine="420" w:firstLineChars="200"/>
        <w:jc w:val="left"/>
        <w:rPr>
          <w:rFonts w:ascii="宋体" w:hAnsi="宋体"/>
          <w:color w:val="auto"/>
          <w:highlight w:val="none"/>
        </w:rPr>
      </w:pPr>
      <w:bookmarkStart w:id="89" w:name="_Hlk101371154"/>
      <w:bookmarkStart w:id="90" w:name="_Hlk71743447"/>
      <w:r>
        <w:rPr>
          <w:rFonts w:ascii="宋体" w:hAnsi="宋体"/>
          <w:color w:val="auto"/>
          <w:highlight w:val="none"/>
        </w:rPr>
        <w:t>7.23</w:t>
      </w:r>
      <w:r>
        <w:rPr>
          <w:rFonts w:hint="eastAsia" w:ascii="宋体" w:hAnsi="宋体"/>
          <w:color w:val="auto"/>
          <w:highlight w:val="none"/>
        </w:rPr>
        <w:t>做好工程所有材料的组织、供应和管理，确保合乎合同要求，不得将不合格的材料运到工地，必须保证工程合格率、苗木成活率达到</w:t>
      </w:r>
      <w:r>
        <w:rPr>
          <w:rFonts w:ascii="宋体" w:hAnsi="宋体"/>
          <w:color w:val="auto"/>
          <w:highlight w:val="none"/>
          <w:u w:val="single"/>
        </w:rPr>
        <w:t>100%</w:t>
      </w:r>
      <w:r>
        <w:rPr>
          <w:rFonts w:ascii="宋体" w:hAnsi="宋体"/>
          <w:color w:val="auto"/>
          <w:highlight w:val="none"/>
        </w:rPr>
        <w:t>，并按甲方要求负责</w:t>
      </w:r>
      <w:r>
        <w:rPr>
          <w:rFonts w:hint="eastAsia" w:ascii="宋体" w:hAnsi="宋体"/>
          <w:color w:val="auto"/>
          <w:highlight w:val="none"/>
        </w:rPr>
        <w:t>管</w:t>
      </w:r>
      <w:r>
        <w:rPr>
          <w:rFonts w:hint="eastAsia" w:ascii="宋体" w:hAnsi="宋体"/>
          <w:color w:val="auto"/>
          <w:highlight w:val="none"/>
        </w:rPr>
        <w:t>护1年</w:t>
      </w:r>
      <w:r>
        <w:rPr>
          <w:rFonts w:ascii="宋体" w:hAnsi="宋体"/>
          <w:color w:val="auto"/>
          <w:highlight w:val="none"/>
        </w:rPr>
        <w:t>。</w:t>
      </w:r>
    </w:p>
    <w:p w14:paraId="7D04991A">
      <w:pPr>
        <w:widowControl/>
        <w:adjustRightInd w:val="0"/>
        <w:snapToGrid w:val="0"/>
        <w:spacing w:line="360" w:lineRule="auto"/>
        <w:ind w:firstLine="420" w:firstLineChars="200"/>
        <w:jc w:val="left"/>
        <w:rPr>
          <w:rFonts w:ascii="宋体" w:hAnsi="宋体"/>
          <w:color w:val="auto"/>
          <w:highlight w:val="none"/>
        </w:rPr>
      </w:pPr>
      <w:r>
        <w:rPr>
          <w:rFonts w:ascii="宋体" w:hAnsi="宋体"/>
          <w:color w:val="auto"/>
          <w:highlight w:val="none"/>
        </w:rPr>
        <w:t>7.24</w:t>
      </w:r>
      <w:r>
        <w:rPr>
          <w:rFonts w:hint="eastAsia" w:ascii="宋体" w:hAnsi="宋体"/>
          <w:color w:val="auto"/>
          <w:highlight w:val="none"/>
        </w:rPr>
        <w:t>特殊情况，如遇（地震、台风、涝害）等不抗拒的自然灾害对乙方此次绿化种植施工作业造成的延期完工，乙方不对此承担工期责任。</w:t>
      </w:r>
    </w:p>
    <w:p w14:paraId="34726D03">
      <w:pPr>
        <w:widowControl/>
        <w:adjustRightInd w:val="0"/>
        <w:snapToGrid w:val="0"/>
        <w:spacing w:line="360" w:lineRule="auto"/>
        <w:ind w:firstLine="420" w:firstLineChars="200"/>
        <w:jc w:val="left"/>
        <w:rPr>
          <w:rFonts w:ascii="宋体" w:hAnsi="宋体"/>
          <w:color w:val="auto"/>
          <w:highlight w:val="none"/>
        </w:rPr>
      </w:pPr>
      <w:r>
        <w:rPr>
          <w:rFonts w:ascii="宋体" w:hAnsi="宋体"/>
          <w:color w:val="auto"/>
          <w:highlight w:val="none"/>
        </w:rPr>
        <w:t>7.25</w:t>
      </w:r>
      <w:r>
        <w:rPr>
          <w:rFonts w:hint="eastAsia" w:ascii="宋体" w:hAnsi="宋体"/>
          <w:color w:val="auto"/>
          <w:highlight w:val="none"/>
        </w:rPr>
        <w:t>按甲方要求做好施工及养护等各项工作，及时对绿化进行补植、清理死树、枯枝、除草、修剪、打药、卫生保洁、看护等，并保证合格率（其中乔木成活率达到 100%，灌木、地被成活率达到 98%）</w:t>
      </w:r>
      <w:r>
        <w:rPr>
          <w:rFonts w:ascii="宋体" w:hAnsi="宋体"/>
          <w:color w:val="auto"/>
          <w:highlight w:val="none"/>
        </w:rPr>
        <w:t>。</w:t>
      </w:r>
    </w:p>
    <w:p w14:paraId="24CCDB97">
      <w:pPr>
        <w:spacing w:line="360" w:lineRule="auto"/>
        <w:ind w:firstLine="420" w:firstLineChars="200"/>
        <w:rPr>
          <w:rFonts w:ascii="宋体" w:hAnsi="宋体"/>
          <w:color w:val="auto"/>
          <w:highlight w:val="none"/>
        </w:rPr>
      </w:pPr>
      <w:r>
        <w:rPr>
          <w:rFonts w:ascii="宋体" w:hAnsi="宋体"/>
          <w:color w:val="auto"/>
          <w:highlight w:val="none"/>
        </w:rPr>
        <w:t>7.26</w:t>
      </w:r>
      <w:r>
        <w:rPr>
          <w:rFonts w:hint="eastAsia" w:ascii="宋体" w:hAnsi="宋体"/>
          <w:color w:val="auto"/>
          <w:highlight w:val="none"/>
        </w:rPr>
        <w:t>对已完工的工程，在验交前应负责管养，保证其完好状态。</w:t>
      </w:r>
    </w:p>
    <w:bookmarkEnd w:id="89"/>
    <w:p w14:paraId="6210FEFA">
      <w:pPr>
        <w:spacing w:line="360" w:lineRule="auto"/>
        <w:ind w:firstLine="420" w:firstLineChars="200"/>
        <w:rPr>
          <w:rFonts w:ascii="宋体" w:hAnsi="宋体"/>
          <w:color w:val="auto"/>
          <w:kern w:val="0"/>
          <w:szCs w:val="21"/>
          <w:highlight w:val="none"/>
        </w:rPr>
      </w:pPr>
      <w:bookmarkStart w:id="91" w:name="_Hlk107945119"/>
      <w:bookmarkStart w:id="92" w:name="_Hlk107942217"/>
      <w:r>
        <w:rPr>
          <w:rFonts w:ascii="宋体" w:hAnsi="宋体"/>
          <w:color w:val="auto"/>
          <w:kern w:val="0"/>
          <w:szCs w:val="21"/>
          <w:highlight w:val="none"/>
        </w:rPr>
        <w:t>7.2</w:t>
      </w:r>
      <w:bookmarkStart w:id="93" w:name="_Hlk107927032"/>
      <w:r>
        <w:rPr>
          <w:rFonts w:ascii="宋体" w:hAnsi="宋体"/>
          <w:color w:val="auto"/>
          <w:kern w:val="0"/>
          <w:szCs w:val="21"/>
          <w:highlight w:val="none"/>
        </w:rPr>
        <w:t>7</w:t>
      </w:r>
      <w:r>
        <w:rPr>
          <w:rFonts w:hint="eastAsia" w:ascii="宋体" w:hAnsi="宋体"/>
          <w:color w:val="auto"/>
          <w:kern w:val="0"/>
          <w:szCs w:val="21"/>
          <w:highlight w:val="none"/>
        </w:rPr>
        <w:t>乙方应当积极维护甲方名誉，不得以顺丰翠园及继丰公司或项目部等名义发布自媒体作品，接受媒体、发包人、行政机关、司法机关等第三方的采访、调查、问询等，或通过其他形式发表言论。</w:t>
      </w:r>
      <w:bookmarkEnd w:id="93"/>
    </w:p>
    <w:p w14:paraId="4112B5D4">
      <w:pPr>
        <w:widowControl/>
        <w:tabs>
          <w:tab w:val="left" w:pos="3686"/>
        </w:tabs>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w:t>
      </w:r>
      <w:bookmarkStart w:id="94" w:name="_Hlk100848121"/>
      <w:r>
        <w:rPr>
          <w:rFonts w:ascii="宋体" w:hAnsi="宋体"/>
          <w:color w:val="auto"/>
          <w:szCs w:val="21"/>
          <w:highlight w:val="none"/>
        </w:rPr>
        <w:t>28</w:t>
      </w:r>
      <w:r>
        <w:rPr>
          <w:rFonts w:hint="eastAsia" w:ascii="宋体" w:hAnsi="宋体"/>
          <w:color w:val="auto"/>
          <w:szCs w:val="21"/>
          <w:highlight w:val="none"/>
        </w:rPr>
        <w:t>乙方</w:t>
      </w:r>
      <w:r>
        <w:rPr>
          <w:rFonts w:ascii="宋体" w:hAnsi="宋体"/>
          <w:color w:val="auto"/>
          <w:szCs w:val="21"/>
          <w:highlight w:val="none"/>
        </w:rPr>
        <w:t>应做的</w:t>
      </w:r>
      <w:r>
        <w:rPr>
          <w:rFonts w:hint="eastAsia" w:ascii="宋体" w:hAnsi="宋体"/>
          <w:color w:val="auto"/>
          <w:szCs w:val="21"/>
          <w:highlight w:val="none"/>
        </w:rPr>
        <w:t>其他</w:t>
      </w:r>
      <w:r>
        <w:rPr>
          <w:rFonts w:ascii="宋体" w:hAnsi="宋体"/>
          <w:color w:val="auto"/>
          <w:szCs w:val="21"/>
          <w:highlight w:val="none"/>
        </w:rPr>
        <w:t>工作</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w:t>
      </w:r>
      <w:bookmarkEnd w:id="94"/>
    </w:p>
    <w:p w14:paraId="05D66D45">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乙方</w:t>
      </w:r>
      <w:r>
        <w:rPr>
          <w:rFonts w:ascii="宋体" w:hAnsi="宋体"/>
          <w:color w:val="auto"/>
          <w:szCs w:val="21"/>
          <w:highlight w:val="none"/>
        </w:rPr>
        <w:t>未履行条款各项义务，赔偿</w:t>
      </w:r>
      <w:r>
        <w:rPr>
          <w:rFonts w:hint="eastAsia" w:ascii="宋体" w:hAnsi="宋体"/>
          <w:color w:val="auto"/>
          <w:szCs w:val="21"/>
          <w:highlight w:val="none"/>
        </w:rPr>
        <w:t>给甲方</w:t>
      </w:r>
      <w:r>
        <w:rPr>
          <w:rFonts w:ascii="宋体" w:hAnsi="宋体"/>
          <w:color w:val="auto"/>
          <w:szCs w:val="21"/>
          <w:highlight w:val="none"/>
        </w:rPr>
        <w:t>造成</w:t>
      </w:r>
      <w:r>
        <w:rPr>
          <w:rFonts w:hint="eastAsia" w:ascii="宋体" w:hAnsi="宋体"/>
          <w:color w:val="auto"/>
          <w:szCs w:val="21"/>
          <w:highlight w:val="none"/>
        </w:rPr>
        <w:t>的</w:t>
      </w:r>
      <w:r>
        <w:rPr>
          <w:rFonts w:ascii="宋体" w:hAnsi="宋体"/>
          <w:color w:val="auto"/>
          <w:szCs w:val="21"/>
          <w:highlight w:val="none"/>
        </w:rPr>
        <w:t>损失</w:t>
      </w:r>
      <w:r>
        <w:rPr>
          <w:rFonts w:hint="eastAsia" w:ascii="宋体" w:hAnsi="宋体"/>
          <w:color w:val="auto"/>
          <w:szCs w:val="21"/>
          <w:highlight w:val="none"/>
        </w:rPr>
        <w:t>。</w:t>
      </w:r>
      <w:bookmarkEnd w:id="91"/>
      <w:bookmarkEnd w:id="92"/>
    </w:p>
    <w:bookmarkEnd w:id="90"/>
    <w:p w14:paraId="0E2AAF16">
      <w:pPr>
        <w:pStyle w:val="97"/>
        <w:ind w:firstLine="422"/>
        <w:rPr>
          <w:color w:val="auto"/>
          <w:highlight w:val="none"/>
        </w:rPr>
      </w:pPr>
      <w:bookmarkStart w:id="95" w:name="_Toc30885"/>
      <w:bookmarkStart w:id="96" w:name="_Toc180591476"/>
      <w:bookmarkStart w:id="97" w:name="_Toc84333711"/>
      <w:bookmarkStart w:id="98" w:name="_Toc102402652"/>
      <w:bookmarkStart w:id="99" w:name="_Hlk107861954"/>
      <w:bookmarkStart w:id="100" w:name="_Hlk107943873"/>
      <w:r>
        <w:rPr>
          <w:rFonts w:hint="eastAsia"/>
          <w:color w:val="auto"/>
          <w:highlight w:val="none"/>
        </w:rPr>
        <w:t>第</w:t>
      </w:r>
      <w:r>
        <w:rPr>
          <w:color w:val="auto"/>
          <w:highlight w:val="none"/>
        </w:rPr>
        <w:t>8</w:t>
      </w:r>
      <w:r>
        <w:rPr>
          <w:rFonts w:hint="eastAsia"/>
          <w:color w:val="auto"/>
          <w:highlight w:val="none"/>
        </w:rPr>
        <w:t xml:space="preserve">条 </w:t>
      </w:r>
      <w:r>
        <w:rPr>
          <w:color w:val="auto"/>
          <w:highlight w:val="none"/>
        </w:rPr>
        <w:t xml:space="preserve"> </w:t>
      </w:r>
      <w:r>
        <w:rPr>
          <w:rFonts w:hint="eastAsia"/>
          <w:color w:val="auto"/>
          <w:highlight w:val="none"/>
        </w:rPr>
        <w:t>工期</w:t>
      </w:r>
      <w:bookmarkEnd w:id="95"/>
      <w:bookmarkEnd w:id="96"/>
      <w:bookmarkEnd w:id="97"/>
      <w:bookmarkEnd w:id="98"/>
    </w:p>
    <w:p w14:paraId="168B8941">
      <w:pPr>
        <w:widowControl/>
        <w:adjustRightInd w:val="0"/>
        <w:snapToGrid w:val="0"/>
        <w:spacing w:line="360" w:lineRule="auto"/>
        <w:ind w:firstLine="420" w:firstLineChars="200"/>
        <w:rPr>
          <w:rFonts w:ascii="宋体" w:hAnsi="宋体"/>
          <w:color w:val="auto"/>
          <w:szCs w:val="21"/>
          <w:highlight w:val="none"/>
        </w:rPr>
      </w:pPr>
      <w:r>
        <w:rPr>
          <w:rFonts w:ascii="宋体" w:hAnsi="宋体"/>
          <w:color w:val="auto"/>
          <w:kern w:val="0"/>
          <w:szCs w:val="21"/>
          <w:highlight w:val="none"/>
        </w:rPr>
        <w:t>8</w:t>
      </w:r>
      <w:r>
        <w:rPr>
          <w:rFonts w:hint="eastAsia" w:ascii="宋体" w:hAnsi="宋体"/>
          <w:color w:val="auto"/>
          <w:kern w:val="0"/>
          <w:szCs w:val="21"/>
          <w:highlight w:val="none"/>
        </w:rPr>
        <w:t>.1乙方应在</w:t>
      </w:r>
      <w:r>
        <w:rPr>
          <w:rFonts w:hint="eastAsia" w:ascii="宋体" w:hAnsi="宋体"/>
          <w:bCs/>
          <w:color w:val="auto"/>
          <w:szCs w:val="21"/>
          <w:highlight w:val="none"/>
        </w:rPr>
        <w:t>进场</w:t>
      </w:r>
      <w:r>
        <w:rPr>
          <w:rFonts w:hint="eastAsia" w:ascii="宋体" w:hAnsi="宋体"/>
          <w:color w:val="auto"/>
          <w:kern w:val="0"/>
          <w:szCs w:val="21"/>
          <w:highlight w:val="none"/>
        </w:rPr>
        <w:t>7天内，编制出完整的总体施工组织设计方案和进度计划。</w:t>
      </w:r>
    </w:p>
    <w:p w14:paraId="021D472D">
      <w:pPr>
        <w:widowControl/>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.2</w:t>
      </w:r>
      <w:r>
        <w:rPr>
          <w:rFonts w:ascii="宋体" w:hAnsi="宋体"/>
          <w:color w:val="auto"/>
          <w:szCs w:val="21"/>
          <w:highlight w:val="none"/>
        </w:rPr>
        <w:t xml:space="preserve"> 因下列原因之一造成</w:t>
      </w:r>
      <w:r>
        <w:rPr>
          <w:rFonts w:hint="eastAsia" w:ascii="宋体" w:hAnsi="宋体"/>
          <w:color w:val="auto"/>
          <w:szCs w:val="21"/>
          <w:highlight w:val="none"/>
        </w:rPr>
        <w:t>乙方</w:t>
      </w:r>
      <w:r>
        <w:rPr>
          <w:rFonts w:ascii="宋体" w:hAnsi="宋体"/>
          <w:color w:val="auto"/>
          <w:szCs w:val="21"/>
          <w:highlight w:val="none"/>
        </w:rPr>
        <w:t>分包工程工期延误，经</w:t>
      </w:r>
      <w:r>
        <w:rPr>
          <w:rFonts w:hint="eastAsia" w:ascii="宋体" w:hAnsi="宋体"/>
          <w:color w:val="auto"/>
          <w:szCs w:val="21"/>
          <w:highlight w:val="none"/>
        </w:rPr>
        <w:t>甲方</w:t>
      </w:r>
      <w:r>
        <w:rPr>
          <w:rFonts w:ascii="宋体" w:hAnsi="宋体"/>
          <w:color w:val="auto"/>
          <w:szCs w:val="21"/>
          <w:highlight w:val="none"/>
        </w:rPr>
        <w:t>确认，工期相应顺延：</w:t>
      </w:r>
    </w:p>
    <w:p w14:paraId="3840448B">
      <w:pPr>
        <w:widowControl/>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（1）因为甲方原因或根据总承包原因，未能及时移交工作面，相应的竣工时间延长；</w:t>
      </w:r>
    </w:p>
    <w:p w14:paraId="14924F02">
      <w:pPr>
        <w:widowControl/>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）非乙方原因的工程范围内的工程变更及工程量增加；</w:t>
      </w:r>
    </w:p>
    <w:p w14:paraId="4BEDC748">
      <w:pPr>
        <w:widowControl/>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）不可抗力的原因；</w:t>
      </w:r>
    </w:p>
    <w:p w14:paraId="7C0300E6">
      <w:pPr>
        <w:widowControl/>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3</w:t>
      </w:r>
      <w:r>
        <w:rPr>
          <w:rFonts w:ascii="宋体" w:hAnsi="宋体"/>
          <w:color w:val="auto"/>
          <w:szCs w:val="21"/>
          <w:highlight w:val="none"/>
        </w:rPr>
        <w:t xml:space="preserve"> 乙方应在8.</w:t>
      </w:r>
      <w:r>
        <w:rPr>
          <w:rFonts w:hint="eastAsia" w:ascii="宋体" w:hAnsi="宋体"/>
          <w:color w:val="auto"/>
          <w:szCs w:val="21"/>
          <w:highlight w:val="none"/>
        </w:rPr>
        <w:t>2</w:t>
      </w:r>
      <w:r>
        <w:rPr>
          <w:rFonts w:ascii="宋体" w:hAnsi="宋体"/>
          <w:color w:val="auto"/>
          <w:szCs w:val="21"/>
          <w:highlight w:val="none"/>
        </w:rPr>
        <w:t>款约定情况发生后</w:t>
      </w:r>
      <w:r>
        <w:rPr>
          <w:rFonts w:hint="eastAsia" w:ascii="宋体" w:hAnsi="宋体"/>
          <w:color w:val="auto"/>
          <w:szCs w:val="21"/>
          <w:highlight w:val="none"/>
        </w:rPr>
        <w:t>7</w:t>
      </w:r>
      <w:r>
        <w:rPr>
          <w:rFonts w:ascii="宋体" w:hAnsi="宋体"/>
          <w:color w:val="auto"/>
          <w:szCs w:val="21"/>
          <w:highlight w:val="none"/>
        </w:rPr>
        <w:t>天内，就延误的工期以书面形式向</w:t>
      </w:r>
      <w:r>
        <w:rPr>
          <w:rFonts w:hint="eastAsia" w:ascii="宋体" w:hAnsi="宋体"/>
          <w:color w:val="auto"/>
          <w:szCs w:val="21"/>
          <w:highlight w:val="none"/>
        </w:rPr>
        <w:t>项目经理部</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报告</w:t>
      </w:r>
      <w:r>
        <w:rPr>
          <w:rFonts w:hint="eastAsia" w:ascii="宋体" w:hAnsi="宋体"/>
          <w:color w:val="auto"/>
          <w:szCs w:val="21"/>
          <w:highlight w:val="none"/>
        </w:rPr>
        <w:t>，经甲方确认后工期顺延。若乙方在</w:t>
      </w:r>
      <w:r>
        <w:rPr>
          <w:rFonts w:ascii="宋体" w:hAnsi="宋体"/>
          <w:color w:val="auto"/>
          <w:szCs w:val="21"/>
          <w:highlight w:val="none"/>
        </w:rPr>
        <w:t>8</w:t>
      </w:r>
      <w:r>
        <w:rPr>
          <w:rFonts w:hint="eastAsia" w:ascii="宋体" w:hAnsi="宋体"/>
          <w:color w:val="auto"/>
          <w:szCs w:val="21"/>
          <w:highlight w:val="none"/>
        </w:rPr>
        <w:t>.2款约定的情况发生后的7天内，未向项目经理提交报告，视为上述情况对乙方按本合同约定实施工程无影响，工期不予顺延；</w:t>
      </w:r>
    </w:p>
    <w:p w14:paraId="1A467F67">
      <w:pPr>
        <w:widowControl/>
        <w:spacing w:line="360" w:lineRule="auto"/>
        <w:ind w:firstLine="420" w:firstLineChars="200"/>
        <w:rPr>
          <w:rFonts w:ascii="宋体" w:hAnsi="宋体"/>
          <w:bCs/>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kern w:val="0"/>
          <w:szCs w:val="21"/>
          <w:highlight w:val="none"/>
        </w:rPr>
        <w:t>在整个工程施工过程中，如有建设单位或总承包限期完成的工作，乙方应按甲方要求配备满足要求的充足的劳动力和必须设备，配合工程如期完成；</w:t>
      </w:r>
    </w:p>
    <w:p w14:paraId="1D925209">
      <w:pPr>
        <w:widowControl/>
        <w:adjustRightInd w:val="0"/>
        <w:snapToGrid w:val="0"/>
        <w:spacing w:line="360" w:lineRule="auto"/>
        <w:ind w:firstLine="420" w:firstLineChars="200"/>
        <w:jc w:val="left"/>
        <w:rPr>
          <w:rFonts w:ascii="宋体" w:hAnsi="宋体"/>
          <w:color w:val="auto"/>
          <w:szCs w:val="21"/>
          <w:highlight w:val="none"/>
        </w:rPr>
      </w:pPr>
      <w:bookmarkStart w:id="101" w:name="_Hlk101208462"/>
      <w:r>
        <w:rPr>
          <w:rFonts w:ascii="宋体" w:hAnsi="宋体"/>
          <w:color w:val="auto"/>
          <w:kern w:val="0"/>
          <w:szCs w:val="21"/>
          <w:highlight w:val="none"/>
        </w:rPr>
        <w:t>8.5</w:t>
      </w:r>
      <w:r>
        <w:rPr>
          <w:rFonts w:hint="eastAsia" w:ascii="宋体" w:hAnsi="宋体"/>
          <w:color w:val="auto"/>
          <w:kern w:val="0"/>
          <w:szCs w:val="21"/>
          <w:highlight w:val="none"/>
        </w:rPr>
        <w:t>在施工过程中甲方不保证具备乙方连续施工的现场条件或工作界面，乙方应根据现场情况合理安排劳动力及机械设备，甲方也不会接受乙方为遵守施工方案而中断施工所造成的损失及索赔；</w:t>
      </w:r>
    </w:p>
    <w:bookmarkEnd w:id="101"/>
    <w:p w14:paraId="1161DEEA">
      <w:pPr>
        <w:widowControl/>
        <w:spacing w:line="360" w:lineRule="auto"/>
        <w:ind w:firstLine="420" w:firstLineChars="200"/>
        <w:rPr>
          <w:rFonts w:ascii="宋体" w:hAnsi="宋体"/>
          <w:color w:val="auto"/>
          <w:szCs w:val="21"/>
          <w:highlight w:val="none"/>
        </w:rPr>
      </w:pPr>
      <w:r>
        <w:rPr>
          <w:rFonts w:ascii="宋体" w:hAnsi="宋体"/>
          <w:bCs/>
          <w:color w:val="auto"/>
          <w:szCs w:val="21"/>
          <w:highlight w:val="none"/>
        </w:rPr>
        <w:t>8</w:t>
      </w:r>
      <w:r>
        <w:rPr>
          <w:rFonts w:hint="eastAsia" w:ascii="宋体" w:hAnsi="宋体"/>
          <w:bCs/>
          <w:color w:val="auto"/>
          <w:szCs w:val="21"/>
          <w:highlight w:val="none"/>
        </w:rPr>
        <w:t>.</w:t>
      </w:r>
      <w:r>
        <w:rPr>
          <w:rFonts w:ascii="宋体" w:hAnsi="宋体"/>
          <w:bCs/>
          <w:color w:val="auto"/>
          <w:szCs w:val="21"/>
          <w:highlight w:val="none"/>
        </w:rPr>
        <w:t>6</w:t>
      </w:r>
      <w:r>
        <w:rPr>
          <w:rFonts w:hint="eastAsia" w:ascii="宋体" w:hAnsi="宋体"/>
          <w:color w:val="auto"/>
          <w:szCs w:val="21"/>
          <w:highlight w:val="none"/>
        </w:rPr>
        <w:t>因乙方原因造成工期延误，乙方未能按照甲方要求落实改进措施，</w:t>
      </w:r>
      <w:r>
        <w:rPr>
          <w:rFonts w:hint="eastAsia" w:ascii="宋体" w:hAnsi="宋体"/>
          <w:bCs/>
          <w:color w:val="auto"/>
          <w:szCs w:val="21"/>
          <w:highlight w:val="none"/>
        </w:rPr>
        <w:t>或拒绝完成本工程的，</w:t>
      </w:r>
      <w:r>
        <w:rPr>
          <w:rFonts w:hint="eastAsia" w:ascii="宋体" w:hAnsi="宋体"/>
          <w:color w:val="auto"/>
          <w:szCs w:val="21"/>
          <w:highlight w:val="none"/>
        </w:rPr>
        <w:t>则甲方有权将本工程的部分或全部委托其他施工单位完成，乙方无条件接受。</w:t>
      </w:r>
    </w:p>
    <w:p w14:paraId="72B180F6">
      <w:pPr>
        <w:widowControl/>
        <w:adjustRightInd w:val="0"/>
        <w:snapToGrid w:val="0"/>
        <w:spacing w:line="360" w:lineRule="auto"/>
        <w:ind w:firstLine="420" w:firstLineChars="200"/>
        <w:rPr>
          <w:rFonts w:ascii="宋体" w:hAnsi="宋体"/>
          <w:color w:val="auto"/>
          <w:szCs w:val="21"/>
          <w:highlight w:val="none"/>
        </w:rPr>
      </w:pPr>
      <w:bookmarkStart w:id="102" w:name="_Hlk101208494"/>
      <w:r>
        <w:rPr>
          <w:rFonts w:ascii="宋体" w:hAnsi="宋体"/>
          <w:color w:val="auto"/>
          <w:szCs w:val="21"/>
          <w:highlight w:val="none"/>
        </w:rPr>
        <w:t>8.7</w:t>
      </w:r>
      <w:r>
        <w:rPr>
          <w:rFonts w:hint="eastAsia" w:ascii="宋体" w:hAnsi="宋体"/>
          <w:color w:val="auto"/>
          <w:szCs w:val="21"/>
          <w:highlight w:val="none"/>
        </w:rPr>
        <w:t>甲方</w:t>
      </w:r>
      <w:r>
        <w:rPr>
          <w:rFonts w:ascii="宋体" w:hAnsi="宋体"/>
          <w:color w:val="auto"/>
          <w:szCs w:val="21"/>
          <w:highlight w:val="none"/>
        </w:rPr>
        <w:t>认为确有必要暂停施工时，</w:t>
      </w:r>
      <w:r>
        <w:rPr>
          <w:rFonts w:hint="eastAsia" w:ascii="宋体" w:hAnsi="宋体"/>
          <w:color w:val="auto"/>
          <w:szCs w:val="21"/>
          <w:highlight w:val="none"/>
        </w:rPr>
        <w:t>由</w:t>
      </w:r>
      <w:r>
        <w:rPr>
          <w:rFonts w:ascii="宋体" w:hAnsi="宋体"/>
          <w:color w:val="auto"/>
          <w:szCs w:val="21"/>
          <w:highlight w:val="none"/>
        </w:rPr>
        <w:t>甲方向乙方发出暂停施工指令，</w:t>
      </w:r>
      <w:r>
        <w:rPr>
          <w:rFonts w:hint="eastAsia" w:ascii="宋体" w:hAnsi="宋体"/>
          <w:color w:val="auto"/>
          <w:szCs w:val="21"/>
          <w:highlight w:val="none"/>
        </w:rPr>
        <w:t>乙方应履行照管义务。</w:t>
      </w:r>
    </w:p>
    <w:bookmarkEnd w:id="102"/>
    <w:p w14:paraId="1EAD41EC">
      <w:pPr>
        <w:widowControl/>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8 乙方应按照本合同约定的</w:t>
      </w:r>
      <w:r>
        <w:rPr>
          <w:rFonts w:hint="eastAsia" w:ascii="宋体" w:hAnsi="宋体"/>
          <w:color w:val="auto"/>
          <w:szCs w:val="21"/>
          <w:highlight w:val="none"/>
        </w:rPr>
        <w:t>完工</w:t>
      </w:r>
      <w:r>
        <w:rPr>
          <w:rFonts w:ascii="宋体" w:hAnsi="宋体"/>
          <w:color w:val="auto"/>
          <w:szCs w:val="21"/>
          <w:highlight w:val="none"/>
        </w:rPr>
        <w:t>日期或甲方同意顺延的工期</w:t>
      </w:r>
      <w:r>
        <w:rPr>
          <w:rFonts w:hint="eastAsia" w:ascii="宋体" w:hAnsi="宋体"/>
          <w:color w:val="auto"/>
          <w:szCs w:val="21"/>
          <w:highlight w:val="none"/>
        </w:rPr>
        <w:t>完工，</w:t>
      </w:r>
      <w:r>
        <w:rPr>
          <w:rFonts w:ascii="宋体" w:hAnsi="宋体"/>
          <w:color w:val="auto"/>
          <w:szCs w:val="21"/>
          <w:highlight w:val="none"/>
        </w:rPr>
        <w:t>因乙方原因不能按照本合同约定的</w:t>
      </w:r>
      <w:r>
        <w:rPr>
          <w:rFonts w:hint="eastAsia" w:ascii="宋体" w:hAnsi="宋体"/>
          <w:color w:val="auto"/>
          <w:szCs w:val="21"/>
          <w:highlight w:val="none"/>
        </w:rPr>
        <w:t>完工</w:t>
      </w:r>
      <w:r>
        <w:rPr>
          <w:rFonts w:ascii="宋体" w:hAnsi="宋体"/>
          <w:color w:val="auto"/>
          <w:szCs w:val="21"/>
          <w:highlight w:val="none"/>
        </w:rPr>
        <w:t>日期或甲方同意顺延的工期</w:t>
      </w:r>
      <w:r>
        <w:rPr>
          <w:rFonts w:hint="eastAsia" w:ascii="宋体" w:hAnsi="宋体"/>
          <w:color w:val="auto"/>
          <w:szCs w:val="21"/>
          <w:highlight w:val="none"/>
        </w:rPr>
        <w:t>完工</w:t>
      </w:r>
      <w:r>
        <w:rPr>
          <w:rFonts w:ascii="宋体" w:hAnsi="宋体"/>
          <w:color w:val="auto"/>
          <w:szCs w:val="21"/>
          <w:highlight w:val="none"/>
        </w:rPr>
        <w:t>的，乙方承担违约责任</w:t>
      </w:r>
      <w:bookmarkEnd w:id="99"/>
      <w:r>
        <w:rPr>
          <w:rFonts w:hint="eastAsia" w:ascii="宋体" w:hAnsi="宋体"/>
          <w:color w:val="auto"/>
          <w:szCs w:val="21"/>
          <w:highlight w:val="none"/>
        </w:rPr>
        <w:t>。</w:t>
      </w:r>
      <w:bookmarkEnd w:id="100"/>
    </w:p>
    <w:p w14:paraId="77C6CB94">
      <w:pPr>
        <w:pStyle w:val="97"/>
        <w:ind w:firstLine="422"/>
        <w:rPr>
          <w:color w:val="auto"/>
          <w:highlight w:val="none"/>
        </w:rPr>
      </w:pPr>
      <w:bookmarkStart w:id="103" w:name="_Toc84333712"/>
      <w:bookmarkStart w:id="104" w:name="_Toc180591477"/>
      <w:r>
        <w:rPr>
          <w:rFonts w:hint="eastAsia"/>
          <w:color w:val="auto"/>
          <w:highlight w:val="none"/>
        </w:rPr>
        <w:t>第</w:t>
      </w:r>
      <w:r>
        <w:rPr>
          <w:color w:val="auto"/>
          <w:highlight w:val="none"/>
        </w:rPr>
        <w:t>9</w:t>
      </w:r>
      <w:r>
        <w:rPr>
          <w:rFonts w:hint="eastAsia"/>
          <w:color w:val="auto"/>
          <w:highlight w:val="none"/>
        </w:rPr>
        <w:t>条  工程质量与验收</w:t>
      </w:r>
      <w:bookmarkEnd w:id="103"/>
      <w:bookmarkEnd w:id="104"/>
      <w:r>
        <w:rPr>
          <w:rFonts w:hint="eastAsia"/>
          <w:color w:val="auto"/>
          <w:highlight w:val="none"/>
        </w:rPr>
        <w:t xml:space="preserve">    </w:t>
      </w:r>
    </w:p>
    <w:p w14:paraId="207CEC98">
      <w:pPr>
        <w:snapToGrid w:val="0"/>
        <w:spacing w:line="360" w:lineRule="auto"/>
        <w:ind w:firstLine="420" w:firstLineChars="200"/>
        <w:rPr>
          <w:rFonts w:ascii="宋体" w:hAnsi="宋体"/>
          <w:color w:val="auto"/>
          <w:szCs w:val="21"/>
          <w:highlight w:val="none"/>
          <w:u w:val="single"/>
        </w:rPr>
      </w:pPr>
      <w:bookmarkStart w:id="105" w:name="_Toc357082843"/>
      <w:r>
        <w:rPr>
          <w:rFonts w:ascii="宋体" w:hAnsi="宋体"/>
          <w:color w:val="auto"/>
          <w:szCs w:val="21"/>
          <w:highlight w:val="none"/>
        </w:rPr>
        <w:t>9.1 工程质量</w:t>
      </w:r>
      <w:r>
        <w:rPr>
          <w:rFonts w:hint="eastAsia" w:ascii="宋体" w:hAnsi="宋体"/>
          <w:bCs/>
          <w:color w:val="auto"/>
          <w:szCs w:val="21"/>
          <w:highlight w:val="none"/>
        </w:rPr>
        <w:t>：</w:t>
      </w:r>
      <w:bookmarkEnd w:id="105"/>
      <w:r>
        <w:rPr>
          <w:rFonts w:hint="eastAsia" w:ascii="宋体" w:hAnsi="宋体"/>
          <w:color w:val="auto"/>
          <w:szCs w:val="21"/>
          <w:highlight w:val="none"/>
          <w:u w:val="single"/>
        </w:rPr>
        <w:t>由合同专用条款第</w:t>
      </w:r>
      <w:r>
        <w:rPr>
          <w:rFonts w:ascii="宋体" w:hAnsi="宋体"/>
          <w:color w:val="auto"/>
          <w:szCs w:val="21"/>
          <w:highlight w:val="none"/>
          <w:u w:val="single"/>
        </w:rPr>
        <w:t>4</w:t>
      </w:r>
      <w:r>
        <w:rPr>
          <w:rFonts w:hint="eastAsia" w:ascii="宋体" w:hAnsi="宋体"/>
          <w:color w:val="auto"/>
          <w:szCs w:val="21"/>
          <w:highlight w:val="none"/>
          <w:u w:val="single"/>
        </w:rPr>
        <w:t>条约定；</w:t>
      </w:r>
    </w:p>
    <w:p w14:paraId="738D588F">
      <w:pPr>
        <w:snapToGrid w:val="0"/>
        <w:spacing w:line="360" w:lineRule="auto"/>
        <w:ind w:firstLine="420" w:firstLineChars="200"/>
        <w:rPr>
          <w:rFonts w:ascii="宋体" w:hAnsi="宋体"/>
          <w:b/>
          <w:bCs/>
          <w:color w:val="auto"/>
          <w:szCs w:val="21"/>
          <w:highlight w:val="none"/>
        </w:rPr>
      </w:pPr>
      <w:r>
        <w:rPr>
          <w:rFonts w:ascii="宋体" w:hAnsi="宋体"/>
          <w:color w:val="auto"/>
          <w:szCs w:val="21"/>
          <w:highlight w:val="none"/>
        </w:rPr>
        <w:t>9.2</w:t>
      </w:r>
      <w:r>
        <w:rPr>
          <w:rFonts w:hint="eastAsia" w:ascii="宋体" w:hAnsi="宋体"/>
          <w:color w:val="auto"/>
          <w:highlight w:val="none"/>
        </w:rPr>
        <w:t>工程合格率、苗木成活率达到</w:t>
      </w:r>
      <w:r>
        <w:rPr>
          <w:rFonts w:ascii="宋体" w:hAnsi="宋体"/>
          <w:color w:val="auto"/>
          <w:highlight w:val="none"/>
        </w:rPr>
        <w:t>100%</w:t>
      </w:r>
      <w:r>
        <w:rPr>
          <w:rFonts w:hint="eastAsia" w:ascii="宋体" w:hAnsi="宋体"/>
          <w:color w:val="auto"/>
          <w:highlight w:val="none"/>
        </w:rPr>
        <w:t>；</w:t>
      </w:r>
    </w:p>
    <w:p w14:paraId="108B61E2">
      <w:pPr>
        <w:widowControl/>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9.3 工程的检查、验收等按照</w:t>
      </w:r>
      <w:r>
        <w:rPr>
          <w:rFonts w:hint="eastAsia" w:ascii="宋体" w:hAnsi="宋体"/>
          <w:color w:val="auto"/>
          <w:szCs w:val="21"/>
          <w:highlight w:val="none"/>
        </w:rPr>
        <w:t>国家规范和相关的行业标准执行。</w:t>
      </w:r>
    </w:p>
    <w:p w14:paraId="4E36DF5C">
      <w:pPr>
        <w:widowControl/>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szCs w:val="21"/>
          <w:highlight w:val="none"/>
        </w:rPr>
        <w:t>9.4乙方应允许并</w:t>
      </w:r>
      <w:r>
        <w:rPr>
          <w:rFonts w:hint="eastAsia" w:ascii="宋体" w:hAnsi="宋体"/>
          <w:color w:val="auto"/>
          <w:szCs w:val="21"/>
          <w:highlight w:val="none"/>
        </w:rPr>
        <w:t>无条件</w:t>
      </w:r>
      <w:r>
        <w:rPr>
          <w:rFonts w:ascii="宋体" w:hAnsi="宋体"/>
          <w:color w:val="auto"/>
          <w:szCs w:val="21"/>
          <w:highlight w:val="none"/>
        </w:rPr>
        <w:t>配合甲方或工程师进入乙方施工场地检查工程质量。</w:t>
      </w:r>
    </w:p>
    <w:p w14:paraId="2A23B878">
      <w:pPr>
        <w:widowControl/>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9</w:t>
      </w:r>
      <w:r>
        <w:rPr>
          <w:rFonts w:hint="eastAsia" w:ascii="宋体" w:hAnsi="宋体"/>
          <w:color w:val="auto"/>
          <w:kern w:val="0"/>
          <w:szCs w:val="21"/>
          <w:highlight w:val="none"/>
        </w:rPr>
        <w:t>.</w:t>
      </w:r>
      <w:r>
        <w:rPr>
          <w:rFonts w:ascii="宋体" w:hAnsi="宋体"/>
          <w:color w:val="auto"/>
          <w:kern w:val="0"/>
          <w:szCs w:val="21"/>
          <w:highlight w:val="none"/>
        </w:rPr>
        <w:t>5</w:t>
      </w:r>
      <w:r>
        <w:rPr>
          <w:rFonts w:hint="eastAsia" w:ascii="宋体" w:hAnsi="宋体"/>
          <w:color w:val="auto"/>
          <w:kern w:val="0"/>
          <w:szCs w:val="21"/>
          <w:highlight w:val="none"/>
        </w:rPr>
        <w:t>技术要求</w:t>
      </w:r>
      <w:r>
        <w:rPr>
          <w:rFonts w:hint="eastAsia" w:ascii="宋体" w:hAnsi="宋体"/>
          <w:color w:val="auto"/>
          <w:szCs w:val="21"/>
          <w:highlight w:val="none"/>
          <w:u w:val="single"/>
        </w:rPr>
        <w:t>：由合同专用条款第4条约定；</w:t>
      </w:r>
    </w:p>
    <w:p w14:paraId="3768AA96">
      <w:pPr>
        <w:spacing w:line="360" w:lineRule="auto"/>
        <w:ind w:firstLine="420" w:firstLineChars="200"/>
        <w:rPr>
          <w:rFonts w:ascii="宋体" w:hAnsi="宋体"/>
          <w:bCs/>
          <w:color w:val="auto"/>
          <w:highlight w:val="none"/>
        </w:rPr>
      </w:pPr>
      <w:bookmarkStart w:id="106" w:name="_Hlk71750432"/>
      <w:r>
        <w:rPr>
          <w:rFonts w:ascii="宋体" w:hAnsi="宋体"/>
          <w:bCs/>
          <w:color w:val="auto"/>
          <w:highlight w:val="none"/>
        </w:rPr>
        <w:t>9</w:t>
      </w:r>
      <w:r>
        <w:rPr>
          <w:rFonts w:hint="eastAsia" w:ascii="宋体" w:hAnsi="宋体"/>
          <w:bCs/>
          <w:color w:val="auto"/>
          <w:highlight w:val="none"/>
        </w:rPr>
        <w:t xml:space="preserve">.5工程验收 </w:t>
      </w:r>
    </w:p>
    <w:p w14:paraId="456511E9">
      <w:pPr>
        <w:spacing w:line="360" w:lineRule="auto"/>
        <w:ind w:firstLine="420" w:firstLineChars="200"/>
        <w:rPr>
          <w:rFonts w:ascii="宋体" w:hAnsi="宋体"/>
          <w:bCs/>
          <w:color w:val="auto"/>
          <w:highlight w:val="none"/>
        </w:rPr>
      </w:pPr>
      <w:r>
        <w:rPr>
          <w:rFonts w:ascii="宋体" w:hAnsi="宋体"/>
          <w:bCs/>
          <w:color w:val="auto"/>
          <w:highlight w:val="none"/>
        </w:rPr>
        <w:t>9</w:t>
      </w:r>
      <w:r>
        <w:rPr>
          <w:rFonts w:hint="eastAsia" w:ascii="宋体" w:hAnsi="宋体"/>
          <w:bCs/>
          <w:color w:val="auto"/>
          <w:highlight w:val="none"/>
        </w:rPr>
        <w:t>.5.1 工程具备验收或阶段验收条件，由甲方组织监理单位进行验收，乙方向总包提交项目备案竣工验收资料，向甲方提供工程完工资料；</w:t>
      </w:r>
    </w:p>
    <w:p w14:paraId="516CF42E">
      <w:pPr>
        <w:spacing w:line="360" w:lineRule="auto"/>
        <w:ind w:firstLine="420" w:firstLineChars="200"/>
        <w:rPr>
          <w:rFonts w:ascii="宋体" w:hAnsi="宋体"/>
          <w:bCs/>
          <w:color w:val="auto"/>
          <w:highlight w:val="none"/>
        </w:rPr>
      </w:pPr>
      <w:r>
        <w:rPr>
          <w:rFonts w:ascii="宋体" w:hAnsi="宋体"/>
          <w:bCs/>
          <w:color w:val="auto"/>
          <w:highlight w:val="none"/>
        </w:rPr>
        <w:t>9</w:t>
      </w:r>
      <w:r>
        <w:rPr>
          <w:rFonts w:hint="eastAsia" w:ascii="宋体" w:hAnsi="宋体"/>
          <w:bCs/>
          <w:color w:val="auto"/>
          <w:highlight w:val="none"/>
        </w:rPr>
        <w:t>.5.2如验收获得通过，则验收日期为竣工日期或阶段竣工日期。如验收时发现乙方之工作未能达到要求，则乙方应对已完工程进行修改直至达到要求，并于修改完成后再次提请甲方验收。如验收获得通过，则验收日期为竣工日期或阶段竣工日期；</w:t>
      </w:r>
    </w:p>
    <w:p w14:paraId="5BE06F10">
      <w:pPr>
        <w:spacing w:line="360" w:lineRule="auto"/>
        <w:ind w:firstLine="420" w:firstLineChars="200"/>
        <w:rPr>
          <w:rFonts w:ascii="宋体" w:hAnsi="宋体"/>
          <w:bCs/>
          <w:color w:val="auto"/>
          <w:highlight w:val="none"/>
        </w:rPr>
      </w:pPr>
      <w:r>
        <w:rPr>
          <w:rFonts w:ascii="宋体" w:hAnsi="宋体"/>
          <w:bCs/>
          <w:color w:val="auto"/>
          <w:highlight w:val="none"/>
        </w:rPr>
        <w:t>9</w:t>
      </w:r>
      <w:r>
        <w:rPr>
          <w:rFonts w:hint="eastAsia" w:ascii="宋体" w:hAnsi="宋体"/>
          <w:bCs/>
          <w:color w:val="auto"/>
          <w:highlight w:val="none"/>
        </w:rPr>
        <w:t>.5.3交竣工验收资料：乙方应及时向甲方提交完工资料，并记录并保留现场所有施工工序验收的准确数据。按甲方的要求做好与之有关的交竣工基础资料的整理工作。</w:t>
      </w:r>
    </w:p>
    <w:p w14:paraId="4C11974C">
      <w:pPr>
        <w:spacing w:line="360" w:lineRule="auto"/>
        <w:ind w:firstLine="420" w:firstLineChars="200"/>
        <w:rPr>
          <w:rFonts w:ascii="宋体" w:hAnsi="宋体"/>
          <w:bCs/>
          <w:color w:val="auto"/>
          <w:highlight w:val="none"/>
        </w:rPr>
      </w:pPr>
      <w:r>
        <w:rPr>
          <w:rFonts w:ascii="宋体" w:hAnsi="宋体"/>
          <w:bCs/>
          <w:color w:val="auto"/>
          <w:highlight w:val="none"/>
        </w:rPr>
        <w:t>9</w:t>
      </w:r>
      <w:r>
        <w:rPr>
          <w:rFonts w:hint="eastAsia" w:ascii="宋体" w:hAnsi="宋体"/>
          <w:bCs/>
          <w:color w:val="auto"/>
          <w:highlight w:val="none"/>
        </w:rPr>
        <w:t>.6工程移交</w:t>
      </w:r>
    </w:p>
    <w:p w14:paraId="59E61A52">
      <w:pPr>
        <w:spacing w:line="360" w:lineRule="auto"/>
        <w:ind w:firstLine="420" w:firstLineChars="200"/>
        <w:rPr>
          <w:rFonts w:ascii="宋体" w:hAnsi="宋体"/>
          <w:bCs/>
          <w:color w:val="auto"/>
          <w:highlight w:val="none"/>
        </w:rPr>
      </w:pPr>
      <w:r>
        <w:rPr>
          <w:rFonts w:ascii="宋体" w:hAnsi="宋体"/>
          <w:bCs/>
          <w:color w:val="auto"/>
          <w:highlight w:val="none"/>
        </w:rPr>
        <w:t>9</w:t>
      </w:r>
      <w:r>
        <w:rPr>
          <w:rFonts w:hint="eastAsia" w:ascii="宋体" w:hAnsi="宋体"/>
          <w:bCs/>
          <w:color w:val="auto"/>
          <w:highlight w:val="none"/>
        </w:rPr>
        <w:t>.6.1完成合同规定的所有工作内容，工程办理竣工验合格后一个月内。乙方应将工程范围内的剩余物料运出或交还甲方，并撤离机械设备；如果乙方不按甲方规定时间内离场，甲方有权收取3万</w:t>
      </w:r>
      <w:r>
        <w:rPr>
          <w:rFonts w:ascii="宋体" w:hAnsi="宋体"/>
          <w:bCs/>
          <w:color w:val="auto"/>
          <w:highlight w:val="none"/>
        </w:rPr>
        <w:t>元</w:t>
      </w:r>
      <w:r>
        <w:rPr>
          <w:rFonts w:hint="eastAsia" w:ascii="宋体" w:hAnsi="宋体"/>
          <w:bCs/>
          <w:color w:val="auto"/>
          <w:highlight w:val="none"/>
        </w:rPr>
        <w:t>/月的场租费用。</w:t>
      </w:r>
    </w:p>
    <w:p w14:paraId="6B8CA237">
      <w:pPr>
        <w:spacing w:line="360" w:lineRule="auto"/>
        <w:ind w:firstLine="420" w:firstLineChars="200"/>
        <w:rPr>
          <w:rFonts w:ascii="宋体" w:hAnsi="宋体"/>
          <w:bCs/>
          <w:color w:val="auto"/>
          <w:highlight w:val="none"/>
        </w:rPr>
      </w:pPr>
      <w:r>
        <w:rPr>
          <w:rFonts w:ascii="宋体" w:hAnsi="宋体"/>
          <w:bCs/>
          <w:color w:val="auto"/>
          <w:highlight w:val="none"/>
        </w:rPr>
        <w:t>9</w:t>
      </w:r>
      <w:r>
        <w:rPr>
          <w:rFonts w:hint="eastAsia" w:ascii="宋体" w:hAnsi="宋体"/>
          <w:bCs/>
          <w:color w:val="auto"/>
          <w:highlight w:val="none"/>
        </w:rPr>
        <w:t>.6.2乙方在工程竣工验收合格后，不得以工程款欠付为由不移交工程或工程资料，甲方承诺对工程尾款做出安排。</w:t>
      </w:r>
    </w:p>
    <w:bookmarkEnd w:id="106"/>
    <w:p w14:paraId="0D37FD70">
      <w:pPr>
        <w:pStyle w:val="97"/>
        <w:ind w:firstLine="422"/>
        <w:rPr>
          <w:color w:val="auto"/>
          <w:highlight w:val="none"/>
        </w:rPr>
      </w:pPr>
      <w:bookmarkStart w:id="107" w:name="_Toc102402654"/>
      <w:bookmarkStart w:id="108" w:name="_Toc84333713"/>
      <w:bookmarkStart w:id="109" w:name="_Toc180591478"/>
      <w:bookmarkStart w:id="110" w:name="_Hlk107862038"/>
      <w:r>
        <w:rPr>
          <w:rFonts w:hint="eastAsia"/>
          <w:color w:val="auto"/>
          <w:highlight w:val="none"/>
        </w:rPr>
        <w:t>第1</w:t>
      </w:r>
      <w:r>
        <w:rPr>
          <w:color w:val="auto"/>
          <w:highlight w:val="none"/>
        </w:rPr>
        <w:t>0</w:t>
      </w:r>
      <w:r>
        <w:rPr>
          <w:rFonts w:hint="eastAsia"/>
          <w:color w:val="auto"/>
          <w:highlight w:val="none"/>
        </w:rPr>
        <w:t>条  安全文明施工</w:t>
      </w:r>
      <w:bookmarkEnd w:id="107"/>
      <w:bookmarkEnd w:id="108"/>
      <w:bookmarkEnd w:id="109"/>
    </w:p>
    <w:p w14:paraId="380263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 xml:space="preserve"> 安全施工与防护</w:t>
      </w:r>
    </w:p>
    <w:p w14:paraId="32F5CB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.1.1乙方须建立健全建筑安全生产组织机构和认真执行甲方制定的安全保证体系，落实安全生产责任制</w:t>
      </w:r>
      <w:bookmarkStart w:id="111" w:name="_Hlk107928687"/>
    </w:p>
    <w:p w14:paraId="278ED4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0.1.2</w:t>
      </w:r>
      <w:r>
        <w:rPr>
          <w:rFonts w:hint="eastAsia" w:ascii="宋体" w:hAnsi="宋体"/>
          <w:color w:val="auto"/>
          <w:szCs w:val="21"/>
          <w:highlight w:val="none"/>
        </w:rPr>
        <w:t>未征得甲方许可的前提下，任何时候不得擅自拆除安全防护，对存在安全隐患或有碍于正常工作、生活的洞口、临路、临边、责任区，乙方须及时进行维护，该费用已综合考虑在措施费中，甲方不再额外补偿；乙方按照甲方的要求，保持各自施工区域内各通道畅通，该费用已综合考虑在措施费中，甲方不再额外补偿；</w:t>
      </w:r>
    </w:p>
    <w:p w14:paraId="2D7543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.1.3全面关照所有留在现场人员的安全，保护管辖范围内的现场以及尚未完工和尚未进行施工部位处于有条不紊和保持良好的安全状态；</w:t>
      </w:r>
    </w:p>
    <w:p w14:paraId="06A3F3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.1.4在需要的时间和地点，根据甲方及总承包指令设置、张贴警告信号、危险标志、防护栅栏等，对工程进行保护和为公众提供安全与方便；</w:t>
      </w:r>
    </w:p>
    <w:p w14:paraId="5AC28D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.1.5乙方须采取适当措施，确保其自有人员身体健康，完善应急方案，服从甲方及总承包在紧急情况下的统一调度；</w:t>
      </w:r>
    </w:p>
    <w:p w14:paraId="74B4E9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.1.6乙方项目负责人及安全员每月参与项目危险源辨识、评价，对项目制定危险源管控措施提出实操性建议。</w:t>
      </w:r>
    </w:p>
    <w:p w14:paraId="5B6B8B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1.7乙方劳务工人进场前，接受总承包组织劳务工人参加三级安全教育，以及组织相关培训考核；劳务工人进场时，乙方接受总承包组织劳务工人参加入场安全教育以及培训考核，考核合格通过后方可进入现场；班组施工作业前，班组长组织劳务工人参与不少于5分钟的班前教育，组织签到，记录当天作业内容并上报；乙方项目负责人及安全员每月定期组织劳务工人参加项目部组织的月度安全教育，特种作业人员应参与培训考核。</w:t>
      </w:r>
    </w:p>
    <w:p w14:paraId="47C65C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.1.8乙方作业前对劳务工人进行安全技术交底，乙方现场施工管理人员、安全员履行签字相关手续；乙方劳务工人参加安全技术交底，并在交底日期当天签字。</w:t>
      </w:r>
    </w:p>
    <w:p w14:paraId="1FE75F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.1.9 乙方项目负责人、安全人员及班组长按照项目相关验收负责人要求参加安全验收，对验收不合格项进行整改落实。</w:t>
      </w:r>
    </w:p>
    <w:p w14:paraId="0A4BE5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1.10乙方班组施工作业前，应组织安全员、班组长开展班前隐患排查，对排查出的隐患即时整改；乙方安全员每日开展安全巡查，纠正违章；乙方项目负责人及安全员定期参加项目部组织各类安全检查，落实各项隐患整改。</w:t>
      </w:r>
    </w:p>
    <w:bookmarkEnd w:id="111"/>
    <w:p w14:paraId="57614C36">
      <w:pPr>
        <w:spacing w:line="360" w:lineRule="auto"/>
        <w:ind w:firstLine="420" w:firstLineChars="200"/>
        <w:rPr>
          <w:rFonts w:ascii="宋体" w:hAnsi="宋体"/>
          <w:color w:val="auto"/>
          <w:szCs w:val="21"/>
          <w:highlight w:val="none"/>
        </w:rPr>
      </w:pPr>
      <w:bookmarkStart w:id="112" w:name="_Hlk107928705"/>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 事故处理</w:t>
      </w:r>
    </w:p>
    <w:p w14:paraId="4AB58C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.2.1乙方应采取严格的安全防护措施，承担违法行为或由于自身违章指挥、违章作业、设备设施不完善等安全措施不力造成的事故责任和由此发生的费用，并对甲方及总承包的一切损失负责赔偿。</w:t>
      </w:r>
    </w:p>
    <w:p w14:paraId="31E544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2.2当发生生产安全事故时，不论是否乙方原因，都须立即（自事故发生起不超过5分钟）通知甲方，不得迟报、瞒报、漏报事故，否则由乙方承担全部事故责任，由于乙方未按照要求报告事故，并且未采取任何措施，造成事故影响扩大，由乙方承担全部事故责任。</w:t>
      </w:r>
    </w:p>
    <w:p w14:paraId="437CA0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 xml:space="preserve">.2.3当发生生产安全事故时，不论是否乙方原因，向甲方报告事故后，由甲方按有关规定处理，乙方应无条件配合事故善后处理，发生的费用由责任乙方负责。 </w:t>
      </w:r>
    </w:p>
    <w:p w14:paraId="1F3338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.2.4当发生生产安全事故时，乙方应当妥善保护事故现场以及相关证据，不得破坏事故现场、毁灭相关证据，否则由乙方承担全部事故责任。</w:t>
      </w:r>
    </w:p>
    <w:p w14:paraId="0AF8B8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.2.5对乙方所属人员或与乙方有关联的外来单位如供货商等出现的伤亡、事故、损失，乙方应自行承担赔偿、诉讼等全部责任，且甲方及总承包都有权就物资损坏、声誉败坏等方面行使追索赔偿的权利。</w:t>
      </w:r>
    </w:p>
    <w:p w14:paraId="02BBEF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.3 安全用品</w:t>
      </w:r>
    </w:p>
    <w:p w14:paraId="7ECDA5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乙方统一采购施工现场特种劳动防护用品（包括三宝一器：安全帽、安全带、安全网，漏触电保护器），必要时还应配备面罩、眼罩、护耳器及其它的劳动防护用品，并由乙方统一发放、统一管理；负责操作面、公共区域防护措施的人工、与材料投入。</w:t>
      </w:r>
    </w:p>
    <w:p w14:paraId="325C98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.4文明施工</w:t>
      </w:r>
    </w:p>
    <w:p w14:paraId="25462C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4.1保证施工场地清洁符合当地主管部门管理的有关规定，交工前清理现场，达到甲方及总承包对现场约定的要求，并承担因自身原因违反有关规定所造成的损失和处罚。所有的材料、设备、机具等须按甲方及总承包下发之场地统一布置平面图堆码、放置，不得擅自改变其建筑功能和使用布局；</w:t>
      </w:r>
    </w:p>
    <w:p w14:paraId="1027AD8F">
      <w:pPr>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4.2严格遵守国家、省、市有关防火、防爆和安全施工与文明施工、夜间施工、环境保护等规定，严格遵守积极响应甲方及总承包基于上述方面考虑建立的规章制度和防范措施，并承担由于自身措施不力造成的事故责任和发生的费用支付；</w:t>
      </w:r>
    </w:p>
    <w:p w14:paraId="5D3A11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4.3本合同存续期间，工人生活区在内的道路、施工场地、作业面等按甲方及总承包划定的责任区一经移交给乙方，乙方即对该区域负管理责任，乙方需保证上述场所整洁、清爽，并做好迎接检查、宣传美化等工作；</w:t>
      </w:r>
    </w:p>
    <w:p w14:paraId="17B891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.4.4乙方施工时须对施工场地范围内的市政设施、管线沟槽进行保护，如因乙方原因发生损坏，乙方应免费修复；</w:t>
      </w:r>
    </w:p>
    <w:p w14:paraId="1EBA38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.4.5乙方应遵从甲方及总承包的统一安排，包括统一着装（如反光背心等，其费用由乙方支付）；</w:t>
      </w:r>
    </w:p>
    <w:p w14:paraId="690325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.4.6乙方应遵纪守法并遵守甲方及总承包制定的各项规章制度，严禁携带家属或小孩进入施工现场及生活区；</w:t>
      </w:r>
    </w:p>
    <w:p w14:paraId="38CD0B99">
      <w:pPr>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.4.7工人生活区严禁乙方工人私自接电线、插座、电炉，乙方工人应注意节约用水用电；</w:t>
      </w:r>
    </w:p>
    <w:p w14:paraId="2D42D1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.4.8乙方自行负责工人的劳保用品、劳保福利及因自身原因造成施工过程中工伤事故处理的一切费用；</w:t>
      </w:r>
    </w:p>
    <w:p w14:paraId="7763BC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.4.</w:t>
      </w:r>
      <w:r>
        <w:rPr>
          <w:rFonts w:ascii="宋体" w:hAnsi="宋体"/>
          <w:color w:val="auto"/>
          <w:szCs w:val="21"/>
          <w:highlight w:val="none"/>
        </w:rPr>
        <w:t>9</w:t>
      </w:r>
      <w:r>
        <w:rPr>
          <w:rFonts w:hint="eastAsia" w:ascii="宋体" w:hAnsi="宋体"/>
          <w:color w:val="auto"/>
          <w:szCs w:val="21"/>
          <w:highlight w:val="none"/>
        </w:rPr>
        <w:t>为促使乙方确实做好安全防护与工人教育工作，在整个合同关系存系期间凡发生一起重大</w:t>
      </w:r>
      <w:bookmarkStart w:id="113" w:name="_Hlk107927480"/>
      <w:r>
        <w:rPr>
          <w:rFonts w:hint="eastAsia" w:ascii="宋体" w:hAnsi="宋体"/>
          <w:color w:val="auto"/>
          <w:szCs w:val="21"/>
          <w:highlight w:val="none"/>
        </w:rPr>
        <w:t>伤亡或机械事故，或是一起聚众闹事事件，相关责任方将承担违约责任；</w:t>
      </w:r>
    </w:p>
    <w:bookmarkEnd w:id="113"/>
    <w:p w14:paraId="48360D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.5以上1</w:t>
      </w:r>
      <w:r>
        <w:rPr>
          <w:rFonts w:ascii="宋体" w:hAnsi="宋体"/>
          <w:color w:val="auto"/>
          <w:szCs w:val="21"/>
          <w:highlight w:val="none"/>
        </w:rPr>
        <w:t>0</w:t>
      </w:r>
      <w:r>
        <w:rPr>
          <w:rFonts w:hint="eastAsia" w:ascii="宋体" w:hAnsi="宋体"/>
          <w:color w:val="auto"/>
          <w:szCs w:val="21"/>
          <w:highlight w:val="none"/>
        </w:rPr>
        <w:t>.1-1</w:t>
      </w:r>
      <w:r>
        <w:rPr>
          <w:rFonts w:ascii="宋体" w:hAnsi="宋体"/>
          <w:color w:val="auto"/>
          <w:szCs w:val="21"/>
          <w:highlight w:val="none"/>
        </w:rPr>
        <w:t>0</w:t>
      </w:r>
      <w:r>
        <w:rPr>
          <w:rFonts w:hint="eastAsia" w:ascii="宋体" w:hAnsi="宋体"/>
          <w:color w:val="auto"/>
          <w:szCs w:val="21"/>
          <w:highlight w:val="none"/>
        </w:rPr>
        <w:t>.4条所述内容的费用均已包含在合同总费用内，如乙方不能认真完成，将根据具体情况予以扣罚。</w:t>
      </w:r>
    </w:p>
    <w:bookmarkEnd w:id="110"/>
    <w:bookmarkEnd w:id="112"/>
    <w:p w14:paraId="564D7D1D">
      <w:pPr>
        <w:pStyle w:val="97"/>
        <w:ind w:firstLine="422"/>
        <w:rPr>
          <w:color w:val="auto"/>
          <w:highlight w:val="none"/>
        </w:rPr>
      </w:pPr>
      <w:bookmarkStart w:id="114" w:name="_Toc180591479"/>
      <w:bookmarkStart w:id="115" w:name="_Toc84333714"/>
      <w:r>
        <w:rPr>
          <w:rFonts w:hint="eastAsia"/>
          <w:color w:val="auto"/>
          <w:highlight w:val="none"/>
        </w:rPr>
        <w:t>第</w:t>
      </w:r>
      <w:r>
        <w:rPr>
          <w:color w:val="auto"/>
          <w:highlight w:val="none"/>
        </w:rPr>
        <w:t>11</w:t>
      </w:r>
      <w:r>
        <w:rPr>
          <w:rFonts w:hint="eastAsia"/>
          <w:color w:val="auto"/>
          <w:highlight w:val="none"/>
        </w:rPr>
        <w:t>条  材料设备供应</w:t>
      </w:r>
      <w:bookmarkEnd w:id="114"/>
      <w:bookmarkEnd w:id="115"/>
      <w:r>
        <w:rPr>
          <w:rFonts w:hint="eastAsia"/>
          <w:color w:val="auto"/>
          <w:highlight w:val="none"/>
        </w:rPr>
        <w:t xml:space="preserve"> </w:t>
      </w:r>
    </w:p>
    <w:p w14:paraId="75C5B034">
      <w:pPr>
        <w:widowControl/>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.1甲方供应的材料设备</w:t>
      </w:r>
    </w:p>
    <w:p w14:paraId="3C059F98">
      <w:pPr>
        <w:widowControl/>
        <w:spacing w:line="360" w:lineRule="auto"/>
        <w:ind w:firstLine="420" w:firstLineChars="200"/>
        <w:rPr>
          <w:rFonts w:ascii="宋体" w:hAnsi="宋体"/>
          <w:color w:val="auto"/>
          <w:szCs w:val="21"/>
          <w:highlight w:val="none"/>
          <w:u w:val="single"/>
        </w:rPr>
      </w:pPr>
      <w:bookmarkStart w:id="116" w:name="_Hlk101371681"/>
      <w:r>
        <w:rPr>
          <w:rFonts w:hint="eastAsia" w:ascii="宋体" w:hAnsi="宋体"/>
          <w:bCs/>
          <w:color w:val="auto"/>
          <w:szCs w:val="21"/>
          <w:highlight w:val="none"/>
        </w:rPr>
        <w:t>1</w:t>
      </w:r>
      <w:r>
        <w:rPr>
          <w:rFonts w:ascii="宋体" w:hAnsi="宋体"/>
          <w:bCs/>
          <w:color w:val="auto"/>
          <w:szCs w:val="21"/>
          <w:highlight w:val="none"/>
        </w:rPr>
        <w:t>1</w:t>
      </w:r>
      <w:r>
        <w:rPr>
          <w:rFonts w:hint="eastAsia" w:ascii="宋体" w:hAnsi="宋体"/>
          <w:bCs/>
          <w:color w:val="auto"/>
          <w:szCs w:val="21"/>
          <w:highlight w:val="none"/>
        </w:rPr>
        <w:t>.1.1甲供设备：</w:t>
      </w:r>
      <w:r>
        <w:rPr>
          <w:rFonts w:hint="eastAsia" w:ascii="宋体" w:hAnsi="宋体"/>
          <w:bCs/>
          <w:color w:val="auto"/>
          <w:szCs w:val="21"/>
          <w:highlight w:val="none"/>
          <w:u w:val="single"/>
        </w:rPr>
        <w:t>甲方不提供任何设备</w:t>
      </w:r>
      <w:r>
        <w:rPr>
          <w:rFonts w:hint="eastAsia" w:ascii="宋体" w:hAnsi="宋体"/>
          <w:color w:val="auto"/>
          <w:szCs w:val="21"/>
          <w:highlight w:val="none"/>
          <w:u w:val="single"/>
        </w:rPr>
        <w:t>；</w:t>
      </w:r>
      <w:bookmarkEnd w:id="116"/>
      <w:bookmarkStart w:id="117" w:name="_Hlk101290113"/>
      <w:bookmarkStart w:id="118" w:name="_Hlk107862164"/>
      <w:bookmarkStart w:id="119" w:name="_Hlk107928838"/>
      <w:bookmarkStart w:id="120" w:name="_Hlk107930482"/>
      <w:bookmarkStart w:id="121" w:name="_Hlk107942305"/>
      <w:bookmarkStart w:id="122" w:name="_Hlk107945227"/>
    </w:p>
    <w:p w14:paraId="3EC868DB">
      <w:pPr>
        <w:widowControl/>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w:t>
      </w:r>
      <w:r>
        <w:rPr>
          <w:rFonts w:ascii="宋体" w:hAnsi="宋体"/>
          <w:bCs/>
          <w:color w:val="auto"/>
          <w:szCs w:val="21"/>
          <w:highlight w:val="none"/>
        </w:rPr>
        <w:t>1</w:t>
      </w:r>
      <w:r>
        <w:rPr>
          <w:rFonts w:hint="eastAsia" w:ascii="宋体" w:hAnsi="宋体"/>
          <w:bCs/>
          <w:color w:val="auto"/>
          <w:szCs w:val="21"/>
          <w:highlight w:val="none"/>
        </w:rPr>
        <w:t>.1.</w:t>
      </w:r>
      <w:r>
        <w:rPr>
          <w:rFonts w:ascii="宋体" w:hAnsi="宋体"/>
          <w:bCs/>
          <w:color w:val="auto"/>
          <w:szCs w:val="21"/>
          <w:highlight w:val="none"/>
        </w:rPr>
        <w:t>2</w:t>
      </w:r>
      <w:r>
        <w:rPr>
          <w:rFonts w:hint="eastAsia" w:ascii="宋体" w:hAnsi="宋体"/>
          <w:bCs/>
          <w:color w:val="auto"/>
          <w:szCs w:val="21"/>
          <w:highlight w:val="none"/>
        </w:rPr>
        <w:t>甲供材料：</w:t>
      </w:r>
      <w:r>
        <w:rPr>
          <w:rFonts w:hint="eastAsia" w:ascii="宋体" w:hAnsi="宋体"/>
          <w:bCs/>
          <w:color w:val="auto"/>
          <w:szCs w:val="21"/>
          <w:highlight w:val="none"/>
          <w:u w:val="single"/>
        </w:rPr>
        <w:t>甲方不提供任何材料。</w:t>
      </w:r>
    </w:p>
    <w:bookmarkEnd w:id="117"/>
    <w:bookmarkEnd w:id="118"/>
    <w:p w14:paraId="296B5CD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11.2乙方供应的材料设备</w:t>
      </w:r>
    </w:p>
    <w:p w14:paraId="16D5A8A8">
      <w:pPr>
        <w:widowControl/>
        <w:spacing w:line="360" w:lineRule="auto"/>
        <w:ind w:firstLine="630" w:firstLineChars="300"/>
        <w:rPr>
          <w:rFonts w:ascii="宋体" w:hAnsi="宋体"/>
          <w:color w:val="auto"/>
          <w:szCs w:val="21"/>
          <w:highlight w:val="none"/>
        </w:rPr>
      </w:pPr>
      <w:bookmarkStart w:id="123" w:name="_Hlk101208824"/>
      <w:r>
        <w:rPr>
          <w:rFonts w:hint="eastAsia" w:ascii="宋体" w:hAnsi="宋体"/>
          <w:bCs/>
          <w:color w:val="auto"/>
          <w:szCs w:val="21"/>
          <w:highlight w:val="none"/>
        </w:rPr>
        <w:t>11.2.1乙供材料设备：</w:t>
      </w:r>
      <w:bookmarkStart w:id="124" w:name="_Hlk100856858"/>
      <w:bookmarkStart w:id="125" w:name="_Hlk101202020"/>
      <w:r>
        <w:rPr>
          <w:rFonts w:hint="eastAsia" w:ascii="宋体" w:hAnsi="宋体"/>
          <w:color w:val="auto"/>
          <w:szCs w:val="21"/>
          <w:highlight w:val="none"/>
          <w:u w:val="single"/>
        </w:rPr>
        <w:t>所有材料、设备均由乙方</w:t>
      </w:r>
      <w:bookmarkEnd w:id="124"/>
      <w:r>
        <w:rPr>
          <w:rFonts w:hint="eastAsia" w:ascii="宋体" w:hAnsi="宋体"/>
          <w:color w:val="auto"/>
          <w:szCs w:val="21"/>
          <w:highlight w:val="none"/>
          <w:u w:val="single"/>
        </w:rPr>
        <w:t>购置</w:t>
      </w:r>
      <w:bookmarkEnd w:id="125"/>
      <w:r>
        <w:rPr>
          <w:rFonts w:hint="eastAsia" w:ascii="宋体" w:hAnsi="宋体"/>
          <w:color w:val="auto"/>
          <w:szCs w:val="21"/>
          <w:highlight w:val="none"/>
          <w:u w:val="single"/>
        </w:rPr>
        <w:t>，</w:t>
      </w:r>
      <w:r>
        <w:rPr>
          <w:rFonts w:hint="eastAsia" w:ascii="宋体" w:hAnsi="宋体"/>
          <w:color w:val="auto"/>
          <w:szCs w:val="21"/>
          <w:highlight w:val="none"/>
          <w:u w:val="single"/>
        </w:rPr>
        <w:t>但所有购置材料清单需书面提交甲方审核，经甲方同意后乙方才能购置，进入施工现场；若没经甲方同意的材料进入施工现场的，乙方无条件将此材料运走并承包相应的违约责任。</w:t>
      </w:r>
    </w:p>
    <w:bookmarkEnd w:id="123"/>
    <w:p w14:paraId="1DB3F4DF">
      <w:pPr>
        <w:widowControl/>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11.2.2</w:t>
      </w:r>
      <w:r>
        <w:rPr>
          <w:rFonts w:hint="eastAsia" w:ascii="宋体" w:hAnsi="宋体"/>
          <w:color w:val="auto"/>
          <w:szCs w:val="21"/>
          <w:highlight w:val="none"/>
        </w:rPr>
        <w:t>乙方采购的材料应符合设计和规范要求，提供产品合格证明，对质量负责；</w:t>
      </w:r>
    </w:p>
    <w:p w14:paraId="1BC5DF90">
      <w:pPr>
        <w:widowControl/>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11.2.3</w:t>
      </w:r>
      <w:r>
        <w:rPr>
          <w:rFonts w:hint="eastAsia" w:ascii="宋体" w:hAnsi="宋体"/>
          <w:color w:val="auto"/>
          <w:szCs w:val="21"/>
          <w:highlight w:val="none"/>
        </w:rPr>
        <w:t>乙方须负责材料的检验或试验工作，并承担其费用；乙方采购的材料与设计或标准要求不符时，须重新采购，其费用自理，延误的工期不予顺延；</w:t>
      </w:r>
    </w:p>
    <w:p w14:paraId="111E54E8">
      <w:pPr>
        <w:widowControl/>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11.2.4</w:t>
      </w:r>
      <w:r>
        <w:rPr>
          <w:rFonts w:hint="eastAsia" w:ascii="宋体" w:hAnsi="宋体"/>
          <w:color w:val="auto"/>
          <w:szCs w:val="21"/>
          <w:highlight w:val="none"/>
        </w:rPr>
        <w:t>乙方不得以任何理由拒绝采购合同约定应由其采购的材料，否则甲方将处以该材料价款</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2</w:t>
      </w:r>
      <w:r>
        <w:rPr>
          <w:rFonts w:hint="eastAsia" w:ascii="宋体" w:hAnsi="宋体"/>
          <w:color w:val="auto"/>
          <w:szCs w:val="21"/>
          <w:highlight w:val="none"/>
        </w:rPr>
        <w:t>倍的违约金；</w:t>
      </w:r>
    </w:p>
    <w:p w14:paraId="53AC0798">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w:t>
      </w:r>
      <w:r>
        <w:rPr>
          <w:rFonts w:ascii="宋体" w:hAnsi="宋体"/>
          <w:color w:val="auto"/>
          <w:szCs w:val="21"/>
          <w:highlight w:val="none"/>
        </w:rPr>
        <w:t>5</w:t>
      </w:r>
      <w:r>
        <w:rPr>
          <w:rFonts w:hint="eastAsia" w:ascii="宋体" w:hAnsi="宋体"/>
          <w:color w:val="auto"/>
          <w:szCs w:val="21"/>
          <w:highlight w:val="none"/>
        </w:rPr>
        <w:t xml:space="preserve"> 凡乙方自行采购的物资，均由乙方以自己的名义签订合同，自行结账付款，甲方有权监督，如果发生合同纠纷或法律责任均由乙方承担。在乙方拒不及时支付货款时，甲方有权在乙方工程款中扣除货款部分直接支付给材料供应商，乙方无条件接受；</w:t>
      </w:r>
    </w:p>
    <w:bookmarkEnd w:id="119"/>
    <w:bookmarkEnd w:id="120"/>
    <w:bookmarkEnd w:id="121"/>
    <w:p w14:paraId="7738366C">
      <w:pPr>
        <w:pStyle w:val="97"/>
        <w:ind w:firstLine="422"/>
        <w:rPr>
          <w:color w:val="auto"/>
          <w:highlight w:val="none"/>
        </w:rPr>
      </w:pPr>
      <w:bookmarkStart w:id="126" w:name="_Toc84333715"/>
      <w:bookmarkStart w:id="127" w:name="_Toc180591480"/>
      <w:bookmarkStart w:id="128" w:name="_Toc102402656"/>
      <w:bookmarkStart w:id="129" w:name="_Hlk107862192"/>
      <w:r>
        <w:rPr>
          <w:rFonts w:hint="eastAsia"/>
          <w:color w:val="auto"/>
          <w:highlight w:val="none"/>
        </w:rPr>
        <w:t>第</w:t>
      </w:r>
      <w:r>
        <w:rPr>
          <w:color w:val="auto"/>
          <w:highlight w:val="none"/>
        </w:rPr>
        <w:t>12</w:t>
      </w:r>
      <w:r>
        <w:rPr>
          <w:rFonts w:hint="eastAsia"/>
          <w:color w:val="auto"/>
          <w:highlight w:val="none"/>
        </w:rPr>
        <w:t>条  临时设施</w:t>
      </w:r>
      <w:bookmarkEnd w:id="126"/>
      <w:bookmarkEnd w:id="127"/>
      <w:bookmarkEnd w:id="128"/>
    </w:p>
    <w:p w14:paraId="428CD262">
      <w:pPr>
        <w:spacing w:line="360" w:lineRule="auto"/>
        <w:ind w:firstLine="420" w:firstLineChars="200"/>
        <w:rPr>
          <w:rFonts w:ascii="宋体" w:hAnsi="宋体"/>
          <w:color w:val="auto"/>
          <w:szCs w:val="21"/>
          <w:highlight w:val="none"/>
        </w:rPr>
      </w:pPr>
      <w:bookmarkStart w:id="130" w:name="_Hlk101209046"/>
      <w:bookmarkStart w:id="131" w:name="_Hlk101290238"/>
      <w:r>
        <w:rPr>
          <w:rFonts w:hint="eastAsia" w:ascii="宋体" w:hAnsi="宋体"/>
          <w:color w:val="auto"/>
          <w:szCs w:val="21"/>
          <w:highlight w:val="none"/>
        </w:rPr>
        <w:t>12.1甲方提供的临时设施</w:t>
      </w:r>
    </w:p>
    <w:p w14:paraId="2F6FCA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12.1.1甲方提供的临时设施：</w:t>
      </w:r>
    </w:p>
    <w:p w14:paraId="6EC7B677">
      <w:pPr>
        <w:spacing w:line="360" w:lineRule="auto"/>
        <w:ind w:firstLine="420" w:firstLineChars="200"/>
        <w:rPr>
          <w:rFonts w:ascii="宋体" w:hAnsi="宋体"/>
          <w:color w:val="auto"/>
          <w:szCs w:val="21"/>
          <w:highlight w:val="none"/>
        </w:rPr>
      </w:pPr>
      <w:r>
        <w:rPr>
          <w:rFonts w:ascii="宋体" w:hAnsi="宋体"/>
          <w:color w:val="auto"/>
          <w:szCs w:val="21"/>
          <w:highlight w:val="none"/>
        </w:rPr>
        <w:t>(1)甲方</w:t>
      </w:r>
      <w:r>
        <w:rPr>
          <w:rFonts w:hint="eastAsia" w:ascii="宋体" w:hAnsi="宋体"/>
          <w:color w:val="auto"/>
          <w:szCs w:val="21"/>
          <w:highlight w:val="none"/>
        </w:rPr>
        <w:t>协调总承包提供供</w:t>
      </w:r>
      <w:bookmarkEnd w:id="130"/>
      <w:r>
        <w:rPr>
          <w:rFonts w:hint="eastAsia" w:ascii="宋体" w:hAnsi="宋体"/>
          <w:color w:val="auto"/>
          <w:szCs w:val="21"/>
          <w:highlight w:val="none"/>
        </w:rPr>
        <w:t>水和供电接驳点，水费和电费由乙方自负。</w:t>
      </w:r>
    </w:p>
    <w:p w14:paraId="7EAFD60F">
      <w:pPr>
        <w:spacing w:line="360" w:lineRule="auto"/>
        <w:ind w:firstLine="420" w:firstLineChars="200"/>
        <w:rPr>
          <w:rFonts w:ascii="宋体" w:hAnsi="宋体"/>
          <w:color w:val="auto"/>
          <w:szCs w:val="21"/>
          <w:highlight w:val="none"/>
        </w:rPr>
      </w:pPr>
      <w:r>
        <w:rPr>
          <w:rFonts w:ascii="宋体" w:hAnsi="宋体"/>
          <w:color w:val="auto"/>
          <w:szCs w:val="21"/>
          <w:highlight w:val="none"/>
        </w:rPr>
        <w:t>12.2乙方提供的临时设施</w:t>
      </w:r>
    </w:p>
    <w:p w14:paraId="3AB3EDC4">
      <w:pPr>
        <w:spacing w:line="360" w:lineRule="auto"/>
        <w:ind w:firstLine="420" w:firstLineChars="200"/>
        <w:rPr>
          <w:rFonts w:ascii="宋体" w:hAnsi="宋体"/>
          <w:color w:val="auto"/>
          <w:szCs w:val="21"/>
          <w:highlight w:val="none"/>
        </w:rPr>
      </w:pPr>
      <w:r>
        <w:rPr>
          <w:rFonts w:ascii="宋体" w:hAnsi="宋体"/>
          <w:color w:val="auto"/>
          <w:szCs w:val="21"/>
          <w:highlight w:val="none"/>
        </w:rPr>
        <w:t>12.2.1</w:t>
      </w:r>
      <w:r>
        <w:rPr>
          <w:rFonts w:hint="eastAsia" w:ascii="宋体" w:hAnsi="宋体"/>
          <w:color w:val="auto"/>
          <w:szCs w:val="21"/>
          <w:highlight w:val="none"/>
        </w:rPr>
        <w:t>乙方自行负责管理人员及工人提供临时生活设施及宿舍等；</w:t>
      </w:r>
    </w:p>
    <w:p w14:paraId="23B55CD5">
      <w:pPr>
        <w:spacing w:line="360" w:lineRule="auto"/>
        <w:ind w:firstLine="420" w:firstLineChars="200"/>
        <w:rPr>
          <w:rFonts w:ascii="宋体" w:hAnsi="宋体"/>
          <w:color w:val="auto"/>
          <w:szCs w:val="21"/>
          <w:highlight w:val="none"/>
        </w:rPr>
      </w:pPr>
      <w:r>
        <w:rPr>
          <w:rFonts w:ascii="宋体" w:hAnsi="宋体"/>
          <w:color w:val="auto"/>
          <w:szCs w:val="21"/>
          <w:highlight w:val="none"/>
        </w:rPr>
        <w:t>12.2.2</w:t>
      </w:r>
      <w:r>
        <w:rPr>
          <w:rFonts w:hint="eastAsia" w:ascii="宋体" w:hAnsi="宋体"/>
          <w:color w:val="auto"/>
          <w:szCs w:val="21"/>
          <w:highlight w:val="none"/>
        </w:rPr>
        <w:t>施工现场用水接驳点以外的伐门、弯头、水泵、水箱等；</w:t>
      </w:r>
    </w:p>
    <w:p w14:paraId="7FB72F0B">
      <w:pPr>
        <w:spacing w:line="360" w:lineRule="auto"/>
        <w:ind w:firstLine="420" w:firstLineChars="200"/>
        <w:rPr>
          <w:rFonts w:ascii="宋体" w:hAnsi="宋体"/>
          <w:color w:val="auto"/>
          <w:szCs w:val="21"/>
          <w:highlight w:val="none"/>
        </w:rPr>
      </w:pPr>
      <w:r>
        <w:rPr>
          <w:rFonts w:ascii="宋体" w:hAnsi="宋体"/>
          <w:color w:val="auto"/>
          <w:szCs w:val="21"/>
          <w:highlight w:val="none"/>
        </w:rPr>
        <w:t>12.2.3</w:t>
      </w:r>
      <w:r>
        <w:rPr>
          <w:rFonts w:hint="eastAsia" w:ascii="宋体" w:hAnsi="宋体"/>
          <w:color w:val="auto"/>
          <w:szCs w:val="21"/>
          <w:highlight w:val="none"/>
        </w:rPr>
        <w:t>施工现场用电接驳点以后的临时用电设施等；</w:t>
      </w:r>
    </w:p>
    <w:p w14:paraId="3194A6C4">
      <w:pPr>
        <w:spacing w:line="360" w:lineRule="auto"/>
        <w:ind w:firstLine="420" w:firstLineChars="200"/>
        <w:rPr>
          <w:rFonts w:ascii="宋体" w:hAnsi="宋体"/>
          <w:color w:val="auto"/>
          <w:szCs w:val="21"/>
          <w:highlight w:val="none"/>
        </w:rPr>
      </w:pPr>
      <w:r>
        <w:rPr>
          <w:rFonts w:ascii="宋体" w:hAnsi="宋体"/>
          <w:color w:val="auto"/>
          <w:szCs w:val="21"/>
          <w:highlight w:val="none"/>
        </w:rPr>
        <w:t>13.2.4</w:t>
      </w:r>
      <w:r>
        <w:rPr>
          <w:rFonts w:hint="eastAsia" w:ascii="宋体" w:hAnsi="宋体"/>
          <w:color w:val="auto"/>
          <w:szCs w:val="21"/>
          <w:highlight w:val="none"/>
        </w:rPr>
        <w:t>乙方可设置施工用仓库、加工棚等生产设施。</w:t>
      </w:r>
    </w:p>
    <w:p w14:paraId="2ECE8B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整个施工期间乙方负责免费提供临时设施的维护和维修。</w:t>
      </w:r>
    </w:p>
    <w:p w14:paraId="44BABBAF">
      <w:pPr>
        <w:pStyle w:val="101"/>
        <w:ind w:firstLine="420"/>
        <w:rPr>
          <w:color w:val="auto"/>
          <w:highlight w:val="none"/>
          <w:u w:val="none"/>
        </w:rPr>
      </w:pPr>
      <w:r>
        <w:rPr>
          <w:rFonts w:ascii="宋体" w:hAnsi="宋体"/>
          <w:color w:val="auto"/>
          <w:szCs w:val="21"/>
          <w:highlight w:val="none"/>
          <w:u w:val="none"/>
        </w:rPr>
        <w:t xml:space="preserve">12.3 </w:t>
      </w:r>
      <w:r>
        <w:rPr>
          <w:rFonts w:hint="eastAsia" w:ascii="宋体" w:hAnsi="宋体"/>
          <w:color w:val="auto"/>
          <w:szCs w:val="21"/>
          <w:highlight w:val="none"/>
          <w:u w:val="none"/>
        </w:rPr>
        <w:t>乙方应严格遵守总承包制订的《水电管理处罚条例》《工人宿舍管理条例》等有关制度。</w:t>
      </w:r>
      <w:bookmarkEnd w:id="122"/>
      <w:bookmarkEnd w:id="129"/>
      <w:bookmarkEnd w:id="131"/>
    </w:p>
    <w:p w14:paraId="4ABF099B">
      <w:pPr>
        <w:pStyle w:val="97"/>
        <w:ind w:firstLine="422"/>
        <w:rPr>
          <w:color w:val="auto"/>
          <w:highlight w:val="none"/>
        </w:rPr>
      </w:pPr>
      <w:bookmarkStart w:id="132" w:name="_Toc84333716"/>
      <w:bookmarkStart w:id="133" w:name="_Toc180591481"/>
      <w:r>
        <w:rPr>
          <w:rFonts w:hint="eastAsia"/>
          <w:color w:val="auto"/>
          <w:highlight w:val="none"/>
        </w:rPr>
        <w:t>第</w:t>
      </w:r>
      <w:r>
        <w:rPr>
          <w:color w:val="auto"/>
          <w:highlight w:val="none"/>
        </w:rPr>
        <w:t>13</w:t>
      </w:r>
      <w:r>
        <w:rPr>
          <w:rFonts w:hint="eastAsia"/>
          <w:color w:val="auto"/>
          <w:highlight w:val="none"/>
        </w:rPr>
        <w:t>条  造价</w:t>
      </w:r>
      <w:bookmarkEnd w:id="132"/>
      <w:bookmarkEnd w:id="133"/>
    </w:p>
    <w:p w14:paraId="1DE061C4">
      <w:pPr>
        <w:spacing w:line="360" w:lineRule="auto"/>
        <w:ind w:firstLine="420" w:firstLineChars="200"/>
        <w:rPr>
          <w:rFonts w:ascii="宋体" w:hAnsi="宋体"/>
          <w:color w:val="auto"/>
          <w:szCs w:val="21"/>
          <w:highlight w:val="none"/>
        </w:rPr>
      </w:pPr>
      <w:r>
        <w:rPr>
          <w:rFonts w:ascii="宋体" w:hAnsi="宋体"/>
          <w:color w:val="auto"/>
          <w:szCs w:val="21"/>
          <w:highlight w:val="none"/>
        </w:rPr>
        <w:t>13</w:t>
      </w:r>
      <w:r>
        <w:rPr>
          <w:rFonts w:hint="eastAsia" w:ascii="宋体" w:hAnsi="宋体"/>
          <w:color w:val="auto"/>
          <w:szCs w:val="21"/>
          <w:highlight w:val="none"/>
        </w:rPr>
        <w:t>.1 合同价款</w:t>
      </w:r>
    </w:p>
    <w:p w14:paraId="441369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.1.1合同总价</w:t>
      </w:r>
    </w:p>
    <w:p w14:paraId="4D4EA542">
      <w:pPr>
        <w:adjustRightInd w:val="0"/>
        <w:snapToGrid w:val="0"/>
        <w:spacing w:line="360" w:lineRule="auto"/>
        <w:ind w:firstLine="420" w:firstLineChars="200"/>
        <w:jc w:val="left"/>
        <w:rPr>
          <w:rFonts w:ascii="宋体" w:hAnsi="宋体"/>
          <w:color w:val="auto"/>
          <w:szCs w:val="21"/>
          <w:highlight w:val="none"/>
        </w:rPr>
      </w:pPr>
      <w:bookmarkStart w:id="134" w:name="_Hlk101366018"/>
      <w:r>
        <w:rPr>
          <w:rFonts w:hint="eastAsia" w:ascii="宋体" w:hAnsi="宋体"/>
          <w:color w:val="auto"/>
          <w:szCs w:val="21"/>
          <w:highlight w:val="none"/>
        </w:rPr>
        <w:t>合同总价暂定含增值税金额为人民币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元，本工程分两期完成，</w:t>
      </w:r>
      <w:r>
        <w:rPr>
          <w:rFonts w:ascii="宋体" w:hAnsi="宋体"/>
          <w:color w:val="auto"/>
          <w:kern w:val="0"/>
          <w:szCs w:val="21"/>
          <w:highlight w:val="none"/>
        </w:rPr>
        <w:t>第一期为F-5、F-6栋规划验收区域范围工程，暂定含增值税金额为人民币</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元，第二期为F-8、F-9、F-10、F-11栋规划验收区域范围工程，暂定含增值税金额为人民币</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szCs w:val="21"/>
          <w:highlight w:val="none"/>
        </w:rPr>
        <w:t>甲方有权按工程的实际施工情况将第二期分一次或两次施工，具体按甲方下发开工通知为准</w:t>
      </w:r>
      <w:r>
        <w:rPr>
          <w:rFonts w:ascii="宋体" w:hAnsi="宋体"/>
          <w:color w:val="auto"/>
          <w:szCs w:val="21"/>
          <w:highlight w:val="none"/>
        </w:rPr>
        <w:t>。</w:t>
      </w:r>
      <w:r>
        <w:rPr>
          <w:rFonts w:hint="eastAsia" w:ascii="宋体" w:hAnsi="宋体"/>
          <w:color w:val="auto"/>
          <w:szCs w:val="21"/>
          <w:highlight w:val="none"/>
        </w:rPr>
        <w:t>两期工程独</w:t>
      </w:r>
      <w:r>
        <w:rPr>
          <w:rFonts w:hint="eastAsia" w:ascii="宋体" w:hAnsi="宋体"/>
          <w:color w:val="auto"/>
          <w:szCs w:val="21"/>
          <w:highlight w:val="none"/>
        </w:rPr>
        <w:t>立支付工程款</w:t>
      </w:r>
      <w:r>
        <w:rPr>
          <w:rFonts w:hint="eastAsia" w:ascii="宋体" w:hAnsi="宋体"/>
          <w:color w:val="auto"/>
          <w:szCs w:val="21"/>
          <w:highlight w:val="none"/>
        </w:rPr>
        <w:t>。</w:t>
      </w:r>
    </w:p>
    <w:p w14:paraId="37C72B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所涉及的所有分项工程均为包工、包料、包质量、包工期、包安全与文明施工、包税费的综合单价包干，在合同实施过程中不发生与述及工程有关的任何签证。甲乙双方对本合同所有条款已充分理解，深刻领会，并一致同意按本合同附件二的《工程量清单计价表》单价进行结算,</w:t>
      </w:r>
      <w:bookmarkStart w:id="135" w:name="_Hlk101291310"/>
      <w:r>
        <w:rPr>
          <w:rFonts w:hint="eastAsia" w:ascii="宋体" w:hAnsi="宋体"/>
          <w:color w:val="auto"/>
          <w:szCs w:val="21"/>
          <w:highlight w:val="none"/>
        </w:rPr>
        <w:t>工程量按实计算，最终以甲方造价服务单位《审核报告》为准</w:t>
      </w:r>
      <w:bookmarkEnd w:id="135"/>
      <w:r>
        <w:rPr>
          <w:rFonts w:hint="eastAsia" w:ascii="宋体" w:hAnsi="宋体"/>
          <w:color w:val="auto"/>
          <w:szCs w:val="21"/>
          <w:highlight w:val="none"/>
        </w:rPr>
        <w:t>。</w:t>
      </w:r>
      <w:bookmarkEnd w:id="134"/>
      <w:r>
        <w:rPr>
          <w:rFonts w:hint="eastAsia" w:ascii="宋体" w:hAnsi="宋体"/>
          <w:color w:val="auto"/>
          <w:szCs w:val="21"/>
          <w:highlight w:val="none"/>
        </w:rPr>
        <w:t>两期工程独</w:t>
      </w:r>
      <w:r>
        <w:rPr>
          <w:rFonts w:hint="eastAsia" w:ascii="宋体" w:hAnsi="宋体"/>
          <w:color w:val="auto"/>
          <w:szCs w:val="21"/>
          <w:highlight w:val="none"/>
        </w:rPr>
        <w:t>立支付工程款</w:t>
      </w:r>
      <w:r>
        <w:rPr>
          <w:rFonts w:hint="eastAsia" w:ascii="宋体" w:hAnsi="宋体"/>
          <w:color w:val="auto"/>
          <w:szCs w:val="21"/>
          <w:highlight w:val="none"/>
        </w:rPr>
        <w:t>。</w:t>
      </w:r>
    </w:p>
    <w:p w14:paraId="6ECEB0A8">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.1.2</w:t>
      </w:r>
      <w:r>
        <w:rPr>
          <w:rFonts w:hint="eastAsia" w:ascii="宋体" w:hAnsi="宋体"/>
          <w:bCs/>
          <w:color w:val="auto"/>
          <w:szCs w:val="21"/>
          <w:highlight w:val="none"/>
        </w:rPr>
        <w:t>除本合同另有约定已包括乙方的工作内容外，</w:t>
      </w:r>
      <w:r>
        <w:rPr>
          <w:rFonts w:ascii="宋体" w:hAnsi="宋体"/>
          <w:color w:val="auto"/>
          <w:szCs w:val="21"/>
          <w:highlight w:val="none"/>
        </w:rPr>
        <w:t>本合同约定</w:t>
      </w:r>
      <w:r>
        <w:rPr>
          <w:rFonts w:hint="eastAsia" w:ascii="宋体" w:hAnsi="宋体"/>
          <w:color w:val="auto"/>
          <w:szCs w:val="21"/>
          <w:highlight w:val="none"/>
        </w:rPr>
        <w:t>的价款</w:t>
      </w:r>
      <w:r>
        <w:rPr>
          <w:rFonts w:hint="eastAsia" w:ascii="宋体" w:hAnsi="宋体"/>
          <w:bCs/>
          <w:color w:val="auto"/>
          <w:szCs w:val="21"/>
          <w:highlight w:val="none"/>
        </w:rPr>
        <w:t>还包括下列内容或费用：</w:t>
      </w:r>
    </w:p>
    <w:p w14:paraId="0A5C2029">
      <w:pPr>
        <w:widowControl/>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本合同约定由乙方应履行的各项义务和承担的责任；</w:t>
      </w:r>
    </w:p>
    <w:p w14:paraId="0B4A7394">
      <w:pPr>
        <w:widowControl/>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已包括了本合同约定工程图纸的全部内容；</w:t>
      </w:r>
    </w:p>
    <w:p w14:paraId="4240AE76">
      <w:pPr>
        <w:widowControl/>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已包括了为完成上述本工程所必须的附属工程和临时工程、人工费、材料费、机械费（包括机械动力费）、机械进退场费、水电费、管理费等综合费以及各类地方规费、利润、税金；包括了乙方劳保费、医疗费、人员调迁费、工伤亡补贴（救助）费、疫情防控费用、各类保险费用（含由乙方为参与本工程施工的职工应由乙方向地方有关部门缴纳的工伤、养老、医疗、失业等各类保险费用和个人应纳的各类保险费用）；包括乙方所有人员的现场生活费用、现场生活设施费用；包括乙方的警卫、为现场职工的服务等的现场管理费用；</w:t>
      </w:r>
    </w:p>
    <w:p w14:paraId="4671B976">
      <w:pPr>
        <w:widowControl/>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（4）</w:t>
      </w:r>
      <w:r>
        <w:rPr>
          <w:rFonts w:hint="eastAsia" w:ascii="宋体" w:hAnsi="宋体"/>
          <w:bCs/>
          <w:color w:val="auto"/>
          <w:szCs w:val="21"/>
          <w:highlight w:val="none"/>
        </w:rPr>
        <w:t>已包括了同其它分部分项（专业）工程的配合、并为其提供便利条件、相互协调以及本工程因图纸设计变更、暂停施工、工序交接、工程验收、自然条件影响等原因，造成乙方人员窝工、机械台班停滞、乙方赶工等费用；</w:t>
      </w:r>
    </w:p>
    <w:p w14:paraId="13E4C07B">
      <w:pPr>
        <w:widowControl/>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5）已包括了为达到本工程竣工验收条件，乙方施工组织、技术准备、施工，工程作业基础施工技术资料编制、编辑，并向工程甲方提交、配合工程甲方收集、整理、核实相关资料，配合监理、总承包、甲方进行验收等的费用； </w:t>
      </w:r>
    </w:p>
    <w:p w14:paraId="49B8F5A4">
      <w:pPr>
        <w:widowControl/>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（6）</w:t>
      </w:r>
      <w:r>
        <w:rPr>
          <w:rFonts w:hint="eastAsia" w:ascii="宋体" w:hAnsi="宋体"/>
          <w:bCs/>
          <w:color w:val="auto"/>
          <w:szCs w:val="21"/>
          <w:highlight w:val="none"/>
        </w:rPr>
        <w:t xml:space="preserve">已包括了该工程施工、安全维（围）护、现场杂物和垃圾的清理/堆放/外运、排污/排水、完成该工程所需的作业费用以及施工部位可能的超高、超距离作业降效费用； </w:t>
      </w:r>
    </w:p>
    <w:p w14:paraId="57B46EF1">
      <w:pPr>
        <w:widowControl/>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（7）</w:t>
      </w:r>
      <w:r>
        <w:rPr>
          <w:rFonts w:hint="eastAsia" w:ascii="宋体" w:hAnsi="宋体"/>
          <w:bCs/>
          <w:color w:val="auto"/>
          <w:szCs w:val="21"/>
          <w:highlight w:val="none"/>
        </w:rPr>
        <w:t>包括了乙方在工程现场为施工所需的任何物资的运输、装卸、堆放、领用、保管、二次倒运以及生产设施搭拆等的全部费用；</w:t>
      </w:r>
    </w:p>
    <w:p w14:paraId="4010EFA3">
      <w:pPr>
        <w:widowControl/>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（8）</w:t>
      </w:r>
      <w:r>
        <w:rPr>
          <w:rFonts w:hint="eastAsia" w:ascii="宋体" w:hAnsi="宋体"/>
          <w:bCs/>
          <w:color w:val="auto"/>
          <w:szCs w:val="21"/>
          <w:highlight w:val="none"/>
        </w:rPr>
        <w:t>包括了本工程实施过程中，乙方须接受地方政府有关部门的市场、安全保卫、交通、环保等的管理应缴纳的各类规费、行政事业性费用，以及为遵守总包合同、监理、甲方有关规定及程序所发生的费用；</w:t>
      </w:r>
    </w:p>
    <w:p w14:paraId="64C6231E">
      <w:pPr>
        <w:widowControl/>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9</w:t>
      </w:r>
      <w:r>
        <w:rPr>
          <w:rFonts w:hint="eastAsia" w:ascii="宋体" w:hAnsi="宋体"/>
          <w:bCs/>
          <w:color w:val="auto"/>
          <w:szCs w:val="21"/>
          <w:highlight w:val="none"/>
        </w:rPr>
        <w:t>）以下所述的安全文明施工费用已包含在综合单价中，不另行计取。</w:t>
      </w:r>
    </w:p>
    <w:p w14:paraId="203E2D1D">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1）安全防护用品费用：提供安全防护所用的材料；自行购置符合要求的安全帽，自行购买安全带；</w:t>
      </w:r>
    </w:p>
    <w:p w14:paraId="0C5564A4">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2）安全用电费用：施工安全用电，包括配电箱三级配电、两级保护装置；电气保护、安全照明设施；拖地电缆保护线槽。</w:t>
      </w:r>
    </w:p>
    <w:p w14:paraId="43029669">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3）乙方临时设施费：乙方自已的临时仓库、加工场、搅拌台、临时简易水池等的砌筑、搭设、拆除；</w:t>
      </w:r>
    </w:p>
    <w:p w14:paraId="555101C6">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4）夜间照明费：夜间照明设备、施工人员夜班补助、夜间施工劳动效率降低等；夜间固定照明灯具和临时可移动照明灯具的设置、拆除；</w:t>
      </w:r>
    </w:p>
    <w:p w14:paraId="1FBDFBA6">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5）材料二次搬运费：由于施工场地条件限制而发生的材料、成品、半成品等一次运输不能到达堆放地点，必须进行的二次或多次搬运；</w:t>
      </w:r>
    </w:p>
    <w:p w14:paraId="566BC64D">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6）雨季施工费：施工现场的防滑处理，对影响施工的雨水的清除；雨季施工时施工人员的劳动保护用品的提供；雨季施工劳动效率降低等。</w:t>
      </w:r>
    </w:p>
    <w:p w14:paraId="7FA35E3F">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7）已完工程保护费：在工程施工过程中，对已建成的地上、地下设施和建筑物进行遮盖、封闭、隔离等必要的保护措施；对已完工程及设备采取覆盖、包裹、封闭、隔离等必要的保护措施。</w:t>
      </w:r>
    </w:p>
    <w:p w14:paraId="396394C4">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8）文明施工：按甲方及总承包要求施工现场工完场清、材料堆码整齐。为迎接本工程施工期间各项检查的零星用工，铺设临时道路；</w:t>
      </w:r>
    </w:p>
    <w:p w14:paraId="3C4F0309">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9）洒水降尘，水泥和其它易飞场细颗粒建筑材料密闭存放或采取覆盖措施等；</w:t>
      </w:r>
    </w:p>
    <w:p w14:paraId="3E345653">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10）按甲方及总承包指令宣传黑板，悬挂/张贴宣传标语、口号、安全警示牌，布置现场灭火器；</w:t>
      </w:r>
    </w:p>
    <w:p w14:paraId="78E070C3">
      <w:pPr>
        <w:pStyle w:val="17"/>
        <w:spacing w:line="360" w:lineRule="auto"/>
        <w:ind w:firstLine="420" w:firstLineChars="200"/>
        <w:rPr>
          <w:rFonts w:hAnsi="宋体"/>
          <w:bCs/>
          <w:color w:val="auto"/>
          <w:szCs w:val="21"/>
          <w:highlight w:val="none"/>
        </w:rPr>
      </w:pPr>
      <w:r>
        <w:rPr>
          <w:rFonts w:hint="eastAsia" w:hAnsi="宋体"/>
          <w:bCs/>
          <w:color w:val="auto"/>
          <w:szCs w:val="21"/>
          <w:highlight w:val="none"/>
        </w:rPr>
        <w:t>11）其它合同中约定的安全文明施工及配合内容。</w:t>
      </w:r>
    </w:p>
    <w:p w14:paraId="5552D509">
      <w:pPr>
        <w:pStyle w:val="17"/>
        <w:spacing w:line="360" w:lineRule="auto"/>
        <w:ind w:firstLine="420" w:firstLineChars="200"/>
        <w:rPr>
          <w:color w:val="auto"/>
          <w:highlight w:val="none"/>
        </w:rPr>
      </w:pPr>
      <w:r>
        <w:rPr>
          <w:rFonts w:hint="eastAsia" w:hAnsi="宋体"/>
          <w:color w:val="auto"/>
          <w:szCs w:val="21"/>
          <w:highlight w:val="none"/>
        </w:rPr>
        <w:t>（</w:t>
      </w:r>
      <w:r>
        <w:rPr>
          <w:rFonts w:hAnsi="宋体"/>
          <w:color w:val="auto"/>
          <w:szCs w:val="21"/>
          <w:highlight w:val="none"/>
        </w:rPr>
        <w:t>10</w:t>
      </w:r>
      <w:r>
        <w:rPr>
          <w:rFonts w:hint="eastAsia" w:hAnsi="宋体"/>
          <w:color w:val="auto"/>
          <w:szCs w:val="21"/>
          <w:highlight w:val="none"/>
        </w:rPr>
        <w:t>）综合单价还包括了如下内容：</w:t>
      </w:r>
      <w:bookmarkStart w:id="136" w:name="_Toc304232711"/>
      <w:bookmarkStart w:id="137" w:name="_Toc357082849"/>
      <w:r>
        <w:rPr>
          <w:rFonts w:hint="eastAsia"/>
          <w:color w:val="auto"/>
          <w:highlight w:val="none"/>
          <w:u w:val="single"/>
        </w:rPr>
        <w:t>由合同专用条款第</w:t>
      </w:r>
      <w:r>
        <w:rPr>
          <w:color w:val="auto"/>
          <w:highlight w:val="none"/>
          <w:u w:val="single"/>
        </w:rPr>
        <w:t>8条</w:t>
      </w:r>
      <w:r>
        <w:rPr>
          <w:rFonts w:hint="eastAsia"/>
          <w:color w:val="auto"/>
          <w:highlight w:val="none"/>
          <w:u w:val="single"/>
        </w:rPr>
        <w:t>约定</w:t>
      </w:r>
      <w:r>
        <w:rPr>
          <w:rFonts w:hint="eastAsia"/>
          <w:color w:val="auto"/>
          <w:highlight w:val="none"/>
        </w:rPr>
        <w:t>。</w:t>
      </w:r>
      <w:bookmarkEnd w:id="136"/>
      <w:bookmarkEnd w:id="137"/>
    </w:p>
    <w:p w14:paraId="65C39F32">
      <w:pPr>
        <w:snapToGrid w:val="0"/>
        <w:spacing w:before="120" w:line="360" w:lineRule="auto"/>
        <w:ind w:left="-210" w:leftChars="-100" w:right="-210" w:rightChars="-100" w:firstLine="619" w:firstLineChars="295"/>
        <w:rPr>
          <w:rFonts w:ascii="宋体" w:hAnsi="宋体"/>
          <w:bCs/>
          <w:color w:val="auto"/>
          <w:szCs w:val="21"/>
          <w:highlight w:val="none"/>
          <w:u w:val="single"/>
        </w:rPr>
      </w:pPr>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.2工程量计算规则：</w:t>
      </w:r>
      <w:r>
        <w:rPr>
          <w:rFonts w:hint="eastAsia" w:ascii="宋体" w:hAnsi="宋体"/>
          <w:color w:val="auto"/>
          <w:szCs w:val="21"/>
          <w:highlight w:val="none"/>
          <w:u w:val="single"/>
        </w:rPr>
        <w:t>由合同专用条款第</w:t>
      </w:r>
      <w:r>
        <w:rPr>
          <w:rFonts w:ascii="宋体" w:hAnsi="宋体"/>
          <w:color w:val="auto"/>
          <w:szCs w:val="21"/>
          <w:highlight w:val="none"/>
          <w:u w:val="single"/>
        </w:rPr>
        <w:t>8条</w:t>
      </w:r>
      <w:r>
        <w:rPr>
          <w:rFonts w:hint="eastAsia" w:ascii="宋体" w:hAnsi="宋体"/>
          <w:color w:val="auto"/>
          <w:szCs w:val="21"/>
          <w:highlight w:val="none"/>
          <w:u w:val="single"/>
        </w:rPr>
        <w:t>约定</w:t>
      </w:r>
      <w:r>
        <w:rPr>
          <w:rFonts w:hint="eastAsia" w:ascii="宋体" w:hAnsi="宋体"/>
          <w:color w:val="auto"/>
          <w:szCs w:val="21"/>
          <w:highlight w:val="none"/>
        </w:rPr>
        <w:t>。</w:t>
      </w:r>
      <w:r>
        <w:rPr>
          <w:rFonts w:ascii="宋体" w:hAnsi="宋体"/>
          <w:bCs/>
          <w:color w:val="auto"/>
          <w:szCs w:val="21"/>
          <w:highlight w:val="none"/>
        </w:rPr>
        <w:t xml:space="preserve">   </w:t>
      </w:r>
    </w:p>
    <w:p w14:paraId="1CBF34B5">
      <w:pPr>
        <w:spacing w:line="360" w:lineRule="auto"/>
        <w:ind w:firstLine="420" w:firstLineChars="200"/>
        <w:rPr>
          <w:rFonts w:ascii="宋体" w:hAnsi="宋体"/>
          <w:color w:val="auto"/>
          <w:szCs w:val="21"/>
          <w:highlight w:val="none"/>
        </w:rPr>
      </w:pPr>
      <w:bookmarkStart w:id="138" w:name="_Hlk71903706"/>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.3  合同价款调整</w:t>
      </w:r>
    </w:p>
    <w:p w14:paraId="6E55BA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3.3.1</w:t>
      </w:r>
      <w:r>
        <w:rPr>
          <w:rFonts w:hint="eastAsia" w:ascii="宋体" w:hAnsi="宋体"/>
          <w:color w:val="auto"/>
          <w:szCs w:val="21"/>
          <w:highlight w:val="none"/>
        </w:rPr>
        <w:t>设计变更</w:t>
      </w:r>
    </w:p>
    <w:p w14:paraId="69E75E2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.3.1</w:t>
      </w:r>
      <w:r>
        <w:rPr>
          <w:rFonts w:ascii="宋体" w:hAnsi="宋体"/>
          <w:bCs/>
          <w:color w:val="auto"/>
          <w:szCs w:val="21"/>
          <w:highlight w:val="none"/>
        </w:rPr>
        <w:t>.1</w:t>
      </w:r>
      <w:r>
        <w:rPr>
          <w:rFonts w:hint="eastAsia" w:ascii="宋体" w:hAnsi="宋体"/>
          <w:bCs/>
          <w:color w:val="auto"/>
          <w:szCs w:val="21"/>
          <w:highlight w:val="none"/>
        </w:rPr>
        <w:t>变更的定义：本工程乙方报价时的图纸与实际施工图纸发生变化，且有建设单位和设计院发出设计变更指令的，才视为设计变更。</w:t>
      </w:r>
    </w:p>
    <w:p w14:paraId="6C14002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.3.</w:t>
      </w:r>
      <w:r>
        <w:rPr>
          <w:rFonts w:ascii="宋体" w:hAnsi="宋体"/>
          <w:bCs/>
          <w:color w:val="auto"/>
          <w:szCs w:val="21"/>
          <w:highlight w:val="none"/>
        </w:rPr>
        <w:t>1.</w:t>
      </w:r>
      <w:r>
        <w:rPr>
          <w:rFonts w:hint="eastAsia" w:ascii="宋体" w:hAnsi="宋体"/>
          <w:bCs/>
          <w:color w:val="auto"/>
          <w:szCs w:val="21"/>
          <w:highlight w:val="none"/>
        </w:rPr>
        <w:t>2设计变更的计价原则：</w:t>
      </w:r>
    </w:p>
    <w:p w14:paraId="56575114">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(1) </w:t>
      </w:r>
      <w:r>
        <w:rPr>
          <w:rFonts w:hint="eastAsia" w:ascii="宋体" w:hAnsi="宋体"/>
          <w:bCs/>
          <w:color w:val="auto"/>
          <w:szCs w:val="21"/>
          <w:highlight w:val="none"/>
        </w:rPr>
        <w:t>设计变更引起工程量增减的，按本合同《工程量清单计价表》（见附件</w:t>
      </w:r>
      <w:r>
        <w:rPr>
          <w:rFonts w:hint="eastAsia" w:ascii="宋体" w:hAnsi="宋体"/>
          <w:bCs/>
          <w:color w:val="auto"/>
          <w:szCs w:val="21"/>
          <w:highlight w:val="none"/>
        </w:rPr>
        <w:t>二</w:t>
      </w:r>
      <w:r>
        <w:rPr>
          <w:rFonts w:hint="eastAsia" w:ascii="宋体" w:hAnsi="宋体"/>
          <w:bCs/>
          <w:color w:val="auto"/>
          <w:szCs w:val="21"/>
          <w:highlight w:val="none"/>
        </w:rPr>
        <w:t>）所述综合包干单价调整结算造价。</w:t>
      </w:r>
    </w:p>
    <w:p w14:paraId="6ECE55F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(2)工程量计算规则按1</w:t>
      </w:r>
      <w:r>
        <w:rPr>
          <w:rFonts w:ascii="宋体" w:hAnsi="宋体"/>
          <w:bCs/>
          <w:color w:val="auto"/>
          <w:szCs w:val="21"/>
          <w:highlight w:val="none"/>
        </w:rPr>
        <w:t>3</w:t>
      </w:r>
      <w:r>
        <w:rPr>
          <w:rFonts w:hint="eastAsia" w:ascii="宋体" w:hAnsi="宋体"/>
          <w:bCs/>
          <w:color w:val="auto"/>
          <w:szCs w:val="21"/>
          <w:highlight w:val="none"/>
        </w:rPr>
        <w:t>.2款执行。</w:t>
      </w:r>
    </w:p>
    <w:p w14:paraId="7CC5B00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.3.</w:t>
      </w:r>
      <w:r>
        <w:rPr>
          <w:rFonts w:ascii="宋体" w:hAnsi="宋体"/>
          <w:bCs/>
          <w:color w:val="auto"/>
          <w:szCs w:val="21"/>
          <w:highlight w:val="none"/>
        </w:rPr>
        <w:t>1.</w:t>
      </w:r>
      <w:r>
        <w:rPr>
          <w:rFonts w:hint="eastAsia" w:ascii="宋体" w:hAnsi="宋体"/>
          <w:bCs/>
          <w:color w:val="auto"/>
          <w:szCs w:val="21"/>
          <w:highlight w:val="none"/>
        </w:rPr>
        <w:t>3设计变更项目无法套用本合同单价时，按以下原则执行：</w:t>
      </w:r>
    </w:p>
    <w:p w14:paraId="4700380B">
      <w:pPr>
        <w:spacing w:line="360" w:lineRule="auto"/>
        <w:ind w:firstLine="420" w:firstLineChars="200"/>
        <w:rPr>
          <w:rFonts w:ascii="宋体" w:hAnsi="宋体"/>
          <w:bCs/>
          <w:color w:val="auto"/>
          <w:szCs w:val="21"/>
          <w:highlight w:val="none"/>
        </w:rPr>
      </w:pPr>
      <w:bookmarkStart w:id="139" w:name="_Hlk101366125"/>
      <w:r>
        <w:rPr>
          <w:rFonts w:hint="eastAsia" w:ascii="宋体" w:hAnsi="宋体"/>
          <w:bCs/>
          <w:color w:val="auto"/>
          <w:szCs w:val="21"/>
          <w:highlight w:val="none"/>
        </w:rPr>
        <w:t>（1）因设计变更、甲方等原因导致本合同分项工程增减，则分项工程单价按下列规则确定：</w:t>
      </w:r>
    </w:p>
    <w:p w14:paraId="6E72DCE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A、合同清单中已有适用于变更工程的单价，按合同清单中已有的单价确定变更工程的单价；</w:t>
      </w:r>
    </w:p>
    <w:p w14:paraId="4792759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B、合同清单中只有类似于变更工程的单价，可以参照此类似单价，根据合同中规定的价格构成因素及程式确定变更工程的单价；</w:t>
      </w:r>
    </w:p>
    <w:p w14:paraId="58B7229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C、合同清单中没有适用或类似于变更工程的单价，乙方应在变更实施前30日内，向甲方报送《合同外单价报价单》及《综合单价分析表》，报甲方复核审批执行。</w:t>
      </w:r>
    </w:p>
    <w:p w14:paraId="04B7B05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（2）乙方不得以合同外单价未核定为由拒绝或停止变更内容的施工，否则乙方应承担由此给甲方造成的一切损失。</w:t>
      </w:r>
    </w:p>
    <w:p w14:paraId="15F3A749">
      <w:pPr>
        <w:widowControl/>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w:t>
      </w:r>
      <w:bookmarkStart w:id="140" w:name="_Hlk100858710"/>
      <w:r>
        <w:rPr>
          <w:rFonts w:ascii="宋体" w:hAnsi="宋体"/>
          <w:bCs/>
          <w:color w:val="auto"/>
          <w:szCs w:val="21"/>
          <w:highlight w:val="none"/>
        </w:rPr>
        <w:t>3</w:t>
      </w:r>
      <w:r>
        <w:rPr>
          <w:rFonts w:hint="eastAsia" w:ascii="宋体" w:hAnsi="宋体"/>
          <w:bCs/>
          <w:color w:val="auto"/>
          <w:szCs w:val="21"/>
          <w:highlight w:val="none"/>
        </w:rPr>
        <w:t>）甲乙双方约定本工程合同外综合单价分析表中相关取费按如下费率执行：</w:t>
      </w:r>
      <w:bookmarkEnd w:id="140"/>
      <w:bookmarkStart w:id="141" w:name="_Hlk100858657"/>
      <w:r>
        <w:rPr>
          <w:rFonts w:hint="eastAsia" w:ascii="宋体" w:hAnsi="宋体"/>
          <w:bCs/>
          <w:color w:val="auto"/>
          <w:szCs w:val="21"/>
          <w:highlight w:val="none"/>
          <w:u w:val="single"/>
        </w:rPr>
        <w:t>由专用条款第8条约定。</w:t>
      </w:r>
      <w:bookmarkEnd w:id="138"/>
      <w:bookmarkEnd w:id="139"/>
      <w:bookmarkEnd w:id="141"/>
      <w:bookmarkStart w:id="142" w:name="_Hlk71807291"/>
      <w:bookmarkStart w:id="143" w:name="_Toc357082854"/>
      <w:bookmarkStart w:id="144" w:name="_Toc304232713"/>
      <w:bookmarkStart w:id="145" w:name="_Hlk71743236"/>
      <w:bookmarkStart w:id="146" w:name="_Hlk71750493"/>
      <w:bookmarkStart w:id="147" w:name="_Hlk68810022"/>
      <w:bookmarkStart w:id="148" w:name="_Hlk71825299"/>
    </w:p>
    <w:p w14:paraId="3F65542A">
      <w:pPr>
        <w:widowControl/>
        <w:spacing w:line="360" w:lineRule="auto"/>
        <w:ind w:firstLine="420" w:firstLineChars="200"/>
        <w:rPr>
          <w:rFonts w:ascii="宋体" w:hAnsi="宋体"/>
          <w:color w:val="auto"/>
          <w:szCs w:val="21"/>
          <w:highlight w:val="none"/>
        </w:rPr>
      </w:pPr>
      <w:bookmarkStart w:id="149" w:name="_Toc295310559"/>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.3.1.</w:t>
      </w:r>
      <w:r>
        <w:rPr>
          <w:rFonts w:ascii="宋体" w:hAnsi="宋体"/>
          <w:bCs/>
          <w:color w:val="auto"/>
          <w:szCs w:val="21"/>
          <w:highlight w:val="none"/>
        </w:rPr>
        <w:t>4</w:t>
      </w:r>
      <w:r>
        <w:rPr>
          <w:rFonts w:hint="eastAsia" w:ascii="宋体" w:hAnsi="宋体"/>
          <w:bCs/>
          <w:color w:val="auto"/>
          <w:szCs w:val="21"/>
          <w:highlight w:val="none"/>
        </w:rPr>
        <w:t>有以下情况者，本设计变更单无效或不予认可：无相应的建设单位设计变更指令的、重复和过时效的变更单、未经合同约定甲方有效签字人签发的指令或审核的、未按上述程序办理的设计变更单。</w:t>
      </w:r>
    </w:p>
    <w:bookmarkEnd w:id="149"/>
    <w:p w14:paraId="2D5AB563">
      <w:pPr>
        <w:widowControl/>
        <w:spacing w:line="360" w:lineRule="auto"/>
        <w:ind w:firstLine="420" w:firstLineChars="200"/>
        <w:rPr>
          <w:rFonts w:ascii="宋体" w:hAnsi="宋体"/>
          <w:bCs/>
          <w:color w:val="auto"/>
          <w:szCs w:val="21"/>
          <w:highlight w:val="none"/>
        </w:rPr>
      </w:pPr>
      <w:bookmarkStart w:id="150" w:name="_Toc301949827"/>
      <w:bookmarkStart w:id="151" w:name="_Toc357082852"/>
      <w:bookmarkStart w:id="152" w:name="_Toc304232710"/>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w:t>
      </w:r>
      <w:r>
        <w:rPr>
          <w:rFonts w:ascii="宋体" w:hAnsi="宋体"/>
          <w:bCs/>
          <w:color w:val="auto"/>
          <w:szCs w:val="21"/>
          <w:highlight w:val="none"/>
        </w:rPr>
        <w:t>3.2</w:t>
      </w:r>
      <w:r>
        <w:rPr>
          <w:rFonts w:hint="eastAsia" w:ascii="宋体" w:hAnsi="宋体"/>
          <w:bCs/>
          <w:color w:val="auto"/>
          <w:szCs w:val="21"/>
          <w:highlight w:val="none"/>
        </w:rPr>
        <w:t xml:space="preserve"> 现场签证</w:t>
      </w:r>
      <w:bookmarkEnd w:id="150"/>
      <w:bookmarkEnd w:id="151"/>
      <w:bookmarkEnd w:id="152"/>
    </w:p>
    <w:p w14:paraId="0BED608C">
      <w:pPr>
        <w:spacing w:line="360" w:lineRule="auto"/>
        <w:ind w:firstLine="420" w:firstLineChars="200"/>
        <w:rPr>
          <w:rFonts w:ascii="宋体" w:hAnsi="宋体"/>
          <w:color w:val="auto"/>
          <w:szCs w:val="21"/>
          <w:highlight w:val="none"/>
        </w:rPr>
      </w:pPr>
      <w:r>
        <w:rPr>
          <w:rFonts w:ascii="宋体" w:hAnsi="宋体"/>
          <w:color w:val="auto"/>
          <w:szCs w:val="21"/>
          <w:highlight w:val="none"/>
        </w:rPr>
        <w:t>13.3.2.1</w:t>
      </w:r>
      <w:bookmarkStart w:id="153" w:name="_Hlk101291686"/>
      <w:bookmarkStart w:id="154" w:name="_Hlk101372451"/>
      <w:r>
        <w:rPr>
          <w:rFonts w:hint="eastAsia" w:ascii="宋体" w:hAnsi="宋体"/>
          <w:color w:val="auto"/>
          <w:szCs w:val="21"/>
          <w:highlight w:val="none"/>
        </w:rPr>
        <w:t>本工程项目无效签证包括</w:t>
      </w:r>
      <w:bookmarkEnd w:id="153"/>
      <w:r>
        <w:rPr>
          <w:rFonts w:hint="eastAsia" w:ascii="宋体" w:hAnsi="宋体"/>
          <w:color w:val="auto"/>
          <w:szCs w:val="21"/>
          <w:highlight w:val="none"/>
        </w:rPr>
        <w:t>：</w:t>
      </w:r>
    </w:p>
    <w:p w14:paraId="2C9D9C93">
      <w:pPr>
        <w:spacing w:line="360" w:lineRule="auto"/>
        <w:ind w:firstLine="210" w:firstLineChars="100"/>
        <w:rPr>
          <w:rFonts w:ascii="宋体" w:hAnsi="宋体"/>
          <w:color w:val="auto"/>
          <w:szCs w:val="21"/>
          <w:highlight w:val="none"/>
        </w:rPr>
      </w:pPr>
      <w:bookmarkStart w:id="155" w:name="_Hlk101291707"/>
      <w:r>
        <w:rPr>
          <w:rFonts w:hint="eastAsia" w:ascii="宋体" w:hAnsi="宋体"/>
          <w:color w:val="auto"/>
          <w:szCs w:val="21"/>
          <w:highlight w:val="none"/>
        </w:rPr>
        <w:t>（1）不按甲方规定表格形式办理的签证；</w:t>
      </w:r>
    </w:p>
    <w:p w14:paraId="358C7258">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（2）不按表格内容填写或部分内容不填写的签证；</w:t>
      </w:r>
    </w:p>
    <w:p w14:paraId="680B639F">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）未经甲方同意的任何形式的补贴费用签证（质量奖、工期奖、标化文明奖等）；超合同范围，且未经甲方同意的自定价格签证；</w:t>
      </w:r>
    </w:p>
    <w:p w14:paraId="17F9B9CF">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）签证内容不实或按签证不能核定出工程量的签证；</w:t>
      </w:r>
    </w:p>
    <w:p w14:paraId="6259F50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）签证内容或价格与合同约定计价方式不符的，或者相互矛盾或重复的；</w:t>
      </w:r>
    </w:p>
    <w:p w14:paraId="30198AD9">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）超过签证时效和竣工后突击补签的签证；</w:t>
      </w:r>
    </w:p>
    <w:p w14:paraId="5EF06BFD">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）未经监理、甲方造价服务单位、建设单位三方共同签字确认的签证；</w:t>
      </w:r>
    </w:p>
    <w:p w14:paraId="486BBBDA">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）非原件的签证资料。</w:t>
      </w:r>
      <w:bookmarkEnd w:id="154"/>
      <w:bookmarkEnd w:id="155"/>
      <w:r>
        <w:rPr>
          <w:rFonts w:hint="eastAsia" w:ascii="宋体" w:hAnsi="宋体"/>
          <w:color w:val="auto"/>
          <w:szCs w:val="21"/>
          <w:highlight w:val="none"/>
        </w:rPr>
        <w:t>；</w:t>
      </w:r>
    </w:p>
    <w:p w14:paraId="68126618">
      <w:pPr>
        <w:spacing w:line="360" w:lineRule="auto"/>
        <w:ind w:left="-178" w:leftChars="-85" w:firstLine="630" w:firstLineChars="300"/>
        <w:rPr>
          <w:rFonts w:ascii="宋体" w:hAnsi="宋体"/>
          <w:color w:val="auto"/>
          <w:szCs w:val="21"/>
          <w:highlight w:val="none"/>
        </w:rPr>
      </w:pPr>
      <w:r>
        <w:rPr>
          <w:rFonts w:ascii="宋体" w:hAnsi="宋体"/>
          <w:color w:val="auto"/>
          <w:szCs w:val="21"/>
          <w:highlight w:val="none"/>
        </w:rPr>
        <w:t>13.3.2.2</w:t>
      </w:r>
      <w:r>
        <w:rPr>
          <w:rFonts w:hint="eastAsia" w:ascii="宋体" w:hAnsi="宋体"/>
          <w:bCs/>
          <w:color w:val="auto"/>
          <w:szCs w:val="21"/>
          <w:highlight w:val="none"/>
        </w:rPr>
        <w:t>签证处理流程：</w:t>
      </w:r>
    </w:p>
    <w:p w14:paraId="24E3A6FF">
      <w:pPr>
        <w:widowControl/>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(1)甲方项目部在发生签证事项前，应组织监理、乙方、甲方项目部、造价服务单位会议讨论是否应发生此签证事项，确认应发生此签证的，由乙方递交《工程签证工作联系单》和相应签证工程量清单，由甲方项目部及甲方造价服务单位审核，甲方确认同意才可进行施工；</w:t>
      </w:r>
    </w:p>
    <w:p w14:paraId="4C8A5D47">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(2)乙方在签证事项工作完成后2日内，向甲方合同约定的有效签字人上报《现场签证单》，由甲方项目相关责任人组织会审会签；</w:t>
      </w:r>
    </w:p>
    <w:p w14:paraId="7329420F">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w:t>
      </w:r>
      <w:r>
        <w:rPr>
          <w:rFonts w:hint="eastAsia" w:ascii="宋体" w:hAnsi="宋体"/>
          <w:color w:val="auto"/>
          <w:szCs w:val="21"/>
          <w:highlight w:val="none"/>
        </w:rPr>
        <w:t>每月</w:t>
      </w:r>
      <w:r>
        <w:rPr>
          <w:rFonts w:ascii="宋体" w:hAnsi="宋体"/>
          <w:color w:val="auto"/>
          <w:szCs w:val="21"/>
          <w:highlight w:val="none"/>
        </w:rPr>
        <w:t>3</w:t>
      </w:r>
      <w:r>
        <w:rPr>
          <w:rFonts w:hint="eastAsia" w:ascii="宋体" w:hAnsi="宋体"/>
          <w:color w:val="auto"/>
          <w:szCs w:val="21"/>
          <w:highlight w:val="none"/>
        </w:rPr>
        <w:t>日-</w:t>
      </w:r>
      <w:r>
        <w:rPr>
          <w:rFonts w:ascii="宋体" w:hAnsi="宋体"/>
          <w:color w:val="auto"/>
          <w:szCs w:val="21"/>
          <w:highlight w:val="none"/>
        </w:rPr>
        <w:t>8</w:t>
      </w:r>
      <w:r>
        <w:rPr>
          <w:rFonts w:hint="eastAsia" w:ascii="宋体" w:hAnsi="宋体"/>
          <w:color w:val="auto"/>
          <w:szCs w:val="21"/>
          <w:highlight w:val="none"/>
        </w:rPr>
        <w:t>日</w:t>
      </w:r>
      <w:r>
        <w:rPr>
          <w:rFonts w:hint="eastAsia" w:ascii="宋体" w:hAnsi="宋体"/>
          <w:color w:val="auto"/>
          <w:szCs w:val="21"/>
          <w:highlight w:val="none"/>
        </w:rPr>
        <w:t>与甲方确认上月所发生的签证单及台账。</w:t>
      </w:r>
    </w:p>
    <w:p w14:paraId="10D82E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签证实行月清月结制度，甲方与乙方办理的《工程签证工作联系单》和</w:t>
      </w:r>
      <w:r>
        <w:rPr>
          <w:rFonts w:hint="eastAsia" w:ascii="宋体" w:hAnsi="宋体"/>
          <w:bCs/>
          <w:color w:val="auto"/>
          <w:szCs w:val="21"/>
          <w:highlight w:val="none"/>
        </w:rPr>
        <w:t>《</w:t>
      </w:r>
      <w:r>
        <w:rPr>
          <w:rFonts w:hint="eastAsia" w:ascii="宋体" w:hAnsi="宋体"/>
          <w:color w:val="auto"/>
          <w:szCs w:val="21"/>
          <w:highlight w:val="none"/>
        </w:rPr>
        <w:t>现场签证单</w:t>
      </w:r>
      <w:r>
        <w:rPr>
          <w:rFonts w:hint="eastAsia" w:ascii="宋体" w:hAnsi="宋体"/>
          <w:bCs/>
          <w:color w:val="auto"/>
          <w:szCs w:val="21"/>
          <w:highlight w:val="none"/>
        </w:rPr>
        <w:t>》</w:t>
      </w:r>
      <w:r>
        <w:rPr>
          <w:rFonts w:hint="eastAsia" w:ascii="宋体" w:hAnsi="宋体"/>
          <w:color w:val="auto"/>
          <w:szCs w:val="21"/>
          <w:highlight w:val="none"/>
        </w:rPr>
        <w:t>，作为最终结算的依据。乙方每月8日前把《工程签证工作联系单》、《现场签证单》及相关请款材料报送甲方，甲方造价服务单位收到后5日内编制审核报告，如果报送资料不完整，形式不符合要求的甲方有权要求乙方限期3日内整改完成。乙方每月1</w:t>
      </w:r>
      <w:r>
        <w:rPr>
          <w:rFonts w:ascii="宋体" w:hAnsi="宋体"/>
          <w:color w:val="auto"/>
          <w:szCs w:val="21"/>
          <w:highlight w:val="none"/>
        </w:rPr>
        <w:t>0</w:t>
      </w:r>
      <w:r>
        <w:rPr>
          <w:rFonts w:hint="eastAsia" w:ascii="宋体" w:hAnsi="宋体"/>
          <w:color w:val="auto"/>
          <w:szCs w:val="21"/>
          <w:highlight w:val="none"/>
        </w:rPr>
        <w:t>日未向甲方提工程变更请款材料，视为乙方自愿放弃申报，甲方有权对逾期申报或不符合甲方要求的变更工程请款材料拒绝审核或不办理确认支付手续，甲方对此不承担任何违约责任，乙方由此导致的损失由乙方自行承担。如乙方以此为由在过程支付确认或结算时向甲方提出要求或与甲方发生任何形式的争议，视为乙方违约，乙方应向甲方支付所提诉求金额等值的违约金。</w:t>
      </w:r>
    </w:p>
    <w:p w14:paraId="507960D0">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2.3</w:t>
      </w:r>
      <w:r>
        <w:rPr>
          <w:rFonts w:hint="eastAsia" w:ascii="宋体" w:hAnsi="宋体"/>
          <w:color w:val="auto"/>
          <w:szCs w:val="21"/>
          <w:highlight w:val="none"/>
        </w:rPr>
        <w:t>如乙方不能按1</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.2款约定的签证流程办理签证手续，则视为乙方同意放弃相关签证费用；如属虚假签证、后补签证、重复签证的，签证无效。</w:t>
      </w:r>
      <w:bookmarkEnd w:id="142"/>
    </w:p>
    <w:p w14:paraId="5B83F044">
      <w:pPr>
        <w:snapToGrid w:val="0"/>
        <w:spacing w:before="120" w:line="360" w:lineRule="auto"/>
        <w:ind w:left="-210" w:leftChars="-100" w:right="-210" w:rightChars="-100" w:firstLine="619" w:firstLineChars="295"/>
        <w:rPr>
          <w:rFonts w:ascii="宋体" w:hAnsi="宋体"/>
          <w:bCs/>
          <w:color w:val="auto"/>
          <w:szCs w:val="21"/>
          <w:highlight w:val="none"/>
        </w:rPr>
      </w:pPr>
      <w:bookmarkStart w:id="156" w:name="_Hlk71807380"/>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w:t>
      </w:r>
      <w:r>
        <w:rPr>
          <w:rFonts w:ascii="宋体" w:hAnsi="宋体"/>
          <w:bCs/>
          <w:color w:val="auto"/>
          <w:szCs w:val="21"/>
          <w:highlight w:val="none"/>
        </w:rPr>
        <w:t>4</w:t>
      </w:r>
      <w:bookmarkStart w:id="157" w:name="_Hlk73103153"/>
      <w:r>
        <w:rPr>
          <w:rFonts w:hint="eastAsia" w:ascii="宋体" w:hAnsi="宋体"/>
          <w:bCs/>
          <w:color w:val="auto"/>
          <w:szCs w:val="21"/>
          <w:highlight w:val="none"/>
        </w:rPr>
        <w:t>工程结算</w:t>
      </w:r>
      <w:bookmarkEnd w:id="143"/>
      <w:bookmarkEnd w:id="144"/>
    </w:p>
    <w:p w14:paraId="6FA53F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.1结算报送与审核流程：</w:t>
      </w:r>
    </w:p>
    <w:p w14:paraId="317BAF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乙方须在工程完工后7天内完成竣工验收，并在随后的一个月内按照甲方规定向甲方递交完整的结算资料</w:t>
      </w:r>
      <w:bookmarkStart w:id="158" w:name="_Hlk107930667"/>
      <w:r>
        <w:rPr>
          <w:rFonts w:hint="eastAsia" w:ascii="宋体" w:hAnsi="宋体"/>
          <w:color w:val="auto"/>
          <w:szCs w:val="21"/>
          <w:highlight w:val="none"/>
        </w:rPr>
        <w:t>。乙方递交结算资料后，甲方不再接受后补资料，后补的资料均视为无效。乙方须无条件接受因其上报的结算资料不准确、不完整导致的结算审减，甲方有权按甲方单方审核后的金额做为最终结算金额。</w:t>
      </w:r>
      <w:bookmarkEnd w:id="158"/>
      <w:r>
        <w:rPr>
          <w:rFonts w:hint="eastAsia" w:ascii="宋体" w:hAnsi="宋体"/>
          <w:color w:val="auto"/>
          <w:szCs w:val="21"/>
          <w:highlight w:val="none"/>
        </w:rPr>
        <w:t xml:space="preserve"> </w:t>
      </w:r>
    </w:p>
    <w:p w14:paraId="71179C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.2乙方报送的结算书装订顺序如下：</w:t>
      </w:r>
    </w:p>
    <w:p w14:paraId="31CEC5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（1）结算书封面</w:t>
      </w:r>
    </w:p>
    <w:p w14:paraId="6469B2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（2）完工确认表</w:t>
      </w:r>
    </w:p>
    <w:p w14:paraId="45FA55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（3）结算书内容</w:t>
      </w:r>
    </w:p>
    <w:p w14:paraId="2FBC3C3A">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A.结算汇总表</w:t>
      </w:r>
    </w:p>
    <w:p w14:paraId="635F411A">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B.签证费用汇总表</w:t>
      </w:r>
    </w:p>
    <w:p w14:paraId="58517FF3">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C.经甲方审核的签证单：需包括含《工程签证工作联系单》和</w:t>
      </w:r>
      <w:r>
        <w:rPr>
          <w:rFonts w:hint="eastAsia" w:ascii="宋体" w:hAnsi="宋体"/>
          <w:bCs/>
          <w:color w:val="auto"/>
          <w:szCs w:val="21"/>
          <w:highlight w:val="none"/>
        </w:rPr>
        <w:t>《</w:t>
      </w:r>
      <w:r>
        <w:rPr>
          <w:rFonts w:hint="eastAsia" w:ascii="宋体" w:hAnsi="宋体"/>
          <w:color w:val="auto"/>
          <w:szCs w:val="21"/>
          <w:highlight w:val="none"/>
        </w:rPr>
        <w:t>现场签证单</w:t>
      </w:r>
      <w:r>
        <w:rPr>
          <w:rFonts w:hint="eastAsia" w:ascii="宋体" w:hAnsi="宋体"/>
          <w:bCs/>
          <w:color w:val="auto"/>
          <w:szCs w:val="21"/>
          <w:highlight w:val="none"/>
        </w:rPr>
        <w:t>》、</w:t>
      </w:r>
      <w:r>
        <w:rPr>
          <w:rFonts w:hint="eastAsia" w:ascii="宋体" w:hAnsi="宋体"/>
          <w:color w:val="auto"/>
          <w:szCs w:val="21"/>
          <w:highlight w:val="none"/>
        </w:rPr>
        <w:t>现场影像资料等附件；</w:t>
      </w:r>
    </w:p>
    <w:p w14:paraId="49A670A2">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D.按月支付的进度款报表</w:t>
      </w:r>
    </w:p>
    <w:p w14:paraId="113BCB26">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E.工程设计变更汇总表</w:t>
      </w:r>
    </w:p>
    <w:p w14:paraId="3DED318B">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F.合同外工程项目单价确定表</w:t>
      </w:r>
    </w:p>
    <w:p w14:paraId="4F9278F0">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G.扣款、罚款、费用分摊（杂工、防水修补、堵漏等）、代工扣除汇总表</w:t>
      </w:r>
    </w:p>
    <w:p w14:paraId="4136680D">
      <w:pPr>
        <w:widowControl/>
        <w:spacing w:line="360" w:lineRule="auto"/>
        <w:ind w:firstLine="420" w:firstLineChars="200"/>
        <w:rPr>
          <w:rFonts w:ascii="宋体" w:hAnsi="宋体"/>
          <w:bCs/>
          <w:color w:val="auto"/>
          <w:szCs w:val="21"/>
          <w:highlight w:val="none"/>
        </w:rPr>
      </w:pPr>
      <w:bookmarkStart w:id="159" w:name="_Hlk73044867"/>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 xml:space="preserve">）相应有效的计算底稿及其他支持结算资料文件（如处罚、索赔等）； </w:t>
      </w:r>
    </w:p>
    <w:p w14:paraId="5F42A4E5">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）合同、补充协议及合同外工程项目单价确定表。</w:t>
      </w:r>
      <w:bookmarkStart w:id="160" w:name="_Hlk71744058"/>
    </w:p>
    <w:bookmarkEnd w:id="159"/>
    <w:bookmarkEnd w:id="160"/>
    <w:p w14:paraId="1ABCCD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以上所有资料（除合同、合同外工程项目单价确定表、报告、图纸外）均需为原件，且均需加盖乙方单位公章</w:t>
      </w:r>
    </w:p>
    <w:p w14:paraId="582FAE1A">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w:t>
      </w:r>
      <w:r>
        <w:rPr>
          <w:rFonts w:ascii="宋体" w:hAnsi="宋体"/>
          <w:bCs/>
          <w:color w:val="auto"/>
          <w:szCs w:val="21"/>
          <w:highlight w:val="none"/>
        </w:rPr>
        <w:t>4.3</w:t>
      </w:r>
      <w:r>
        <w:rPr>
          <w:rFonts w:hint="eastAsia" w:ascii="宋体" w:hAnsi="宋体"/>
          <w:bCs/>
          <w:color w:val="auto"/>
          <w:szCs w:val="21"/>
          <w:highlight w:val="none"/>
        </w:rPr>
        <w:t>乙方在本合同约定期限内不报送结算书的，结算值以甲方单方面认可的为准,甲方将《审核报告》按合同约定的通讯地址或电子邮箱发送给乙方，乙方在3天内不予答复的，视为认可结算值，且乙方自愿放弃剩余工程款的利息。</w:t>
      </w:r>
    </w:p>
    <w:p w14:paraId="3836EE9E">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w:t>
      </w:r>
      <w:r>
        <w:rPr>
          <w:rFonts w:ascii="宋体" w:hAnsi="宋体"/>
          <w:bCs/>
          <w:color w:val="auto"/>
          <w:szCs w:val="21"/>
          <w:highlight w:val="none"/>
        </w:rPr>
        <w:t>4.4</w:t>
      </w:r>
      <w:r>
        <w:rPr>
          <w:rFonts w:hint="eastAsia" w:ascii="宋体" w:hAnsi="宋体"/>
          <w:bCs/>
          <w:color w:val="auto"/>
          <w:szCs w:val="21"/>
          <w:highlight w:val="none"/>
        </w:rPr>
        <w:t xml:space="preserve"> 在甲方审核期间，乙方应派专人与甲方人员核对，</w:t>
      </w:r>
      <w:bookmarkStart w:id="161" w:name="_Hlk107930679"/>
      <w:r>
        <w:rPr>
          <w:rFonts w:hint="eastAsia" w:ascii="宋体" w:hAnsi="宋体"/>
          <w:bCs/>
          <w:color w:val="auto"/>
          <w:szCs w:val="21"/>
          <w:highlight w:val="none"/>
        </w:rPr>
        <w:t>就结算问题在14天内予以解释；乙方未能解释的，经催告后，乙方仍不履行的，甲方有权直接出具单方结算，乙方无条件认可。</w:t>
      </w:r>
      <w:bookmarkEnd w:id="161"/>
    </w:p>
    <w:bookmarkEnd w:id="145"/>
    <w:bookmarkEnd w:id="146"/>
    <w:bookmarkEnd w:id="147"/>
    <w:bookmarkEnd w:id="148"/>
    <w:bookmarkEnd w:id="156"/>
    <w:bookmarkEnd w:id="157"/>
    <w:p w14:paraId="2E6CEEB4">
      <w:pPr>
        <w:pStyle w:val="97"/>
        <w:ind w:firstLine="422"/>
        <w:rPr>
          <w:color w:val="auto"/>
          <w:highlight w:val="none"/>
        </w:rPr>
      </w:pPr>
      <w:bookmarkStart w:id="162" w:name="_Toc102402658"/>
      <w:bookmarkStart w:id="163" w:name="_Toc180591482"/>
      <w:bookmarkStart w:id="164" w:name="_Toc84333717"/>
      <w:bookmarkStart w:id="165" w:name="_Hlk107862342"/>
      <w:bookmarkStart w:id="166" w:name="_Hlk107927735"/>
      <w:r>
        <w:rPr>
          <w:rFonts w:hint="eastAsia"/>
          <w:color w:val="auto"/>
          <w:highlight w:val="none"/>
        </w:rPr>
        <w:t>第</w:t>
      </w:r>
      <w:r>
        <w:rPr>
          <w:color w:val="auto"/>
          <w:highlight w:val="none"/>
        </w:rPr>
        <w:t>14</w:t>
      </w:r>
      <w:r>
        <w:rPr>
          <w:rFonts w:hint="eastAsia"/>
          <w:color w:val="auto"/>
          <w:highlight w:val="none"/>
        </w:rPr>
        <w:t>条  工程款支付</w:t>
      </w:r>
      <w:bookmarkEnd w:id="162"/>
      <w:bookmarkEnd w:id="163"/>
      <w:bookmarkEnd w:id="164"/>
    </w:p>
    <w:p w14:paraId="240E37EC">
      <w:pPr>
        <w:spacing w:line="360" w:lineRule="auto"/>
        <w:ind w:firstLine="420" w:firstLineChars="200"/>
        <w:rPr>
          <w:rFonts w:ascii="宋体" w:hAnsi="宋体"/>
          <w:bCs/>
          <w:color w:val="auto"/>
          <w:szCs w:val="21"/>
          <w:highlight w:val="none"/>
        </w:rPr>
      </w:pPr>
      <w:bookmarkStart w:id="167" w:name="_Toc295310562"/>
      <w:bookmarkStart w:id="168" w:name="_Hlk101357499"/>
      <w:bookmarkStart w:id="169" w:name="_Hlk100858302"/>
      <w:bookmarkStart w:id="170" w:name="_Hlk101202653"/>
      <w:bookmarkStart w:id="171" w:name="_Hlk101209836"/>
      <w:r>
        <w:rPr>
          <w:rFonts w:ascii="宋体" w:hAnsi="宋体"/>
          <w:bCs/>
          <w:color w:val="auto"/>
          <w:szCs w:val="21"/>
          <w:highlight w:val="none"/>
        </w:rPr>
        <w:t>14</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 xml:space="preserve"> 进度</w:t>
      </w:r>
      <w:bookmarkEnd w:id="167"/>
      <w:r>
        <w:rPr>
          <w:rFonts w:hint="eastAsia" w:ascii="宋体" w:hAnsi="宋体"/>
          <w:bCs/>
          <w:color w:val="auto"/>
          <w:szCs w:val="21"/>
          <w:highlight w:val="none"/>
        </w:rPr>
        <w:t xml:space="preserve">报量 </w:t>
      </w:r>
      <w:bookmarkStart w:id="172" w:name="_Hlk66452992"/>
    </w:p>
    <w:bookmarkEnd w:id="168"/>
    <w:p w14:paraId="50842BFB">
      <w:pPr>
        <w:spacing w:line="360" w:lineRule="auto"/>
        <w:ind w:firstLine="420" w:firstLineChars="200"/>
        <w:rPr>
          <w:rFonts w:ascii="宋体" w:hAnsi="宋体"/>
          <w:bCs/>
          <w:color w:val="auto"/>
          <w:szCs w:val="21"/>
          <w:highlight w:val="none"/>
          <w:u w:val="single"/>
        </w:rPr>
      </w:pPr>
      <w:bookmarkStart w:id="173" w:name="_Hlk100858270"/>
      <w:r>
        <w:rPr>
          <w:rFonts w:hint="eastAsia" w:ascii="宋体" w:hAnsi="宋体"/>
          <w:bCs/>
          <w:color w:val="auto"/>
          <w:szCs w:val="21"/>
          <w:highlight w:val="none"/>
        </w:rPr>
        <w:t>14</w:t>
      </w:r>
      <w:r>
        <w:rPr>
          <w:rFonts w:ascii="宋体" w:hAnsi="宋体"/>
          <w:bCs/>
          <w:color w:val="auto"/>
          <w:szCs w:val="21"/>
          <w:highlight w:val="none"/>
        </w:rPr>
        <w:t>.1.1</w:t>
      </w:r>
      <w:r>
        <w:rPr>
          <w:rFonts w:hint="eastAsia" w:ascii="宋体" w:hAnsi="宋体"/>
          <w:bCs/>
          <w:color w:val="auto"/>
          <w:szCs w:val="21"/>
          <w:highlight w:val="none"/>
        </w:rPr>
        <w:t>报量周期：</w:t>
      </w:r>
      <w:r>
        <w:rPr>
          <w:rFonts w:hint="eastAsia" w:ascii="宋体" w:hAnsi="宋体"/>
          <w:bCs/>
          <w:color w:val="auto"/>
          <w:szCs w:val="21"/>
          <w:highlight w:val="none"/>
          <w:u w:val="single"/>
        </w:rPr>
        <w:t>由专用条款第9条约定；</w:t>
      </w:r>
    </w:p>
    <w:p w14:paraId="79980E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乙方应在</w:t>
      </w:r>
      <w:r>
        <w:rPr>
          <w:rFonts w:hint="eastAsia" w:ascii="宋体" w:hAnsi="宋体"/>
          <w:color w:val="auto"/>
          <w:szCs w:val="21"/>
          <w:highlight w:val="none"/>
        </w:rPr>
        <w:t>每月3日-</w:t>
      </w:r>
      <w:r>
        <w:rPr>
          <w:rFonts w:ascii="宋体" w:hAnsi="宋体"/>
          <w:color w:val="auto"/>
          <w:szCs w:val="21"/>
          <w:highlight w:val="none"/>
        </w:rPr>
        <w:t>8</w:t>
      </w:r>
      <w:r>
        <w:rPr>
          <w:rFonts w:hint="eastAsia" w:ascii="宋体" w:hAnsi="宋体"/>
          <w:color w:val="auto"/>
          <w:szCs w:val="21"/>
          <w:highlight w:val="none"/>
        </w:rPr>
        <w:t>日</w:t>
      </w:r>
      <w:r>
        <w:rPr>
          <w:rFonts w:hint="eastAsia" w:ascii="宋体" w:hAnsi="宋体"/>
          <w:color w:val="auto"/>
          <w:szCs w:val="21"/>
          <w:highlight w:val="none"/>
        </w:rPr>
        <w:t>按照甲方规定向甲方报送进度工程报表，若未按时报送进度工程报表，则本月甲方有权不支付本月工程进度款，如乙方未按时上报进度工程报表，并处1万元/次的违约金。</w:t>
      </w:r>
    </w:p>
    <w:p w14:paraId="596F62EA">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14.</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根据甲方、监理、甲方造价服务单位单位签确的工程形象进度进行准确的进度报量。</w:t>
      </w:r>
    </w:p>
    <w:bookmarkEnd w:id="169"/>
    <w:bookmarkEnd w:id="172"/>
    <w:bookmarkEnd w:id="173"/>
    <w:p w14:paraId="21327EB4">
      <w:pPr>
        <w:pStyle w:val="55"/>
        <w:spacing w:line="360" w:lineRule="auto"/>
        <w:rPr>
          <w:rFonts w:ascii="宋体" w:hAnsi="宋体"/>
          <w:color w:val="auto"/>
          <w:szCs w:val="21"/>
          <w:highlight w:val="none"/>
          <w:u w:val="single"/>
        </w:rPr>
      </w:pPr>
      <w:bookmarkStart w:id="174" w:name="_Hlk71902407"/>
      <w:r>
        <w:rPr>
          <w:rFonts w:hint="eastAsia" w:ascii="宋体" w:hAnsi="宋体"/>
          <w:color w:val="auto"/>
          <w:szCs w:val="21"/>
          <w:highlight w:val="none"/>
        </w:rPr>
        <w:t>14.</w:t>
      </w:r>
      <w:r>
        <w:rPr>
          <w:rFonts w:ascii="宋体" w:hAnsi="宋体"/>
          <w:color w:val="auto"/>
          <w:szCs w:val="21"/>
          <w:highlight w:val="none"/>
        </w:rPr>
        <w:t>2</w:t>
      </w:r>
      <w:r>
        <w:rPr>
          <w:rFonts w:hint="eastAsia" w:ascii="宋体" w:hAnsi="宋体"/>
          <w:color w:val="auto"/>
          <w:szCs w:val="21"/>
          <w:highlight w:val="none"/>
        </w:rPr>
        <w:t>预付款：</w:t>
      </w:r>
      <w:r>
        <w:rPr>
          <w:rFonts w:hint="eastAsia" w:ascii="宋体" w:hAnsi="宋体"/>
          <w:color w:val="auto"/>
          <w:szCs w:val="21"/>
          <w:highlight w:val="none"/>
          <w:u w:val="single"/>
        </w:rPr>
        <w:t>本工程没有预付款。</w:t>
      </w:r>
    </w:p>
    <w:p w14:paraId="293395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3</w:t>
      </w:r>
      <w:r>
        <w:rPr>
          <w:rFonts w:hint="eastAsia" w:ascii="宋体" w:hAnsi="宋体"/>
          <w:color w:val="auto"/>
          <w:szCs w:val="21"/>
          <w:highlight w:val="none"/>
        </w:rPr>
        <w:t xml:space="preserve"> 进度款：</w:t>
      </w:r>
      <w:r>
        <w:rPr>
          <w:rFonts w:hint="eastAsia"/>
          <w:color w:val="auto"/>
          <w:highlight w:val="none"/>
          <w:u w:val="single"/>
        </w:rPr>
        <w:t>由专用条款第9条约定。</w:t>
      </w:r>
    </w:p>
    <w:p w14:paraId="3AEC25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4</w:t>
      </w:r>
      <w:r>
        <w:rPr>
          <w:rFonts w:hint="eastAsia" w:ascii="宋体" w:hAnsi="宋体"/>
          <w:color w:val="auto"/>
          <w:szCs w:val="21"/>
          <w:highlight w:val="none"/>
        </w:rPr>
        <w:t xml:space="preserve"> 结算款及保修金：</w:t>
      </w:r>
      <w:r>
        <w:rPr>
          <w:rFonts w:hint="eastAsia"/>
          <w:color w:val="auto"/>
          <w:highlight w:val="none"/>
          <w:u w:val="single"/>
        </w:rPr>
        <w:t>由专用条款第9条约定。</w:t>
      </w:r>
    </w:p>
    <w:bookmarkEnd w:id="170"/>
    <w:bookmarkEnd w:id="174"/>
    <w:p w14:paraId="105CAB37">
      <w:pPr>
        <w:spacing w:line="360" w:lineRule="auto"/>
        <w:ind w:firstLine="420" w:firstLineChars="200"/>
        <w:rPr>
          <w:rFonts w:ascii="宋体" w:hAnsi="宋体"/>
          <w:color w:val="auto"/>
          <w:szCs w:val="21"/>
          <w:highlight w:val="none"/>
        </w:rPr>
      </w:pPr>
      <w:bookmarkStart w:id="175" w:name="_Hlk101202686"/>
      <w:r>
        <w:rPr>
          <w:rFonts w:hint="eastAsia" w:ascii="宋体" w:hAnsi="宋体"/>
          <w:color w:val="auto"/>
          <w:szCs w:val="21"/>
          <w:highlight w:val="none"/>
        </w:rPr>
        <w:t>14.</w:t>
      </w:r>
      <w:r>
        <w:rPr>
          <w:rFonts w:ascii="宋体" w:hAnsi="宋体"/>
          <w:color w:val="auto"/>
          <w:szCs w:val="21"/>
          <w:highlight w:val="none"/>
        </w:rPr>
        <w:t>5</w:t>
      </w:r>
      <w:r>
        <w:rPr>
          <w:rFonts w:hint="eastAsia" w:ascii="宋体" w:hAnsi="宋体"/>
          <w:color w:val="auto"/>
          <w:szCs w:val="21"/>
          <w:highlight w:val="none"/>
        </w:rPr>
        <w:t>乙方接受甲方以网上银行转账支付的方式支付工程款；</w:t>
      </w:r>
    </w:p>
    <w:bookmarkEnd w:id="175"/>
    <w:p w14:paraId="4E21169A">
      <w:pPr>
        <w:spacing w:line="360" w:lineRule="auto"/>
        <w:ind w:firstLine="420" w:firstLineChars="200"/>
        <w:rPr>
          <w:rFonts w:ascii="宋体" w:hAnsi="宋体"/>
          <w:color w:val="auto"/>
          <w:szCs w:val="21"/>
          <w:highlight w:val="none"/>
        </w:rPr>
      </w:pPr>
      <w:bookmarkStart w:id="176" w:name="_Hlk101202715"/>
      <w:r>
        <w:rPr>
          <w:rFonts w:hint="eastAsia" w:ascii="宋体" w:hAnsi="宋体"/>
          <w:color w:val="auto"/>
          <w:szCs w:val="21"/>
          <w:highlight w:val="none"/>
        </w:rPr>
        <w:t>14.</w:t>
      </w:r>
      <w:r>
        <w:rPr>
          <w:rFonts w:ascii="宋体" w:hAnsi="宋体"/>
          <w:color w:val="auto"/>
          <w:szCs w:val="21"/>
          <w:highlight w:val="none"/>
        </w:rPr>
        <w:t>6</w:t>
      </w:r>
      <w:r>
        <w:rPr>
          <w:rFonts w:hint="eastAsia" w:ascii="宋体" w:hAnsi="宋体"/>
          <w:color w:val="auto"/>
          <w:szCs w:val="21"/>
          <w:highlight w:val="none"/>
        </w:rPr>
        <w:t>各期付款，应扣除按本合同规定乙方应承担的其他费用，其他乙方应承担的费用视为甲方的已付工程款，包括但不限于代购款、代垫费、借款、违约金、代扣代缴费等。</w:t>
      </w:r>
    </w:p>
    <w:p w14:paraId="666CDF92">
      <w:pPr>
        <w:spacing w:line="360" w:lineRule="auto"/>
        <w:ind w:firstLine="420" w:firstLineChars="200"/>
        <w:rPr>
          <w:rFonts w:ascii="宋体" w:hAnsi="宋体"/>
          <w:color w:val="auto"/>
          <w:szCs w:val="21"/>
          <w:highlight w:val="none"/>
        </w:rPr>
      </w:pPr>
      <w:r>
        <w:rPr>
          <w:rFonts w:ascii="宋体" w:hAnsi="宋体"/>
          <w:color w:val="auto"/>
          <w:szCs w:val="21"/>
          <w:highlight w:val="none"/>
        </w:rPr>
        <w:t>14.7</w:t>
      </w:r>
      <w:r>
        <w:rPr>
          <w:rFonts w:hint="eastAsia" w:ascii="宋体" w:hAnsi="宋体"/>
          <w:color w:val="auto"/>
          <w:szCs w:val="21"/>
          <w:highlight w:val="none"/>
        </w:rPr>
        <w:t>乙方不得随意更换收款帐户，若因特殊原因需更换收款帐户的，需提前向甲方提供相关书面证明，每更换一次，乙方向甲方支付手续费1000元。若因乙方提供帐户有误，导致甲方不能成功支付款项的，每次乙方需向甲方支付手续费1000元。</w:t>
      </w:r>
    </w:p>
    <w:p w14:paraId="79C9C4C5">
      <w:pPr>
        <w:spacing w:line="360" w:lineRule="auto"/>
        <w:ind w:firstLine="420" w:firstLineChars="200"/>
        <w:rPr>
          <w:color w:val="auto"/>
          <w:highlight w:val="none"/>
          <w:u w:val="single"/>
        </w:rPr>
      </w:pPr>
      <w:r>
        <w:rPr>
          <w:rFonts w:hint="eastAsia" w:ascii="宋体" w:hAnsi="宋体"/>
          <w:color w:val="auto"/>
          <w:szCs w:val="21"/>
          <w:highlight w:val="none"/>
        </w:rPr>
        <w:t>14.</w:t>
      </w:r>
      <w:r>
        <w:rPr>
          <w:rFonts w:ascii="宋体" w:hAnsi="宋体"/>
          <w:color w:val="auto"/>
          <w:szCs w:val="21"/>
          <w:highlight w:val="none"/>
        </w:rPr>
        <w:t>8</w:t>
      </w:r>
      <w:r>
        <w:rPr>
          <w:rFonts w:hint="eastAsia" w:ascii="宋体" w:hAnsi="宋体"/>
          <w:color w:val="auto"/>
          <w:szCs w:val="21"/>
          <w:highlight w:val="none"/>
        </w:rPr>
        <w:t xml:space="preserve"> 乙方指定的收款账户：</w:t>
      </w:r>
    </w:p>
    <w:p w14:paraId="4C8EA6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乙方开户银行：</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796CD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乙方开户名称：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0F5B4B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C68141E">
      <w:pPr>
        <w:spacing w:line="360" w:lineRule="auto"/>
        <w:ind w:firstLine="420" w:firstLineChars="200"/>
        <w:rPr>
          <w:rFonts w:ascii="宋体" w:hAnsi="宋体"/>
          <w:color w:val="auto"/>
          <w:szCs w:val="21"/>
          <w:highlight w:val="none"/>
        </w:rPr>
      </w:pPr>
      <w:bookmarkStart w:id="177" w:name="_Hlk100845586"/>
      <w:r>
        <w:rPr>
          <w:rFonts w:hint="eastAsia" w:ascii="宋体" w:hAnsi="宋体"/>
          <w:color w:val="auto"/>
          <w:szCs w:val="21"/>
          <w:highlight w:val="none"/>
        </w:rPr>
        <w:t>14.</w:t>
      </w:r>
      <w:r>
        <w:rPr>
          <w:rFonts w:ascii="宋体" w:hAnsi="宋体"/>
          <w:color w:val="auto"/>
          <w:szCs w:val="21"/>
          <w:highlight w:val="none"/>
        </w:rPr>
        <w:t xml:space="preserve">9 </w:t>
      </w:r>
      <w:r>
        <w:rPr>
          <w:rFonts w:hint="eastAsia" w:ascii="宋体" w:hAnsi="宋体"/>
          <w:color w:val="auto"/>
          <w:szCs w:val="21"/>
          <w:highlight w:val="none"/>
        </w:rPr>
        <w:t>因乙方未按上述要求办理款项支付手续而导致款项无法按本合同支付的责任由乙方承担，且乙方仍须按本合同的约定履行义务。</w:t>
      </w:r>
      <w:bookmarkEnd w:id="177"/>
    </w:p>
    <w:p w14:paraId="7FD8A6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10</w:t>
      </w:r>
      <w:r>
        <w:rPr>
          <w:rFonts w:hint="eastAsia" w:ascii="宋体" w:hAnsi="宋体"/>
          <w:color w:val="auto"/>
          <w:szCs w:val="21"/>
          <w:highlight w:val="none"/>
        </w:rPr>
        <w:t>在任何情况下乙方都不允许拖欠工人的工资，否则甲方有权拒付乙方工程款。如有拖欠工人工资问题，甲方有权利无需经过乙方同意，将乙方部分应付工程款直接支付工人的工资。</w:t>
      </w:r>
    </w:p>
    <w:p w14:paraId="3569202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11</w:t>
      </w:r>
      <w:r>
        <w:rPr>
          <w:rFonts w:hint="eastAsia" w:ascii="宋体" w:hAnsi="宋体"/>
          <w:color w:val="auto"/>
          <w:szCs w:val="21"/>
          <w:highlight w:val="none"/>
        </w:rPr>
        <w:t>如乙方拖欠其属下材料供应商材料款、机械租赁费等，并严重影响工程进度的，甲方有权在履约保证金范围内直接向各材料供应商代付相应费用，该代付费用视为甲方对乙方的已付款，或由甲方在乙方当期进度款扣划。</w:t>
      </w:r>
    </w:p>
    <w:p w14:paraId="1D03DAAE">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w:t>
      </w:r>
      <w:r>
        <w:rPr>
          <w:rFonts w:ascii="宋体" w:hAnsi="宋体"/>
          <w:bCs/>
          <w:color w:val="auto"/>
          <w:szCs w:val="21"/>
          <w:highlight w:val="none"/>
        </w:rPr>
        <w:t>2</w:t>
      </w:r>
      <w:r>
        <w:rPr>
          <w:rFonts w:hint="eastAsia" w:ascii="宋体" w:hAnsi="宋体"/>
          <w:bCs/>
          <w:color w:val="auto"/>
          <w:szCs w:val="21"/>
          <w:highlight w:val="none"/>
        </w:rPr>
        <w:t>因甲方支付流程较长，乙方承诺</w:t>
      </w:r>
      <w:r>
        <w:rPr>
          <w:rFonts w:hint="eastAsia" w:ascii="宋体" w:hAnsi="宋体"/>
          <w:bCs/>
          <w:color w:val="auto"/>
          <w:szCs w:val="21"/>
          <w:highlight w:val="none"/>
          <w:u w:val="single"/>
        </w:rPr>
        <w:t>60</w:t>
      </w:r>
      <w:r>
        <w:rPr>
          <w:rFonts w:hint="eastAsia" w:ascii="宋体" w:hAnsi="宋体"/>
          <w:bCs/>
          <w:color w:val="auto"/>
          <w:szCs w:val="21"/>
          <w:highlight w:val="none"/>
        </w:rPr>
        <w:t>天内不停工、不索赔，不聚众滋事、不聚众妨碍甲方或政府有关部门正常办公。</w:t>
      </w:r>
    </w:p>
    <w:p w14:paraId="37E8FC82">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w:t>
      </w:r>
      <w:r>
        <w:rPr>
          <w:rFonts w:ascii="宋体" w:hAnsi="宋体"/>
          <w:bCs/>
          <w:color w:val="auto"/>
          <w:szCs w:val="21"/>
          <w:highlight w:val="none"/>
        </w:rPr>
        <w:t>3</w:t>
      </w:r>
      <w:r>
        <w:rPr>
          <w:rFonts w:hint="eastAsia" w:ascii="宋体" w:hAnsi="宋体"/>
          <w:bCs/>
          <w:color w:val="auto"/>
          <w:szCs w:val="21"/>
          <w:highlight w:val="none"/>
        </w:rPr>
        <w:t>本合同履行期间乙方应按照下列条款的约定向甲方提供相关资料，否则视为乙方违约，甲方有权单方决定解除本合同，并不给予乙方任何补偿或赔偿。</w:t>
      </w:r>
    </w:p>
    <w:p w14:paraId="002BE305">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（1）甲方有权根据实际经营情况，在符合税法规定下对发票抬头进行调整。</w:t>
      </w:r>
    </w:p>
    <w:p w14:paraId="2EB0D77D">
      <w:pPr>
        <w:widowControl/>
        <w:spacing w:line="360" w:lineRule="auto"/>
        <w:ind w:firstLine="420" w:firstLineChars="200"/>
        <w:rPr>
          <w:rFonts w:ascii="宋体" w:hAnsi="宋体"/>
          <w:bCs/>
          <w:color w:val="auto"/>
          <w:szCs w:val="21"/>
          <w:highlight w:val="none"/>
        </w:rPr>
      </w:pPr>
      <w:bookmarkStart w:id="178" w:name="_Hlk101460156"/>
      <w:r>
        <w:rPr>
          <w:rFonts w:hint="eastAsia" w:ascii="宋体" w:hAnsi="宋体"/>
          <w:bCs/>
          <w:color w:val="auto"/>
          <w:szCs w:val="21"/>
          <w:highlight w:val="none"/>
        </w:rPr>
        <w:t>（2）甲方每月对乙方确定工程进度款支付额度后，乙方应按此额度向甲方全额开具合规合法的增值税专用发票（自开或在税局门前代开），并按税务规定，向甲方提供最近一个税期的《完税证明》等资料，以上资料应在下次支付工程款前送达甲方，以满足甲方正常抵扣增值税的需要，否则甲方有权拒绝支付工程款，且甲方不承担违约责任。</w:t>
      </w:r>
    </w:p>
    <w:p w14:paraId="51479161">
      <w:pPr>
        <w:widowControl/>
        <w:spacing w:line="360" w:lineRule="auto"/>
        <w:ind w:firstLine="420" w:firstLineChars="200"/>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在合同执行过程中，因乙方原因提前终止合同时，乙方应根据双方结算金额向甲方全额开具合规合法的增值税专用发票、《完税证明》、《无欠税证明》，否则甲方有权拒绝支付工程款，且甲方不承担违约责任。</w:t>
      </w:r>
    </w:p>
    <w:p w14:paraId="41A11C97">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）如乙方未能按照本合同上述条款提供对应增值税专用发票，甲方有权不支付该工程价款，乙方须承担等额违约金。</w:t>
      </w:r>
      <w:bookmarkEnd w:id="178"/>
    </w:p>
    <w:p w14:paraId="5CD2AB57">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（5）开具增值税专用发票须列明甲乙双方纳税人信息。</w:t>
      </w:r>
    </w:p>
    <w:p w14:paraId="19040452">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甲方开具增值税专用发票信息如下：</w:t>
      </w:r>
    </w:p>
    <w:p w14:paraId="4A267DDA">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单位名称：广州市继丰房地产开发有限公司</w:t>
      </w:r>
    </w:p>
    <w:p w14:paraId="41B6F9A6">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统一社会信用代码：</w:t>
      </w:r>
    </w:p>
    <w:p w14:paraId="23942CE6">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通讯地址：</w:t>
      </w:r>
    </w:p>
    <w:p w14:paraId="068B33FF">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联系电话：</w:t>
      </w:r>
    </w:p>
    <w:p w14:paraId="25567935">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开户行信息：</w:t>
      </w:r>
    </w:p>
    <w:p w14:paraId="0174A93E">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银行账</w:t>
      </w:r>
      <w:r>
        <w:rPr>
          <w:rFonts w:ascii="宋体" w:hAnsi="宋体"/>
          <w:bCs/>
          <w:color w:val="auto"/>
          <w:szCs w:val="21"/>
          <w:highlight w:val="none"/>
        </w:rPr>
        <w:t>号</w:t>
      </w:r>
      <w:r>
        <w:rPr>
          <w:rFonts w:hint="eastAsia" w:ascii="宋体" w:hAnsi="宋体"/>
          <w:bCs/>
          <w:color w:val="auto"/>
          <w:szCs w:val="21"/>
          <w:highlight w:val="none"/>
        </w:rPr>
        <w:t>：</w:t>
      </w:r>
      <w:r>
        <w:rPr>
          <w:rFonts w:ascii="宋体" w:hAnsi="宋体"/>
          <w:bCs/>
          <w:color w:val="auto"/>
          <w:szCs w:val="21"/>
          <w:highlight w:val="none"/>
        </w:rPr>
        <w:t xml:space="preserve"> </w:t>
      </w:r>
    </w:p>
    <w:p w14:paraId="738D71D5">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乙方纳税人信息：</w:t>
      </w:r>
    </w:p>
    <w:p w14:paraId="1454EF12">
      <w:pPr>
        <w:widowControl/>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统一社会信用代码：</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96439C4">
      <w:pPr>
        <w:widowControl/>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纳税人身份:</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508DED5">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注册地址：</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05967EC">
      <w:pPr>
        <w:widowControl/>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联系电话:</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0F49AB4">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开户银行：</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2DFE0A7">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银行账号:</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1BA4AD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（6）若甲方不慎丢失增值税专用发票的发票联和记账联，乙方需无条件配合甲方提供相应专用发票记账联复印件并加盖发票专用章，作为增值税进项税额的抵扣凭证。</w:t>
      </w:r>
    </w:p>
    <w:bookmarkEnd w:id="165"/>
    <w:bookmarkEnd w:id="171"/>
    <w:bookmarkEnd w:id="176"/>
    <w:p w14:paraId="2097AFF5">
      <w:pPr>
        <w:pStyle w:val="97"/>
        <w:ind w:firstLine="422"/>
        <w:rPr>
          <w:color w:val="auto"/>
          <w:highlight w:val="none"/>
        </w:rPr>
      </w:pPr>
      <w:bookmarkStart w:id="179" w:name="_Toc102402659"/>
      <w:bookmarkStart w:id="180" w:name="_Toc84333718"/>
      <w:bookmarkStart w:id="181" w:name="_Toc180591483"/>
      <w:bookmarkStart w:id="182" w:name="_Hlk107862367"/>
      <w:r>
        <w:rPr>
          <w:rFonts w:hint="eastAsia"/>
          <w:color w:val="auto"/>
          <w:highlight w:val="none"/>
        </w:rPr>
        <w:t>第</w:t>
      </w:r>
      <w:r>
        <w:rPr>
          <w:color w:val="auto"/>
          <w:highlight w:val="none"/>
        </w:rPr>
        <w:t>15</w:t>
      </w:r>
      <w:r>
        <w:rPr>
          <w:rFonts w:hint="eastAsia"/>
          <w:color w:val="auto"/>
          <w:highlight w:val="none"/>
        </w:rPr>
        <w:t>条</w:t>
      </w:r>
      <w:r>
        <w:rPr>
          <w:color w:val="auto"/>
          <w:highlight w:val="none"/>
        </w:rPr>
        <w:t xml:space="preserve">  </w:t>
      </w:r>
      <w:r>
        <w:rPr>
          <w:rFonts w:hint="eastAsia"/>
          <w:color w:val="auto"/>
          <w:highlight w:val="none"/>
        </w:rPr>
        <w:t>工人工资支付</w:t>
      </w:r>
      <w:bookmarkEnd w:id="179"/>
      <w:bookmarkEnd w:id="180"/>
      <w:bookmarkEnd w:id="181"/>
    </w:p>
    <w:p w14:paraId="76460DD0">
      <w:pPr>
        <w:snapToGrid w:val="0"/>
        <w:spacing w:before="120" w:line="360" w:lineRule="auto"/>
        <w:ind w:firstLine="420" w:firstLineChars="200"/>
        <w:rPr>
          <w:rFonts w:ascii="宋体" w:hAnsi="宋体"/>
          <w:color w:val="auto"/>
          <w:szCs w:val="21"/>
          <w:highlight w:val="none"/>
        </w:rPr>
      </w:pPr>
      <w:bookmarkStart w:id="183" w:name="_Hlk71902687"/>
      <w:r>
        <w:rPr>
          <w:rFonts w:ascii="宋体" w:hAnsi="宋体"/>
          <w:color w:val="auto"/>
          <w:szCs w:val="21"/>
          <w:highlight w:val="none"/>
        </w:rPr>
        <w:t>15</w:t>
      </w:r>
      <w:r>
        <w:rPr>
          <w:rFonts w:hint="eastAsia" w:ascii="宋体" w:hAnsi="宋体"/>
          <w:color w:val="auto"/>
          <w:szCs w:val="21"/>
          <w:highlight w:val="none"/>
        </w:rPr>
        <w:t>.1综合单价已经包含工人工资费用，工人工资由乙方支付，工人进入施工场地，要服从甲方及总承包的施工现场管理。</w:t>
      </w:r>
    </w:p>
    <w:p w14:paraId="788CCD29">
      <w:pPr>
        <w:spacing w:line="360" w:lineRule="auto"/>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2乙方与其工人存在劳动关系，对工人工资支付承担直接责任，乙方应按照法律规定及合同约定承担相应的责任。乙方作为用人单位应当为其招用的工人缴纳社保和个人所得税等税费，社保和个人所得税扣缴按照国家现行规定执行，税费由乙方承担。</w:t>
      </w:r>
    </w:p>
    <w:p w14:paraId="4CA78D9D">
      <w:pPr>
        <w:spacing w:line="360" w:lineRule="auto"/>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必须对其所属工人独立承担用工责任，任何时候，乙方不得以结算纠纷等理由，拖欠或克扣工人工资。任何时候，也不得以拖欠民工工资为理由，要求甲方支付工程费用，或到政府部门聚众上访或聚众闹事。如因乙方原因，导致发生工人讨薪、投诉、上访、起诉或其他可能影响甲方及甲方项目正常工作的情况，乙方应在24小时内解决，否则乙方认可甲方与劳务工人确定的工人工资结算值，接受甲方按《保障工人工资支付条例》代发总额为[工人工资结算值-甲方已代发金额]的工资，同时乙方需向甲方承担10万元/次的违约金。代发金额从乙方当期工程进度款中扣除，如应付工程款不足以抵偿的，甲方可从乙方承接的甲方其他项目应付工程款中直接扣除，如仍不足以抵偿的，甲方有权予以追偿。</w:t>
      </w:r>
    </w:p>
    <w:p w14:paraId="52F09348">
      <w:pPr>
        <w:snapToGrid w:val="0"/>
        <w:spacing w:before="120" w:line="360" w:lineRule="auto"/>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如因工人工资支付产生诉讼纠纷的，由此产生的诉讼费、差旅费、律师费、仲裁费等均由乙方承担，甲方可在乙方剩余工程款中予以扣除。</w:t>
      </w:r>
    </w:p>
    <w:p w14:paraId="724F036D">
      <w:pPr>
        <w:spacing w:line="360" w:lineRule="auto"/>
        <w:ind w:firstLine="420" w:firstLineChars="200"/>
        <w:rPr>
          <w:rFonts w:ascii="宋体" w:hAnsi="宋体"/>
          <w:b/>
          <w:bCs/>
          <w:color w:val="auto"/>
          <w:kern w:val="0"/>
          <w:szCs w:val="21"/>
          <w:highlight w:val="none"/>
        </w:rPr>
      </w:pPr>
      <w:r>
        <w:rPr>
          <w:rFonts w:ascii="宋体" w:hAnsi="宋体"/>
          <w:color w:val="auto"/>
          <w:szCs w:val="21"/>
          <w:highlight w:val="none"/>
        </w:rPr>
        <w:t>15</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 xml:space="preserve"> 乙方</w:t>
      </w:r>
      <w:r>
        <w:rPr>
          <w:rFonts w:ascii="宋体" w:hAnsi="宋体"/>
          <w:color w:val="auto"/>
          <w:szCs w:val="21"/>
          <w:highlight w:val="none"/>
        </w:rPr>
        <w:t>若未</w:t>
      </w:r>
      <w:r>
        <w:rPr>
          <w:rFonts w:hint="eastAsia" w:ascii="宋体" w:hAnsi="宋体"/>
          <w:color w:val="auto"/>
          <w:szCs w:val="21"/>
          <w:highlight w:val="none"/>
        </w:rPr>
        <w:t>履行本</w:t>
      </w:r>
      <w:r>
        <w:rPr>
          <w:rFonts w:ascii="宋体" w:hAnsi="宋体"/>
          <w:color w:val="auto"/>
          <w:szCs w:val="21"/>
          <w:highlight w:val="none"/>
        </w:rPr>
        <w:t>合同约定的上述义务，应承担相应的违约责任</w:t>
      </w:r>
      <w:r>
        <w:rPr>
          <w:rFonts w:hint="eastAsia" w:ascii="宋体" w:hAnsi="宋体"/>
          <w:color w:val="auto"/>
          <w:szCs w:val="21"/>
          <w:highlight w:val="none"/>
        </w:rPr>
        <w:t>。甲方有权利根据情节、后果的严重程度，对乙方作出书面告诫、要求限期整改，或扣除违约金、暂停投标资格、清出合格供应商名录、录入不良行为记录等处理措施。</w:t>
      </w:r>
      <w:bookmarkEnd w:id="183"/>
    </w:p>
    <w:p w14:paraId="5C43575E">
      <w:pPr>
        <w:pStyle w:val="97"/>
        <w:ind w:firstLine="422"/>
        <w:rPr>
          <w:color w:val="auto"/>
          <w:highlight w:val="none"/>
        </w:rPr>
      </w:pPr>
      <w:bookmarkStart w:id="184" w:name="_Toc102402660"/>
      <w:bookmarkStart w:id="185" w:name="_Toc84333719"/>
      <w:bookmarkStart w:id="186" w:name="_Toc180591484"/>
      <w:r>
        <w:rPr>
          <w:rFonts w:hint="eastAsia"/>
          <w:color w:val="auto"/>
          <w:highlight w:val="none"/>
        </w:rPr>
        <w:t>第</w:t>
      </w:r>
      <w:r>
        <w:rPr>
          <w:color w:val="auto"/>
          <w:highlight w:val="none"/>
        </w:rPr>
        <w:t>16</w:t>
      </w:r>
      <w:r>
        <w:rPr>
          <w:rFonts w:hint="eastAsia"/>
          <w:color w:val="auto"/>
          <w:highlight w:val="none"/>
        </w:rPr>
        <w:t xml:space="preserve">条 </w:t>
      </w:r>
      <w:r>
        <w:rPr>
          <w:color w:val="auto"/>
          <w:highlight w:val="none"/>
        </w:rPr>
        <w:t xml:space="preserve"> </w:t>
      </w:r>
      <w:r>
        <w:rPr>
          <w:rFonts w:hint="eastAsia"/>
          <w:color w:val="auto"/>
          <w:highlight w:val="none"/>
        </w:rPr>
        <w:t>保险</w:t>
      </w:r>
      <w:bookmarkEnd w:id="184"/>
      <w:bookmarkEnd w:id="185"/>
      <w:bookmarkEnd w:id="186"/>
    </w:p>
    <w:p w14:paraId="1E7BAB36">
      <w:pPr>
        <w:spacing w:line="360" w:lineRule="auto"/>
        <w:ind w:right="-210" w:rightChars="-100" w:firstLine="420" w:firstLineChars="200"/>
        <w:rPr>
          <w:rFonts w:ascii="宋体" w:hAnsi="宋体"/>
          <w:color w:val="auto"/>
          <w:szCs w:val="21"/>
          <w:highlight w:val="none"/>
        </w:rPr>
      </w:pPr>
      <w:r>
        <w:rPr>
          <w:rFonts w:ascii="宋体" w:hAnsi="宋体"/>
          <w:color w:val="auto"/>
          <w:szCs w:val="21"/>
          <w:highlight w:val="none"/>
        </w:rPr>
        <w:t>16</w:t>
      </w:r>
      <w:r>
        <w:rPr>
          <w:rFonts w:hint="eastAsia" w:ascii="宋体" w:hAnsi="宋体"/>
          <w:color w:val="auto"/>
          <w:szCs w:val="21"/>
          <w:highlight w:val="none"/>
        </w:rPr>
        <w:t>.1乙方负责为其承包范围内的全部人员购买工伤保险、人身意外伤害保险、安全责任险（如有）等行政主管部门要求的险种，发生事故后，乙方应及时处理，并承担一切损失，如乙方处理不当，乙方同意甲方代为处理，并有权从乙方工程款中扣除相关费用</w:t>
      </w:r>
    </w:p>
    <w:p w14:paraId="0963E5FA">
      <w:pPr>
        <w:spacing w:line="360" w:lineRule="auto"/>
        <w:ind w:right="-210" w:rightChars="-100" w:firstLine="420" w:firstLineChars="200"/>
        <w:rPr>
          <w:rFonts w:ascii="宋体" w:hAnsi="宋体"/>
          <w:color w:val="auto"/>
          <w:szCs w:val="21"/>
          <w:highlight w:val="none"/>
        </w:rPr>
      </w:pPr>
      <w:r>
        <w:rPr>
          <w:rFonts w:ascii="宋体" w:hAnsi="宋体"/>
          <w:color w:val="auto"/>
          <w:szCs w:val="21"/>
          <w:highlight w:val="none"/>
        </w:rPr>
        <w:t>16</w:t>
      </w:r>
      <w:r>
        <w:rPr>
          <w:rFonts w:hint="eastAsia" w:ascii="宋体" w:hAnsi="宋体"/>
          <w:color w:val="auto"/>
          <w:szCs w:val="21"/>
          <w:highlight w:val="none"/>
        </w:rPr>
        <w:t>.2乙方应为进入现场的第三方人员办理生命财产和施工机械设备办理保险，承担其全部保险费用。乙方因承建本工程其自行在外产生的一切债务或纠纷，与甲方无关。</w:t>
      </w:r>
    </w:p>
    <w:p w14:paraId="587A5381">
      <w:pPr>
        <w:spacing w:line="360" w:lineRule="auto"/>
        <w:ind w:right="-210" w:rightChars="-100" w:firstLine="420" w:firstLineChars="200"/>
        <w:rPr>
          <w:rFonts w:ascii="宋体" w:hAnsi="宋体"/>
          <w:color w:val="auto"/>
          <w:szCs w:val="21"/>
          <w:highlight w:val="none"/>
        </w:rPr>
      </w:pPr>
      <w:r>
        <w:rPr>
          <w:rFonts w:ascii="宋体" w:hAnsi="宋体"/>
          <w:color w:val="auto"/>
          <w:szCs w:val="21"/>
          <w:highlight w:val="none"/>
        </w:rPr>
        <w:t>16</w:t>
      </w:r>
      <w:r>
        <w:rPr>
          <w:rFonts w:hint="eastAsia" w:ascii="宋体" w:hAnsi="宋体"/>
          <w:color w:val="auto"/>
          <w:szCs w:val="21"/>
          <w:highlight w:val="none"/>
        </w:rPr>
        <w:t>.3保险事故发生时，甲方与乙方有责任尽力采取必要的措施，防止或者减少损失。</w:t>
      </w:r>
    </w:p>
    <w:p w14:paraId="67E251BB">
      <w:pPr>
        <w:pStyle w:val="97"/>
        <w:ind w:firstLine="422"/>
        <w:rPr>
          <w:color w:val="auto"/>
          <w:highlight w:val="none"/>
        </w:rPr>
      </w:pPr>
      <w:bookmarkStart w:id="187" w:name="_Toc471339206"/>
      <w:bookmarkStart w:id="188" w:name="_Toc84333720"/>
      <w:bookmarkStart w:id="189" w:name="_Toc180591485"/>
      <w:bookmarkStart w:id="190" w:name="_Toc102402661"/>
      <w:r>
        <w:rPr>
          <w:rFonts w:hint="eastAsia"/>
          <w:color w:val="auto"/>
          <w:highlight w:val="none"/>
        </w:rPr>
        <w:t>第</w:t>
      </w:r>
      <w:r>
        <w:rPr>
          <w:color w:val="auto"/>
          <w:highlight w:val="none"/>
        </w:rPr>
        <w:t>17</w:t>
      </w:r>
      <w:r>
        <w:rPr>
          <w:rFonts w:hint="eastAsia"/>
          <w:color w:val="auto"/>
          <w:highlight w:val="none"/>
        </w:rPr>
        <w:t>条</w:t>
      </w:r>
      <w:bookmarkEnd w:id="187"/>
      <w:r>
        <w:rPr>
          <w:rFonts w:hint="eastAsia"/>
          <w:color w:val="auto"/>
          <w:highlight w:val="none"/>
        </w:rPr>
        <w:t xml:space="preserve"> </w:t>
      </w:r>
      <w:r>
        <w:rPr>
          <w:color w:val="auto"/>
          <w:highlight w:val="none"/>
        </w:rPr>
        <w:t xml:space="preserve"> </w:t>
      </w:r>
      <w:r>
        <w:rPr>
          <w:rFonts w:hint="eastAsia"/>
          <w:color w:val="auto"/>
          <w:highlight w:val="none"/>
        </w:rPr>
        <w:t>履约保证</w:t>
      </w:r>
      <w:bookmarkEnd w:id="188"/>
      <w:bookmarkEnd w:id="189"/>
      <w:bookmarkEnd w:id="190"/>
    </w:p>
    <w:p w14:paraId="706652EA">
      <w:pPr>
        <w:adjustRightInd w:val="0"/>
        <w:snapToGrid w:val="0"/>
        <w:spacing w:line="360" w:lineRule="auto"/>
        <w:ind w:firstLine="420" w:firstLineChars="200"/>
        <w:rPr>
          <w:rFonts w:ascii="宋体" w:hAnsi="宋体"/>
          <w:color w:val="auto"/>
          <w:szCs w:val="21"/>
          <w:highlight w:val="none"/>
        </w:rPr>
      </w:pPr>
      <w:bookmarkStart w:id="191" w:name="_Hlk101357047"/>
      <w:r>
        <w:rPr>
          <w:rFonts w:hint="eastAsia" w:ascii="宋体" w:hAnsi="宋体"/>
          <w:color w:val="auto"/>
          <w:szCs w:val="21"/>
          <w:highlight w:val="none"/>
        </w:rPr>
        <w:t>17.1履约保证金额：</w:t>
      </w:r>
      <w:r>
        <w:rPr>
          <w:rFonts w:hint="eastAsia"/>
          <w:color w:val="auto"/>
          <w:highlight w:val="none"/>
          <w:u w:val="single"/>
        </w:rPr>
        <w:t>由专用条款第1</w:t>
      </w:r>
      <w:r>
        <w:rPr>
          <w:color w:val="auto"/>
          <w:highlight w:val="none"/>
          <w:u w:val="single"/>
        </w:rPr>
        <w:t>0条</w:t>
      </w:r>
      <w:r>
        <w:rPr>
          <w:rFonts w:hint="eastAsia"/>
          <w:color w:val="auto"/>
          <w:highlight w:val="none"/>
          <w:u w:val="single"/>
        </w:rPr>
        <w:t>约定</w:t>
      </w:r>
      <w:r>
        <w:rPr>
          <w:rFonts w:hint="eastAsia" w:ascii="宋体" w:hAnsi="宋体"/>
          <w:color w:val="auto"/>
          <w:szCs w:val="21"/>
          <w:highlight w:val="none"/>
        </w:rPr>
        <w:t>；</w:t>
      </w:r>
    </w:p>
    <w:p w14:paraId="2087CF00">
      <w:pPr>
        <w:adjustRightInd w:val="0"/>
        <w:snapToGrid w:val="0"/>
        <w:spacing w:line="360" w:lineRule="auto"/>
        <w:ind w:firstLine="420" w:firstLineChars="200"/>
        <w:jc w:val="left"/>
        <w:rPr>
          <w:rFonts w:ascii="宋体" w:hAnsi="宋体"/>
          <w:color w:val="auto"/>
          <w:szCs w:val="21"/>
          <w:highlight w:val="none"/>
        </w:rPr>
      </w:pPr>
      <w:bookmarkStart w:id="192" w:name="_Hlk100858516"/>
      <w:bookmarkStart w:id="193" w:name="_Hlk100847470"/>
      <w:r>
        <w:rPr>
          <w:rFonts w:ascii="宋体" w:hAnsi="宋体"/>
          <w:color w:val="auto"/>
          <w:szCs w:val="21"/>
          <w:highlight w:val="none"/>
        </w:rPr>
        <w:t>17.2履约保证金缴纳时间及方式：</w:t>
      </w:r>
      <w:r>
        <w:rPr>
          <w:rFonts w:hint="eastAsia" w:ascii="宋体" w:hAnsi="宋体"/>
          <w:color w:val="auto"/>
          <w:szCs w:val="21"/>
          <w:highlight w:val="none"/>
          <w:u w:val="single"/>
        </w:rPr>
        <w:t>由专用条款第1</w:t>
      </w:r>
      <w:r>
        <w:rPr>
          <w:rFonts w:ascii="宋体" w:hAnsi="宋体"/>
          <w:color w:val="auto"/>
          <w:szCs w:val="21"/>
          <w:highlight w:val="none"/>
          <w:u w:val="single"/>
        </w:rPr>
        <w:t>0条</w:t>
      </w:r>
      <w:r>
        <w:rPr>
          <w:rFonts w:hint="eastAsia" w:ascii="宋体" w:hAnsi="宋体"/>
          <w:color w:val="auto"/>
          <w:szCs w:val="21"/>
          <w:highlight w:val="none"/>
          <w:u w:val="single"/>
        </w:rPr>
        <w:t>约定</w:t>
      </w:r>
    </w:p>
    <w:bookmarkEnd w:id="192"/>
    <w:p w14:paraId="151CED5F">
      <w:pPr>
        <w:adjustRightInd w:val="0"/>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17.3履约保证的有效期：</w:t>
      </w:r>
    </w:p>
    <w:p w14:paraId="11CB1C19">
      <w:pPr>
        <w:adjustRightInd w:val="0"/>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17.3.1现金形式：自乙方向甲方缴纳之日起至结算完成之日止；</w:t>
      </w:r>
    </w:p>
    <w:p w14:paraId="3801A29B">
      <w:pPr>
        <w:adjustRightInd w:val="0"/>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17.3.2</w:t>
      </w:r>
      <w:r>
        <w:rPr>
          <w:rFonts w:hint="eastAsia" w:ascii="宋体" w:hAnsi="宋体"/>
          <w:color w:val="auto"/>
          <w:szCs w:val="21"/>
          <w:highlight w:val="none"/>
        </w:rPr>
        <w:t>履约担保</w:t>
      </w:r>
      <w:r>
        <w:rPr>
          <w:rFonts w:ascii="宋体" w:hAnsi="宋体"/>
          <w:color w:val="auto"/>
          <w:szCs w:val="21"/>
          <w:highlight w:val="none"/>
        </w:rPr>
        <w:t>：自</w:t>
      </w:r>
      <w:r>
        <w:rPr>
          <w:rFonts w:hint="eastAsia" w:ascii="宋体" w:hAnsi="宋体"/>
          <w:color w:val="auto"/>
          <w:szCs w:val="21"/>
          <w:highlight w:val="none"/>
        </w:rPr>
        <w:t>履约担保</w:t>
      </w:r>
      <w:r>
        <w:rPr>
          <w:rFonts w:ascii="宋体" w:hAnsi="宋体"/>
          <w:color w:val="auto"/>
          <w:szCs w:val="21"/>
          <w:highlight w:val="none"/>
        </w:rPr>
        <w:t>开具之日起至结算完成之日止，乙方须确保银行保函持续有效，否则甲方有权暂扣工程款直至提供有效保函止，续保费用由乙方自行承担。</w:t>
      </w:r>
    </w:p>
    <w:p w14:paraId="31C7DEA3">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17.4履约保证返还：在工程验收合格且结算全部完成后，并经确认无违约行为后，30日内无息退还乙方。乙方有违约行为时，从履约保证金中扣除，履约保证金不足时，其违约金按本合同约定从乙方的结算款中扣除，结算款不足时，甲方有权通过法律途径进行追偿。</w:t>
      </w:r>
      <w:bookmarkEnd w:id="166"/>
      <w:bookmarkEnd w:id="182"/>
      <w:bookmarkEnd w:id="191"/>
      <w:bookmarkEnd w:id="193"/>
    </w:p>
    <w:p w14:paraId="5BB4F43F">
      <w:pPr>
        <w:pStyle w:val="97"/>
        <w:ind w:firstLine="422"/>
        <w:rPr>
          <w:color w:val="auto"/>
          <w:highlight w:val="none"/>
        </w:rPr>
      </w:pPr>
      <w:bookmarkStart w:id="194" w:name="_Toc102402662"/>
      <w:bookmarkStart w:id="195" w:name="_Toc180591486"/>
      <w:bookmarkStart w:id="196" w:name="_Toc84333721"/>
      <w:bookmarkStart w:id="197" w:name="_Hlk107862405"/>
      <w:bookmarkStart w:id="198" w:name="_Hlk71904485"/>
      <w:r>
        <w:rPr>
          <w:rFonts w:hint="eastAsia"/>
          <w:color w:val="auto"/>
          <w:highlight w:val="none"/>
        </w:rPr>
        <w:t>第</w:t>
      </w:r>
      <w:r>
        <w:rPr>
          <w:color w:val="auto"/>
          <w:highlight w:val="none"/>
        </w:rPr>
        <w:t>18</w:t>
      </w:r>
      <w:r>
        <w:rPr>
          <w:rFonts w:hint="eastAsia"/>
          <w:color w:val="auto"/>
          <w:highlight w:val="none"/>
        </w:rPr>
        <w:t>条  违约责任</w:t>
      </w:r>
      <w:bookmarkEnd w:id="194"/>
      <w:bookmarkEnd w:id="195"/>
      <w:bookmarkEnd w:id="196"/>
    </w:p>
    <w:p w14:paraId="480AF758">
      <w:pPr>
        <w:widowControl/>
        <w:spacing w:line="360" w:lineRule="auto"/>
        <w:ind w:firstLine="420" w:firstLineChars="200"/>
        <w:jc w:val="left"/>
        <w:rPr>
          <w:rFonts w:ascii="宋体" w:hAnsi="宋体"/>
          <w:color w:val="auto"/>
          <w:szCs w:val="21"/>
          <w:highlight w:val="none"/>
        </w:rPr>
      </w:pPr>
      <w:bookmarkStart w:id="199" w:name="_Hlk107860815"/>
      <w:r>
        <w:rPr>
          <w:rFonts w:hint="eastAsia" w:ascii="宋体" w:hAnsi="宋体"/>
          <w:color w:val="auto"/>
          <w:szCs w:val="21"/>
          <w:highlight w:val="none"/>
        </w:rPr>
        <w:t>18.1人员不到位违约责任：</w:t>
      </w:r>
    </w:p>
    <w:p w14:paraId="67BFB85E">
      <w:pPr>
        <w:pStyle w:val="17"/>
        <w:widowControl/>
        <w:spacing w:line="360" w:lineRule="auto"/>
        <w:ind w:firstLine="420" w:firstLineChars="200"/>
        <w:jc w:val="left"/>
        <w:rPr>
          <w:rFonts w:hAnsi="宋体"/>
          <w:color w:val="auto"/>
          <w:szCs w:val="21"/>
          <w:highlight w:val="none"/>
        </w:rPr>
      </w:pPr>
      <w:r>
        <w:rPr>
          <w:rFonts w:hint="eastAsia" w:hAnsi="宋体"/>
          <w:color w:val="auto"/>
          <w:szCs w:val="21"/>
          <w:highlight w:val="none"/>
        </w:rPr>
        <w:t>18.1.1乙方管理人员在未征得甲方同意的情况下不得擅自离岗，否则应承担1000元/人/天的违约责任。乙方负责人</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必须保证每周有</w:t>
      </w:r>
      <w:r>
        <w:rPr>
          <w:rFonts w:hAnsi="宋体"/>
          <w:color w:val="auto"/>
          <w:szCs w:val="21"/>
          <w:highlight w:val="none"/>
        </w:rPr>
        <w:t>5</w:t>
      </w:r>
      <w:r>
        <w:rPr>
          <w:rFonts w:hint="eastAsia" w:hAnsi="宋体"/>
          <w:color w:val="auto"/>
          <w:szCs w:val="21"/>
          <w:highlight w:val="none"/>
        </w:rPr>
        <w:t>天（每天不少于8小时）在施工现场，必须参加甲方项目部的周生产例会及其它相关例会，如因故不能参加的需向甲方项目经理请假并安排其他人员参加，无故缺席（迟到30分钟按缺席处理），乙方应承担500元/次的违约责任；</w:t>
      </w:r>
      <w:r>
        <w:rPr>
          <w:rFonts w:hint="eastAsia" w:hAnsi="宋体"/>
          <w:color w:val="auto"/>
          <w:szCs w:val="21"/>
          <w:highlight w:val="none"/>
        </w:rPr>
        <w:t>乙方负责人若开会迟到，每迟到一分钟，乙方应承担1</w:t>
      </w:r>
      <w:r>
        <w:rPr>
          <w:rFonts w:hAnsi="宋体"/>
          <w:color w:val="auto"/>
          <w:szCs w:val="21"/>
          <w:highlight w:val="none"/>
        </w:rPr>
        <w:t>00元</w:t>
      </w:r>
      <w:r>
        <w:rPr>
          <w:rFonts w:hint="eastAsia" w:hAnsi="宋体"/>
          <w:color w:val="auto"/>
          <w:szCs w:val="21"/>
          <w:highlight w:val="none"/>
        </w:rPr>
        <w:t>/分钟的违约责任</w:t>
      </w:r>
      <w:r>
        <w:rPr>
          <w:rFonts w:hint="eastAsia" w:hAnsi="宋体"/>
          <w:color w:val="auto"/>
          <w:szCs w:val="21"/>
          <w:highlight w:val="none"/>
        </w:rPr>
        <w:t>；开例会时甲方安排工作内容未按时落实的，乙方应承担1000元/次的违约责任；</w:t>
      </w:r>
    </w:p>
    <w:p w14:paraId="4110E057">
      <w:pPr>
        <w:pStyle w:val="17"/>
        <w:widowControl/>
        <w:spacing w:line="360" w:lineRule="auto"/>
        <w:ind w:firstLine="420" w:firstLineChars="200"/>
        <w:jc w:val="left"/>
        <w:rPr>
          <w:rFonts w:hAnsi="宋体"/>
          <w:color w:val="auto"/>
          <w:szCs w:val="21"/>
          <w:highlight w:val="none"/>
        </w:rPr>
      </w:pPr>
      <w:r>
        <w:rPr>
          <w:rFonts w:hint="eastAsia" w:hAnsi="宋体"/>
          <w:color w:val="auto"/>
          <w:szCs w:val="21"/>
          <w:highlight w:val="none"/>
        </w:rPr>
        <w:t>18.1.2未经甲方书面同意，乙方派驻甲方项目部现场管理人员与合同附件一约定不一致的，视为乙方擅自更换管理人员。派驻的负责人与合同约定不一致的，乙方须承担</w:t>
      </w:r>
      <w:r>
        <w:rPr>
          <w:rFonts w:hAnsi="宋体"/>
          <w:color w:val="auto"/>
          <w:szCs w:val="21"/>
          <w:highlight w:val="none"/>
        </w:rPr>
        <w:t>20万</w:t>
      </w:r>
      <w:r>
        <w:rPr>
          <w:rFonts w:hint="eastAsia" w:hAnsi="宋体"/>
          <w:color w:val="auto"/>
          <w:szCs w:val="21"/>
          <w:highlight w:val="none"/>
        </w:rPr>
        <w:t>元/人的违约金，其他管理人员不一致的，乙方须承担违约金</w:t>
      </w:r>
      <w:r>
        <w:rPr>
          <w:rFonts w:hAnsi="宋体"/>
          <w:color w:val="auto"/>
          <w:szCs w:val="21"/>
          <w:highlight w:val="none"/>
        </w:rPr>
        <w:t>10万</w:t>
      </w:r>
      <w:r>
        <w:rPr>
          <w:rFonts w:hint="eastAsia" w:hAnsi="宋体"/>
          <w:color w:val="auto"/>
          <w:szCs w:val="21"/>
          <w:highlight w:val="none"/>
        </w:rPr>
        <w:t>元/人/次。</w:t>
      </w:r>
    </w:p>
    <w:p w14:paraId="3F7B3C8D">
      <w:pPr>
        <w:pStyle w:val="17"/>
        <w:widowControl/>
        <w:spacing w:line="360" w:lineRule="auto"/>
        <w:ind w:firstLine="420" w:firstLineChars="200"/>
        <w:jc w:val="left"/>
        <w:rPr>
          <w:rFonts w:hAnsi="宋体"/>
          <w:color w:val="auto"/>
          <w:szCs w:val="21"/>
          <w:highlight w:val="none"/>
        </w:rPr>
      </w:pPr>
      <w:r>
        <w:rPr>
          <w:rFonts w:hint="eastAsia" w:hAnsi="宋体"/>
          <w:color w:val="auto"/>
          <w:szCs w:val="21"/>
          <w:highlight w:val="none"/>
        </w:rPr>
        <w:t>18.1.3 若乙方管理人员不能胜任或不听甲方现场指挥，</w:t>
      </w:r>
      <w:r>
        <w:rPr>
          <w:rFonts w:hint="eastAsia" w:hAnsi="宋体"/>
          <w:color w:val="auto"/>
          <w:szCs w:val="21"/>
          <w:highlight w:val="none"/>
        </w:rPr>
        <w:t>现场发生质量问题及工期延误情况的，</w:t>
      </w:r>
      <w:r>
        <w:rPr>
          <w:rFonts w:hint="eastAsia" w:hAnsi="宋体"/>
          <w:color w:val="auto"/>
          <w:szCs w:val="21"/>
          <w:highlight w:val="none"/>
        </w:rPr>
        <w:t>甲方有权要求乙方更换相关人员，乙方拒不执行的，甲方有权扣除违约金10万元/人/次。</w:t>
      </w:r>
    </w:p>
    <w:p w14:paraId="75CEC9FB">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18.2工期违约责任</w:t>
      </w:r>
    </w:p>
    <w:p w14:paraId="19279D71">
      <w:pPr>
        <w:spacing w:line="360" w:lineRule="auto"/>
        <w:ind w:firstLine="420" w:firstLineChars="200"/>
        <w:rPr>
          <w:rFonts w:ascii="宋体" w:hAnsi="宋体"/>
          <w:color w:val="auto"/>
          <w:szCs w:val="21"/>
          <w:highlight w:val="none"/>
        </w:rPr>
      </w:pPr>
      <w:bookmarkStart w:id="200" w:name="_Hlk109224103"/>
      <w:r>
        <w:rPr>
          <w:rFonts w:hint="eastAsia" w:ascii="宋体" w:hAnsi="宋体"/>
          <w:color w:val="auto"/>
          <w:szCs w:val="21"/>
          <w:highlight w:val="none"/>
        </w:rPr>
        <w:t>18.2.1本工程分第一期工程和第二期工程，两期工程工期独立计算。如果乙方未能按甲乙双方确认的施工计划进度表完成每期相关工作内容，乙方需向甲方支付1万</w:t>
      </w:r>
      <w:r>
        <w:rPr>
          <w:rFonts w:ascii="宋体" w:hAnsi="宋体"/>
          <w:color w:val="auto"/>
          <w:szCs w:val="21"/>
          <w:highlight w:val="none"/>
        </w:rPr>
        <w:t>元</w:t>
      </w:r>
      <w:r>
        <w:rPr>
          <w:rFonts w:hint="eastAsia" w:ascii="宋体" w:hAnsi="宋体"/>
          <w:color w:val="auto"/>
          <w:szCs w:val="21"/>
          <w:highlight w:val="none"/>
        </w:rPr>
        <w:t>/天的违约金。</w:t>
      </w:r>
      <w:r>
        <w:rPr>
          <w:rFonts w:hint="eastAsia" w:ascii="宋体" w:hAnsi="宋体"/>
          <w:color w:val="auto"/>
          <w:szCs w:val="21"/>
          <w:highlight w:val="none"/>
        </w:rPr>
        <w:t xml:space="preserve"> </w:t>
      </w:r>
    </w:p>
    <w:bookmarkEnd w:id="200"/>
    <w:p w14:paraId="1FCFCA40">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2</w:t>
      </w:r>
      <w:r>
        <w:rPr>
          <w:rFonts w:hint="eastAsia" w:ascii="宋体" w:hAnsi="宋体"/>
          <w:color w:val="auto"/>
          <w:szCs w:val="21"/>
          <w:highlight w:val="none"/>
        </w:rPr>
        <w:t xml:space="preserve"> 甲方出于有利于工程进展的考虑在乙方累计三次滞后于甲乙双方确认的施工进度计划时，甲方有权随时雇佣第三方代其完成，第三方完成该部分工程的费用直接从乙方工程款中扣除，并由乙方按照该部分费用的20%承担违约责任。由此给甲方造成的全部损失，包括但不限于委托其他施工单位引起的分包价格增加、工期损失造成的建设单位处罚及或要求承担的违约金、为确保工期而引起的赶工费用、社会负面效应等各种损失均由乙方承担。</w:t>
      </w:r>
    </w:p>
    <w:p w14:paraId="018EB6B2">
      <w:pPr>
        <w:widowControl/>
        <w:spacing w:line="360" w:lineRule="auto"/>
        <w:ind w:firstLine="420" w:firstLineChars="200"/>
        <w:jc w:val="left"/>
        <w:rPr>
          <w:rFonts w:ascii="宋体" w:hAnsi="宋体"/>
          <w:color w:val="auto"/>
          <w:szCs w:val="21"/>
          <w:highlight w:val="none"/>
        </w:rPr>
      </w:pPr>
      <w:bookmarkStart w:id="201" w:name="_Hlk107852295"/>
      <w:r>
        <w:rPr>
          <w:rFonts w:hint="eastAsia" w:ascii="宋体" w:hAnsi="宋体"/>
          <w:color w:val="auto"/>
          <w:szCs w:val="21"/>
          <w:highlight w:val="none"/>
        </w:rPr>
        <w:t>18.2.</w:t>
      </w:r>
      <w:r>
        <w:rPr>
          <w:rFonts w:ascii="宋体" w:hAnsi="宋体"/>
          <w:color w:val="auto"/>
          <w:szCs w:val="21"/>
          <w:highlight w:val="none"/>
        </w:rPr>
        <w:t>3</w:t>
      </w:r>
      <w:r>
        <w:rPr>
          <w:rFonts w:hint="eastAsia" w:ascii="宋体" w:hAnsi="宋体"/>
          <w:color w:val="auto"/>
          <w:szCs w:val="21"/>
          <w:highlight w:val="none"/>
        </w:rPr>
        <w:t>其它工期违约</w:t>
      </w:r>
    </w:p>
    <w:p w14:paraId="5B037C0A">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①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201"/>
    <w:p w14:paraId="2FBA8060">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18.3质量违约责任</w:t>
      </w:r>
    </w:p>
    <w:p w14:paraId="20DBA1AB">
      <w:pPr>
        <w:widowControl/>
        <w:spacing w:line="360" w:lineRule="auto"/>
        <w:ind w:firstLine="420" w:firstLineChars="200"/>
        <w:jc w:val="left"/>
        <w:rPr>
          <w:rFonts w:ascii="宋体" w:hAnsi="宋体"/>
          <w:color w:val="auto"/>
          <w:szCs w:val="21"/>
          <w:highlight w:val="none"/>
        </w:rPr>
      </w:pPr>
      <w:bookmarkStart w:id="202" w:name="_Hlk107927859"/>
      <w:r>
        <w:rPr>
          <w:rFonts w:hint="eastAsia" w:ascii="宋体" w:hAnsi="宋体"/>
          <w:color w:val="auto"/>
          <w:szCs w:val="21"/>
          <w:highlight w:val="none"/>
        </w:rPr>
        <w:t>18.3.1乙方未按要求组织施工，每发现一次，乙方应承担违约金</w:t>
      </w:r>
      <w:r>
        <w:rPr>
          <w:rFonts w:hint="eastAsia" w:ascii="宋体" w:hAnsi="宋体"/>
          <w:color w:val="auto"/>
          <w:szCs w:val="21"/>
          <w:highlight w:val="none"/>
        </w:rPr>
        <w:t>2万</w:t>
      </w:r>
      <w:r>
        <w:rPr>
          <w:rFonts w:hint="eastAsia" w:ascii="宋体" w:hAnsi="宋体"/>
          <w:color w:val="auto"/>
          <w:szCs w:val="21"/>
          <w:highlight w:val="none"/>
        </w:rPr>
        <w:t>元/次；造成质量问题或质量事故的，所有造成的损失均由乙方自行承担，并需向甲方支付</w:t>
      </w:r>
      <w:r>
        <w:rPr>
          <w:rFonts w:hint="eastAsia" w:ascii="宋体" w:hAnsi="宋体"/>
          <w:color w:val="auto"/>
          <w:szCs w:val="21"/>
          <w:highlight w:val="none"/>
        </w:rPr>
        <w:t>5万</w:t>
      </w:r>
      <w:r>
        <w:rPr>
          <w:rFonts w:hint="eastAsia" w:ascii="宋体" w:hAnsi="宋体"/>
          <w:color w:val="auto"/>
          <w:szCs w:val="21"/>
          <w:highlight w:val="none"/>
        </w:rPr>
        <w:t>元/次的违约金。</w:t>
      </w:r>
    </w:p>
    <w:p w14:paraId="24D5D8D7">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8.3.2</w:t>
      </w:r>
      <w:r>
        <w:rPr>
          <w:rFonts w:hint="eastAsia" w:ascii="宋体" w:hAnsi="宋体"/>
          <w:color w:val="auto"/>
          <w:szCs w:val="21"/>
          <w:highlight w:val="none"/>
        </w:rPr>
        <w:t>乙方必须按要求及时处理施工过程中存在的问题，凡是未按要求处理，影响下道工序施工的，承担</w:t>
      </w:r>
      <w:r>
        <w:rPr>
          <w:rFonts w:hint="eastAsia" w:ascii="宋体" w:hAnsi="宋体"/>
          <w:color w:val="auto"/>
          <w:szCs w:val="21"/>
          <w:highlight w:val="none"/>
        </w:rPr>
        <w:t>1万</w:t>
      </w:r>
      <w:r>
        <w:rPr>
          <w:rFonts w:hint="eastAsia" w:ascii="宋体" w:hAnsi="宋体"/>
          <w:color w:val="auto"/>
          <w:szCs w:val="21"/>
          <w:highlight w:val="none"/>
        </w:rPr>
        <w:t>元/天的违约金，并承担给甲方造成的一切损失。</w:t>
      </w:r>
      <w:bookmarkEnd w:id="202"/>
    </w:p>
    <w:p w14:paraId="3AEC8107">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8.3.3</w:t>
      </w:r>
      <w:r>
        <w:rPr>
          <w:rFonts w:hint="eastAsia" w:ascii="宋体" w:hAnsi="宋体"/>
          <w:color w:val="auto"/>
          <w:szCs w:val="21"/>
          <w:highlight w:val="none"/>
        </w:rPr>
        <w:t>在整个施工期间乙方应满足合同通用条款及专用条款的要求，如甲方通知乙方要求整改，乙方在收到甲方文件规定期限之内还未进行整改，每次承担1万元/天的违约金。</w:t>
      </w:r>
    </w:p>
    <w:p w14:paraId="1E1EC9FA">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18.3.</w:t>
      </w:r>
      <w:r>
        <w:rPr>
          <w:rFonts w:ascii="宋体" w:hAnsi="宋体"/>
          <w:color w:val="auto"/>
          <w:szCs w:val="21"/>
          <w:highlight w:val="none"/>
        </w:rPr>
        <w:t>4</w:t>
      </w:r>
      <w:r>
        <w:rPr>
          <w:rFonts w:hint="eastAsia" w:ascii="宋体" w:hAnsi="宋体"/>
          <w:color w:val="auto"/>
          <w:szCs w:val="21"/>
          <w:highlight w:val="none"/>
        </w:rPr>
        <w:t>因乙方原因导致质量不符合验收要求的，乙方需自费修复或整改直至达到验收标准为止，延误的工期不予顺延，并赔偿甲方因此发生的一切损失；</w:t>
      </w:r>
    </w:p>
    <w:p w14:paraId="1E374CE5">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18.3.</w:t>
      </w:r>
      <w:r>
        <w:rPr>
          <w:rFonts w:ascii="宋体" w:hAnsi="宋体"/>
          <w:color w:val="auto"/>
          <w:szCs w:val="21"/>
          <w:highlight w:val="none"/>
        </w:rPr>
        <w:t>5</w:t>
      </w:r>
      <w:r>
        <w:rPr>
          <w:rFonts w:hint="eastAsia" w:ascii="宋体" w:hAnsi="宋体"/>
          <w:color w:val="auto"/>
          <w:szCs w:val="21"/>
          <w:highlight w:val="none"/>
        </w:rPr>
        <w:t>工程完工后乙方须确保一次性验收合格，导致二次或三次验收方能合格的，每次承担违约金</w:t>
      </w:r>
      <w:r>
        <w:rPr>
          <w:rFonts w:ascii="宋体" w:hAnsi="宋体"/>
          <w:color w:val="auto"/>
          <w:szCs w:val="21"/>
          <w:highlight w:val="none"/>
          <w:u w:val="single"/>
        </w:rPr>
        <w:t>1</w:t>
      </w:r>
      <w:r>
        <w:rPr>
          <w:rFonts w:hint="eastAsia" w:ascii="宋体" w:hAnsi="宋体"/>
          <w:color w:val="auto"/>
          <w:szCs w:val="21"/>
          <w:highlight w:val="none"/>
          <w:u w:val="single"/>
        </w:rPr>
        <w:t>万</w:t>
      </w:r>
      <w:r>
        <w:rPr>
          <w:rFonts w:hint="eastAsia" w:ascii="宋体" w:hAnsi="宋体"/>
          <w:color w:val="auto"/>
          <w:szCs w:val="21"/>
          <w:highlight w:val="none"/>
        </w:rPr>
        <w:t>元；</w:t>
      </w:r>
    </w:p>
    <w:p w14:paraId="4A8DB532">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18.3.</w:t>
      </w:r>
      <w:r>
        <w:rPr>
          <w:rFonts w:ascii="宋体" w:hAnsi="宋体"/>
          <w:color w:val="auto"/>
          <w:szCs w:val="21"/>
          <w:highlight w:val="none"/>
        </w:rPr>
        <w:t>6</w:t>
      </w:r>
      <w:r>
        <w:rPr>
          <w:rFonts w:hint="eastAsia" w:ascii="宋体" w:hAnsi="宋体"/>
          <w:color w:val="auto"/>
          <w:szCs w:val="21"/>
          <w:highlight w:val="none"/>
        </w:rPr>
        <w:t>因质量原因造成企业诚信评价受损的，按下列标准扣除违约金：</w:t>
      </w:r>
    </w:p>
    <w:p w14:paraId="396D2E5C">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①凡是出现《广州市建筑施工企业质量安全管理评价标准》里的质量不良行为及不规范行为的，乙方应承担违约金1万元/次。</w:t>
      </w:r>
    </w:p>
    <w:p w14:paraId="2C98482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②凡是在广州市诚信综合评价体系里工程质量、绿色施工评价分值低于40分的（工程交工阶段的项目经现场查看，确实没有得分项达不到最低分值的除外），乙方应承担违约金1万元。</w:t>
      </w:r>
    </w:p>
    <w:p w14:paraId="6915CE7F">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18.3.</w:t>
      </w:r>
      <w:r>
        <w:rPr>
          <w:rFonts w:ascii="宋体" w:hAnsi="宋体"/>
          <w:color w:val="auto"/>
          <w:szCs w:val="21"/>
          <w:highlight w:val="none"/>
        </w:rPr>
        <w:t>7</w:t>
      </w:r>
      <w:r>
        <w:rPr>
          <w:rFonts w:hint="eastAsia" w:ascii="宋体" w:hAnsi="宋体"/>
          <w:color w:val="auto"/>
          <w:szCs w:val="21"/>
          <w:highlight w:val="none"/>
        </w:rPr>
        <w:t>其它质量违约责任</w:t>
      </w:r>
    </w:p>
    <w:p w14:paraId="049FCA69">
      <w:pPr>
        <w:widowControl/>
        <w:numPr>
          <w:ilvl w:val="0"/>
          <w:numId w:val="2"/>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124E3AF">
      <w:pPr>
        <w:widowControl/>
        <w:spacing w:line="360" w:lineRule="auto"/>
        <w:ind w:firstLine="420" w:firstLineChars="200"/>
        <w:jc w:val="left"/>
        <w:rPr>
          <w:rFonts w:ascii="宋体" w:hAnsi="宋体"/>
          <w:color w:val="auto"/>
          <w:szCs w:val="21"/>
          <w:highlight w:val="none"/>
        </w:rPr>
      </w:pPr>
      <w:bookmarkStart w:id="203" w:name="_Hlk107864339"/>
      <w:r>
        <w:rPr>
          <w:rFonts w:hint="eastAsia" w:ascii="宋体" w:hAnsi="宋体"/>
          <w:color w:val="auto"/>
          <w:szCs w:val="21"/>
          <w:highlight w:val="none"/>
        </w:rPr>
        <w:t>18.4安全文明施工违约责任</w:t>
      </w:r>
    </w:p>
    <w:p w14:paraId="7F3F534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18.4.1</w:t>
      </w:r>
      <w:r>
        <w:rPr>
          <w:rFonts w:hint="eastAsia" w:ascii="宋体" w:hAnsi="宋体"/>
          <w:color w:val="auto"/>
          <w:szCs w:val="21"/>
          <w:highlight w:val="none"/>
        </w:rPr>
        <w:t>乙方工人发生现场内部工人闹事、打架等治安事件的，乙方须按2000元/次承担违约责任；</w:t>
      </w:r>
    </w:p>
    <w:p w14:paraId="3B6A355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18.4.2当乙方不执行或不按规定时间或期限执行甲方及总承包关于文明施工的指令，甲方有权雇用第三方代乙方执行，视为乙方同意甲方按照</w:t>
      </w:r>
      <w:r>
        <w:rPr>
          <w:rFonts w:ascii="宋体" w:hAnsi="宋体"/>
          <w:color w:val="auto"/>
          <w:szCs w:val="21"/>
          <w:highlight w:val="none"/>
          <w:u w:val="single"/>
        </w:rPr>
        <w:t xml:space="preserve"> </w:t>
      </w:r>
      <w:r>
        <w:rPr>
          <w:rFonts w:hint="eastAsia" w:ascii="宋体" w:hAnsi="宋体"/>
          <w:color w:val="auto"/>
          <w:szCs w:val="21"/>
          <w:highlight w:val="none"/>
          <w:u w:val="single"/>
        </w:rPr>
        <w:t>4</w:t>
      </w:r>
      <w:r>
        <w:rPr>
          <w:rFonts w:ascii="宋体" w:hAnsi="宋体"/>
          <w:color w:val="auto"/>
          <w:szCs w:val="21"/>
          <w:highlight w:val="none"/>
          <w:u w:val="single"/>
        </w:rPr>
        <w:t xml:space="preserve">50 </w:t>
      </w:r>
      <w:r>
        <w:rPr>
          <w:rFonts w:hint="eastAsia" w:ascii="宋体" w:hAnsi="宋体"/>
          <w:color w:val="auto"/>
          <w:szCs w:val="21"/>
          <w:highlight w:val="none"/>
        </w:rPr>
        <w:t>元/工日（工日按照每日完成30平方米区域的甲方指令作为标准予以核定）的标准在进度款支付或最终结算时予以等值扣减。</w:t>
      </w:r>
    </w:p>
    <w:p w14:paraId="748E181C">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18.4.3所有进场人员必须服从甲方及总承包的管理与安排，严格执行甲方及总承包的各种制度。乙方应积极做好工人的教育工作，建立工会等组织协调处理工人间、劳资间纠纷，乙方指派的现场管理人员负责对乙方自身聘用的劳务人员进行系统管理，乙方未执行甲方及总承包实名管理系统或未按照甲方要求按月提供劳务人员花名册的，无论甲方是否向乙方提出整改要求均视为乙方违约，甲方有权要求乙方按照每月1万元的标准承担违约金并在结算时予以扣减。甲方已按照本合同约定的比例支付工程进度款的情况下（施工过程中的各类变更、签证、索赔补偿类及或其他各类双方存在争议的费用不作为甲方应付乙方的进度款总额范围内，该部分款项在乙方按照甲方要求移交已完合格工程或人材机无条件退场后予以进行核对处理），乙方自身原因出现拖欠民工工资而产生纠纷时，除及时支付拖欠工资平息纠纷外，还应承担违约金</w:t>
      </w:r>
      <w:r>
        <w:rPr>
          <w:rFonts w:ascii="宋体" w:hAnsi="宋体"/>
          <w:color w:val="auto"/>
          <w:szCs w:val="21"/>
          <w:highlight w:val="none"/>
        </w:rPr>
        <w:t>10</w:t>
      </w:r>
      <w:r>
        <w:rPr>
          <w:rFonts w:hint="eastAsia" w:ascii="宋体" w:hAnsi="宋体"/>
          <w:color w:val="auto"/>
          <w:szCs w:val="21"/>
          <w:highlight w:val="none"/>
        </w:rPr>
        <w:t>万元/次。引发乙方所属工人及第三方3人以上的集体围堵甲方项目部、公司、政府部门的事件，甲方有权要求乙方或乙方本协议中指定的现场负责人或履约保证金承担甲方实际代发现场人员各类费用，并乙方应承担违约金</w:t>
      </w:r>
      <w:r>
        <w:rPr>
          <w:rFonts w:ascii="宋体" w:hAnsi="宋体"/>
          <w:color w:val="auto"/>
          <w:szCs w:val="21"/>
          <w:highlight w:val="none"/>
        </w:rPr>
        <w:t>10</w:t>
      </w:r>
      <w:r>
        <w:rPr>
          <w:rFonts w:hint="eastAsia" w:ascii="宋体" w:hAnsi="宋体"/>
          <w:color w:val="auto"/>
          <w:szCs w:val="21"/>
          <w:highlight w:val="none"/>
        </w:rPr>
        <w:t>万元/次。乙方承诺以甲方未支付给乙方的工程款均作为劳务工资支付的保证金，直至工程交工，工人全部退场为止。必要时甲方可直接代为乙方发放工人工资，相关费用均视为甲方的已付工程款。</w:t>
      </w:r>
    </w:p>
    <w:p w14:paraId="0A3FD686">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18.4.4乙方需确保避</w:t>
      </w:r>
      <w:r>
        <w:rPr>
          <w:rFonts w:hint="eastAsia" w:ascii="宋体" w:hAnsi="宋体"/>
          <w:color w:val="auto"/>
          <w:szCs w:val="21"/>
          <w:highlight w:val="none"/>
        </w:rPr>
        <w:t>免出现与其他参建单位打架斗</w:t>
      </w:r>
      <w:r>
        <w:rPr>
          <w:rFonts w:hint="eastAsia" w:ascii="宋体" w:hAnsi="宋体"/>
          <w:color w:val="auto"/>
          <w:szCs w:val="21"/>
          <w:highlight w:val="none"/>
        </w:rPr>
        <w:t>殴和各类舆情事件，无论在何种情况下，乙方均应承担3万元/次的违约金，并承担由此给甲方造成的损失，甲方认为有必要时有权将相关人员移交司法部门处置。</w:t>
      </w:r>
    </w:p>
    <w:p w14:paraId="4E1578F8">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4.5</w:t>
      </w:r>
      <w:r>
        <w:rPr>
          <w:rFonts w:hint="eastAsia" w:ascii="宋体" w:hAnsi="宋体"/>
          <w:color w:val="auto"/>
          <w:szCs w:val="21"/>
          <w:highlight w:val="none"/>
        </w:rPr>
        <w:t>乙方应切实做好安全防护与工人教育工作，在整个合同关系存续期间，凡发生一起重大伤亡或机械事故，或一起聚众闹事围攻、群体上访或采取极端方式等有碍工地正常秩序的，乙方应按</w:t>
      </w:r>
      <w:r>
        <w:rPr>
          <w:rFonts w:ascii="宋体" w:hAnsi="宋体"/>
          <w:color w:val="auto"/>
          <w:szCs w:val="21"/>
          <w:highlight w:val="none"/>
          <w:u w:val="single"/>
        </w:rPr>
        <w:t>10</w:t>
      </w:r>
      <w:r>
        <w:rPr>
          <w:rFonts w:hint="eastAsia" w:ascii="宋体" w:hAnsi="宋体"/>
          <w:color w:val="auto"/>
          <w:szCs w:val="21"/>
          <w:highlight w:val="none"/>
          <w:u w:val="single"/>
        </w:rPr>
        <w:t>万元/次</w:t>
      </w:r>
      <w:r>
        <w:rPr>
          <w:rFonts w:hint="eastAsia" w:ascii="宋体" w:hAnsi="宋体"/>
          <w:color w:val="auto"/>
          <w:szCs w:val="21"/>
          <w:highlight w:val="none"/>
        </w:rPr>
        <w:t>承担违约责任，并承担由此给甲方造成的损失。甲方认为有必要时，有权将相关人员移交司法部门处置。</w:t>
      </w:r>
    </w:p>
    <w:p w14:paraId="28CE94F7">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18.4.</w:t>
      </w:r>
      <w:r>
        <w:rPr>
          <w:rFonts w:ascii="宋体" w:hAnsi="宋体"/>
          <w:color w:val="auto"/>
          <w:szCs w:val="21"/>
          <w:highlight w:val="none"/>
        </w:rPr>
        <w:t>6</w:t>
      </w:r>
      <w:r>
        <w:rPr>
          <w:rFonts w:hint="eastAsia" w:ascii="宋体" w:hAnsi="宋体"/>
          <w:bCs/>
          <w:color w:val="auto"/>
          <w:szCs w:val="21"/>
          <w:highlight w:val="none"/>
        </w:rPr>
        <w:t>由于乙方原因造成危害职业健康、污染环境、安全事故的责任和因此而发生的一切经济损失和各级处罚均由乙方承担。</w:t>
      </w:r>
    </w:p>
    <w:p w14:paraId="18359D87">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18.5其他违约责任</w:t>
      </w:r>
    </w:p>
    <w:p w14:paraId="5BE8F6B1">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 xml:space="preserve">1 </w:t>
      </w:r>
      <w:r>
        <w:rPr>
          <w:rFonts w:hint="eastAsia" w:ascii="宋体" w:hAnsi="宋体"/>
          <w:color w:val="auto"/>
          <w:szCs w:val="21"/>
          <w:highlight w:val="none"/>
        </w:rPr>
        <w:t>甲方下发的指令和文件乙方不得拒签，否则，乙方须按1000元/次承担违约责任；拒收3次以上，甲方有权要求乙方更换现场负责人，情况严重者可停止当期工程款发放。</w:t>
      </w:r>
    </w:p>
    <w:p w14:paraId="134CDC6A">
      <w:pPr>
        <w:spacing w:line="360" w:lineRule="auto"/>
        <w:ind w:right="-210" w:rightChars="-100" w:firstLine="420" w:firstLineChars="200"/>
        <w:rPr>
          <w:rFonts w:ascii="宋体" w:hAnsi="宋体"/>
          <w:color w:val="auto"/>
          <w:szCs w:val="21"/>
          <w:highlight w:val="none"/>
        </w:rPr>
      </w:pPr>
      <w:r>
        <w:rPr>
          <w:rFonts w:hint="eastAsia" w:ascii="宋体" w:hAnsi="宋体"/>
          <w:color w:val="auto"/>
          <w:szCs w:val="21"/>
          <w:highlight w:val="none"/>
        </w:rPr>
        <w:t>18.5.</w:t>
      </w:r>
      <w:r>
        <w:rPr>
          <w:rFonts w:ascii="宋体" w:hAnsi="宋体"/>
          <w:color w:val="auto"/>
          <w:szCs w:val="21"/>
          <w:highlight w:val="none"/>
        </w:rPr>
        <w:t>2</w:t>
      </w:r>
      <w:r>
        <w:rPr>
          <w:rFonts w:hint="eastAsia" w:ascii="宋体" w:hAnsi="宋体"/>
          <w:color w:val="auto"/>
          <w:szCs w:val="21"/>
          <w:highlight w:val="none"/>
        </w:rPr>
        <w:t xml:space="preserve">乙方不得挂靠、转包，否则甲方有权解除本合同，乙方承担本合同总价款的10%的违约金，并须承担由此给甲方造成的一切损失。 </w:t>
      </w:r>
    </w:p>
    <w:p w14:paraId="06B08882">
      <w:pPr>
        <w:spacing w:line="360" w:lineRule="auto"/>
        <w:ind w:right="-210" w:rightChars="-100" w:firstLine="420" w:firstLineChars="200"/>
        <w:rPr>
          <w:rFonts w:ascii="宋体" w:hAnsi="宋体"/>
          <w:color w:val="auto"/>
          <w:szCs w:val="21"/>
          <w:highlight w:val="none"/>
        </w:rPr>
      </w:pPr>
      <w:r>
        <w:rPr>
          <w:rFonts w:hint="eastAsia" w:ascii="宋体" w:hAnsi="宋体"/>
          <w:color w:val="auto"/>
          <w:szCs w:val="21"/>
          <w:highlight w:val="none"/>
        </w:rPr>
        <w:t>18.5.2乙方不得以合同外单价未核定为由拒绝或停止变更内容的施工，否则乙方应承担由此给甲方造成的一切损失。</w:t>
      </w:r>
    </w:p>
    <w:p w14:paraId="3D7186F8">
      <w:pPr>
        <w:spacing w:line="360" w:lineRule="auto"/>
        <w:ind w:right="-210" w:rightChars="-100" w:firstLine="420" w:firstLineChars="200"/>
        <w:rPr>
          <w:rFonts w:ascii="宋体" w:hAnsi="宋体"/>
          <w:color w:val="auto"/>
          <w:szCs w:val="21"/>
          <w:highlight w:val="none"/>
        </w:rPr>
      </w:pPr>
      <w:r>
        <w:rPr>
          <w:rFonts w:hint="eastAsia" w:ascii="宋体" w:hAnsi="宋体"/>
          <w:color w:val="auto"/>
          <w:szCs w:val="21"/>
          <w:highlight w:val="none"/>
        </w:rPr>
        <w:t>18.5.3 因乙方违约，甲方发出解除合同通知书后</w:t>
      </w:r>
      <w:r>
        <w:rPr>
          <w:rFonts w:hint="eastAsia" w:ascii="宋体" w:hAnsi="宋体"/>
          <w:color w:val="auto"/>
          <w:szCs w:val="21"/>
          <w:highlight w:val="none"/>
          <w:u w:val="single"/>
        </w:rPr>
        <w:t xml:space="preserve"> 3 </w:t>
      </w:r>
      <w:r>
        <w:rPr>
          <w:rFonts w:hint="eastAsia" w:ascii="宋体" w:hAnsi="宋体"/>
          <w:color w:val="auto"/>
          <w:szCs w:val="21"/>
          <w:highlight w:val="none"/>
        </w:rPr>
        <w:t>日内乙方所有进场人员、机具等必须退场，否则按合同通用条款第18.2条及专用条款的规定承担工期违约责任，并须承担由此给甲方造成的其他损失。</w:t>
      </w:r>
    </w:p>
    <w:p w14:paraId="4753A439">
      <w:pPr>
        <w:spacing w:line="360" w:lineRule="auto"/>
        <w:ind w:right="-210" w:rightChars="-100" w:firstLine="420" w:firstLineChars="200"/>
        <w:rPr>
          <w:rFonts w:ascii="宋体" w:hAnsi="宋体"/>
          <w:color w:val="auto"/>
          <w:szCs w:val="21"/>
          <w:highlight w:val="none"/>
        </w:rPr>
      </w:pPr>
      <w:r>
        <w:rPr>
          <w:rFonts w:hint="eastAsia" w:ascii="宋体" w:hAnsi="宋体"/>
          <w:color w:val="auto"/>
          <w:szCs w:val="21"/>
          <w:highlight w:val="none"/>
        </w:rPr>
        <w:t>18.5.4如乙方单方要求解除合同，或者在甲方两次催告后，乙方仍不履行合同的，视为乙方拒绝履约，甲方有权要求乙方承担本合同总价款的30%的违约金。</w:t>
      </w:r>
    </w:p>
    <w:p w14:paraId="6ECFE729">
      <w:pPr>
        <w:spacing w:line="360" w:lineRule="auto"/>
        <w:ind w:right="-210" w:rightChars="-100" w:firstLine="420" w:firstLineChars="200"/>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5.</w:t>
      </w:r>
      <w:r>
        <w:rPr>
          <w:rFonts w:hint="eastAsia" w:ascii="宋体" w:hAnsi="宋体"/>
          <w:color w:val="auto"/>
          <w:szCs w:val="21"/>
          <w:highlight w:val="none"/>
        </w:rPr>
        <w:t>5因乙方开具的发票不规范、不合法或涉嫌虚开发票引起税务问题的，乙方应向甲方重新开具发票，并根据应提供的发票的票面金额的20%向甲方承担违约责任。</w:t>
      </w:r>
    </w:p>
    <w:p w14:paraId="38E40289">
      <w:pPr>
        <w:spacing w:line="360" w:lineRule="auto"/>
        <w:ind w:right="-210" w:rightChars="-100" w:firstLine="420" w:firstLineChars="200"/>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5.</w:t>
      </w:r>
      <w:r>
        <w:rPr>
          <w:rFonts w:hint="eastAsia" w:ascii="宋体" w:hAnsi="宋体"/>
          <w:color w:val="auto"/>
          <w:szCs w:val="21"/>
          <w:highlight w:val="none"/>
        </w:rPr>
        <w:t>6因乙方开具发票不及时给甲方造成无法及时认证、抵扣发票等情形的，乙方应向甲方承担赔偿责任，且乙方应根据应提供的发票的票面金额的20%向甲方承担违约责任。</w:t>
      </w:r>
    </w:p>
    <w:p w14:paraId="1E421850">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5.</w:t>
      </w:r>
      <w:r>
        <w:rPr>
          <w:rFonts w:hint="eastAsia" w:ascii="宋体" w:hAnsi="宋体"/>
          <w:color w:val="auto"/>
          <w:szCs w:val="21"/>
          <w:highlight w:val="none"/>
        </w:rPr>
        <w:t>7乙方必须确保发票票面信息全部真实，相关物资品类、价款等内容与本合同相一致；因发票票面信息有误，导致发票不能抵扣税款或者被认定为虚开的，乙方应向甲方承担赔偿责任，且乙方应根据应提供的发票的票面金额的20%向甲方承担违约责任。</w:t>
      </w:r>
    </w:p>
    <w:p w14:paraId="68AB8708">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18.5.8乙方未按合同约定上报结算资料，甲方结算审核时间对应推迟，同时处乙方1000元/天的违约金。</w:t>
      </w:r>
    </w:p>
    <w:p w14:paraId="1768332C">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18.5.9乙方未按时向甲方移交合格的工程资料，处1000元/天的违约金。</w:t>
      </w:r>
    </w:p>
    <w:p w14:paraId="137FDCBA">
      <w:pPr>
        <w:widowControl/>
        <w:spacing w:line="360" w:lineRule="auto"/>
        <w:ind w:firstLine="420" w:firstLineChars="200"/>
        <w:jc w:val="left"/>
        <w:rPr>
          <w:rFonts w:ascii="宋体" w:hAnsi="宋体"/>
          <w:color w:val="auto"/>
          <w:szCs w:val="21"/>
          <w:highlight w:val="none"/>
        </w:rPr>
      </w:pPr>
      <w:bookmarkStart w:id="204" w:name="_Hlk107927950"/>
      <w:r>
        <w:rPr>
          <w:rFonts w:hint="eastAsia" w:ascii="宋体" w:hAnsi="宋体"/>
          <w:color w:val="auto"/>
          <w:szCs w:val="21"/>
          <w:highlight w:val="none"/>
        </w:rPr>
        <w:t>1</w:t>
      </w:r>
      <w:r>
        <w:rPr>
          <w:rFonts w:ascii="宋体" w:hAnsi="宋体"/>
          <w:color w:val="auto"/>
          <w:szCs w:val="21"/>
          <w:highlight w:val="none"/>
        </w:rPr>
        <w:t>8.6</w:t>
      </w:r>
      <w:r>
        <w:rPr>
          <w:rFonts w:hint="eastAsia" w:ascii="宋体" w:hAnsi="宋体"/>
          <w:color w:val="auto"/>
          <w:szCs w:val="21"/>
          <w:highlight w:val="none"/>
        </w:rPr>
        <w:t xml:space="preserve">乙方未积极维护甲方名誉，未经许可以建设单位或项目部等名义发布自媒体作品，接受媒体、发包人、行政机关、司法机关等第三方的采访、调查、问询等，或通过其他形式发表言论的，每发生一次，应向甲方支付违约金 </w:t>
      </w:r>
      <w:r>
        <w:rPr>
          <w:rFonts w:ascii="宋体" w:hAnsi="宋体"/>
          <w:color w:val="auto"/>
          <w:szCs w:val="21"/>
          <w:highlight w:val="none"/>
        </w:rPr>
        <w:t>1</w:t>
      </w:r>
      <w:r>
        <w:rPr>
          <w:rFonts w:hint="eastAsia" w:ascii="宋体" w:hAnsi="宋体"/>
          <w:color w:val="auto"/>
          <w:szCs w:val="21"/>
          <w:highlight w:val="none"/>
        </w:rPr>
        <w:t>0万元。如因乙方原因导致建设单位或项目部名誉受损的，除应支付违约金外，还应赔偿甲方因此而遭受的损失，以及甲方为恢复名誉而支付的差旅费、诉讼费、律师费等，并应在事件发生后 24 小时内通过具有全国影响力的主流媒体公开向甲方道歉并澄清相关事实。</w:t>
      </w:r>
      <w:bookmarkEnd w:id="204"/>
    </w:p>
    <w:p w14:paraId="2B4398D3">
      <w:pPr>
        <w:widowControl/>
        <w:spacing w:line="360" w:lineRule="auto"/>
        <w:ind w:firstLine="420" w:firstLineChars="200"/>
        <w:jc w:val="left"/>
        <w:rPr>
          <w:rFonts w:ascii="宋体" w:hAnsi="宋体"/>
          <w:color w:val="auto"/>
          <w:szCs w:val="21"/>
          <w:highlight w:val="none"/>
          <w:u w:val="single"/>
        </w:rPr>
      </w:pPr>
      <w:bookmarkStart w:id="205" w:name="_Hlk107853236"/>
      <w:r>
        <w:rPr>
          <w:rFonts w:hint="eastAsia" w:ascii="宋体" w:hAnsi="宋体"/>
          <w:color w:val="auto"/>
          <w:szCs w:val="21"/>
          <w:highlight w:val="none"/>
        </w:rPr>
        <w:t>1</w:t>
      </w:r>
      <w:r>
        <w:rPr>
          <w:rFonts w:ascii="宋体" w:hAnsi="宋体"/>
          <w:color w:val="auto"/>
          <w:szCs w:val="21"/>
          <w:highlight w:val="none"/>
        </w:rPr>
        <w:t>8.7</w:t>
      </w:r>
      <w:r>
        <w:rPr>
          <w:rFonts w:hint="eastAsia" w:ascii="宋体" w:hAnsi="宋体"/>
          <w:color w:val="auto"/>
          <w:szCs w:val="21"/>
          <w:highlight w:val="none"/>
        </w:rPr>
        <w:t>其他违约情形：</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w:t>
      </w:r>
    </w:p>
    <w:bookmarkEnd w:id="205"/>
    <w:p w14:paraId="5B4A948B">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以上1</w:t>
      </w:r>
      <w:r>
        <w:rPr>
          <w:rFonts w:ascii="宋体" w:hAnsi="宋体"/>
          <w:color w:val="auto"/>
          <w:szCs w:val="21"/>
          <w:highlight w:val="none"/>
        </w:rPr>
        <w:t>8</w:t>
      </w:r>
      <w:r>
        <w:rPr>
          <w:rFonts w:hint="eastAsia" w:ascii="宋体" w:hAnsi="宋体"/>
          <w:color w:val="auto"/>
          <w:szCs w:val="21"/>
          <w:highlight w:val="none"/>
        </w:rPr>
        <w:t>.1～1</w:t>
      </w: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规定的各种违约金、乙方应承担的各种费用和损失均视为甲方对乙方的已付工程款，并不免除乙方按要求开具增值税发票的义务。</w:t>
      </w:r>
    </w:p>
    <w:p w14:paraId="573173AF">
      <w:pPr>
        <w:pStyle w:val="17"/>
        <w:spacing w:line="360" w:lineRule="auto"/>
        <w:ind w:firstLine="420" w:firstLineChars="200"/>
        <w:rPr>
          <w:rFonts w:hAnsi="宋体"/>
          <w:bCs/>
          <w:color w:val="auto"/>
          <w:szCs w:val="21"/>
          <w:highlight w:val="none"/>
        </w:rPr>
      </w:pPr>
      <w:r>
        <w:rPr>
          <w:rFonts w:hAnsi="宋体"/>
          <w:color w:val="auto"/>
          <w:szCs w:val="21"/>
          <w:highlight w:val="none"/>
        </w:rPr>
        <w:t>18.9</w:t>
      </w:r>
      <w:r>
        <w:rPr>
          <w:rFonts w:hint="eastAsia" w:hAnsi="宋体"/>
          <w:color w:val="auto"/>
          <w:szCs w:val="21"/>
          <w:highlight w:val="none"/>
        </w:rPr>
        <w:t>甲方有权从乙方缴纳的全部履约保证金中直接扣除，也可从任何一笔应支付乙方的工程款中直接扣除，乙方对此知悉并同意，且甲方有权解除合同，解除合同造成的损失由乙方承担。</w:t>
      </w:r>
      <w:bookmarkEnd w:id="197"/>
      <w:bookmarkEnd w:id="199"/>
      <w:bookmarkEnd w:id="203"/>
    </w:p>
    <w:p w14:paraId="1F2FDC97">
      <w:pPr>
        <w:pStyle w:val="97"/>
        <w:ind w:firstLine="422"/>
        <w:rPr>
          <w:color w:val="auto"/>
          <w:highlight w:val="none"/>
        </w:rPr>
      </w:pPr>
      <w:bookmarkStart w:id="206" w:name="_Toc102402663"/>
      <w:bookmarkStart w:id="207" w:name="_Toc180591487"/>
      <w:bookmarkStart w:id="208" w:name="_Hlk107924661"/>
      <w:bookmarkStart w:id="209" w:name="_Toc294774403"/>
      <w:bookmarkStart w:id="210" w:name="_Hlk68811805"/>
      <w:r>
        <w:rPr>
          <w:rFonts w:hint="eastAsia"/>
          <w:color w:val="auto"/>
          <w:highlight w:val="none"/>
        </w:rPr>
        <w:t>第</w:t>
      </w:r>
      <w:r>
        <w:rPr>
          <w:color w:val="auto"/>
          <w:highlight w:val="none"/>
        </w:rPr>
        <w:t>19</w:t>
      </w:r>
      <w:r>
        <w:rPr>
          <w:rFonts w:hint="eastAsia"/>
          <w:color w:val="auto"/>
          <w:highlight w:val="none"/>
        </w:rPr>
        <w:t>条  工程保修</w:t>
      </w:r>
      <w:bookmarkEnd w:id="206"/>
      <w:bookmarkEnd w:id="207"/>
    </w:p>
    <w:p w14:paraId="0A2E426F">
      <w:pPr>
        <w:widowControl/>
        <w:spacing w:line="360" w:lineRule="auto"/>
        <w:ind w:firstLine="420" w:firstLineChars="200"/>
        <w:jc w:val="left"/>
        <w:rPr>
          <w:rFonts w:ascii="宋体" w:hAnsi="宋体"/>
          <w:bCs/>
          <w:color w:val="auto"/>
          <w:szCs w:val="21"/>
          <w:highlight w:val="none"/>
          <w:u w:val="single"/>
        </w:rPr>
      </w:pPr>
      <w:r>
        <w:rPr>
          <w:rFonts w:hint="eastAsia" w:ascii="宋体" w:hAnsi="宋体"/>
          <w:color w:val="auto"/>
          <w:szCs w:val="21"/>
          <w:highlight w:val="none"/>
        </w:rPr>
        <w:t>19.1</w:t>
      </w:r>
      <w:r>
        <w:rPr>
          <w:rFonts w:hint="eastAsia" w:ascii="宋体" w:hAnsi="宋体"/>
          <w:bCs/>
          <w:color w:val="auto"/>
          <w:szCs w:val="21"/>
          <w:highlight w:val="none"/>
        </w:rPr>
        <w:t>质量保修期：</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本工程分两期完成，独立计算保修期，</w:t>
      </w:r>
      <w:r>
        <w:rPr>
          <w:rFonts w:hint="eastAsia" w:ascii="宋体" w:hAnsi="宋体"/>
          <w:bCs/>
          <w:color w:val="auto"/>
          <w:szCs w:val="21"/>
          <w:highlight w:val="none"/>
          <w:u w:val="single"/>
        </w:rPr>
        <w:t>从本期工程整体竣工之日算起，保修期为 2 年；</w:t>
      </w:r>
      <w:r>
        <w:rPr>
          <w:rFonts w:ascii="宋体" w:hAnsi="宋体"/>
          <w:color w:val="auto"/>
          <w:highlight w:val="none"/>
        </w:rPr>
        <w:t>绿化工程按甲方要求负责</w:t>
      </w:r>
      <w:r>
        <w:rPr>
          <w:rFonts w:hint="eastAsia" w:ascii="宋体" w:hAnsi="宋体"/>
          <w:color w:val="auto"/>
          <w:highlight w:val="none"/>
        </w:rPr>
        <w:t>管护1年（养护期间所产生的费用由乙方负责）</w:t>
      </w:r>
      <w:r>
        <w:rPr>
          <w:rFonts w:ascii="宋体" w:hAnsi="宋体"/>
          <w:color w:val="auto"/>
          <w:highlight w:val="none"/>
        </w:rPr>
        <w:t>。</w:t>
      </w:r>
    </w:p>
    <w:p w14:paraId="2BB74AEE">
      <w:pPr>
        <w:widowControl/>
        <w:spacing w:line="360" w:lineRule="auto"/>
        <w:ind w:firstLine="420" w:firstLineChars="200"/>
        <w:jc w:val="left"/>
        <w:rPr>
          <w:rFonts w:ascii="宋体" w:hAnsi="宋体"/>
          <w:bCs/>
          <w:color w:val="auto"/>
          <w:szCs w:val="21"/>
          <w:highlight w:val="none"/>
          <w:u w:val="single"/>
        </w:rPr>
      </w:pPr>
      <w:bookmarkStart w:id="211" w:name="_Hlk107941878"/>
      <w:r>
        <w:rPr>
          <w:rFonts w:hint="eastAsia" w:ascii="宋体" w:hAnsi="宋体"/>
          <w:color w:val="auto"/>
          <w:szCs w:val="21"/>
          <w:highlight w:val="none"/>
        </w:rPr>
        <w:t>19</w:t>
      </w: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保修期间，乙方有效电子邮箱：</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1C2658D">
      <w:pPr>
        <w:spacing w:line="360" w:lineRule="auto"/>
        <w:ind w:firstLine="420" w:firstLineChars="200"/>
        <w:rPr>
          <w:rFonts w:ascii="宋体" w:hAnsi="宋体"/>
          <w:color w:val="auto"/>
          <w:szCs w:val="21"/>
          <w:highlight w:val="none"/>
        </w:rPr>
      </w:pPr>
      <w:bookmarkStart w:id="212" w:name="_Hlk101292167"/>
      <w:bookmarkStart w:id="213" w:name="_Hlk107943639"/>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保修责任</w:t>
      </w:r>
    </w:p>
    <w:p w14:paraId="09BEAA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.1 乙方必须书面指定专门保修负责人及配备固定维修人员，并提供固定的联系方式(含手机、公司传真、公司地址等)；关机、联系方式更改等未及时通知甲方、甲方物业维修人员，造成无法联系进行维修，甲方物业公司有权选择第三方单位维修，并由乙方承担维修费用。</w:t>
      </w:r>
    </w:p>
    <w:p w14:paraId="72B095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.2一般维修工作乙方应在接到甲方/甲方物业公司 (电话、短信、传真、函件等)后48小时内应赶到现场进行维修。</w:t>
      </w:r>
    </w:p>
    <w:p w14:paraId="7B6141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3发生紧急抢修事件，如公共管网爆管、电路故障等，乙方在接到事故通知后，应立即到达事故现场并在2小时内完成抢修。在乙方维修人员到达之前，甲方/甲方物业公司可采取适当的应急措施，费用由施工单位承担。</w:t>
      </w:r>
    </w:p>
    <w:p w14:paraId="5D0A65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.4一般简单维修，乙方应在收到通知后3天内完成整改。</w:t>
      </w:r>
    </w:p>
    <w:p w14:paraId="72D259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5不能在3天内完成整改的维修工作(工序较多、工程量较大、受天气等客观因素影响)，乙方应与甲方物业公司协商，征得甲方物业公司同意合理延长时间，但未在该时间内完成维修工作，甲方物业公司指定第三方维修费用应由乙方承担。</w:t>
      </w:r>
    </w:p>
    <w:p w14:paraId="0AAEC7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.6维修责任不确定（如隐蔽工程）而涉及单位均拒绝执行维修工作的，甲方物业公司可直接委托维修，并在过程中确定责任及分摊，并由乙方分摊其应负责的部分。</w:t>
      </w:r>
    </w:p>
    <w:p w14:paraId="6E369D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.7乙方在维修过程中服务态度极差，被甲方物业公司二次投诉或被甲方物业公司拒绝进场维修的，甲方物业公司可直接委托维修，费用由乙方承担。</w:t>
      </w:r>
    </w:p>
    <w:p w14:paraId="4055D7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.8乙方因自身原因放弃维修或要求委托维修，甲方物业公司有权指定第三方单位进行维修，并由乙方承担维修费用。</w:t>
      </w:r>
    </w:p>
    <w:p w14:paraId="383B34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3</w:t>
      </w:r>
      <w:r>
        <w:rPr>
          <w:rFonts w:hint="eastAsia" w:ascii="宋体" w:hAnsi="宋体"/>
          <w:color w:val="auto"/>
          <w:szCs w:val="21"/>
          <w:highlight w:val="none"/>
        </w:rPr>
        <w:t>.9因乙方原因导致维修期间造成甲方其他直接或间接损失，或乙方不具备修复能力，甲方物业公司权指定第三方单位维修，并由乙方承担维修费用。</w:t>
      </w:r>
    </w:p>
    <w:p w14:paraId="525F00B8">
      <w:pPr>
        <w:spacing w:line="360" w:lineRule="auto"/>
        <w:ind w:firstLine="420" w:firstLineChars="200"/>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.10若乙方在上述约定时间内未进场或未完成维修工作的，则甲方有权雇用第三方完成，产生的费用从乙方保修金中扣除，不足部分甲方以法律手段追回。</w:t>
      </w:r>
    </w:p>
    <w:p w14:paraId="21AB72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以上保修责任如乙方未执行到位，甲方物业公司有权启动委托维修。</w:t>
      </w:r>
    </w:p>
    <w:bookmarkEnd w:id="212"/>
    <w:p w14:paraId="4960FCA4">
      <w:pPr>
        <w:pStyle w:val="97"/>
        <w:ind w:firstLine="422"/>
        <w:rPr>
          <w:color w:val="auto"/>
          <w:highlight w:val="none"/>
        </w:rPr>
      </w:pPr>
      <w:bookmarkStart w:id="214" w:name="_Toc84333723"/>
      <w:bookmarkStart w:id="215" w:name="_Toc180591488"/>
      <w:bookmarkStart w:id="216" w:name="_Toc102402664"/>
      <w:bookmarkStart w:id="217" w:name="_Toc471339210"/>
      <w:bookmarkStart w:id="218" w:name="_Hlk107862458"/>
      <w:r>
        <w:rPr>
          <w:rFonts w:hint="eastAsia"/>
          <w:color w:val="auto"/>
          <w:highlight w:val="none"/>
        </w:rPr>
        <w:t>第</w:t>
      </w:r>
      <w:r>
        <w:rPr>
          <w:color w:val="auto"/>
          <w:highlight w:val="none"/>
        </w:rPr>
        <w:t>20</w:t>
      </w:r>
      <w:r>
        <w:rPr>
          <w:rFonts w:hint="eastAsia"/>
          <w:color w:val="auto"/>
          <w:highlight w:val="none"/>
        </w:rPr>
        <w:t xml:space="preserve">条 </w:t>
      </w:r>
      <w:r>
        <w:rPr>
          <w:color w:val="auto"/>
          <w:highlight w:val="none"/>
        </w:rPr>
        <w:t xml:space="preserve"> </w:t>
      </w:r>
      <w:r>
        <w:rPr>
          <w:rFonts w:hint="eastAsia"/>
          <w:color w:val="auto"/>
          <w:highlight w:val="none"/>
        </w:rPr>
        <w:t>其他</w:t>
      </w:r>
      <w:bookmarkEnd w:id="214"/>
      <w:bookmarkEnd w:id="215"/>
      <w:bookmarkEnd w:id="216"/>
      <w:bookmarkEnd w:id="217"/>
    </w:p>
    <w:p w14:paraId="28C9005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20.1不可抗力</w:t>
      </w:r>
    </w:p>
    <w:p w14:paraId="421DC3A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20.1.1不可抗力包括的范围以及事件处理同总包合同相应条款；</w:t>
      </w:r>
    </w:p>
    <w:p w14:paraId="0AE76ED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20.1.2不可抗力事件发生涉及乙方施工场地的，乙方应立即通知甲方，在力所能及的条件下，迅速采取措施，尽力减少损失；</w:t>
      </w:r>
    </w:p>
    <w:p w14:paraId="6B93855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20.1.3乙方承担自身的人员和财产的损失；</w:t>
      </w:r>
    </w:p>
    <w:p w14:paraId="156F620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20.1.4因合同一方延期履行合同后发生不可抗力的，不能免除延迟履行方的相应责任。</w:t>
      </w:r>
    </w:p>
    <w:p w14:paraId="6D0F7C8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20.2紧急补救</w:t>
      </w:r>
    </w:p>
    <w:p w14:paraId="062941C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无论在工程施工期间或在保修期间，如果工程的任何部分发生事故或故障或其他事件，甲方认为必须进行紧急补救修理，而乙方无能力或不及时进行补救或修理工作时，甲方有权雇佣其他人员从事该项工作，若此工作乙方责任，所发生的全部费用均由乙方承担。</w:t>
      </w:r>
    </w:p>
    <w:p w14:paraId="77CD372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20.3文物和地下障碍物</w:t>
      </w:r>
    </w:p>
    <w:p w14:paraId="16C98E1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20.3.1乙方在施工中发现古墓、古建筑遗址等文物和化石或其他有考古、地质研究价值的物品时，乙方应立即保护好现场并于4小时内以书面形式通知甲方，甲方应于收到书面通知2</w:t>
      </w:r>
      <w:r>
        <w:rPr>
          <w:rFonts w:ascii="宋体" w:hAnsi="宋体"/>
          <w:bCs/>
          <w:color w:val="auto"/>
          <w:szCs w:val="21"/>
          <w:highlight w:val="none"/>
        </w:rPr>
        <w:t>4</w:t>
      </w:r>
      <w:r>
        <w:rPr>
          <w:rFonts w:hint="eastAsia" w:ascii="宋体" w:hAnsi="宋体"/>
          <w:bCs/>
          <w:color w:val="auto"/>
          <w:szCs w:val="21"/>
          <w:highlight w:val="none"/>
        </w:rPr>
        <w:t>小时内报告当地文物管理部门，甲方和乙方按文物管理部门的要求采取妥善保护措施。由此发生的费用和延误的工期，经甲方确认后，由甲方承担，相应的工期延误予以顺延。如乙方发现后隐瞒不报或哄抢文物，致使文物遭受破坏，则乙方应承担全部法律责任和由此造成的一切经济损失及各级处罚。</w:t>
      </w:r>
    </w:p>
    <w:p w14:paraId="4D5BCCF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20.3.2乙方在施工中发现影响工作的地下障碍物时，乙方应于8小时内以书面形式通知甲方，同时提出处置方案，甲方收到处置方案后2</w:t>
      </w:r>
      <w:r>
        <w:rPr>
          <w:rFonts w:ascii="宋体" w:hAnsi="宋体"/>
          <w:bCs/>
          <w:color w:val="auto"/>
          <w:szCs w:val="21"/>
          <w:highlight w:val="none"/>
        </w:rPr>
        <w:t>4</w:t>
      </w:r>
      <w:r>
        <w:rPr>
          <w:rFonts w:hint="eastAsia" w:ascii="宋体" w:hAnsi="宋体"/>
          <w:bCs/>
          <w:color w:val="auto"/>
          <w:szCs w:val="21"/>
          <w:highlight w:val="none"/>
        </w:rPr>
        <w:t>小时内予以认可或提出修改方案，由此发生的费用和延误的工期，经甲方确认后，由甲方承担，相应的工期延误予以顺延。所发现的地下障碍物有归属单位时，甲方应报请有关部门协同处置。</w:t>
      </w:r>
    </w:p>
    <w:p w14:paraId="55D2C85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20.4停缓建：</w:t>
      </w:r>
      <w:r>
        <w:rPr>
          <w:rFonts w:hint="eastAsia"/>
          <w:color w:val="auto"/>
          <w:highlight w:val="none"/>
          <w:u w:val="single"/>
        </w:rPr>
        <w:t>由专用条款第1</w:t>
      </w:r>
      <w:r>
        <w:rPr>
          <w:color w:val="auto"/>
          <w:highlight w:val="none"/>
          <w:u w:val="single"/>
        </w:rPr>
        <w:t>5条</w:t>
      </w:r>
      <w:r>
        <w:rPr>
          <w:rFonts w:hint="eastAsia"/>
          <w:color w:val="auto"/>
          <w:highlight w:val="none"/>
          <w:u w:val="single"/>
        </w:rPr>
        <w:t>约定</w:t>
      </w:r>
      <w:r>
        <w:rPr>
          <w:rFonts w:hint="eastAsia" w:ascii="宋体" w:hAnsi="宋体"/>
          <w:color w:val="auto"/>
          <w:szCs w:val="21"/>
          <w:highlight w:val="none"/>
          <w:u w:val="single"/>
        </w:rPr>
        <w:t>。</w:t>
      </w:r>
    </w:p>
    <w:p w14:paraId="125C9CA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20.5甲方公司及总承包施工现场制订的相关规章制度、补充规定均作为本协议的附件，乙方应予遵守和执行；</w:t>
      </w:r>
    </w:p>
    <w:p w14:paraId="05F3885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20.6行贿受贿</w:t>
      </w:r>
    </w:p>
    <w:p w14:paraId="6AC2563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乙方如果向甲方人员行贿，一经发现，甲方相关人员出具的所有文件均作为有效依据，并对乙方处以行贿金额的10倍处罚，同时甲方保留追究法律责任。甲方人员主动索贿，乙方可直接向公司办公室举报，一经查实符合事实将给予乙方一定金额奖励。</w:t>
      </w:r>
    </w:p>
    <w:p w14:paraId="3C73137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举报电话：</w:t>
      </w:r>
    </w:p>
    <w:p w14:paraId="25BE83A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办公室  </w:t>
      </w:r>
      <w:r>
        <w:rPr>
          <w:rFonts w:ascii="宋体" w:hAnsi="宋体"/>
          <w:bCs/>
          <w:color w:val="auto"/>
          <w:szCs w:val="21"/>
          <w:highlight w:val="none"/>
        </w:rPr>
        <w:t xml:space="preserve">         </w:t>
      </w:r>
      <w:r>
        <w:rPr>
          <w:rFonts w:hint="eastAsia" w:ascii="宋体" w:hAnsi="宋体"/>
          <w:bCs/>
          <w:color w:val="auto"/>
          <w:szCs w:val="21"/>
          <w:highlight w:val="none"/>
        </w:rPr>
        <w:t>手机：</w:t>
      </w:r>
    </w:p>
    <w:p w14:paraId="18CCE20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20.7乙方表示知晓并理解本条款：除非得到甲方的书面同意，乙方不得以任何形式转让本合同的权利及或义务（包括但不限于债权转让及或办理委托付款等）。</w:t>
      </w:r>
    </w:p>
    <w:p w14:paraId="0707E9E8">
      <w:pPr>
        <w:spacing w:line="360" w:lineRule="auto"/>
        <w:ind w:left="29" w:leftChars="14" w:right="2" w:rightChars="1" w:firstLine="420" w:firstLineChars="200"/>
        <w:rPr>
          <w:rFonts w:ascii="宋体" w:hAnsi="宋体" w:cs="宋体"/>
          <w:bCs/>
          <w:color w:val="auto"/>
          <w:szCs w:val="21"/>
          <w:highlight w:val="none"/>
        </w:rPr>
      </w:pPr>
      <w:bookmarkStart w:id="219" w:name="_Hlk101203169"/>
      <w:bookmarkStart w:id="220" w:name="_Hlk101357188"/>
      <w:r>
        <w:rPr>
          <w:rFonts w:ascii="宋体" w:hAnsi="宋体" w:cs="宋体"/>
          <w:bCs/>
          <w:color w:val="auto"/>
          <w:szCs w:val="21"/>
          <w:highlight w:val="none"/>
        </w:rPr>
        <w:t>20</w:t>
      </w:r>
      <w:r>
        <w:rPr>
          <w:rFonts w:hint="eastAsia" w:ascii="宋体" w:hAnsi="宋体" w:cs="宋体"/>
          <w:bCs/>
          <w:color w:val="auto"/>
          <w:szCs w:val="21"/>
          <w:highlight w:val="none"/>
        </w:rPr>
        <w:t>.</w:t>
      </w:r>
      <w:r>
        <w:rPr>
          <w:rFonts w:ascii="宋体" w:hAnsi="宋体" w:cs="宋体"/>
          <w:bCs/>
          <w:color w:val="auto"/>
          <w:szCs w:val="21"/>
          <w:highlight w:val="none"/>
        </w:rPr>
        <w:t>8</w:t>
      </w:r>
      <w:r>
        <w:rPr>
          <w:rFonts w:hint="eastAsia" w:ascii="宋体" w:hAnsi="宋体" w:cs="宋体"/>
          <w:bCs/>
          <w:color w:val="auto"/>
          <w:szCs w:val="21"/>
          <w:highlight w:val="none"/>
        </w:rPr>
        <w:t xml:space="preserve"> 乙方充分知悉并完全理解：任何涉及合同实质性条款变化（如价格、工期、付款、违约责任等）的补充协议或函件，必须加盖甲方合同专用章并经过甲方授权人签字方有效。任何涉及价款结算确认的中间往来文件、最终确认文件，必须加盖甲方合同专用章并经过甲方授权人签字方有效。前述甲方合同专用章样式及甲方授权人签字样式均以本合同原件记载样式为准。</w:t>
      </w:r>
    </w:p>
    <w:bookmarkEnd w:id="219"/>
    <w:p w14:paraId="55A52812">
      <w:pPr>
        <w:pStyle w:val="97"/>
        <w:ind w:firstLine="422"/>
        <w:rPr>
          <w:color w:val="auto"/>
          <w:highlight w:val="none"/>
        </w:rPr>
      </w:pPr>
      <w:bookmarkStart w:id="221" w:name="_Toc100839964"/>
      <w:bookmarkStart w:id="222" w:name="_Toc180591489"/>
      <w:bookmarkStart w:id="223" w:name="_Toc102402665"/>
      <w:r>
        <w:rPr>
          <w:rFonts w:hint="eastAsia"/>
          <w:color w:val="auto"/>
          <w:highlight w:val="none"/>
        </w:rPr>
        <w:t>第</w:t>
      </w:r>
      <w:r>
        <w:rPr>
          <w:color w:val="auto"/>
          <w:highlight w:val="none"/>
        </w:rPr>
        <w:t>21</w:t>
      </w:r>
      <w:r>
        <w:rPr>
          <w:rFonts w:hint="eastAsia"/>
          <w:color w:val="auto"/>
          <w:highlight w:val="none"/>
        </w:rPr>
        <w:t>条　合同争议、解除</w:t>
      </w:r>
      <w:bookmarkEnd w:id="221"/>
      <w:bookmarkEnd w:id="222"/>
      <w:bookmarkEnd w:id="223"/>
    </w:p>
    <w:p w14:paraId="3BFF1C9F">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.1争议</w:t>
      </w:r>
    </w:p>
    <w:p w14:paraId="44F9D0AF">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w:t>
      </w:r>
      <w:r>
        <w:rPr>
          <w:rFonts w:hint="eastAsia" w:ascii="宋体" w:hAnsi="宋体"/>
          <w:bCs/>
          <w:color w:val="auto"/>
          <w:szCs w:val="21"/>
          <w:highlight w:val="none"/>
        </w:rPr>
        <w:t xml:space="preserve">1.1 </w:t>
      </w:r>
      <w:r>
        <w:rPr>
          <w:rFonts w:hint="eastAsia" w:ascii="宋体" w:hAnsi="宋体"/>
          <w:color w:val="auto"/>
          <w:szCs w:val="21"/>
          <w:highlight w:val="none"/>
        </w:rPr>
        <w:t>甲方和乙方因执行合同发生争议，应本着友好协商的精神解决。如协商不成，则可提交双方同意的调解人进行调解。若调解不成，则提请广州仲裁委员会仲裁。</w:t>
      </w:r>
    </w:p>
    <w:p w14:paraId="3EC7AA02">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w:t>
      </w:r>
      <w:r>
        <w:rPr>
          <w:rFonts w:hint="eastAsia" w:ascii="宋体" w:hAnsi="宋体"/>
          <w:bCs/>
          <w:color w:val="auto"/>
          <w:szCs w:val="21"/>
          <w:highlight w:val="none"/>
        </w:rPr>
        <w:t xml:space="preserve">1.2  </w:t>
      </w:r>
      <w:r>
        <w:rPr>
          <w:rFonts w:hint="eastAsia" w:ascii="宋体" w:hAnsi="宋体"/>
          <w:color w:val="auto"/>
          <w:szCs w:val="21"/>
          <w:highlight w:val="none"/>
        </w:rPr>
        <w:t>当发生争议后，除非出现下列情况，否则双方都应继续履行合同，保持施工的连续性：</w:t>
      </w:r>
    </w:p>
    <w:p w14:paraId="0CD1DFCD">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（1）合同确已无法履约；</w:t>
      </w:r>
    </w:p>
    <w:p w14:paraId="6A83837A">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（2）双方协议停止施工；</w:t>
      </w:r>
    </w:p>
    <w:p w14:paraId="5257CE8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（3）调解人要求停止施工，且为双方接受；</w:t>
      </w:r>
    </w:p>
    <w:p w14:paraId="0D9A66B6">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（4）法院要求停止施工。</w:t>
      </w:r>
    </w:p>
    <w:p w14:paraId="776315E7">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.2合同解除</w:t>
      </w:r>
    </w:p>
    <w:p w14:paraId="2F4C2B31">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.2.1乙方发生以下情况时，甲方有权书面通知乙方解除本合同，且甲方不补偿乙方因此造成的损失，若甲方因此所遭受的损失，乙方应予以赔偿：</w:t>
      </w:r>
    </w:p>
    <w:p w14:paraId="1821BC6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（1）乙方违反本合同有关不得分包或转包约定的；</w:t>
      </w:r>
    </w:p>
    <w:p w14:paraId="6145D82B">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（2）乙方违反本合同乙方人员的约定，经甲方书面警告后仍未达到要求的；</w:t>
      </w:r>
    </w:p>
    <w:p w14:paraId="4F82C32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（3）因乙方的原因，使工程延误履约期限，情节重大的；</w:t>
      </w:r>
    </w:p>
    <w:p w14:paraId="6685D80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（4）乙方无正当理由而不履行合同的；</w:t>
      </w:r>
    </w:p>
    <w:p w14:paraId="37BE7AF6">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（5）检验或验收不合格，并且在通知的期限内乙方无正当理由不进行修复或修复后仍未能检验合格的；</w:t>
      </w:r>
    </w:p>
    <w:p w14:paraId="217FFC1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（6）乙方没有按合同的约定履行合同，且甲方书面通知后仍未改善的；</w:t>
      </w:r>
    </w:p>
    <w:p w14:paraId="45F6FE8F">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（7）根据乙方的履约情况，甲方由此可推断乙方无力继续履行本合同的；</w:t>
      </w:r>
    </w:p>
    <w:p w14:paraId="2F90859F">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（8）乙方在施工过程中，有偷工减料情形，且情节重大的；</w:t>
      </w:r>
    </w:p>
    <w:p w14:paraId="5662FE26">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（9）乙方有伪造或变更合同或履约相关的文件，经查明属实的；</w:t>
      </w:r>
    </w:p>
    <w:p w14:paraId="2EBCEC65">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（10）乙方有破产、财务不良或其他重大情形，致使本合同无法继续履行的；</w:t>
      </w:r>
    </w:p>
    <w:p w14:paraId="20C5AA72">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（11）合同约定的其他情形。</w:t>
      </w:r>
    </w:p>
    <w:p w14:paraId="5A28A364">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.2.2依照前款规定解除合同的，甲方发出解除合同的书面通知，乙方收到通知时合同即告解除。</w:t>
      </w:r>
    </w:p>
    <w:p w14:paraId="64111435">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.2.3依照前款解除合同后的清算：</w:t>
      </w:r>
    </w:p>
    <w:p w14:paraId="7E413022">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（1）对乙方已施工完毕并通过验收、达到本合同规定的质量标准的工作内容按原合同价格结算；</w:t>
      </w:r>
    </w:p>
    <w:p w14:paraId="25E0845C">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（2）乙方承担因退场给甲方造成的材料设备闲置、工期延误、管理费增加等相关损失，如后续施工单位的单价高于本合同单价，乙方应承担其差价损失。</w:t>
      </w:r>
    </w:p>
    <w:p w14:paraId="31428894">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.2.4甲方因计划变更或其他特殊情形需要，书面通知乙方停工、解除部分或全部合同，乙方不得提出任何异议；</w:t>
      </w:r>
    </w:p>
    <w:p w14:paraId="607E505C">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.2.5如因不可抗力致使本合同无法履行，甲方和乙方可以解除合同；</w:t>
      </w:r>
    </w:p>
    <w:p w14:paraId="68DDB4E8">
      <w:pPr>
        <w:spacing w:line="360" w:lineRule="auto"/>
        <w:ind w:firstLine="420" w:firstLineChars="200"/>
        <w:rPr>
          <w:rFonts w:ascii="宋体" w:hAnsi="宋体"/>
          <w:bCs/>
          <w:color w:val="auto"/>
          <w:szCs w:val="21"/>
          <w:highlight w:val="none"/>
        </w:rPr>
      </w:pPr>
      <w:r>
        <w:rPr>
          <w:rFonts w:ascii="宋体" w:hAnsi="宋体"/>
          <w:color w:val="auto"/>
          <w:szCs w:val="21"/>
          <w:highlight w:val="none"/>
        </w:rPr>
        <w:t>21</w:t>
      </w:r>
      <w:r>
        <w:rPr>
          <w:rFonts w:hint="eastAsia" w:ascii="宋体" w:hAnsi="宋体"/>
          <w:color w:val="auto"/>
          <w:szCs w:val="21"/>
          <w:highlight w:val="none"/>
        </w:rPr>
        <w:t>.2.6合同解除后，乙方应妥善做好已完工程和剩余材料、设备的保护和移交工作，按甲方要求撤出施工场地。合同解除后，不能免除乙方对已完工程内容的保修责任。</w:t>
      </w:r>
      <w:bookmarkEnd w:id="208"/>
      <w:bookmarkEnd w:id="211"/>
      <w:bookmarkEnd w:id="213"/>
      <w:bookmarkEnd w:id="218"/>
      <w:bookmarkEnd w:id="220"/>
    </w:p>
    <w:p w14:paraId="1C72202B">
      <w:pPr>
        <w:spacing w:line="360" w:lineRule="auto"/>
        <w:ind w:firstLine="420" w:firstLineChars="200"/>
        <w:rPr>
          <w:rFonts w:ascii="宋体" w:hAnsi="宋体"/>
          <w:bCs/>
          <w:color w:val="auto"/>
          <w:szCs w:val="21"/>
          <w:highlight w:val="none"/>
        </w:rPr>
      </w:pPr>
    </w:p>
    <w:p w14:paraId="6148DD12">
      <w:pPr>
        <w:widowControl/>
        <w:rPr>
          <w:rFonts w:ascii="宋体" w:hAnsi="宋体"/>
          <w:bCs/>
          <w:color w:val="auto"/>
          <w:szCs w:val="21"/>
          <w:highlight w:val="none"/>
        </w:rPr>
      </w:pPr>
      <w:r>
        <w:rPr>
          <w:rFonts w:ascii="宋体" w:hAnsi="宋体"/>
          <w:bCs/>
          <w:color w:val="auto"/>
          <w:szCs w:val="21"/>
          <w:highlight w:val="none"/>
        </w:rPr>
        <w:br w:type="page"/>
      </w:r>
    </w:p>
    <w:bookmarkEnd w:id="198"/>
    <w:bookmarkEnd w:id="209"/>
    <w:bookmarkEnd w:id="210"/>
    <w:p w14:paraId="4355F85F">
      <w:pPr>
        <w:pStyle w:val="96"/>
        <w:rPr>
          <w:color w:val="auto"/>
          <w:highlight w:val="none"/>
        </w:rPr>
      </w:pPr>
      <w:bookmarkStart w:id="224" w:name="_Toc180591490"/>
      <w:r>
        <w:rPr>
          <w:rFonts w:hint="eastAsia"/>
          <w:color w:val="auto"/>
          <w:highlight w:val="none"/>
        </w:rPr>
        <w:t>第三部分 合同专用条款</w:t>
      </w:r>
      <w:bookmarkEnd w:id="224"/>
    </w:p>
    <w:p w14:paraId="54261F84">
      <w:pPr>
        <w:pStyle w:val="101"/>
        <w:ind w:firstLine="420"/>
        <w:rPr>
          <w:color w:val="auto"/>
          <w:highlight w:val="none"/>
        </w:rPr>
      </w:pPr>
    </w:p>
    <w:p w14:paraId="5593DDF9">
      <w:pPr>
        <w:pStyle w:val="97"/>
        <w:ind w:firstLine="422"/>
        <w:rPr>
          <w:color w:val="auto"/>
          <w:highlight w:val="none"/>
        </w:rPr>
      </w:pPr>
      <w:bookmarkStart w:id="225" w:name="_Toc180591491"/>
      <w:bookmarkStart w:id="226" w:name="_Toc102402668"/>
      <w:bookmarkStart w:id="227" w:name="_Hlk107945482"/>
      <w:bookmarkStart w:id="228" w:name="_Hlk107945969"/>
      <w:r>
        <w:rPr>
          <w:rFonts w:hint="eastAsia"/>
          <w:color w:val="auto"/>
          <w:highlight w:val="none"/>
        </w:rPr>
        <w:t>第</w:t>
      </w:r>
      <w:r>
        <w:rPr>
          <w:color w:val="auto"/>
          <w:highlight w:val="none"/>
        </w:rPr>
        <w:t>1</w:t>
      </w:r>
      <w:r>
        <w:rPr>
          <w:rFonts w:hint="eastAsia"/>
          <w:color w:val="auto"/>
          <w:highlight w:val="none"/>
        </w:rPr>
        <w:t>条</w:t>
      </w:r>
      <w:r>
        <w:rPr>
          <w:color w:val="auto"/>
          <w:highlight w:val="none"/>
        </w:rPr>
        <w:t xml:space="preserve">  </w:t>
      </w:r>
      <w:r>
        <w:rPr>
          <w:rFonts w:hint="eastAsia"/>
          <w:color w:val="auto"/>
          <w:highlight w:val="none"/>
        </w:rPr>
        <w:t>通讯联络</w:t>
      </w:r>
      <w:bookmarkEnd w:id="225"/>
      <w:bookmarkEnd w:id="226"/>
    </w:p>
    <w:p w14:paraId="24B77D30">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 xml:space="preserve"> 双方文件/函件/资料签收人：</w:t>
      </w:r>
    </w:p>
    <w:p w14:paraId="2E4A6B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甲方签收人：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77FFC9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乙方签收人：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bookmarkEnd w:id="227"/>
    <w:bookmarkEnd w:id="228"/>
    <w:p w14:paraId="2AD336DA">
      <w:pPr>
        <w:pStyle w:val="97"/>
        <w:ind w:firstLine="422"/>
        <w:rPr>
          <w:color w:val="auto"/>
          <w:highlight w:val="none"/>
        </w:rPr>
      </w:pPr>
      <w:bookmarkStart w:id="229" w:name="_Toc180591492"/>
      <w:r>
        <w:rPr>
          <w:rFonts w:hint="eastAsia"/>
          <w:color w:val="auto"/>
          <w:highlight w:val="none"/>
        </w:rPr>
        <w:t>第</w:t>
      </w:r>
      <w:r>
        <w:rPr>
          <w:color w:val="auto"/>
          <w:highlight w:val="none"/>
        </w:rPr>
        <w:t>2</w:t>
      </w:r>
      <w:r>
        <w:rPr>
          <w:rFonts w:hint="eastAsia"/>
          <w:color w:val="auto"/>
          <w:highlight w:val="none"/>
        </w:rPr>
        <w:t>条  甲方义务</w:t>
      </w:r>
      <w:bookmarkEnd w:id="229"/>
    </w:p>
    <w:p w14:paraId="03EC1075">
      <w:pPr>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 xml:space="preserve">.1 </w:t>
      </w:r>
      <w:r>
        <w:rPr>
          <w:rFonts w:hint="eastAsia" w:ascii="宋体" w:hAnsi="宋体"/>
          <w:color w:val="auto"/>
          <w:szCs w:val="21"/>
          <w:highlight w:val="none"/>
        </w:rPr>
        <w:t>甲方组建以</w:t>
      </w:r>
      <w:r>
        <w:rPr>
          <w:rFonts w:hint="eastAsia" w:ascii="宋体" w:hAnsi="宋体"/>
          <w:color w:val="auto"/>
          <w:szCs w:val="21"/>
          <w:highlight w:val="none"/>
          <w:u w:val="single"/>
        </w:rPr>
        <w:t xml:space="preserve">    　   </w:t>
      </w:r>
      <w:r>
        <w:rPr>
          <w:rFonts w:hint="eastAsia" w:ascii="宋体" w:hAnsi="宋体"/>
          <w:color w:val="auto"/>
          <w:szCs w:val="21"/>
          <w:highlight w:val="none"/>
        </w:rPr>
        <w:t>为项目经理的现场管理班子，负责履行与乙方的各项约定，组织工程管理；</w:t>
      </w:r>
    </w:p>
    <w:p w14:paraId="12400204">
      <w:pPr>
        <w:pStyle w:val="97"/>
        <w:ind w:firstLine="422"/>
        <w:rPr>
          <w:color w:val="auto"/>
          <w:highlight w:val="none"/>
        </w:rPr>
      </w:pPr>
      <w:bookmarkStart w:id="230" w:name="_Toc180591493"/>
      <w:r>
        <w:rPr>
          <w:rFonts w:hint="eastAsia"/>
          <w:color w:val="auto"/>
          <w:highlight w:val="none"/>
        </w:rPr>
        <w:t>第</w:t>
      </w:r>
      <w:r>
        <w:rPr>
          <w:color w:val="auto"/>
          <w:highlight w:val="none"/>
        </w:rPr>
        <w:t>3</w:t>
      </w:r>
      <w:r>
        <w:rPr>
          <w:rFonts w:hint="eastAsia"/>
          <w:color w:val="auto"/>
          <w:highlight w:val="none"/>
        </w:rPr>
        <w:t>条  乙方义务</w:t>
      </w:r>
      <w:bookmarkEnd w:id="230"/>
      <w:r>
        <w:rPr>
          <w:rFonts w:hint="eastAsia"/>
          <w:color w:val="auto"/>
          <w:highlight w:val="none"/>
        </w:rPr>
        <w:t xml:space="preserve">  </w:t>
      </w:r>
    </w:p>
    <w:p w14:paraId="3C9A1F0E">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.1 乙方指定</w:t>
      </w:r>
      <w:r>
        <w:rPr>
          <w:rFonts w:hint="eastAsia" w:ascii="宋体" w:hAnsi="宋体"/>
          <w:color w:val="auto"/>
          <w:szCs w:val="21"/>
          <w:highlight w:val="none"/>
          <w:u w:val="single"/>
        </w:rPr>
        <w:t xml:space="preserve"> 　    </w:t>
      </w:r>
      <w:r>
        <w:rPr>
          <w:rFonts w:hint="eastAsia" w:ascii="宋体" w:hAnsi="宋体"/>
          <w:color w:val="auto"/>
          <w:szCs w:val="21"/>
          <w:highlight w:val="none"/>
        </w:rPr>
        <w:t>为现场管理班子的负责人，</w:t>
      </w:r>
      <w:bookmarkStart w:id="231" w:name="_Hlk101372832"/>
      <w:bookmarkStart w:id="232" w:name="_Hlk101365518"/>
      <w:r>
        <w:rPr>
          <w:rFonts w:hint="eastAsia" w:ascii="宋体" w:hAnsi="宋体"/>
          <w:color w:val="auto"/>
          <w:szCs w:val="21"/>
          <w:highlight w:val="none"/>
        </w:rPr>
        <w:t>现场管理班子组成</w:t>
      </w:r>
      <w:r>
        <w:rPr>
          <w:rFonts w:hint="eastAsia" w:ascii="宋体" w:hAnsi="宋体"/>
          <w:color w:val="auto"/>
          <w:szCs w:val="21"/>
          <w:highlight w:val="none"/>
          <w:u w:val="single"/>
        </w:rPr>
        <w:t>：</w:t>
      </w:r>
      <w:bookmarkStart w:id="233" w:name="_Hlk101344743"/>
      <w:r>
        <w:rPr>
          <w:rFonts w:hint="eastAsia" w:ascii="宋体" w:hAnsi="宋体"/>
          <w:color w:val="auto"/>
          <w:szCs w:val="21"/>
          <w:highlight w:val="none"/>
          <w:u w:val="single"/>
        </w:rPr>
        <w:t>详见合同附件一</w:t>
      </w:r>
      <w:bookmarkEnd w:id="233"/>
      <w:r>
        <w:rPr>
          <w:rFonts w:hint="eastAsia" w:ascii="宋体" w:hAnsi="宋体"/>
          <w:color w:val="auto"/>
          <w:szCs w:val="21"/>
          <w:highlight w:val="none"/>
          <w:u w:val="single"/>
        </w:rPr>
        <w:t xml:space="preserve"> </w:t>
      </w:r>
      <w:bookmarkEnd w:id="231"/>
      <w:r>
        <w:rPr>
          <w:rFonts w:hint="eastAsia" w:ascii="宋体" w:hAnsi="宋体"/>
          <w:color w:val="auto"/>
          <w:szCs w:val="21"/>
          <w:highlight w:val="none"/>
        </w:rPr>
        <w:t>。</w:t>
      </w:r>
      <w:bookmarkEnd w:id="232"/>
    </w:p>
    <w:p w14:paraId="7FA6407C">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.2 </w:t>
      </w:r>
      <w:r>
        <w:rPr>
          <w:rFonts w:hint="eastAsia" w:ascii="宋体" w:hAnsi="宋体"/>
          <w:color w:val="auto"/>
          <w:szCs w:val="21"/>
          <w:highlight w:val="none"/>
        </w:rPr>
        <w:t>现场管理班子的负责人</w:t>
      </w:r>
      <w:r>
        <w:rPr>
          <w:rFonts w:hint="eastAsia" w:ascii="宋体" w:hAnsi="宋体"/>
          <w:color w:val="auto"/>
          <w:szCs w:val="21"/>
          <w:highlight w:val="none"/>
        </w:rPr>
        <w:t>必须保证每周有</w:t>
      </w:r>
      <w:r>
        <w:rPr>
          <w:rFonts w:ascii="宋体" w:hAnsi="宋体"/>
          <w:color w:val="auto"/>
          <w:szCs w:val="21"/>
          <w:highlight w:val="none"/>
        </w:rPr>
        <w:t>6</w:t>
      </w:r>
      <w:r>
        <w:rPr>
          <w:rFonts w:hint="eastAsia" w:ascii="宋体" w:hAnsi="宋体"/>
          <w:color w:val="auto"/>
          <w:szCs w:val="21"/>
          <w:highlight w:val="none"/>
        </w:rPr>
        <w:t>天（每天不少于8小时）在施工现场，其他人员在未征得甲方同意的情况下亦不得擅自离岗。</w:t>
      </w:r>
      <w:r>
        <w:rPr>
          <w:rFonts w:hint="eastAsia" w:ascii="宋体" w:hAnsi="宋体"/>
          <w:color w:val="auto"/>
          <w:szCs w:val="21"/>
          <w:highlight w:val="none"/>
        </w:rPr>
        <w:t>现场管理班子的负责人</w:t>
      </w:r>
      <w:r>
        <w:rPr>
          <w:rFonts w:hint="eastAsia" w:ascii="宋体" w:hAnsi="宋体"/>
          <w:color w:val="auto"/>
          <w:szCs w:val="21"/>
          <w:highlight w:val="none"/>
        </w:rPr>
        <w:t>须参加甲方项目部的周生产例会及其它相关例会，如因故不能参加的需向甲方项目经理请假并安排生产经理参加，无故缺席或开例会时甲方安排工作内容未按时落实，乙方承担违约责任；</w:t>
      </w:r>
    </w:p>
    <w:p w14:paraId="2804E489">
      <w:pPr>
        <w:spacing w:line="360" w:lineRule="auto"/>
        <w:ind w:firstLine="420" w:firstLineChars="200"/>
        <w:rPr>
          <w:rFonts w:ascii="宋体" w:hAnsi="宋体"/>
          <w:color w:val="auto"/>
          <w:szCs w:val="21"/>
          <w:highlight w:val="none"/>
        </w:rPr>
      </w:pPr>
      <w:r>
        <w:rPr>
          <w:rFonts w:ascii="宋体" w:hAnsi="宋体"/>
          <w:color w:val="auto"/>
          <w:szCs w:val="21"/>
          <w:highlight w:val="none"/>
        </w:rPr>
        <w:t>3.3</w:t>
      </w:r>
      <w:r>
        <w:rPr>
          <w:rFonts w:hint="eastAsia" w:ascii="宋体" w:hAnsi="宋体"/>
          <w:color w:val="auto"/>
          <w:highlight w:val="none"/>
        </w:rPr>
        <w:t>做好工程所有材料的组织、供应和管理，确保合乎合同要求，不得将不合格的材料运到工地，必须保证工程合格率、苗木成活率达到</w:t>
      </w:r>
      <w:r>
        <w:rPr>
          <w:rFonts w:hint="eastAsia" w:ascii="宋体" w:hAnsi="宋体"/>
          <w:color w:val="auto"/>
          <w:highlight w:val="none"/>
          <w:u w:val="single"/>
        </w:rPr>
        <w:t xml:space="preserve"> 100</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rPr>
        <w:t>，并按甲方要求负责管护</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1</w:t>
      </w:r>
      <w:r>
        <w:rPr>
          <w:rFonts w:ascii="宋体" w:hAnsi="宋体"/>
          <w:color w:val="auto"/>
          <w:highlight w:val="none"/>
          <w:u w:val="single"/>
        </w:rPr>
        <w:t xml:space="preserve">2  </w:t>
      </w:r>
      <w:r>
        <w:rPr>
          <w:rFonts w:ascii="宋体" w:hAnsi="宋体"/>
          <w:color w:val="auto"/>
          <w:highlight w:val="none"/>
        </w:rPr>
        <w:t>个月</w:t>
      </w:r>
      <w:r>
        <w:rPr>
          <w:rFonts w:hint="eastAsia" w:ascii="宋体" w:hAnsi="宋体"/>
          <w:color w:val="auto"/>
          <w:highlight w:val="none"/>
        </w:rPr>
        <w:t>（养护期间所产生的费用由乙方负担）</w:t>
      </w:r>
      <w:r>
        <w:rPr>
          <w:rFonts w:ascii="宋体" w:hAnsi="宋体"/>
          <w:color w:val="auto"/>
          <w:highlight w:val="none"/>
        </w:rPr>
        <w:t>。</w:t>
      </w:r>
    </w:p>
    <w:p w14:paraId="5EC02F9D">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3.4</w:t>
      </w:r>
      <w:r>
        <w:rPr>
          <w:rFonts w:hint="eastAsia" w:ascii="宋体" w:hAnsi="宋体"/>
          <w:color w:val="auto"/>
          <w:szCs w:val="21"/>
          <w:highlight w:val="none"/>
        </w:rPr>
        <w:t>乙方</w:t>
      </w:r>
      <w:r>
        <w:rPr>
          <w:rFonts w:ascii="宋体" w:hAnsi="宋体"/>
          <w:color w:val="auto"/>
          <w:szCs w:val="21"/>
          <w:highlight w:val="none"/>
        </w:rPr>
        <w:t>应做的其它工作</w:t>
      </w:r>
      <w:r>
        <w:rPr>
          <w:rFonts w:hint="eastAsia" w:ascii="宋体" w:hAnsi="宋体"/>
          <w:color w:val="auto"/>
          <w:szCs w:val="21"/>
          <w:highlight w:val="none"/>
        </w:rPr>
        <w:t xml:space="preserve">： </w:t>
      </w:r>
    </w:p>
    <w:p w14:paraId="0DEF7DB1">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 xml:space="preserve"> </w:t>
      </w:r>
      <w:r>
        <w:rPr>
          <w:rFonts w:hint="eastAsia" w:ascii="宋体" w:hAnsi="宋体"/>
          <w:color w:val="auto"/>
          <w:highlight w:val="none"/>
        </w:rPr>
        <w:t>①</w:t>
      </w:r>
      <w:r>
        <w:rPr>
          <w:rFonts w:ascii="宋体" w:hAnsi="宋体"/>
          <w:color w:val="auto"/>
          <w:szCs w:val="21"/>
          <w:highlight w:val="none"/>
          <w:u w:val="single"/>
        </w:rPr>
        <w:t xml:space="preserve">                   /                 </w:t>
      </w:r>
    </w:p>
    <w:p w14:paraId="37B5B91B">
      <w:pPr>
        <w:pStyle w:val="97"/>
        <w:ind w:firstLine="422"/>
        <w:rPr>
          <w:color w:val="auto"/>
          <w:highlight w:val="none"/>
        </w:rPr>
      </w:pPr>
      <w:bookmarkStart w:id="234" w:name="_Toc180591494"/>
      <w:r>
        <w:rPr>
          <w:rFonts w:hint="eastAsia"/>
          <w:color w:val="auto"/>
          <w:highlight w:val="none"/>
        </w:rPr>
        <w:t>第</w:t>
      </w:r>
      <w:r>
        <w:rPr>
          <w:color w:val="auto"/>
          <w:highlight w:val="none"/>
        </w:rPr>
        <w:t>4</w:t>
      </w:r>
      <w:r>
        <w:rPr>
          <w:rFonts w:hint="eastAsia"/>
          <w:color w:val="auto"/>
          <w:highlight w:val="none"/>
        </w:rPr>
        <w:t>条  工程质量与验收</w:t>
      </w:r>
      <w:bookmarkEnd w:id="234"/>
      <w:r>
        <w:rPr>
          <w:rFonts w:hint="eastAsia"/>
          <w:color w:val="auto"/>
          <w:highlight w:val="none"/>
        </w:rPr>
        <w:t xml:space="preserve">    </w:t>
      </w:r>
    </w:p>
    <w:p w14:paraId="518B176D">
      <w:pPr>
        <w:snapToGrid w:val="0"/>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4.1 工程质量</w:t>
      </w:r>
      <w:r>
        <w:rPr>
          <w:rFonts w:hint="eastAsia" w:ascii="宋体" w:hAnsi="宋体"/>
          <w:bCs/>
          <w:color w:val="auto"/>
          <w:szCs w:val="21"/>
          <w:highlight w:val="none"/>
        </w:rPr>
        <w:t>：</w:t>
      </w:r>
      <w:r>
        <w:rPr>
          <w:rFonts w:hint="eastAsia" w:ascii="宋体" w:hAnsi="宋体"/>
          <w:color w:val="auto"/>
          <w:szCs w:val="21"/>
          <w:highlight w:val="none"/>
          <w:u w:val="single"/>
        </w:rPr>
        <w:t xml:space="preserve"> 本工程必须一次性验收合格，并不得因乙方施工质量原因，使在整个工程获得确保本项目合格工程，</w:t>
      </w:r>
      <w:r>
        <w:rPr>
          <w:rFonts w:hint="eastAsia" w:ascii="宋体" w:hAnsi="宋体"/>
          <w:color w:val="auto"/>
          <w:highlight w:val="none"/>
          <w:u w:val="single"/>
        </w:rPr>
        <w:t>工程合格率、苗木成活率达到</w:t>
      </w:r>
      <w:r>
        <w:rPr>
          <w:rFonts w:ascii="宋体" w:hAnsi="宋体"/>
          <w:color w:val="auto"/>
          <w:highlight w:val="none"/>
          <w:u w:val="single"/>
        </w:rPr>
        <w:t>100%</w:t>
      </w:r>
      <w:r>
        <w:rPr>
          <w:rFonts w:hint="eastAsia" w:ascii="宋体" w:hAnsi="宋体"/>
          <w:color w:val="auto"/>
          <w:szCs w:val="21"/>
          <w:highlight w:val="none"/>
          <w:u w:val="single"/>
        </w:rPr>
        <w:t>。</w:t>
      </w:r>
      <w:r>
        <w:rPr>
          <w:rFonts w:hint="eastAsia" w:ascii="宋体" w:hAnsi="宋体"/>
          <w:color w:val="auto"/>
          <w:szCs w:val="21"/>
          <w:highlight w:val="none"/>
          <w:u w:val="single"/>
        </w:rPr>
        <w:t>。</w:t>
      </w:r>
    </w:p>
    <w:p w14:paraId="600E8989">
      <w:pPr>
        <w:widowControl/>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技术要求：</w:t>
      </w:r>
    </w:p>
    <w:p w14:paraId="28BF3DEA">
      <w:pPr>
        <w:widowControl/>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①做好工程所有材料的组织、供应和管理，确保合乎合同要求，不得将不合格的材料运到工地，必须保证工程合格率（其中乔木成活率达到 100%，灌木、地被成活率达到 98%），并按甲方要求负责管护。 </w:t>
      </w:r>
    </w:p>
    <w:p w14:paraId="4BB6F81F">
      <w:pPr>
        <w:widowControl/>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②特殊情况，如遇（地震、台风、涝害）等不抗拒的自然灾害对乙方此次绿化种植施工作业造成的延期完工，乙方不对此承担责任。 </w:t>
      </w:r>
    </w:p>
    <w:p w14:paraId="4559AD5B">
      <w:pPr>
        <w:widowControl/>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③按甲方要求做好施工及养护等各项工作，及时对绿化进行补植、清理死树、枯枝、除草、修剪、 打药、卫生保洁、管护等，并保证合格率（其中乔木成活率达到 100%，灌木、地被成活率达到 98%）。 </w:t>
      </w:r>
    </w:p>
    <w:p w14:paraId="1C5C4BB6">
      <w:pPr>
        <w:widowControl/>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④对已完工的工程，在验交前应负责管养，保证其完好状态。 </w:t>
      </w:r>
    </w:p>
    <w:p w14:paraId="1BD13BD1">
      <w:pPr>
        <w:pStyle w:val="97"/>
        <w:ind w:firstLine="422"/>
        <w:rPr>
          <w:color w:val="auto"/>
          <w:highlight w:val="none"/>
        </w:rPr>
      </w:pPr>
      <w:bookmarkStart w:id="235" w:name="_Toc180591495"/>
      <w:r>
        <w:rPr>
          <w:rFonts w:hint="eastAsia"/>
          <w:color w:val="auto"/>
          <w:highlight w:val="none"/>
        </w:rPr>
        <w:t>第</w:t>
      </w:r>
      <w:r>
        <w:rPr>
          <w:color w:val="auto"/>
          <w:highlight w:val="none"/>
        </w:rPr>
        <w:t>5</w:t>
      </w:r>
      <w:r>
        <w:rPr>
          <w:rFonts w:hint="eastAsia"/>
          <w:color w:val="auto"/>
          <w:highlight w:val="none"/>
        </w:rPr>
        <w:t>条  安全文明施工</w:t>
      </w:r>
      <w:bookmarkEnd w:id="235"/>
    </w:p>
    <w:p w14:paraId="44F08B54">
      <w:pPr>
        <w:widowControl/>
        <w:spacing w:line="360" w:lineRule="auto"/>
        <w:ind w:firstLine="420" w:firstLineChars="200"/>
        <w:jc w:val="left"/>
        <w:rPr>
          <w:rFonts w:ascii="宋体" w:hAnsi="宋体"/>
          <w:color w:val="auto"/>
          <w:highlight w:val="none"/>
        </w:rPr>
      </w:pPr>
      <w:r>
        <w:rPr>
          <w:rFonts w:ascii="宋体" w:hAnsi="宋体"/>
          <w:color w:val="auto"/>
          <w:highlight w:val="none"/>
        </w:rPr>
        <w:t>5.1</w:t>
      </w:r>
      <w:r>
        <w:rPr>
          <w:rFonts w:hint="eastAsia" w:ascii="宋体" w:hAnsi="宋体"/>
          <w:color w:val="auto"/>
          <w:highlight w:val="none"/>
        </w:rPr>
        <w:t>乙方配备的专职安全管理人员：</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人。</w:t>
      </w:r>
    </w:p>
    <w:p w14:paraId="5B1DFD84">
      <w:pPr>
        <w:pStyle w:val="97"/>
        <w:ind w:firstLine="422"/>
        <w:rPr>
          <w:color w:val="auto"/>
          <w:highlight w:val="none"/>
        </w:rPr>
      </w:pPr>
      <w:bookmarkStart w:id="236" w:name="_Toc180591496"/>
      <w:r>
        <w:rPr>
          <w:rFonts w:hint="eastAsia"/>
          <w:color w:val="auto"/>
          <w:highlight w:val="none"/>
        </w:rPr>
        <w:t>第</w:t>
      </w:r>
      <w:r>
        <w:rPr>
          <w:color w:val="auto"/>
          <w:highlight w:val="none"/>
        </w:rPr>
        <w:t>6</w:t>
      </w:r>
      <w:r>
        <w:rPr>
          <w:rFonts w:hint="eastAsia"/>
          <w:color w:val="auto"/>
          <w:highlight w:val="none"/>
        </w:rPr>
        <w:t>条  材料设备供应</w:t>
      </w:r>
      <w:bookmarkEnd w:id="236"/>
      <w:r>
        <w:rPr>
          <w:rFonts w:hint="eastAsia"/>
          <w:color w:val="auto"/>
          <w:highlight w:val="none"/>
        </w:rPr>
        <w:t xml:space="preserve"> </w:t>
      </w:r>
    </w:p>
    <w:p w14:paraId="28938F4A">
      <w:pPr>
        <w:widowControl/>
        <w:spacing w:line="360" w:lineRule="auto"/>
        <w:ind w:firstLine="420" w:firstLineChars="200"/>
        <w:rPr>
          <w:rFonts w:ascii="宋体" w:hAnsi="宋体"/>
          <w:b/>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.1甲供材料及损耗：</w:t>
      </w:r>
      <w:r>
        <w:rPr>
          <w:rFonts w:hint="eastAsia" w:ascii="宋体" w:hAnsi="宋体"/>
          <w:bCs/>
          <w:color w:val="auto"/>
          <w:szCs w:val="21"/>
          <w:highlight w:val="none"/>
          <w:u w:val="single"/>
        </w:rPr>
        <w:t>甲方不提供乙方施工范围内的任何材料与设备，所有材料与设备均由乙方自行购置，</w:t>
      </w:r>
      <w:r>
        <w:rPr>
          <w:rFonts w:hint="eastAsia" w:ascii="宋体" w:hAnsi="宋体"/>
          <w:color w:val="auto"/>
          <w:szCs w:val="21"/>
          <w:highlight w:val="none"/>
          <w:u w:val="single"/>
        </w:rPr>
        <w:t>但所有购置材料清单需书面提交甲方审核，经甲方同意后乙方才能购置，进入施工现场</w:t>
      </w:r>
      <w:r>
        <w:rPr>
          <w:rFonts w:hint="eastAsia" w:ascii="宋体" w:hAnsi="宋体"/>
          <w:bCs/>
          <w:color w:val="auto"/>
          <w:szCs w:val="21"/>
          <w:highlight w:val="none"/>
          <w:u w:val="single"/>
        </w:rPr>
        <w:t>。乙方采购的材料设备与设计或标准要求不符或</w:t>
      </w:r>
      <w:r>
        <w:rPr>
          <w:rFonts w:hint="eastAsia" w:ascii="宋体" w:hAnsi="宋体"/>
          <w:bCs/>
          <w:color w:val="auto"/>
          <w:szCs w:val="21"/>
          <w:highlight w:val="none"/>
          <w:u w:val="single"/>
        </w:rPr>
        <w:t>未经书面甲方许可</w:t>
      </w:r>
      <w:r>
        <w:rPr>
          <w:rFonts w:hint="eastAsia" w:ascii="宋体" w:hAnsi="宋体"/>
          <w:bCs/>
          <w:color w:val="auto"/>
          <w:szCs w:val="21"/>
          <w:highlight w:val="none"/>
          <w:u w:val="single"/>
        </w:rPr>
        <w:t>时，乙方应按甲方要求的时间运出施工现场，重新采购符合要求的产品，承担由此发生的费用，由此延误的工期及损失由乙方自行负责</w:t>
      </w:r>
      <w:r>
        <w:rPr>
          <w:rFonts w:hint="eastAsia" w:ascii="宋体" w:hAnsi="宋体"/>
          <w:color w:val="auto"/>
          <w:szCs w:val="21"/>
          <w:highlight w:val="none"/>
        </w:rPr>
        <w:t>。</w:t>
      </w:r>
    </w:p>
    <w:p w14:paraId="3FECD7A9">
      <w:pPr>
        <w:pStyle w:val="97"/>
        <w:ind w:firstLine="422"/>
        <w:rPr>
          <w:color w:val="auto"/>
          <w:highlight w:val="none"/>
        </w:rPr>
      </w:pPr>
      <w:bookmarkStart w:id="237" w:name="_Toc180591497"/>
      <w:r>
        <w:rPr>
          <w:rFonts w:hint="eastAsia"/>
          <w:color w:val="auto"/>
          <w:highlight w:val="none"/>
        </w:rPr>
        <w:t>第</w:t>
      </w:r>
      <w:r>
        <w:rPr>
          <w:color w:val="auto"/>
          <w:highlight w:val="none"/>
        </w:rPr>
        <w:t>7</w:t>
      </w:r>
      <w:r>
        <w:rPr>
          <w:rFonts w:hint="eastAsia"/>
          <w:color w:val="auto"/>
          <w:highlight w:val="none"/>
        </w:rPr>
        <w:t>条  临时设施</w:t>
      </w:r>
      <w:bookmarkEnd w:id="237"/>
    </w:p>
    <w:p w14:paraId="7C1A36B2">
      <w:pPr>
        <w:widowControl/>
        <w:spacing w:line="360" w:lineRule="auto"/>
        <w:ind w:firstLine="420" w:firstLineChars="200"/>
        <w:jc w:val="left"/>
        <w:rPr>
          <w:rFonts w:ascii="宋体" w:hAnsi="宋体"/>
          <w:color w:val="auto"/>
          <w:highlight w:val="none"/>
        </w:rPr>
      </w:pPr>
      <w:r>
        <w:rPr>
          <w:rFonts w:ascii="宋体" w:hAnsi="宋体"/>
          <w:color w:val="auto"/>
          <w:highlight w:val="none"/>
        </w:rPr>
        <w:t>7</w:t>
      </w:r>
      <w:r>
        <w:rPr>
          <w:rFonts w:hint="eastAsia" w:ascii="宋体" w:hAnsi="宋体"/>
          <w:color w:val="auto"/>
          <w:highlight w:val="none"/>
        </w:rPr>
        <w:t>.1甲方提供的临时设施：</w:t>
      </w:r>
      <w:r>
        <w:rPr>
          <w:rFonts w:ascii="宋体" w:hAnsi="宋体"/>
          <w:color w:val="auto"/>
          <w:highlight w:val="none"/>
        </w:rPr>
        <w:t>甲方仅</w:t>
      </w:r>
      <w:r>
        <w:rPr>
          <w:rFonts w:hint="eastAsia" w:ascii="宋体" w:hAnsi="宋体"/>
          <w:color w:val="auto"/>
          <w:highlight w:val="none"/>
        </w:rPr>
        <w:t>协调总承包</w:t>
      </w:r>
      <w:r>
        <w:rPr>
          <w:rFonts w:ascii="宋体" w:hAnsi="宋体"/>
          <w:color w:val="auto"/>
          <w:highlight w:val="none"/>
        </w:rPr>
        <w:t>提供施工现场水电接驳点。</w:t>
      </w:r>
    </w:p>
    <w:p w14:paraId="14B155BC">
      <w:pPr>
        <w:widowControl/>
        <w:spacing w:line="360" w:lineRule="auto"/>
        <w:ind w:firstLine="420" w:firstLineChars="200"/>
        <w:jc w:val="left"/>
        <w:rPr>
          <w:rFonts w:ascii="宋体" w:hAnsi="宋体"/>
          <w:color w:val="auto"/>
          <w:highlight w:val="none"/>
        </w:rPr>
      </w:pPr>
      <w:r>
        <w:rPr>
          <w:rFonts w:ascii="宋体" w:hAnsi="宋体"/>
          <w:color w:val="auto"/>
          <w:highlight w:val="none"/>
        </w:rPr>
        <w:t>7</w:t>
      </w: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乙方使用的生产、生活用水电费，乙方直接支付给本工程项目施工总承包单位。</w:t>
      </w:r>
    </w:p>
    <w:p w14:paraId="7232C591">
      <w:pPr>
        <w:pStyle w:val="97"/>
        <w:ind w:firstLine="422"/>
        <w:rPr>
          <w:color w:val="auto"/>
          <w:highlight w:val="none"/>
        </w:rPr>
      </w:pPr>
      <w:bookmarkStart w:id="238" w:name="_Toc180591498"/>
      <w:r>
        <w:rPr>
          <w:rFonts w:hint="eastAsia"/>
          <w:color w:val="auto"/>
          <w:highlight w:val="none"/>
        </w:rPr>
        <w:t>第</w:t>
      </w:r>
      <w:r>
        <w:rPr>
          <w:color w:val="auto"/>
          <w:highlight w:val="none"/>
        </w:rPr>
        <w:t>8</w:t>
      </w:r>
      <w:r>
        <w:rPr>
          <w:rFonts w:hint="eastAsia"/>
          <w:color w:val="auto"/>
          <w:highlight w:val="none"/>
        </w:rPr>
        <w:t>条  造价</w:t>
      </w:r>
      <w:bookmarkEnd w:id="238"/>
    </w:p>
    <w:p w14:paraId="20D23554">
      <w:pPr>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.1合同总价</w:t>
      </w:r>
    </w:p>
    <w:p w14:paraId="3B548F7D">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合同总价暂定含增值税金额为人民币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元，本工程分两期完成，</w:t>
      </w:r>
      <w:r>
        <w:rPr>
          <w:rFonts w:ascii="宋体" w:hAnsi="宋体"/>
          <w:color w:val="auto"/>
          <w:kern w:val="0"/>
          <w:szCs w:val="21"/>
          <w:highlight w:val="none"/>
        </w:rPr>
        <w:t>第一期为F-5、F-6栋规划验收区域范围工程，暂定含增值税金额为人民币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kern w:val="0"/>
          <w:szCs w:val="21"/>
          <w:highlight w:val="none"/>
        </w:rPr>
        <w:t>元，第二期为F-8、F-9、F-10、F-11栋规划验收区域范围工程，暂定含增值税金额为人民币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kern w:val="0"/>
          <w:szCs w:val="21"/>
          <w:highlight w:val="none"/>
        </w:rPr>
        <w:t>元。两期工程</w:t>
      </w:r>
      <w:r>
        <w:rPr>
          <w:rFonts w:ascii="宋体" w:hAnsi="宋体"/>
          <w:color w:val="auto"/>
          <w:kern w:val="0"/>
          <w:szCs w:val="21"/>
          <w:highlight w:val="none"/>
        </w:rPr>
        <w:t>独立</w:t>
      </w:r>
      <w:r>
        <w:rPr>
          <w:rFonts w:hint="eastAsia" w:ascii="宋体" w:hAnsi="宋体"/>
          <w:color w:val="auto"/>
          <w:kern w:val="0"/>
          <w:szCs w:val="21"/>
          <w:highlight w:val="none"/>
        </w:rPr>
        <w:t>支付工程款</w:t>
      </w:r>
      <w:r>
        <w:rPr>
          <w:rFonts w:ascii="宋体" w:hAnsi="宋体"/>
          <w:color w:val="auto"/>
          <w:kern w:val="0"/>
          <w:szCs w:val="21"/>
          <w:highlight w:val="none"/>
        </w:rPr>
        <w:t>。</w:t>
      </w:r>
    </w:p>
    <w:p w14:paraId="36117C30">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rPr>
        <w:t>.2除本合同另有约定已包括乙方的工作内容外，</w:t>
      </w:r>
      <w:r>
        <w:rPr>
          <w:rFonts w:ascii="宋体" w:hAnsi="宋体"/>
          <w:color w:val="auto"/>
          <w:kern w:val="0"/>
          <w:szCs w:val="21"/>
          <w:highlight w:val="none"/>
        </w:rPr>
        <w:t>本合同约定</w:t>
      </w:r>
      <w:r>
        <w:rPr>
          <w:rFonts w:hint="eastAsia" w:ascii="宋体" w:hAnsi="宋体"/>
          <w:color w:val="auto"/>
          <w:kern w:val="0"/>
          <w:szCs w:val="21"/>
          <w:highlight w:val="none"/>
        </w:rPr>
        <w:t>的价款还包括下列内容或费用：</w:t>
      </w:r>
    </w:p>
    <w:p w14:paraId="57D605BE">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 8.2.1本合同总价已包含施工总承包服务费，这笔费用由乙方向施工总承包单位支付。施工总承包提供项目现有的施工围蔽措施，现有的施工道路，提供水电接驳口（水费、电费由乙方承担）。</w:t>
      </w:r>
    </w:p>
    <w:p w14:paraId="48A72EBA">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8.2.2</w:t>
      </w:r>
      <w:r>
        <w:rPr>
          <w:rFonts w:hint="eastAsia" w:ascii="宋体" w:hAnsi="宋体"/>
          <w:color w:val="auto"/>
          <w:kern w:val="0"/>
          <w:szCs w:val="21"/>
          <w:highlight w:val="none"/>
        </w:rPr>
        <w:t>综合单价还包括了如下内容：</w:t>
      </w:r>
    </w:p>
    <w:p w14:paraId="50B87434">
      <w:pPr>
        <w:widowControl/>
        <w:spacing w:line="360" w:lineRule="auto"/>
        <w:ind w:left="420" w:leftChars="200"/>
        <w:jc w:val="left"/>
        <w:rPr>
          <w:color w:val="auto"/>
          <w:highlight w:val="none"/>
        </w:rPr>
      </w:pPr>
      <w:bookmarkStart w:id="239" w:name="_Toc357082850"/>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u w:val="single"/>
          <w:lang w:bidi="ar"/>
        </w:rPr>
        <w:t>综合单价中已含了人工、材料、机械费用等市场变化、费税波动（包括政策性调整）；</w:t>
      </w:r>
      <w:r>
        <w:rPr>
          <w:rFonts w:hint="eastAsia" w:ascii="宋体" w:hAnsi="宋体" w:cs="宋体"/>
          <w:color w:val="auto"/>
          <w:kern w:val="0"/>
          <w:szCs w:val="21"/>
          <w:highlight w:val="none"/>
          <w:lang w:bidi="ar"/>
        </w:rPr>
        <w:t xml:space="preserve"> </w:t>
      </w:r>
    </w:p>
    <w:p w14:paraId="4F4ED88A">
      <w:pPr>
        <w:snapToGrid w:val="0"/>
        <w:spacing w:before="120" w:line="360" w:lineRule="auto"/>
        <w:ind w:left="-210" w:leftChars="-100" w:right="-210" w:rightChars="-100" w:firstLine="619" w:firstLineChars="295"/>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u w:val="single"/>
          <w:lang w:bidi="ar"/>
        </w:rPr>
        <w:t>综合单价中已包括施工工艺 、施工方案、地质情况、土源等变化造成的施工费用的增加等；</w:t>
      </w:r>
      <w:r>
        <w:rPr>
          <w:rFonts w:hint="eastAsia" w:ascii="宋体" w:hAnsi="宋体" w:cs="宋体"/>
          <w:color w:val="auto"/>
          <w:kern w:val="0"/>
          <w:szCs w:val="21"/>
          <w:highlight w:val="none"/>
          <w:lang w:bidi="ar"/>
        </w:rPr>
        <w:t xml:space="preserve"> </w:t>
      </w:r>
    </w:p>
    <w:p w14:paraId="1ED60452">
      <w:pPr>
        <w:snapToGrid w:val="0"/>
        <w:spacing w:before="120" w:line="360" w:lineRule="auto"/>
        <w:ind w:right="-210" w:rightChars="-100"/>
        <w:rPr>
          <w:rFonts w:ascii="宋体" w:hAnsi="宋体"/>
          <w:bCs/>
          <w:color w:val="auto"/>
          <w:szCs w:val="21"/>
          <w:highlight w:val="none"/>
        </w:rPr>
      </w:pPr>
      <w:r>
        <w:rPr>
          <w:rFonts w:ascii="宋体" w:hAnsi="宋体"/>
          <w:bCs/>
          <w:color w:val="auto"/>
          <w:szCs w:val="21"/>
          <w:highlight w:val="none"/>
        </w:rPr>
        <w:t>8</w:t>
      </w: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工程量计算规则</w:t>
      </w:r>
      <w:bookmarkEnd w:id="239"/>
    </w:p>
    <w:p w14:paraId="13707DA2">
      <w:pPr>
        <w:widowControl/>
        <w:numPr>
          <w:ilvl w:val="0"/>
          <w:numId w:val="3"/>
        </w:numPr>
        <w:spacing w:line="360" w:lineRule="auto"/>
        <w:ind w:firstLine="420" w:firstLineChars="200"/>
        <w:rPr>
          <w:rFonts w:ascii="宋体" w:hAnsi="宋体"/>
          <w:bCs/>
          <w:color w:val="auto"/>
          <w:szCs w:val="21"/>
          <w:highlight w:val="none"/>
        </w:rPr>
      </w:pPr>
      <w:bookmarkStart w:id="240" w:name="_Toc102402676"/>
      <w:bookmarkStart w:id="241" w:name="_Hlk107943721"/>
      <w:r>
        <w:rPr>
          <w:rFonts w:ascii="宋体" w:hAnsi="宋体"/>
          <w:bCs/>
          <w:color w:val="auto"/>
          <w:szCs w:val="21"/>
          <w:highlight w:val="none"/>
        </w:rPr>
        <w:t>配电箱</w:t>
      </w:r>
      <w:r>
        <w:rPr>
          <w:rFonts w:hint="eastAsia" w:ascii="宋体" w:hAnsi="宋体"/>
          <w:bCs/>
          <w:color w:val="auto"/>
          <w:szCs w:val="21"/>
          <w:highlight w:val="none"/>
        </w:rPr>
        <w:t>计量方式:按施工图示安装数量计算；</w:t>
      </w:r>
    </w:p>
    <w:p w14:paraId="5D905A09">
      <w:pPr>
        <w:widowControl/>
        <w:numPr>
          <w:ilvl w:val="0"/>
          <w:numId w:val="3"/>
        </w:num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路沿石安装计量方式:按施工图示中心线长度计算；</w:t>
      </w:r>
    </w:p>
    <w:p w14:paraId="05DAEF3A">
      <w:pPr>
        <w:widowControl/>
        <w:numPr>
          <w:ilvl w:val="0"/>
          <w:numId w:val="3"/>
        </w:num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消防车道沥青面层</w:t>
      </w:r>
      <w:r>
        <w:rPr>
          <w:rFonts w:hint="eastAsia" w:ascii="宋体" w:hAnsi="宋体"/>
          <w:bCs/>
          <w:color w:val="auto"/>
          <w:szCs w:val="21"/>
          <w:highlight w:val="none"/>
        </w:rPr>
        <w:t>计量方式:按施工图示面积计算；</w:t>
      </w:r>
    </w:p>
    <w:p w14:paraId="3B184363">
      <w:pPr>
        <w:widowControl/>
        <w:numPr>
          <w:ilvl w:val="0"/>
          <w:numId w:val="3"/>
        </w:numPr>
        <w:spacing w:line="360" w:lineRule="auto"/>
        <w:ind w:firstLine="420" w:firstLineChars="200"/>
        <w:rPr>
          <w:rFonts w:ascii="宋体" w:hAnsi="宋体"/>
          <w:bCs/>
          <w:color w:val="auto"/>
          <w:szCs w:val="21"/>
          <w:highlight w:val="none"/>
        </w:rPr>
      </w:pPr>
      <w:r>
        <w:rPr>
          <w:rFonts w:ascii="宋体" w:hAnsi="宋体"/>
          <w:bCs/>
          <w:color w:val="auto"/>
          <w:szCs w:val="21"/>
          <w:highlight w:val="none"/>
        </w:rPr>
        <w:t>边界石铺设</w:t>
      </w:r>
      <w:r>
        <w:rPr>
          <w:rFonts w:hint="eastAsia" w:ascii="宋体" w:hAnsi="宋体"/>
          <w:bCs/>
          <w:color w:val="auto"/>
          <w:szCs w:val="21"/>
          <w:highlight w:val="none"/>
        </w:rPr>
        <w:t>计量方式:按施工图示中心线长度计算（不含间距800）；</w:t>
      </w:r>
    </w:p>
    <w:p w14:paraId="2CDDF319">
      <w:pPr>
        <w:widowControl/>
        <w:numPr>
          <w:ilvl w:val="0"/>
          <w:numId w:val="3"/>
        </w:numPr>
        <w:spacing w:line="360" w:lineRule="auto"/>
        <w:ind w:firstLine="420" w:firstLineChars="200"/>
        <w:rPr>
          <w:rFonts w:ascii="宋体" w:hAnsi="宋体"/>
          <w:bCs/>
          <w:color w:val="auto"/>
          <w:szCs w:val="21"/>
          <w:highlight w:val="none"/>
        </w:rPr>
      </w:pPr>
      <w:r>
        <w:rPr>
          <w:rFonts w:ascii="宋体" w:hAnsi="宋体"/>
          <w:bCs/>
          <w:color w:val="auto"/>
          <w:szCs w:val="21"/>
          <w:highlight w:val="none"/>
        </w:rPr>
        <w:t>乔木</w:t>
      </w:r>
      <w:r>
        <w:rPr>
          <w:rFonts w:hint="eastAsia" w:ascii="宋体" w:hAnsi="宋体"/>
          <w:bCs/>
          <w:color w:val="auto"/>
          <w:szCs w:val="21"/>
          <w:highlight w:val="none"/>
        </w:rPr>
        <w:t>苗计量方式:按施工图示种植数量计算；</w:t>
      </w:r>
    </w:p>
    <w:p w14:paraId="59C3E085">
      <w:pPr>
        <w:widowControl/>
        <w:numPr>
          <w:ilvl w:val="0"/>
          <w:numId w:val="3"/>
        </w:num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u w:val="single"/>
        </w:rPr>
        <w:t>除另有说明外，本清单工程量均按《建设工程工程量清单计价规范》GB50500-2013、《广东省建设工程计价通则》（201</w:t>
      </w:r>
      <w:r>
        <w:rPr>
          <w:rFonts w:ascii="宋体" w:hAnsi="宋体"/>
          <w:bCs/>
          <w:color w:val="auto"/>
          <w:szCs w:val="21"/>
          <w:highlight w:val="none"/>
          <w:u w:val="single"/>
        </w:rPr>
        <w:t>8</w:t>
      </w:r>
      <w:r>
        <w:rPr>
          <w:rFonts w:hint="eastAsia" w:ascii="宋体" w:hAnsi="宋体"/>
          <w:bCs/>
          <w:color w:val="auto"/>
          <w:szCs w:val="21"/>
          <w:highlight w:val="none"/>
          <w:u w:val="single"/>
        </w:rPr>
        <w:t xml:space="preserve"> 版） “工程量计算规则”和“清单计价说明”计算。</w:t>
      </w:r>
    </w:p>
    <w:p w14:paraId="4A89315F">
      <w:pPr>
        <w:spacing w:line="360" w:lineRule="auto"/>
        <w:ind w:firstLine="420" w:firstLineChars="200"/>
        <w:rPr>
          <w:rFonts w:ascii="宋体" w:hAnsi="宋体"/>
          <w:bCs/>
          <w:color w:val="auto"/>
          <w:szCs w:val="21"/>
          <w:highlight w:val="none"/>
          <w:u w:val="single"/>
        </w:rPr>
      </w:pPr>
      <w:r>
        <w:rPr>
          <w:rFonts w:ascii="宋体" w:hAnsi="宋体"/>
          <w:bCs/>
          <w:color w:val="auto"/>
          <w:szCs w:val="21"/>
          <w:highlight w:val="none"/>
        </w:rPr>
        <w:t>8</w:t>
      </w: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设计变更项目无法套用本合同单价时，按以下原则执行：</w:t>
      </w:r>
    </w:p>
    <w:p w14:paraId="57D77CD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甲乙双方友好协商约定本工程合同外综合单价表。</w:t>
      </w:r>
    </w:p>
    <w:p w14:paraId="00DCCD53">
      <w:pPr>
        <w:spacing w:line="360" w:lineRule="auto"/>
        <w:ind w:firstLine="420" w:firstLineChars="200"/>
        <w:rPr>
          <w:color w:val="auto"/>
          <w:highlight w:val="none"/>
        </w:rPr>
      </w:pPr>
      <w:r>
        <w:rPr>
          <w:rFonts w:ascii="宋体" w:hAnsi="宋体"/>
          <w:bCs/>
          <w:color w:val="auto"/>
          <w:szCs w:val="21"/>
          <w:highlight w:val="none"/>
        </w:rPr>
        <w:t>8</w:t>
      </w:r>
      <w:r>
        <w:rPr>
          <w:rFonts w:hint="eastAsia" w:ascii="宋体" w:hAnsi="宋体"/>
          <w:bCs/>
          <w:color w:val="auto"/>
          <w:szCs w:val="21"/>
          <w:highlight w:val="none"/>
        </w:rPr>
        <w:t>.5</w:t>
      </w:r>
      <w:r>
        <w:rPr>
          <w:rFonts w:hint="eastAsia" w:ascii="宋体" w:hAnsi="宋体"/>
          <w:color w:val="auto"/>
          <w:highlight w:val="none"/>
        </w:rPr>
        <w:t>工程变更、签证等引起工程结算造价增加的，增加工程的费用不得超过本工程合同总价的10%。如工程结算价大于本合同总价110%，超过部分由乙方自行承担，最终工程结算价按本合同总价的110%给付。</w:t>
      </w:r>
    </w:p>
    <w:p w14:paraId="31BDA9BE">
      <w:pPr>
        <w:pStyle w:val="97"/>
        <w:ind w:firstLine="422"/>
        <w:rPr>
          <w:color w:val="auto"/>
          <w:highlight w:val="none"/>
        </w:rPr>
      </w:pPr>
      <w:bookmarkStart w:id="242" w:name="_Toc180591499"/>
      <w:r>
        <w:rPr>
          <w:rFonts w:hint="eastAsia"/>
          <w:color w:val="auto"/>
          <w:highlight w:val="none"/>
        </w:rPr>
        <w:t>第</w:t>
      </w:r>
      <w:r>
        <w:rPr>
          <w:color w:val="auto"/>
          <w:highlight w:val="none"/>
        </w:rPr>
        <w:t>9</w:t>
      </w:r>
      <w:r>
        <w:rPr>
          <w:rFonts w:hint="eastAsia"/>
          <w:color w:val="auto"/>
          <w:highlight w:val="none"/>
        </w:rPr>
        <w:t>条  工程款支付</w:t>
      </w:r>
      <w:bookmarkEnd w:id="240"/>
      <w:bookmarkEnd w:id="242"/>
    </w:p>
    <w:p w14:paraId="5425A787">
      <w:pPr>
        <w:spacing w:line="360" w:lineRule="auto"/>
        <w:ind w:firstLine="420" w:firstLineChars="200"/>
        <w:rPr>
          <w:rFonts w:ascii="宋体" w:hAnsi="宋体"/>
          <w:bCs/>
          <w:color w:val="auto"/>
          <w:szCs w:val="21"/>
          <w:highlight w:val="none"/>
          <w:u w:val="single"/>
        </w:rPr>
      </w:pPr>
      <w:bookmarkStart w:id="243" w:name="_Hlk100858766"/>
      <w:bookmarkStart w:id="244" w:name="_Hlk101357486"/>
      <w:r>
        <w:rPr>
          <w:rFonts w:ascii="宋体" w:hAnsi="宋体"/>
          <w:bCs/>
          <w:color w:val="auto"/>
          <w:szCs w:val="21"/>
          <w:highlight w:val="none"/>
        </w:rPr>
        <w:t>9.1</w:t>
      </w:r>
      <w:r>
        <w:rPr>
          <w:rFonts w:hint="eastAsia" w:ascii="宋体" w:hAnsi="宋体"/>
          <w:bCs/>
          <w:color w:val="auto"/>
          <w:szCs w:val="21"/>
          <w:highlight w:val="none"/>
        </w:rPr>
        <w:t>报量周期：</w:t>
      </w:r>
      <w:r>
        <w:rPr>
          <w:rFonts w:hint="eastAsia" w:ascii="宋体" w:hAnsi="宋体"/>
          <w:bCs/>
          <w:color w:val="auto"/>
          <w:szCs w:val="21"/>
          <w:highlight w:val="none"/>
          <w:u w:val="single"/>
        </w:rPr>
        <w:t>每月</w:t>
      </w:r>
      <w:r>
        <w:rPr>
          <w:rFonts w:ascii="宋体" w:hAnsi="宋体"/>
          <w:bCs/>
          <w:color w:val="auto"/>
          <w:szCs w:val="21"/>
          <w:highlight w:val="none"/>
          <w:u w:val="single"/>
        </w:rPr>
        <w:t>3</w:t>
      </w:r>
      <w:r>
        <w:rPr>
          <w:rFonts w:hint="eastAsia" w:ascii="宋体" w:hAnsi="宋体"/>
          <w:bCs/>
          <w:color w:val="auto"/>
          <w:szCs w:val="21"/>
          <w:highlight w:val="none"/>
          <w:u w:val="single"/>
        </w:rPr>
        <w:t>日-</w:t>
      </w:r>
      <w:r>
        <w:rPr>
          <w:rFonts w:ascii="宋体" w:hAnsi="宋体"/>
          <w:bCs/>
          <w:color w:val="auto"/>
          <w:szCs w:val="21"/>
          <w:highlight w:val="none"/>
          <w:u w:val="single"/>
        </w:rPr>
        <w:t>8</w:t>
      </w:r>
      <w:r>
        <w:rPr>
          <w:rFonts w:hint="eastAsia" w:ascii="宋体" w:hAnsi="宋体"/>
          <w:bCs/>
          <w:color w:val="auto"/>
          <w:szCs w:val="21"/>
          <w:highlight w:val="none"/>
          <w:u w:val="single"/>
        </w:rPr>
        <w:t>日上报上月进度款申请</w:t>
      </w:r>
    </w:p>
    <w:bookmarkEnd w:id="243"/>
    <w:p w14:paraId="4398D2A7">
      <w:pPr>
        <w:pStyle w:val="55"/>
        <w:spacing w:line="360" w:lineRule="auto"/>
        <w:rPr>
          <w:rFonts w:ascii="宋体" w:hAnsi="宋体"/>
          <w:color w:val="auto"/>
          <w:szCs w:val="21"/>
          <w:highlight w:val="none"/>
          <w:u w:val="singl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预付款：</w:t>
      </w:r>
      <w:r>
        <w:rPr>
          <w:rFonts w:hint="eastAsia" w:ascii="宋体" w:hAnsi="宋体"/>
          <w:color w:val="auto"/>
          <w:szCs w:val="21"/>
          <w:highlight w:val="none"/>
          <w:u w:val="single"/>
        </w:rPr>
        <w:t>本工程无预付款。</w:t>
      </w:r>
    </w:p>
    <w:bookmarkEnd w:id="244"/>
    <w:p w14:paraId="58D62257">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.3 进度款：</w:t>
      </w:r>
    </w:p>
    <w:p w14:paraId="29F03CFF">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按月支付，施工单位每月上报上月进度款申请，按甲方造价服务单位审核双方确认的实际完成工程量的8</w:t>
      </w:r>
      <w:r>
        <w:rPr>
          <w:rFonts w:ascii="宋体" w:hAnsi="宋体"/>
          <w:color w:val="auto"/>
          <w:szCs w:val="21"/>
          <w:highlight w:val="none"/>
        </w:rPr>
        <w:t>0%支付进度款。</w:t>
      </w:r>
    </w:p>
    <w:p w14:paraId="0060D0DE">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.3.2每期付款前必须按甲方要求编报当期已完工程造价计算书，否则不予支付当期工程进度款；</w:t>
      </w:r>
    </w:p>
    <w:p w14:paraId="1D397A0A">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.4 结算款及保修金</w:t>
      </w:r>
    </w:p>
    <w:p w14:paraId="410B9D9D">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.4.1办理分期竣工验收报告</w:t>
      </w:r>
      <w:r>
        <w:rPr>
          <w:rFonts w:hint="eastAsia" w:ascii="宋体" w:hAnsi="宋体"/>
          <w:color w:val="auto"/>
          <w:szCs w:val="21"/>
          <w:highlight w:val="none"/>
        </w:rPr>
        <w:t>并验收合格</w:t>
      </w:r>
      <w:r>
        <w:rPr>
          <w:rFonts w:hint="eastAsia" w:ascii="宋体" w:hAnsi="宋体"/>
          <w:color w:val="auto"/>
          <w:szCs w:val="21"/>
          <w:highlight w:val="none"/>
        </w:rPr>
        <w:t>后，施工单位上报本期结算材料，甲方造价服务单位审核双方确认后，</w:t>
      </w:r>
      <w:r>
        <w:rPr>
          <w:rFonts w:hint="eastAsia" w:ascii="宋体" w:hAnsi="宋体"/>
          <w:color w:val="auto"/>
          <w:szCs w:val="21"/>
          <w:highlight w:val="none"/>
        </w:rPr>
        <w:t>三个月内支付</w:t>
      </w:r>
      <w:r>
        <w:rPr>
          <w:rFonts w:hint="eastAsia" w:ascii="宋体" w:hAnsi="宋体"/>
          <w:color w:val="auto"/>
          <w:szCs w:val="21"/>
          <w:highlight w:val="none"/>
        </w:rPr>
        <w:t xml:space="preserve">至按甲方造价服务单位审核工程造价的 </w:t>
      </w:r>
      <w:r>
        <w:rPr>
          <w:rFonts w:ascii="宋体" w:hAnsi="宋体"/>
          <w:color w:val="auto"/>
          <w:szCs w:val="21"/>
          <w:highlight w:val="none"/>
        </w:rPr>
        <w:t>9</w:t>
      </w:r>
      <w:r>
        <w:rPr>
          <w:rFonts w:hint="eastAsia" w:ascii="宋体" w:hAnsi="宋体"/>
          <w:color w:val="auto"/>
          <w:szCs w:val="21"/>
          <w:highlight w:val="none"/>
        </w:rPr>
        <w:t>0%；</w:t>
      </w:r>
    </w:p>
    <w:p w14:paraId="75AA58F0">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.4.</w:t>
      </w:r>
      <w:r>
        <w:rPr>
          <w:rFonts w:ascii="宋体" w:hAnsi="宋体"/>
          <w:color w:val="auto"/>
          <w:szCs w:val="21"/>
          <w:highlight w:val="none"/>
        </w:rPr>
        <w:t>2完成本合同规定的所有工作，办理最后绿化竣工验收报告</w:t>
      </w:r>
      <w:r>
        <w:rPr>
          <w:rFonts w:ascii="宋体" w:hAnsi="宋体"/>
          <w:color w:val="auto"/>
          <w:szCs w:val="21"/>
          <w:highlight w:val="none"/>
        </w:rPr>
        <w:t>并验收合格后</w:t>
      </w:r>
      <w:r>
        <w:rPr>
          <w:rFonts w:ascii="宋体" w:hAnsi="宋体"/>
          <w:color w:val="auto"/>
          <w:szCs w:val="21"/>
          <w:highlight w:val="none"/>
        </w:rPr>
        <w:t>，</w:t>
      </w:r>
      <w:r>
        <w:rPr>
          <w:rFonts w:hint="eastAsia" w:ascii="宋体" w:hAnsi="宋体"/>
          <w:color w:val="auto"/>
          <w:szCs w:val="21"/>
          <w:highlight w:val="none"/>
        </w:rPr>
        <w:t>施工单位上报结算材料，甲方造价服务单位审核双方确认后，</w:t>
      </w:r>
      <w:r>
        <w:rPr>
          <w:rFonts w:hint="eastAsia" w:ascii="宋体" w:hAnsi="宋体"/>
          <w:color w:val="auto"/>
          <w:szCs w:val="21"/>
          <w:highlight w:val="none"/>
        </w:rPr>
        <w:t>三个月内</w:t>
      </w:r>
      <w:r>
        <w:rPr>
          <w:rFonts w:hint="eastAsia" w:ascii="宋体" w:hAnsi="宋体"/>
          <w:color w:val="auto"/>
          <w:szCs w:val="21"/>
          <w:highlight w:val="none"/>
        </w:rPr>
        <w:t>支付至按甲方造价服务单位审核工程造价的 9</w:t>
      </w:r>
      <w:r>
        <w:rPr>
          <w:rFonts w:ascii="宋体" w:hAnsi="宋体"/>
          <w:color w:val="auto"/>
          <w:szCs w:val="21"/>
          <w:highlight w:val="none"/>
        </w:rPr>
        <w:t>7</w:t>
      </w:r>
      <w:r>
        <w:rPr>
          <w:rFonts w:hint="eastAsia" w:ascii="宋体" w:hAnsi="宋体"/>
          <w:color w:val="auto"/>
          <w:szCs w:val="21"/>
          <w:highlight w:val="none"/>
        </w:rPr>
        <w:t>%。</w:t>
      </w:r>
    </w:p>
    <w:p w14:paraId="2322E547">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.4.3最后竣工验收报告签署之日起算，两年保质期满后一个月内，</w:t>
      </w:r>
      <w:r>
        <w:rPr>
          <w:rFonts w:hint="eastAsia" w:ascii="宋体" w:hAnsi="宋体"/>
          <w:color w:val="auto"/>
          <w:szCs w:val="21"/>
          <w:highlight w:val="none"/>
        </w:rPr>
        <w:t>无息支</w:t>
      </w:r>
      <w:r>
        <w:rPr>
          <w:rFonts w:hint="eastAsia" w:ascii="宋体" w:hAnsi="宋体"/>
          <w:color w:val="auto"/>
          <w:szCs w:val="21"/>
          <w:highlight w:val="none"/>
        </w:rPr>
        <w:t>付至结算金额的 100%</w:t>
      </w:r>
    </w:p>
    <w:p w14:paraId="0CC29276">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 xml:space="preserve"> 乙方指定的收款账户如下：</w:t>
      </w:r>
    </w:p>
    <w:p w14:paraId="1F797F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乙方开户银行：</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30FBD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乙方开户名称：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DD968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88BBC36">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除本合同另有规定外，乙方在履约过程中发生以下情形，甲方有权暂停支付乙方工程款，并不承担违约责任，直到此种情形消灭为止：</w:t>
      </w:r>
    </w:p>
    <w:p w14:paraId="23C054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(1)由于乙方的原因，导致工程进度累计延误</w:t>
      </w:r>
      <w:r>
        <w:rPr>
          <w:rFonts w:ascii="宋体" w:hAnsi="宋体"/>
          <w:color w:val="auto"/>
          <w:szCs w:val="21"/>
          <w:highlight w:val="none"/>
          <w:u w:val="single"/>
        </w:rPr>
        <w:t xml:space="preserve">  </w:t>
      </w:r>
      <w:r>
        <w:rPr>
          <w:rFonts w:hint="eastAsia" w:ascii="宋体" w:hAnsi="宋体"/>
          <w:color w:val="auto"/>
          <w:szCs w:val="21"/>
          <w:highlight w:val="none"/>
          <w:u w:val="single"/>
        </w:rPr>
        <w:t>5</w:t>
      </w:r>
      <w:r>
        <w:rPr>
          <w:rFonts w:ascii="宋体" w:hAnsi="宋体"/>
          <w:color w:val="auto"/>
          <w:szCs w:val="21"/>
          <w:highlight w:val="none"/>
          <w:u w:val="single"/>
        </w:rPr>
        <w:t xml:space="preserve">  </w:t>
      </w:r>
      <w:r>
        <w:rPr>
          <w:rFonts w:hint="eastAsia" w:ascii="宋体" w:hAnsi="宋体"/>
          <w:color w:val="auto"/>
          <w:szCs w:val="21"/>
          <w:highlight w:val="none"/>
        </w:rPr>
        <w:t>天以上的；</w:t>
      </w:r>
    </w:p>
    <w:p w14:paraId="24697C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(2)合同中约定乙方应办事项，经通知仍不履行的；</w:t>
      </w:r>
    </w:p>
    <w:p w14:paraId="7DCC43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(3)乙方管理人员不能胜任时，甲方要求更换但乙方拒不执行的；</w:t>
      </w:r>
    </w:p>
    <w:p w14:paraId="204098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(4)乙方对第三方有应付款而未付款现象，导致本工程有纠纷时；</w:t>
      </w:r>
    </w:p>
    <w:p w14:paraId="691817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(5)乙方将本工程再行分包或转包的；</w:t>
      </w:r>
    </w:p>
    <w:p w14:paraId="5C4A85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(6)乙方开户行或账号与本合同签章栏内容不符；</w:t>
      </w:r>
    </w:p>
    <w:p w14:paraId="31F377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(7)甲方或与本工程有关的第三方对乙方提出赔偿要求未获得乙方书面确认解决前；</w:t>
      </w:r>
    </w:p>
    <w:p w14:paraId="642FCF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(8)乙方有其他违约情形。</w:t>
      </w:r>
    </w:p>
    <w:p w14:paraId="192D50F7">
      <w:pPr>
        <w:widowControl/>
        <w:spacing w:line="360" w:lineRule="auto"/>
        <w:ind w:firstLine="420" w:firstLineChars="200"/>
        <w:rPr>
          <w:rFonts w:ascii="宋体" w:hAnsi="宋体"/>
          <w:bCs/>
          <w:color w:val="auto"/>
          <w:szCs w:val="21"/>
          <w:highlight w:val="none"/>
        </w:rPr>
      </w:pPr>
      <w:r>
        <w:rPr>
          <w:rFonts w:ascii="宋体" w:hAnsi="宋体"/>
          <w:bCs/>
          <w:color w:val="auto"/>
          <w:szCs w:val="21"/>
          <w:highlight w:val="none"/>
        </w:rPr>
        <w:t>9</w:t>
      </w:r>
      <w:r>
        <w:rPr>
          <w:rFonts w:hint="eastAsia" w:ascii="宋体" w:hAnsi="宋体"/>
          <w:bCs/>
          <w:color w:val="auto"/>
          <w:szCs w:val="21"/>
          <w:highlight w:val="none"/>
        </w:rPr>
        <w:t>.</w:t>
      </w:r>
      <w:r>
        <w:rPr>
          <w:rFonts w:ascii="宋体" w:hAnsi="宋体"/>
          <w:bCs/>
          <w:color w:val="auto"/>
          <w:szCs w:val="21"/>
          <w:highlight w:val="none"/>
        </w:rPr>
        <w:t>7</w:t>
      </w:r>
      <w:r>
        <w:rPr>
          <w:rFonts w:hint="eastAsia" w:ascii="宋体" w:hAnsi="宋体"/>
          <w:bCs/>
          <w:color w:val="auto"/>
          <w:szCs w:val="21"/>
          <w:highlight w:val="none"/>
        </w:rPr>
        <w:t xml:space="preserve"> 本合同履行期间乙方应按照下列条款的约定向甲方提供相关资料，否则视为乙方违约，甲方有权单方决定解除本合同，并不给予乙方任何补偿或赔偿。</w:t>
      </w:r>
    </w:p>
    <w:p w14:paraId="7A87E15A">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甲方每月对乙方确定进度款后，乙方应按此进度款向甲方全额开具合规合法的增值税专用发票（自开或在税局门前代开），并按税务规定，向甲方提供最近一个税期的《完税证明》等资料，以上资料应在下次支付工程款前送达甲方，以满足甲方正常抵扣增值税的需要，否则甲方有权拒绝支付工程款，且甲方不承担违约责任。</w:t>
      </w:r>
    </w:p>
    <w:p w14:paraId="49DD40CA">
      <w:pPr>
        <w:widowControl/>
        <w:spacing w:line="360" w:lineRule="auto"/>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在合同执行过程中，因乙方原因提前终止合同时，乙方应根据双方结算金额向甲方全额开具合规合法的增值税专用发票、《完税证明》、《无欠税证明》，否则甲方有权拒绝支付工程款，且甲方不承担违约责任。。</w:t>
      </w:r>
    </w:p>
    <w:p w14:paraId="480B7267">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）乙方纳税人信息如下：</w:t>
      </w:r>
    </w:p>
    <w:p w14:paraId="7A30BE45">
      <w:pPr>
        <w:widowControl/>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统一社会信用代码：</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B0049A3">
      <w:pPr>
        <w:widowControl/>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纳税人身份:</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515D3B3">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注册地址：</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01673992">
      <w:pPr>
        <w:widowControl/>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联系电话:</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0184AB6">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开户银行：</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EF71C8E">
      <w:pPr>
        <w:widowControl/>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银行账号:</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90F634F">
      <w:pPr>
        <w:pStyle w:val="97"/>
        <w:ind w:firstLine="422"/>
        <w:rPr>
          <w:color w:val="auto"/>
          <w:highlight w:val="none"/>
        </w:rPr>
      </w:pPr>
      <w:bookmarkStart w:id="245" w:name="_Toc180591500"/>
      <w:bookmarkStart w:id="246" w:name="_Toc102402677"/>
      <w:r>
        <w:rPr>
          <w:rFonts w:hint="eastAsia"/>
          <w:color w:val="auto"/>
          <w:highlight w:val="none"/>
        </w:rPr>
        <w:t>第</w:t>
      </w:r>
      <w:r>
        <w:rPr>
          <w:color w:val="auto"/>
          <w:highlight w:val="none"/>
        </w:rPr>
        <w:t>10</w:t>
      </w:r>
      <w:r>
        <w:rPr>
          <w:rFonts w:hint="eastAsia"/>
          <w:color w:val="auto"/>
          <w:highlight w:val="none"/>
        </w:rPr>
        <w:t xml:space="preserve">条 </w:t>
      </w:r>
      <w:r>
        <w:rPr>
          <w:color w:val="auto"/>
          <w:highlight w:val="none"/>
        </w:rPr>
        <w:t xml:space="preserve"> </w:t>
      </w:r>
      <w:r>
        <w:rPr>
          <w:rFonts w:hint="eastAsia"/>
          <w:color w:val="auto"/>
          <w:highlight w:val="none"/>
        </w:rPr>
        <w:t>履约保证</w:t>
      </w:r>
      <w:bookmarkEnd w:id="245"/>
      <w:bookmarkEnd w:id="246"/>
    </w:p>
    <w:p w14:paraId="7E617A94">
      <w:pPr>
        <w:adjustRightInd w:val="0"/>
        <w:snapToGrid w:val="0"/>
        <w:spacing w:line="360" w:lineRule="auto"/>
        <w:ind w:firstLine="420" w:firstLineChars="200"/>
        <w:rPr>
          <w:rFonts w:ascii="宋体" w:hAnsi="宋体"/>
          <w:color w:val="auto"/>
          <w:szCs w:val="21"/>
          <w:highlight w:val="none"/>
        </w:rPr>
      </w:pPr>
      <w:bookmarkStart w:id="247" w:name="_Hlk101209987"/>
      <w:bookmarkStart w:id="248" w:name="_Hlk101203014"/>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.1履约保证金额：采用第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种方式</w:t>
      </w:r>
    </w:p>
    <w:p w14:paraId="7CA8786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（1）合同金额10%的银行保函或；</w:t>
      </w:r>
    </w:p>
    <w:p w14:paraId="661FCBF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（2）合同金额5%的现金.</w:t>
      </w:r>
    </w:p>
    <w:p w14:paraId="6CE11773">
      <w:pPr>
        <w:adjustRightInd w:val="0"/>
        <w:snapToGrid w:val="0"/>
        <w:spacing w:line="360" w:lineRule="auto"/>
        <w:ind w:firstLine="420" w:firstLineChars="200"/>
        <w:jc w:val="left"/>
        <w:rPr>
          <w:rFonts w:ascii="宋体" w:hAnsi="宋体"/>
          <w:b/>
          <w:bCs/>
          <w:color w:val="auto"/>
          <w:szCs w:val="21"/>
          <w:highlight w:val="none"/>
        </w:rPr>
      </w:pPr>
      <w:r>
        <w:rPr>
          <w:rFonts w:ascii="宋体" w:hAnsi="宋体"/>
          <w:color w:val="auto"/>
          <w:szCs w:val="21"/>
          <w:highlight w:val="none"/>
        </w:rPr>
        <w:t>10.2履约保证金缴纳时间及方式：</w:t>
      </w:r>
      <w:r>
        <w:rPr>
          <w:rFonts w:hint="eastAsia" w:ascii="宋体" w:hAnsi="宋体"/>
          <w:color w:val="auto"/>
          <w:szCs w:val="21"/>
          <w:highlight w:val="none"/>
        </w:rPr>
        <w:t>采用第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种方式</w:t>
      </w:r>
      <w:r>
        <w:rPr>
          <w:rFonts w:hint="eastAsia" w:ascii="宋体" w:hAnsi="宋体"/>
          <w:b/>
          <w:bCs/>
          <w:color w:val="auto"/>
          <w:szCs w:val="21"/>
          <w:highlight w:val="none"/>
        </w:rPr>
        <w:t>（根据</w:t>
      </w:r>
      <w:r>
        <w:rPr>
          <w:rFonts w:ascii="宋体" w:hAnsi="宋体"/>
          <w:b/>
          <w:bCs/>
          <w:color w:val="auto"/>
          <w:szCs w:val="21"/>
          <w:highlight w:val="none"/>
        </w:rPr>
        <w:t>10.1</w:t>
      </w:r>
      <w:r>
        <w:rPr>
          <w:rFonts w:hint="eastAsia" w:ascii="宋体" w:hAnsi="宋体"/>
          <w:b/>
          <w:bCs/>
          <w:color w:val="auto"/>
          <w:szCs w:val="21"/>
          <w:highlight w:val="none"/>
        </w:rPr>
        <w:t>条对应选择）</w:t>
      </w:r>
    </w:p>
    <w:p w14:paraId="124D8A9F">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现金形式：乙方须在合同签订后15日内向甲方提供合同额5%的现金担保，如未能在前述时间内提供，甲方有权在乙方的第一次工程款中进行扣除，如第一次付款不足以全部扣除时，则在随后工程款中继续扣除，直至扣满为止。</w:t>
      </w:r>
    </w:p>
    <w:p w14:paraId="43CBA258">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w:t>
      </w:r>
      <w:r>
        <w:rPr>
          <w:rFonts w:ascii="宋体" w:hAnsi="宋体"/>
          <w:color w:val="auto"/>
          <w:szCs w:val="21"/>
          <w:highlight w:val="none"/>
        </w:rPr>
        <w:t>：乙方须在合同签订后15日内提供</w:t>
      </w:r>
      <w:r>
        <w:rPr>
          <w:rFonts w:hint="eastAsia" w:ascii="宋体" w:hAnsi="宋体"/>
          <w:color w:val="auto"/>
          <w:szCs w:val="21"/>
          <w:highlight w:val="none"/>
        </w:rPr>
        <w:t>经由以下任一机构开具的无条件不可撤销、见索即付的履约担保：（1）在中华人民共和国注册并经营的银行，（2）在中华人民共和国注册并经营的保险公司。</w:t>
      </w:r>
    </w:p>
    <w:p w14:paraId="761FE6BA">
      <w:pPr>
        <w:pStyle w:val="97"/>
        <w:ind w:firstLine="422"/>
        <w:rPr>
          <w:color w:val="auto"/>
          <w:highlight w:val="none"/>
        </w:rPr>
      </w:pPr>
      <w:bookmarkStart w:id="249" w:name="_Toc180591501"/>
      <w:r>
        <w:rPr>
          <w:rFonts w:hint="eastAsia"/>
          <w:color w:val="auto"/>
          <w:highlight w:val="none"/>
        </w:rPr>
        <w:t>第</w:t>
      </w:r>
      <w:r>
        <w:rPr>
          <w:color w:val="auto"/>
          <w:highlight w:val="none"/>
        </w:rPr>
        <w:t>11</w:t>
      </w:r>
      <w:r>
        <w:rPr>
          <w:rFonts w:hint="eastAsia"/>
          <w:color w:val="auto"/>
          <w:highlight w:val="none"/>
        </w:rPr>
        <w:t>条  质量管理</w:t>
      </w:r>
      <w:bookmarkEnd w:id="249"/>
    </w:p>
    <w:p w14:paraId="40E368D4">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.1施工中乙方根据甲方要求应提供关于工程质量的技术资料，如材料出厂合格证、试验报告等的复印件，材料代用必须经过设计院和甲方的审核同意并签证。</w:t>
      </w:r>
    </w:p>
    <w:p w14:paraId="6F395F36">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2凡隐蔽工程，经乙方自检后，应填制确切的隐蔽记录，并提前24小时通知甲方及监理单位检查，经施工单位、监理单位、建设单位联合举牌验收合格并符合，签字认可后方能进行下一工序的施工。未经验收的隐蔽工程，乙方不得自行隐蔽，否则，甲方有权要求破拆复查，无论复查结果如何，费用由乙方承担。每缺一项工序的隐蔽工程验收，乙方要向甲方交纳10万/项的违约处理。</w:t>
      </w:r>
    </w:p>
    <w:p w14:paraId="07067E6D">
      <w:pPr>
        <w:tabs>
          <w:tab w:val="left" w:pos="576"/>
        </w:tabs>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3隐蔽工程验收、分部分项工程验收、每周安全质量巡查，如监理工程师或甲方要求整改，连续两次复查均未能整改完善通过验收及签字确认的，第三次验收需同时通知甲方工程师共同验收，并处以1万</w:t>
      </w:r>
      <w:r>
        <w:rPr>
          <w:rFonts w:ascii="宋体" w:hAnsi="宋体"/>
          <w:color w:val="auto"/>
          <w:highlight w:val="none"/>
        </w:rPr>
        <w:t>元</w:t>
      </w:r>
      <w:r>
        <w:rPr>
          <w:rFonts w:hint="eastAsia" w:ascii="宋体" w:hAnsi="宋体"/>
          <w:color w:val="auto"/>
          <w:highlight w:val="none"/>
        </w:rPr>
        <w:t>的</w:t>
      </w:r>
      <w:r>
        <w:rPr>
          <w:rFonts w:ascii="宋体" w:hAnsi="宋体"/>
          <w:color w:val="auto"/>
          <w:highlight w:val="none"/>
        </w:rPr>
        <w:t>违约金</w:t>
      </w:r>
      <w:r>
        <w:rPr>
          <w:rFonts w:hint="eastAsia" w:ascii="宋体" w:hAnsi="宋体"/>
          <w:color w:val="auto"/>
          <w:highlight w:val="none"/>
        </w:rPr>
        <w:t>。如验收</w:t>
      </w:r>
      <w:r>
        <w:rPr>
          <w:rFonts w:ascii="宋体" w:hAnsi="宋体"/>
          <w:color w:val="auto"/>
          <w:highlight w:val="none"/>
        </w:rPr>
        <w:t>仍</w:t>
      </w:r>
      <w:r>
        <w:rPr>
          <w:rFonts w:hint="eastAsia" w:ascii="宋体" w:hAnsi="宋体"/>
          <w:color w:val="auto"/>
          <w:highlight w:val="none"/>
        </w:rPr>
        <w:t>无法通过的，监理工程师有权要求停工整改，并再处以1万</w:t>
      </w:r>
      <w:r>
        <w:rPr>
          <w:rFonts w:ascii="宋体" w:hAnsi="宋体"/>
          <w:color w:val="auto"/>
          <w:highlight w:val="none"/>
        </w:rPr>
        <w:t>元</w:t>
      </w:r>
      <w:r>
        <w:rPr>
          <w:rFonts w:hint="eastAsia" w:ascii="宋体" w:hAnsi="宋体"/>
          <w:color w:val="auto"/>
          <w:highlight w:val="none"/>
        </w:rPr>
        <w:t>的</w:t>
      </w:r>
      <w:r>
        <w:rPr>
          <w:rFonts w:ascii="宋体" w:hAnsi="宋体"/>
          <w:color w:val="auto"/>
          <w:highlight w:val="none"/>
        </w:rPr>
        <w:t>违约金</w:t>
      </w:r>
      <w:r>
        <w:rPr>
          <w:rFonts w:hint="eastAsia" w:ascii="宋体" w:hAnsi="宋体"/>
          <w:color w:val="auto"/>
          <w:highlight w:val="none"/>
        </w:rPr>
        <w:t>。相关工期延误及费用损失，由</w:t>
      </w:r>
      <w:r>
        <w:rPr>
          <w:rFonts w:ascii="宋体" w:hAnsi="宋体"/>
          <w:color w:val="auto"/>
          <w:highlight w:val="none"/>
        </w:rPr>
        <w:t>乙方</w:t>
      </w:r>
      <w:r>
        <w:rPr>
          <w:rFonts w:hint="eastAsia" w:ascii="宋体" w:hAnsi="宋体"/>
          <w:color w:val="auto"/>
          <w:highlight w:val="none"/>
        </w:rPr>
        <w:t>承担。</w:t>
      </w:r>
    </w:p>
    <w:p w14:paraId="1F2CCCFA">
      <w:pPr>
        <w:spacing w:line="460" w:lineRule="exact"/>
        <w:ind w:firstLine="420" w:firstLineChars="200"/>
        <w:rPr>
          <w:rFonts w:ascii="宋体" w:hAnsi="宋体"/>
          <w:b/>
          <w:bCs/>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.4施工质量不符合设计要求，质量不合格者，必须返工。由于施工质量原因给本工程造成永久性缺陷，应视缺陷严重程度向甲方支付违约金。返工的费用由乙方负担，本合同约定的工期不予顺延。</w:t>
      </w:r>
    </w:p>
    <w:p w14:paraId="14C06133">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.5合同附件清单工程量不作为乙方采购材料的依据，乙方在采购材料之前自行参考甲方设计图纸、设计变更以及现场实际场地情况。</w:t>
      </w:r>
    </w:p>
    <w:p w14:paraId="335D94DB">
      <w:pPr>
        <w:tabs>
          <w:tab w:val="left" w:pos="576"/>
        </w:tabs>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.6</w:t>
      </w:r>
      <w:r>
        <w:rPr>
          <w:rFonts w:hint="eastAsia" w:ascii="宋体" w:hAnsi="宋体"/>
          <w:color w:val="auto"/>
          <w:szCs w:val="21"/>
          <w:highlight w:val="none"/>
        </w:rPr>
        <w:t>所有材料进场前均需上报甲方，由施工单位、监理单位、建设单位、甲方造价服务单位、对各类材料进行举牌验收，没举牌验收的，</w:t>
      </w:r>
      <w:r>
        <w:rPr>
          <w:rFonts w:hint="eastAsia" w:ascii="宋体" w:hAnsi="宋体"/>
          <w:color w:val="auto"/>
          <w:highlight w:val="none"/>
        </w:rPr>
        <w:t>该批次材料无条件退场，并向承包人处以每次5万元违约金。</w:t>
      </w:r>
    </w:p>
    <w:p w14:paraId="2824594C">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 xml:space="preserve">.7施工用主要材料均需甲方及监理审核确认并封样后方可采购，其中包括材料设备样品、各种质量证明和其他有关技术资料，若有未报监理和甲方确认的材料和设备，乙方所采购材料无条件撤场；若已安装，乙方应无条件撤换该部分材料及设备，造成经济损失和工期损失由乙方自行承担。 </w:t>
      </w:r>
    </w:p>
    <w:p w14:paraId="158273E1">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8乙方采购的由同一供应商提供的同种型号的材料、设备，若任何一批次的检验结果不能满足合同约定时，监理单位和甲方均有权要求乙方对已经使用的上述的材料、设备进行重新检验。此时，不论重新检验结果是否满足合同约定，由此造成的检验、修复、返工、损失等费用均由乙方承担，工期不予顺延。</w:t>
      </w:r>
    </w:p>
    <w:p w14:paraId="48A44C37">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.9由乙方为本工程提供的一切装备和材料、设备，一经运到本项目现场，即视为供本工程施工专用。乙方除将上述物品在现场内转移外，若无甲方及监理单位的同意，不得将上述物品或其中任何部分运出现场。</w:t>
      </w:r>
    </w:p>
    <w:p w14:paraId="620CACC6">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.1</w:t>
      </w:r>
      <w:r>
        <w:rPr>
          <w:rFonts w:ascii="宋体" w:hAnsi="宋体"/>
          <w:color w:val="auto"/>
          <w:highlight w:val="none"/>
        </w:rPr>
        <w:t>0</w:t>
      </w:r>
      <w:r>
        <w:rPr>
          <w:rFonts w:hint="eastAsia" w:ascii="宋体" w:hAnsi="宋体"/>
          <w:color w:val="auto"/>
          <w:highlight w:val="none"/>
        </w:rPr>
        <w:t>乙方采购的材料设备与设计标准要求不符时，乙方应按甲方代表要求的时间运出施工场地，重新采购符合要求的产品，承担由此发生的费用，由此延误的工期不予顺延。并处以每次5</w:t>
      </w:r>
      <w:r>
        <w:rPr>
          <w:rFonts w:ascii="宋体" w:hAnsi="宋体"/>
          <w:color w:val="auto"/>
          <w:highlight w:val="none"/>
        </w:rPr>
        <w:t>000—20000元的违约处理。</w:t>
      </w:r>
    </w:p>
    <w:p w14:paraId="1B4D1D1F">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乙方采购的材料设备在使用前，乙方应按甲方代表的要求进行检验或试验，不合格的不得使用，检验或试验费用由乙方承担。</w:t>
      </w:r>
    </w:p>
    <w:p w14:paraId="7862E508">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.1</w:t>
      </w:r>
      <w:r>
        <w:rPr>
          <w:rFonts w:ascii="宋体" w:hAnsi="宋体"/>
          <w:color w:val="auto"/>
          <w:highlight w:val="none"/>
        </w:rPr>
        <w:t>2</w:t>
      </w:r>
      <w:r>
        <w:rPr>
          <w:rFonts w:hint="eastAsia" w:ascii="宋体" w:hAnsi="宋体"/>
          <w:color w:val="auto"/>
          <w:highlight w:val="none"/>
        </w:rPr>
        <w:t>乙方需要使用代用材料时，应经甲方代表认可后才能使用，由此增减的合同价款双方以书面形式议定。由乙方原因造成的材料代用并引起费用增加的，责任应由乙方承担。</w:t>
      </w:r>
    </w:p>
    <w:p w14:paraId="04F95BA5">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.1</w:t>
      </w:r>
      <w:r>
        <w:rPr>
          <w:rFonts w:ascii="宋体" w:hAnsi="宋体"/>
          <w:color w:val="auto"/>
          <w:highlight w:val="none"/>
        </w:rPr>
        <w:t>3</w:t>
      </w:r>
      <w:r>
        <w:rPr>
          <w:rFonts w:hint="eastAsia" w:ascii="宋体" w:hAnsi="宋体"/>
          <w:color w:val="auto"/>
          <w:highlight w:val="none"/>
        </w:rPr>
        <w:t>乙方提议使用某一类型的材料、构配件、设备时，不论该类型是在合同文件中规定的或是乙方提议使用的，将被视为保证该材料、购配件、设备在所有正常使用环境下皆是满意的。乙方被视为保证其所供应的物料使用优质材料和先进工艺制成、全新、未曾用过，并完全符合合同文件规定的质量、规格和性能要求。</w:t>
      </w:r>
    </w:p>
    <w:p w14:paraId="6D3D869B">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.1</w:t>
      </w:r>
      <w:r>
        <w:rPr>
          <w:rFonts w:ascii="宋体" w:hAnsi="宋体"/>
          <w:color w:val="auto"/>
          <w:highlight w:val="none"/>
        </w:rPr>
        <w:t>4</w:t>
      </w:r>
      <w:r>
        <w:rPr>
          <w:rFonts w:hint="eastAsia" w:ascii="宋体" w:hAnsi="宋体"/>
          <w:color w:val="auto"/>
          <w:highlight w:val="none"/>
        </w:rPr>
        <w:t>材料要求：</w:t>
      </w:r>
      <w:r>
        <w:rPr>
          <w:rFonts w:hint="eastAsia" w:ascii="宋体" w:hAnsi="宋体"/>
          <w:color w:val="auto"/>
          <w:highlight w:val="none"/>
          <w:u w:val="single"/>
        </w:rPr>
        <w:t>乙方所使用材料必须满足本工程项目使用要求，而且是乎合相关国家规范、地方规范和行业标准的合格产品。</w:t>
      </w:r>
    </w:p>
    <w:p w14:paraId="6C61D4F4">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.1</w:t>
      </w:r>
      <w:r>
        <w:rPr>
          <w:rFonts w:ascii="宋体" w:hAnsi="宋体"/>
          <w:color w:val="auto"/>
          <w:highlight w:val="none"/>
        </w:rPr>
        <w:t>5</w:t>
      </w:r>
      <w:r>
        <w:rPr>
          <w:rFonts w:hint="eastAsia" w:ascii="宋体" w:hAnsi="宋体"/>
          <w:color w:val="auto"/>
          <w:highlight w:val="none"/>
        </w:rPr>
        <w:t>对于实时限价材料或工程，乙方如认为限价不能接受，应在接到甲方限价后5日内书面通知甲方，否则甲方按此价格进行结算，乙方不得提出价格差异。如甲方证实（按现金交易方式）在市场上能够按甲方所限成本价购买某种材料或实施工程，并将有关信息通知乙方，而乙方仍拒绝购买或施工，该种材料改为甲方供货（或改为指定供货合同供货或指定分包合同），甲方向乙方收取该材料费或该工程造价的100%的违约金，并且由此造成的工期延误由乙方负责。</w:t>
      </w:r>
    </w:p>
    <w:bookmarkEnd w:id="247"/>
    <w:bookmarkEnd w:id="248"/>
    <w:p w14:paraId="00337D2B">
      <w:pPr>
        <w:pStyle w:val="97"/>
        <w:ind w:firstLine="422"/>
        <w:rPr>
          <w:color w:val="auto"/>
          <w:highlight w:val="none"/>
        </w:rPr>
      </w:pPr>
      <w:bookmarkStart w:id="250" w:name="_Toc102402678"/>
      <w:bookmarkStart w:id="251" w:name="_Toc180591502"/>
      <w:bookmarkStart w:id="252" w:name="_Hlk107942027"/>
      <w:r>
        <w:rPr>
          <w:rFonts w:hint="eastAsia"/>
          <w:color w:val="auto"/>
          <w:highlight w:val="none"/>
        </w:rPr>
        <w:t>第</w:t>
      </w:r>
      <w:r>
        <w:rPr>
          <w:color w:val="auto"/>
          <w:highlight w:val="none"/>
        </w:rPr>
        <w:t>12</w:t>
      </w:r>
      <w:r>
        <w:rPr>
          <w:rFonts w:hint="eastAsia"/>
          <w:color w:val="auto"/>
          <w:highlight w:val="none"/>
        </w:rPr>
        <w:t>条  违约责任</w:t>
      </w:r>
      <w:bookmarkEnd w:id="250"/>
      <w:bookmarkEnd w:id="251"/>
    </w:p>
    <w:p w14:paraId="52559D15">
      <w:pPr>
        <w:widowControl/>
        <w:spacing w:line="360" w:lineRule="auto"/>
        <w:ind w:firstLine="420" w:firstLineChars="200"/>
        <w:jc w:val="left"/>
        <w:rPr>
          <w:rFonts w:ascii="宋体" w:hAnsi="宋体"/>
          <w:color w:val="auto"/>
          <w:szCs w:val="21"/>
          <w:highlight w:val="none"/>
        </w:rPr>
      </w:pPr>
      <w:bookmarkStart w:id="253" w:name="_Hlk107861386"/>
      <w:bookmarkStart w:id="254" w:name="_Hlk107852814"/>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.1人员不到位违约责任：</w:t>
      </w:r>
    </w:p>
    <w:p w14:paraId="39780CE4">
      <w:pPr>
        <w:pStyle w:val="17"/>
        <w:widowControl/>
        <w:spacing w:line="360" w:lineRule="auto"/>
        <w:ind w:firstLine="420" w:firstLineChars="200"/>
        <w:jc w:val="left"/>
        <w:rPr>
          <w:rFonts w:hAnsi="宋体"/>
          <w:color w:val="auto"/>
          <w:szCs w:val="21"/>
          <w:highlight w:val="none"/>
        </w:rPr>
      </w:pPr>
      <w:r>
        <w:rPr>
          <w:rFonts w:hint="eastAsia" w:hAnsi="宋体"/>
          <w:color w:val="auto"/>
          <w:szCs w:val="21"/>
          <w:highlight w:val="none"/>
        </w:rPr>
        <w:t>1</w:t>
      </w:r>
      <w:r>
        <w:rPr>
          <w:rFonts w:hAnsi="宋体"/>
          <w:color w:val="auto"/>
          <w:szCs w:val="21"/>
          <w:highlight w:val="none"/>
        </w:rPr>
        <w:t>2</w:t>
      </w:r>
      <w:r>
        <w:rPr>
          <w:rFonts w:hint="eastAsia" w:hAnsi="宋体"/>
          <w:color w:val="auto"/>
          <w:szCs w:val="21"/>
          <w:highlight w:val="none"/>
        </w:rPr>
        <w:t>.1.1乙方管理人员在未征得甲方同意的情况下不得擅自离岗，否则应承担1000元/人/天的违约责任。乙方负责人</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必须保证每周有</w:t>
      </w:r>
      <w:r>
        <w:rPr>
          <w:rFonts w:hint="eastAsia" w:hAnsi="宋体"/>
          <w:color w:val="auto"/>
          <w:szCs w:val="21"/>
          <w:highlight w:val="none"/>
        </w:rPr>
        <w:t>6</w:t>
      </w:r>
      <w:r>
        <w:rPr>
          <w:rFonts w:hint="eastAsia" w:hAnsi="宋体"/>
          <w:color w:val="auto"/>
          <w:szCs w:val="21"/>
          <w:highlight w:val="none"/>
        </w:rPr>
        <w:t>天（每天不少于8小时）在施工现场，必须参加甲方项目部的周生产例会及其它相关例会，如因故不能参加的需向甲方项目经理请假并安排生产经理参加，无故缺席（迟到30分钟按缺席处理），乙方应承担500元/次的违约责任；</w:t>
      </w:r>
      <w:r>
        <w:rPr>
          <w:rFonts w:hint="eastAsia" w:hAnsi="宋体"/>
          <w:color w:val="auto"/>
          <w:szCs w:val="21"/>
          <w:highlight w:val="none"/>
        </w:rPr>
        <w:t>乙方负责人若开会迟到，每迟到一分钟，乙方应承担1</w:t>
      </w:r>
      <w:r>
        <w:rPr>
          <w:rFonts w:hAnsi="宋体"/>
          <w:color w:val="auto"/>
          <w:szCs w:val="21"/>
          <w:highlight w:val="none"/>
        </w:rPr>
        <w:t>00元</w:t>
      </w:r>
      <w:r>
        <w:rPr>
          <w:rFonts w:hint="eastAsia" w:hAnsi="宋体"/>
          <w:color w:val="auto"/>
          <w:szCs w:val="21"/>
          <w:highlight w:val="none"/>
        </w:rPr>
        <w:t>/分钟的违约责任</w:t>
      </w:r>
      <w:r>
        <w:rPr>
          <w:rFonts w:hint="eastAsia" w:hAnsi="宋体"/>
          <w:color w:val="auto"/>
          <w:szCs w:val="21"/>
          <w:highlight w:val="none"/>
        </w:rPr>
        <w:t>；开例会时甲方安排工作内容未按时落实的，乙方应承担1000元/次的违约责任；</w:t>
      </w:r>
      <w:r>
        <w:rPr>
          <w:rFonts w:hint="eastAsia" w:hAnsi="宋体"/>
          <w:b/>
          <w:bCs/>
          <w:color w:val="auto"/>
          <w:szCs w:val="21"/>
          <w:highlight w:val="none"/>
        </w:rPr>
        <w:t>（与专用条款</w:t>
      </w:r>
      <w:r>
        <w:rPr>
          <w:rFonts w:hAnsi="宋体"/>
          <w:b/>
          <w:bCs/>
          <w:color w:val="auto"/>
          <w:szCs w:val="21"/>
          <w:highlight w:val="none"/>
        </w:rPr>
        <w:t>3.1</w:t>
      </w:r>
      <w:r>
        <w:rPr>
          <w:rFonts w:hint="eastAsia" w:hAnsi="宋体"/>
          <w:b/>
          <w:bCs/>
          <w:color w:val="auto"/>
          <w:szCs w:val="21"/>
          <w:highlight w:val="none"/>
        </w:rPr>
        <w:t>条约定负责人一致）</w:t>
      </w:r>
    </w:p>
    <w:p w14:paraId="4D935C05">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.2工期违约责任</w:t>
      </w:r>
    </w:p>
    <w:p w14:paraId="293E19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.2.1本工程的分第一期工程工期和第二期工程工期如协议书第3条所述，两期工期独立计算，乙方如果不能按施工单位、监理单位、建设单位三方共同确认的施工进度计划完成每一期工程，乙方向甲方支付1万</w:t>
      </w:r>
      <w:r>
        <w:rPr>
          <w:rFonts w:ascii="宋体" w:hAnsi="宋体"/>
          <w:color w:val="auto"/>
          <w:szCs w:val="21"/>
          <w:highlight w:val="none"/>
        </w:rPr>
        <w:t>元</w:t>
      </w:r>
      <w:r>
        <w:rPr>
          <w:rFonts w:hint="eastAsia" w:ascii="宋体" w:hAnsi="宋体"/>
          <w:color w:val="auto"/>
          <w:szCs w:val="21"/>
          <w:highlight w:val="none"/>
        </w:rPr>
        <w:t>/天的违约金。</w:t>
      </w:r>
    </w:p>
    <w:bookmarkEnd w:id="253"/>
    <w:p w14:paraId="4E710CEA">
      <w:pPr>
        <w:widowControl/>
        <w:spacing w:line="360" w:lineRule="auto"/>
        <w:ind w:firstLine="420" w:firstLineChars="200"/>
        <w:jc w:val="left"/>
        <w:rPr>
          <w:rFonts w:ascii="宋体" w:hAnsi="宋体"/>
          <w:color w:val="auto"/>
          <w:szCs w:val="21"/>
          <w:highlight w:val="none"/>
        </w:rPr>
      </w:pPr>
      <w:bookmarkStart w:id="255" w:name="_Hlk107861413"/>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.3质量违约责任</w:t>
      </w:r>
    </w:p>
    <w:p w14:paraId="62094A5E">
      <w:pPr>
        <w:spacing w:line="46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2</w:t>
      </w:r>
      <w:r>
        <w:rPr>
          <w:rFonts w:hint="eastAsia" w:ascii="宋体" w:hAnsi="宋体"/>
          <w:color w:val="auto"/>
          <w:highlight w:val="none"/>
        </w:rPr>
        <w:t>.3.1</w:t>
      </w:r>
      <w:r>
        <w:rPr>
          <w:rFonts w:ascii="宋体" w:hAnsi="宋体"/>
          <w:color w:val="auto"/>
          <w:highlight w:val="none"/>
        </w:rPr>
        <w:t>对于乙方违约行为的处罚，甲方开具违约处理通知书，并附上相关图片材料，经监理单位确认后，便可实施执行处罚。无须乙方签收确认。</w:t>
      </w:r>
    </w:p>
    <w:p w14:paraId="1976DE6E">
      <w:pPr>
        <w:spacing w:line="460" w:lineRule="exact"/>
        <w:ind w:firstLine="420" w:firstLineChars="200"/>
        <w:rPr>
          <w:rFonts w:ascii="宋体" w:hAnsi="宋体"/>
          <w:color w:val="auto"/>
          <w:szCs w:val="21"/>
          <w:highlight w:val="none"/>
        </w:rPr>
      </w:pPr>
      <w:r>
        <w:rPr>
          <w:rFonts w:hint="eastAsia" w:ascii="宋体" w:hAnsi="宋体"/>
          <w:color w:val="auto"/>
          <w:highlight w:val="none"/>
        </w:rPr>
        <w:t>1</w:t>
      </w:r>
      <w:r>
        <w:rPr>
          <w:rFonts w:ascii="宋体" w:hAnsi="宋体"/>
          <w:color w:val="auto"/>
          <w:highlight w:val="none"/>
        </w:rPr>
        <w:t>2</w:t>
      </w:r>
      <w:r>
        <w:rPr>
          <w:rFonts w:hint="eastAsia" w:ascii="宋体" w:hAnsi="宋体"/>
          <w:color w:val="auto"/>
          <w:highlight w:val="none"/>
        </w:rPr>
        <w:t>.3.2</w:t>
      </w:r>
      <w:r>
        <w:rPr>
          <w:rFonts w:ascii="宋体" w:hAnsi="宋体"/>
          <w:color w:val="auto"/>
          <w:highlight w:val="none"/>
        </w:rPr>
        <w:t>对于乙方的违约处罚，从当期工程进度款中扣减。</w:t>
      </w:r>
    </w:p>
    <w:p w14:paraId="003FD31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.4.其它质量违约责任</w:t>
      </w:r>
    </w:p>
    <w:p w14:paraId="2B92DF5F">
      <w:pPr>
        <w:widowControl/>
        <w:spacing w:line="360" w:lineRule="auto"/>
        <w:ind w:left="420"/>
        <w:jc w:val="left"/>
        <w:rPr>
          <w:rFonts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254"/>
    <w:bookmarkEnd w:id="255"/>
    <w:p w14:paraId="3C8FFF34">
      <w:pPr>
        <w:widowControl/>
        <w:spacing w:line="360" w:lineRule="auto"/>
        <w:ind w:firstLine="420" w:firstLineChars="200"/>
        <w:jc w:val="left"/>
        <w:rPr>
          <w:rFonts w:ascii="宋体" w:hAnsi="宋体"/>
          <w:color w:val="auto"/>
          <w:szCs w:val="21"/>
          <w:highlight w:val="none"/>
        </w:rPr>
      </w:pPr>
      <w:bookmarkStart w:id="256" w:name="_Hlk107852936"/>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.5安全文明施工违约责任</w:t>
      </w:r>
    </w:p>
    <w:p w14:paraId="7B3E3EE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.5.1当乙方不执行或不按规定时间或期限执行甲方及总承包关于文明施工的指令，甲方有权雇用第三方代乙方执行，视为乙方同意甲方按照</w:t>
      </w:r>
      <w:r>
        <w:rPr>
          <w:rFonts w:ascii="宋体" w:hAnsi="宋体"/>
          <w:color w:val="auto"/>
          <w:szCs w:val="21"/>
          <w:highlight w:val="none"/>
          <w:u w:val="single"/>
        </w:rPr>
        <w:t xml:space="preserve"> </w:t>
      </w:r>
      <w:r>
        <w:rPr>
          <w:rFonts w:hint="eastAsia" w:ascii="宋体" w:hAnsi="宋体"/>
          <w:color w:val="auto"/>
          <w:szCs w:val="21"/>
          <w:highlight w:val="none"/>
          <w:u w:val="single"/>
        </w:rPr>
        <w:t>450</w:t>
      </w:r>
      <w:r>
        <w:rPr>
          <w:rFonts w:ascii="宋体" w:hAnsi="宋体"/>
          <w:color w:val="auto"/>
          <w:szCs w:val="21"/>
          <w:highlight w:val="none"/>
          <w:u w:val="single"/>
        </w:rPr>
        <w:t xml:space="preserve">  </w:t>
      </w:r>
      <w:r>
        <w:rPr>
          <w:rFonts w:hint="eastAsia" w:ascii="宋体" w:hAnsi="宋体"/>
          <w:color w:val="auto"/>
          <w:szCs w:val="21"/>
          <w:highlight w:val="none"/>
        </w:rPr>
        <w:t>元/工日（工日按照每日完成30平方米区域的甲方指令作为标准予以核定）的标准在进度款支付或最终结算时予以等值扣减。</w:t>
      </w:r>
    </w:p>
    <w:p w14:paraId="1DFF71D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2乙方应切实做好安全防护与工人教育工作，在整个合同关系存续期间，凡发生一起重大伤亡或机械事故，或一起聚众闹事围攻、群体上访或采取极端方式等有碍工地正常秩序的，乙方应按</w:t>
      </w:r>
      <w:r>
        <w:rPr>
          <w:rFonts w:ascii="宋体" w:hAnsi="宋体"/>
          <w:color w:val="auto"/>
          <w:szCs w:val="21"/>
          <w:highlight w:val="none"/>
          <w:u w:val="single"/>
        </w:rPr>
        <w:t xml:space="preserve"> 10万</w:t>
      </w:r>
      <w:r>
        <w:rPr>
          <w:rFonts w:hint="eastAsia" w:ascii="宋体" w:hAnsi="宋体"/>
          <w:color w:val="auto"/>
          <w:szCs w:val="21"/>
          <w:highlight w:val="none"/>
        </w:rPr>
        <w:t>元/次承担违约责任，并承担由此给甲方造成的损失。甲方认为有必要时，有权将相关人员移交司法部门处置。</w:t>
      </w:r>
      <w:bookmarkEnd w:id="256"/>
    </w:p>
    <w:p w14:paraId="6BC01E9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.6其他违约责任</w:t>
      </w:r>
    </w:p>
    <w:bookmarkEnd w:id="241"/>
    <w:bookmarkEnd w:id="252"/>
    <w:p w14:paraId="1BC5D5FA">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乙方未按时提供进度款支付时所需的《完税证明》、支付结算款时的《完税证明》及《无欠税证明》，甲方除有权拒绝支付工程款外，乙方仍需承担违约金</w:t>
      </w:r>
      <w:r>
        <w:rPr>
          <w:rFonts w:ascii="宋体" w:hAnsi="宋体"/>
          <w:color w:val="auto"/>
          <w:szCs w:val="21"/>
          <w:highlight w:val="none"/>
        </w:rPr>
        <w:t>1</w:t>
      </w:r>
      <w:r>
        <w:rPr>
          <w:rFonts w:hint="eastAsia" w:ascii="宋体" w:hAnsi="宋体"/>
          <w:color w:val="auto"/>
          <w:szCs w:val="21"/>
          <w:highlight w:val="none"/>
        </w:rPr>
        <w:t>万元/次。</w:t>
      </w:r>
    </w:p>
    <w:p w14:paraId="00CA1108">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因乙方未能及时完成工程，影响现场其他工程进度，间接影响甲方交楼的时间，甲方有权追究乙方相关责任，</w:t>
      </w:r>
      <w:r>
        <w:rPr>
          <w:rFonts w:hint="eastAsia" w:hAnsi="宋体"/>
          <w:color w:val="auto"/>
          <w:szCs w:val="21"/>
          <w:highlight w:val="none"/>
        </w:rPr>
        <w:t>乙方应承担其相应的违约责任。</w:t>
      </w:r>
    </w:p>
    <w:p w14:paraId="0FAE99E9">
      <w:pPr>
        <w:pStyle w:val="97"/>
        <w:ind w:firstLine="422"/>
        <w:rPr>
          <w:color w:val="auto"/>
          <w:highlight w:val="none"/>
        </w:rPr>
      </w:pPr>
      <w:bookmarkStart w:id="257" w:name="_Toc180591503"/>
      <w:r>
        <w:rPr>
          <w:rFonts w:hint="eastAsia"/>
          <w:color w:val="auto"/>
          <w:highlight w:val="none"/>
        </w:rPr>
        <w:t>第</w:t>
      </w:r>
      <w:r>
        <w:rPr>
          <w:color w:val="auto"/>
          <w:highlight w:val="none"/>
        </w:rPr>
        <w:t>13</w:t>
      </w:r>
      <w:r>
        <w:rPr>
          <w:rFonts w:hint="eastAsia"/>
          <w:color w:val="auto"/>
          <w:highlight w:val="none"/>
        </w:rPr>
        <w:t>条 工程竣工及移交</w:t>
      </w:r>
      <w:bookmarkEnd w:id="257"/>
    </w:p>
    <w:p w14:paraId="38533B10">
      <w:pPr>
        <w:spacing w:line="460" w:lineRule="exact"/>
        <w:ind w:firstLine="420" w:firstLineChars="200"/>
        <w:rPr>
          <w:rFonts w:ascii="宋体" w:hAnsi="宋体"/>
          <w:color w:val="auto"/>
          <w:highlight w:val="none"/>
        </w:rPr>
      </w:pPr>
      <w:r>
        <w:rPr>
          <w:rFonts w:ascii="宋体" w:hAnsi="宋体"/>
          <w:color w:val="auto"/>
          <w:highlight w:val="none"/>
        </w:rPr>
        <w:t>13</w:t>
      </w:r>
      <w:r>
        <w:rPr>
          <w:rFonts w:hint="eastAsia" w:ascii="宋体" w:hAnsi="宋体"/>
          <w:color w:val="auto"/>
          <w:highlight w:val="none"/>
        </w:rPr>
        <w:t>.1乙方必须按合同约定或甲方批准顺延的日期竣工并通过验收。</w:t>
      </w:r>
    </w:p>
    <w:p w14:paraId="6C0DB039">
      <w:pPr>
        <w:spacing w:line="460" w:lineRule="exact"/>
        <w:ind w:firstLine="420" w:firstLineChars="200"/>
        <w:rPr>
          <w:rFonts w:ascii="宋体" w:hAnsi="宋体"/>
          <w:color w:val="auto"/>
          <w:highlight w:val="none"/>
        </w:rPr>
      </w:pPr>
      <w:r>
        <w:rPr>
          <w:rFonts w:ascii="宋体" w:hAnsi="宋体"/>
          <w:color w:val="auto"/>
          <w:highlight w:val="none"/>
        </w:rPr>
        <w:t>13</w:t>
      </w:r>
      <w:r>
        <w:rPr>
          <w:rFonts w:hint="eastAsia" w:ascii="宋体" w:hAnsi="宋体"/>
          <w:color w:val="auto"/>
          <w:highlight w:val="none"/>
        </w:rPr>
        <w:t>.2乙方至少在竣工验收前7天，书面通知甲方及监理单位准备验收，甲方及监理单位应及时予以配合。监理单位认为符合验收条件后，甲方应在7日内组织竣工验收。</w:t>
      </w:r>
    </w:p>
    <w:p w14:paraId="642E6B9F">
      <w:pPr>
        <w:spacing w:line="460" w:lineRule="exact"/>
        <w:ind w:firstLine="420" w:firstLineChars="200"/>
        <w:rPr>
          <w:rFonts w:ascii="宋体" w:hAnsi="宋体"/>
          <w:color w:val="auto"/>
          <w:highlight w:val="none"/>
        </w:rPr>
      </w:pPr>
      <w:r>
        <w:rPr>
          <w:rFonts w:ascii="宋体" w:hAnsi="宋体"/>
          <w:color w:val="auto"/>
          <w:highlight w:val="none"/>
        </w:rPr>
        <w:t>13</w:t>
      </w:r>
      <w:r>
        <w:rPr>
          <w:rFonts w:hint="eastAsia" w:ascii="宋体" w:hAnsi="宋体"/>
          <w:color w:val="auto"/>
          <w:highlight w:val="none"/>
        </w:rPr>
        <w:t>.3工程竣工验收前14天，乙方向甲方和总监理工程师提交全部施工原始记录资料、竣工图及报告（包括符合档案管理规定的电子版竣工资料）。总监理工程师审查合格后才进行验收。竣工资料和竣工图必须准确、完整反映实际施工情况并符合档案管理的规定。</w:t>
      </w:r>
    </w:p>
    <w:p w14:paraId="63E3A8C6">
      <w:pPr>
        <w:spacing w:line="460" w:lineRule="exact"/>
        <w:ind w:firstLine="420" w:firstLineChars="200"/>
        <w:rPr>
          <w:rFonts w:ascii="宋体" w:hAnsi="宋体"/>
          <w:color w:val="auto"/>
          <w:highlight w:val="none"/>
        </w:rPr>
      </w:pPr>
      <w:r>
        <w:rPr>
          <w:rFonts w:ascii="宋体" w:hAnsi="宋体"/>
          <w:color w:val="auto"/>
          <w:highlight w:val="none"/>
        </w:rPr>
        <w:t>13</w:t>
      </w:r>
      <w:r>
        <w:rPr>
          <w:rFonts w:hint="eastAsia" w:ascii="宋体" w:hAnsi="宋体"/>
          <w:color w:val="auto"/>
          <w:highlight w:val="none"/>
        </w:rPr>
        <w:t>.4竣工甲方预验收合格之日为实际竣工日期。工程按甲方要求整改后通过竣工验收的，实际竣工日期为乙方整改后经甲方验收合格的日期。</w:t>
      </w:r>
    </w:p>
    <w:p w14:paraId="2FCE90FE">
      <w:pPr>
        <w:spacing w:line="460" w:lineRule="exact"/>
        <w:ind w:firstLine="420" w:firstLineChars="200"/>
        <w:rPr>
          <w:rFonts w:ascii="宋体" w:hAnsi="宋体"/>
          <w:color w:val="auto"/>
          <w:highlight w:val="none"/>
        </w:rPr>
      </w:pPr>
      <w:r>
        <w:rPr>
          <w:rFonts w:ascii="宋体" w:hAnsi="宋体"/>
          <w:color w:val="auto"/>
          <w:highlight w:val="none"/>
        </w:rPr>
        <w:t>13</w:t>
      </w:r>
      <w:r>
        <w:rPr>
          <w:rFonts w:hint="eastAsia" w:ascii="宋体" w:hAnsi="宋体"/>
          <w:color w:val="auto"/>
          <w:highlight w:val="none"/>
        </w:rPr>
        <w:t>.5乙方应及时配合甲方向档案管理部门办理工程资料的移交。（按相关规定）</w:t>
      </w:r>
    </w:p>
    <w:p w14:paraId="229D2AAE">
      <w:pPr>
        <w:spacing w:line="460" w:lineRule="exact"/>
        <w:ind w:firstLine="420" w:firstLineChars="200"/>
        <w:rPr>
          <w:rFonts w:ascii="宋体" w:hAnsi="宋体"/>
          <w:color w:val="auto"/>
          <w:highlight w:val="none"/>
        </w:rPr>
      </w:pPr>
      <w:r>
        <w:rPr>
          <w:rFonts w:ascii="宋体" w:hAnsi="宋体"/>
          <w:color w:val="auto"/>
          <w:highlight w:val="none"/>
        </w:rPr>
        <w:t>13</w:t>
      </w:r>
      <w:r>
        <w:rPr>
          <w:rFonts w:hint="eastAsia" w:ascii="宋体" w:hAnsi="宋体"/>
          <w:color w:val="auto"/>
          <w:highlight w:val="none"/>
        </w:rPr>
        <w:t>.6</w:t>
      </w:r>
      <w:r>
        <w:rPr>
          <w:rFonts w:ascii="宋体" w:hAnsi="宋体"/>
          <w:color w:val="auto"/>
          <w:highlight w:val="none"/>
        </w:rPr>
        <w:t>工程竣工</w:t>
      </w:r>
      <w:r>
        <w:rPr>
          <w:rFonts w:hint="eastAsia" w:ascii="宋体" w:hAnsi="宋体"/>
          <w:color w:val="auto"/>
          <w:highlight w:val="none"/>
        </w:rPr>
        <w:t>验</w:t>
      </w:r>
      <w:r>
        <w:rPr>
          <w:rFonts w:ascii="宋体" w:hAnsi="宋体"/>
          <w:color w:val="auto"/>
          <w:highlight w:val="none"/>
        </w:rPr>
        <w:t>收符合合同要求的</w:t>
      </w:r>
      <w:r>
        <w:rPr>
          <w:rFonts w:hint="eastAsia" w:ascii="宋体" w:hAnsi="宋体"/>
          <w:color w:val="auto"/>
          <w:highlight w:val="none"/>
        </w:rPr>
        <w:t>质</w:t>
      </w:r>
      <w:r>
        <w:rPr>
          <w:rFonts w:ascii="宋体" w:hAnsi="宋体"/>
          <w:color w:val="auto"/>
          <w:highlight w:val="none"/>
        </w:rPr>
        <w:t>量</w:t>
      </w:r>
      <w:r>
        <w:rPr>
          <w:rFonts w:hint="eastAsia" w:ascii="宋体" w:hAnsi="宋体"/>
          <w:color w:val="auto"/>
          <w:highlight w:val="none"/>
        </w:rPr>
        <w:t>标</w:t>
      </w:r>
      <w:r>
        <w:rPr>
          <w:rFonts w:ascii="宋体" w:hAnsi="宋体"/>
          <w:color w:val="auto"/>
          <w:highlight w:val="none"/>
        </w:rPr>
        <w:t>准</w:t>
      </w:r>
      <w:r>
        <w:rPr>
          <w:rFonts w:hint="eastAsia" w:ascii="宋体" w:hAnsi="宋体"/>
          <w:color w:val="auto"/>
          <w:highlight w:val="none"/>
        </w:rPr>
        <w:t>时</w:t>
      </w:r>
      <w:r>
        <w:rPr>
          <w:rFonts w:ascii="宋体" w:hAnsi="宋体"/>
          <w:color w:val="auto"/>
          <w:highlight w:val="none"/>
        </w:rPr>
        <w:t>，从</w:t>
      </w:r>
      <w:r>
        <w:rPr>
          <w:rFonts w:hint="eastAsia" w:ascii="宋体" w:hAnsi="宋体"/>
          <w:color w:val="auto"/>
          <w:highlight w:val="none"/>
        </w:rPr>
        <w:t>验</w:t>
      </w:r>
      <w:r>
        <w:rPr>
          <w:rFonts w:ascii="宋体" w:hAnsi="宋体"/>
          <w:color w:val="auto"/>
          <w:highlight w:val="none"/>
        </w:rPr>
        <w:t>收合格之日起</w:t>
      </w:r>
      <w:r>
        <w:rPr>
          <w:rFonts w:hint="eastAsia" w:ascii="宋体" w:hAnsi="宋体"/>
          <w:color w:val="auto"/>
          <w:highlight w:val="none"/>
        </w:rPr>
        <w:t>7</w:t>
      </w:r>
      <w:r>
        <w:rPr>
          <w:rFonts w:ascii="宋体" w:hAnsi="宋体"/>
          <w:color w:val="auto"/>
          <w:highlight w:val="none"/>
        </w:rPr>
        <w:t>天内，乙方将工程交付</w:t>
      </w:r>
      <w:r>
        <w:rPr>
          <w:rFonts w:hint="eastAsia" w:ascii="宋体" w:hAnsi="宋体"/>
          <w:color w:val="auto"/>
          <w:highlight w:val="none"/>
        </w:rPr>
        <w:t>给</w:t>
      </w:r>
      <w:r>
        <w:rPr>
          <w:rFonts w:ascii="宋体" w:hAnsi="宋体"/>
          <w:color w:val="auto"/>
          <w:highlight w:val="none"/>
        </w:rPr>
        <w:t>甲方</w:t>
      </w:r>
      <w:r>
        <w:rPr>
          <w:rFonts w:hint="eastAsia" w:ascii="宋体" w:hAnsi="宋体"/>
          <w:color w:val="auto"/>
          <w:highlight w:val="none"/>
        </w:rPr>
        <w:t>, 经甲方及</w:t>
      </w:r>
      <w:r>
        <w:rPr>
          <w:rFonts w:ascii="宋体" w:hAnsi="宋体"/>
          <w:color w:val="auto"/>
          <w:highlight w:val="none"/>
        </w:rPr>
        <w:t>甲方指定的物</w:t>
      </w:r>
      <w:r>
        <w:rPr>
          <w:rFonts w:hint="eastAsia" w:ascii="宋体" w:hAnsi="宋体"/>
          <w:color w:val="auto"/>
          <w:highlight w:val="none"/>
        </w:rPr>
        <w:t>业</w:t>
      </w:r>
      <w:r>
        <w:rPr>
          <w:rFonts w:ascii="宋体" w:hAnsi="宋体"/>
          <w:color w:val="auto"/>
          <w:highlight w:val="none"/>
        </w:rPr>
        <w:t>管理人</w:t>
      </w:r>
      <w:r>
        <w:rPr>
          <w:rFonts w:hint="eastAsia" w:ascii="宋体" w:hAnsi="宋体"/>
          <w:color w:val="auto"/>
          <w:highlight w:val="none"/>
        </w:rPr>
        <w:t>验</w:t>
      </w:r>
      <w:r>
        <w:rPr>
          <w:rFonts w:ascii="宋体" w:hAnsi="宋体"/>
          <w:color w:val="auto"/>
          <w:highlight w:val="none"/>
        </w:rPr>
        <w:t>收通</w:t>
      </w:r>
      <w:r>
        <w:rPr>
          <w:rFonts w:hint="eastAsia" w:ascii="宋体" w:hAnsi="宋体"/>
          <w:color w:val="auto"/>
          <w:highlight w:val="none"/>
        </w:rPr>
        <w:t>过</w:t>
      </w:r>
      <w:r>
        <w:rPr>
          <w:rFonts w:ascii="宋体" w:hAnsi="宋体"/>
          <w:color w:val="auto"/>
          <w:highlight w:val="none"/>
        </w:rPr>
        <w:t>后，甲方向乙方</w:t>
      </w:r>
      <w:r>
        <w:rPr>
          <w:rFonts w:hint="eastAsia" w:ascii="宋体" w:hAnsi="宋体"/>
          <w:color w:val="auto"/>
          <w:highlight w:val="none"/>
        </w:rPr>
        <w:t>签发</w:t>
      </w:r>
      <w:r>
        <w:rPr>
          <w:rFonts w:ascii="宋体" w:hAnsi="宋体"/>
          <w:color w:val="auto"/>
          <w:highlight w:val="none"/>
        </w:rPr>
        <w:t>交接</w:t>
      </w:r>
      <w:r>
        <w:rPr>
          <w:rFonts w:hint="eastAsia" w:ascii="宋体" w:hAnsi="宋体"/>
          <w:color w:val="auto"/>
          <w:highlight w:val="none"/>
        </w:rPr>
        <w:t>证书</w:t>
      </w:r>
      <w:r>
        <w:rPr>
          <w:rFonts w:ascii="宋体" w:hAnsi="宋体"/>
          <w:color w:val="auto"/>
          <w:highlight w:val="none"/>
        </w:rPr>
        <w:t>。如乙方不能按</w:t>
      </w:r>
      <w:r>
        <w:rPr>
          <w:rFonts w:hint="eastAsia" w:ascii="宋体" w:hAnsi="宋体"/>
          <w:color w:val="auto"/>
          <w:highlight w:val="none"/>
        </w:rPr>
        <w:t>时</w:t>
      </w:r>
      <w:r>
        <w:rPr>
          <w:rFonts w:ascii="宋体" w:hAnsi="宋体"/>
          <w:color w:val="auto"/>
          <w:highlight w:val="none"/>
        </w:rPr>
        <w:t>移交，按逾期竣工</w:t>
      </w:r>
      <w:r>
        <w:rPr>
          <w:rFonts w:hint="eastAsia" w:ascii="宋体" w:hAnsi="宋体"/>
          <w:color w:val="auto"/>
          <w:highlight w:val="none"/>
        </w:rPr>
        <w:t>处</w:t>
      </w:r>
      <w:r>
        <w:rPr>
          <w:rFonts w:ascii="宋体" w:hAnsi="宋体"/>
          <w:color w:val="auto"/>
          <w:highlight w:val="none"/>
        </w:rPr>
        <w:t>理。</w:t>
      </w:r>
    </w:p>
    <w:p w14:paraId="027B16DA">
      <w:pPr>
        <w:spacing w:line="460" w:lineRule="exact"/>
        <w:ind w:firstLine="420" w:firstLineChars="200"/>
        <w:rPr>
          <w:rFonts w:ascii="宋体" w:hAnsi="宋体"/>
          <w:color w:val="auto"/>
          <w:highlight w:val="none"/>
        </w:rPr>
      </w:pPr>
      <w:r>
        <w:rPr>
          <w:rFonts w:ascii="宋体" w:hAnsi="宋体"/>
          <w:color w:val="auto"/>
          <w:highlight w:val="none"/>
        </w:rPr>
        <w:t>13</w:t>
      </w:r>
      <w:r>
        <w:rPr>
          <w:rFonts w:hint="eastAsia" w:ascii="宋体" w:hAnsi="宋体"/>
          <w:color w:val="auto"/>
          <w:highlight w:val="none"/>
        </w:rPr>
        <w:t>.7乙方不得因工程经济纠纷而拒绝移交。工程在未办理工程交接证书之前，乙方应负责看管和维护。</w:t>
      </w:r>
    </w:p>
    <w:p w14:paraId="4728612B">
      <w:pPr>
        <w:spacing w:line="460" w:lineRule="exact"/>
        <w:ind w:firstLine="420" w:firstLineChars="200"/>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13</w:t>
      </w:r>
      <w:r>
        <w:rPr>
          <w:rFonts w:hint="eastAsia" w:ascii="宋体" w:hAnsi="宋体"/>
          <w:color w:val="auto"/>
          <w:highlight w:val="none"/>
        </w:rPr>
        <w:t>.8</w:t>
      </w:r>
      <w:r>
        <w:rPr>
          <w:rFonts w:ascii="宋体" w:hAnsi="宋体"/>
          <w:color w:val="auto"/>
          <w:highlight w:val="none"/>
        </w:rPr>
        <w:t>乙方</w:t>
      </w:r>
      <w:r>
        <w:rPr>
          <w:rFonts w:hint="eastAsia" w:ascii="宋体" w:hAnsi="宋体"/>
          <w:color w:val="auto"/>
          <w:highlight w:val="none"/>
        </w:rPr>
        <w:t>应</w:t>
      </w:r>
      <w:r>
        <w:rPr>
          <w:rFonts w:ascii="宋体" w:hAnsi="宋体"/>
          <w:color w:val="auto"/>
          <w:highlight w:val="none"/>
        </w:rPr>
        <w:t>按照甲方要求的</w:t>
      </w:r>
      <w:r>
        <w:rPr>
          <w:rFonts w:hint="eastAsia" w:ascii="宋体" w:hAnsi="宋体"/>
          <w:color w:val="auto"/>
          <w:highlight w:val="none"/>
        </w:rPr>
        <w:t>时间</w:t>
      </w:r>
      <w:r>
        <w:rPr>
          <w:rFonts w:ascii="宋体" w:hAnsi="宋体"/>
          <w:color w:val="auto"/>
          <w:highlight w:val="none"/>
        </w:rPr>
        <w:t>，全部（包括乙方的</w:t>
      </w:r>
      <w:r>
        <w:rPr>
          <w:rFonts w:hint="eastAsia" w:ascii="宋体" w:hAnsi="宋体"/>
          <w:color w:val="auto"/>
          <w:highlight w:val="none"/>
        </w:rPr>
        <w:t>临时设</w:t>
      </w:r>
      <w:r>
        <w:rPr>
          <w:rFonts w:ascii="宋体" w:hAnsi="宋体"/>
          <w:color w:val="auto"/>
          <w:highlight w:val="none"/>
        </w:rPr>
        <w:t>施）撤离本施工</w:t>
      </w:r>
      <w:r>
        <w:rPr>
          <w:rFonts w:hint="eastAsia" w:ascii="宋体" w:hAnsi="宋体"/>
          <w:color w:val="auto"/>
          <w:highlight w:val="none"/>
        </w:rPr>
        <w:t>场</w:t>
      </w:r>
      <w:r>
        <w:rPr>
          <w:rFonts w:ascii="宋体" w:hAnsi="宋体"/>
          <w:color w:val="auto"/>
          <w:highlight w:val="none"/>
        </w:rPr>
        <w:t>地。否</w:t>
      </w:r>
      <w:r>
        <w:rPr>
          <w:rFonts w:hint="eastAsia" w:ascii="宋体" w:hAnsi="宋体"/>
          <w:color w:val="auto"/>
          <w:highlight w:val="none"/>
        </w:rPr>
        <w:t>则</w:t>
      </w:r>
      <w:r>
        <w:rPr>
          <w:rFonts w:ascii="宋体" w:hAnsi="宋体"/>
          <w:color w:val="auto"/>
          <w:highlight w:val="none"/>
        </w:rPr>
        <w:t>，无</w:t>
      </w:r>
      <w:r>
        <w:rPr>
          <w:rFonts w:hint="eastAsia" w:ascii="宋体" w:hAnsi="宋体"/>
          <w:color w:val="auto"/>
          <w:highlight w:val="none"/>
        </w:rPr>
        <w:t>论</w:t>
      </w:r>
      <w:r>
        <w:rPr>
          <w:rFonts w:ascii="宋体" w:hAnsi="宋体"/>
          <w:color w:val="auto"/>
          <w:highlight w:val="none"/>
        </w:rPr>
        <w:t>合同是否另有</w:t>
      </w:r>
      <w:r>
        <w:rPr>
          <w:rFonts w:hint="eastAsia" w:ascii="宋体" w:hAnsi="宋体"/>
          <w:color w:val="auto"/>
          <w:highlight w:val="none"/>
        </w:rPr>
        <w:t>约</w:t>
      </w:r>
      <w:r>
        <w:rPr>
          <w:rFonts w:ascii="宋体" w:hAnsi="宋体"/>
          <w:color w:val="auto"/>
          <w:highlight w:val="none"/>
        </w:rPr>
        <w:t>定，</w:t>
      </w:r>
      <w:r>
        <w:rPr>
          <w:rFonts w:hint="eastAsia" w:ascii="宋体" w:hAnsi="宋体"/>
          <w:color w:val="auto"/>
          <w:highlight w:val="none"/>
        </w:rPr>
        <w:t>实际</w:t>
      </w:r>
      <w:r>
        <w:rPr>
          <w:rFonts w:ascii="宋体" w:hAnsi="宋体"/>
          <w:color w:val="auto"/>
          <w:highlight w:val="none"/>
        </w:rPr>
        <w:t>竣工日期以竣工</w:t>
      </w:r>
      <w:r>
        <w:rPr>
          <w:rFonts w:hint="eastAsia" w:ascii="宋体" w:hAnsi="宋体"/>
          <w:color w:val="auto"/>
          <w:highlight w:val="none"/>
        </w:rPr>
        <w:t>验</w:t>
      </w:r>
      <w:r>
        <w:rPr>
          <w:rFonts w:ascii="宋体" w:hAnsi="宋体"/>
          <w:color w:val="auto"/>
          <w:highlight w:val="none"/>
        </w:rPr>
        <w:t>收合格后乙方</w:t>
      </w:r>
      <w:r>
        <w:rPr>
          <w:rFonts w:hint="eastAsia" w:ascii="宋体" w:hAnsi="宋体"/>
          <w:color w:val="auto"/>
          <w:highlight w:val="none"/>
        </w:rPr>
        <w:t>实际</w:t>
      </w:r>
      <w:r>
        <w:rPr>
          <w:rFonts w:ascii="宋体" w:hAnsi="宋体"/>
          <w:color w:val="auto"/>
          <w:highlight w:val="none"/>
        </w:rPr>
        <w:t>退</w:t>
      </w:r>
      <w:r>
        <w:rPr>
          <w:rFonts w:hint="eastAsia" w:ascii="宋体" w:hAnsi="宋体"/>
          <w:color w:val="auto"/>
          <w:highlight w:val="none"/>
        </w:rPr>
        <w:t>场</w:t>
      </w:r>
      <w:r>
        <w:rPr>
          <w:rFonts w:ascii="宋体" w:hAnsi="宋体"/>
          <w:color w:val="auto"/>
          <w:highlight w:val="none"/>
        </w:rPr>
        <w:t>完</w:t>
      </w:r>
      <w:r>
        <w:rPr>
          <w:rFonts w:hint="eastAsia" w:ascii="宋体" w:hAnsi="宋体"/>
          <w:color w:val="auto"/>
          <w:highlight w:val="none"/>
        </w:rPr>
        <w:t>毕</w:t>
      </w:r>
      <w:r>
        <w:rPr>
          <w:rFonts w:ascii="宋体" w:hAnsi="宋体"/>
          <w:color w:val="auto"/>
          <w:highlight w:val="none"/>
        </w:rPr>
        <w:t>之日</w:t>
      </w:r>
      <w:r>
        <w:rPr>
          <w:rFonts w:hint="eastAsia" w:ascii="宋体" w:hAnsi="宋体"/>
          <w:color w:val="auto"/>
          <w:highlight w:val="none"/>
        </w:rPr>
        <w:t>为</w:t>
      </w:r>
      <w:r>
        <w:rPr>
          <w:rFonts w:ascii="宋体" w:hAnsi="宋体"/>
          <w:color w:val="auto"/>
          <w:highlight w:val="none"/>
        </w:rPr>
        <w:t>准。同</w:t>
      </w:r>
      <w:r>
        <w:rPr>
          <w:rFonts w:hint="eastAsia" w:ascii="宋体" w:hAnsi="宋体"/>
          <w:color w:val="auto"/>
          <w:highlight w:val="none"/>
        </w:rPr>
        <w:t>时</w:t>
      </w:r>
      <w:r>
        <w:rPr>
          <w:rFonts w:ascii="宋体" w:hAnsi="宋体"/>
          <w:color w:val="auto"/>
          <w:highlight w:val="none"/>
        </w:rPr>
        <w:t>，甲方有</w:t>
      </w:r>
      <w:r>
        <w:rPr>
          <w:rFonts w:hint="eastAsia" w:ascii="宋体" w:hAnsi="宋体"/>
          <w:color w:val="auto"/>
          <w:highlight w:val="none"/>
        </w:rPr>
        <w:t>权</w:t>
      </w:r>
      <w:r>
        <w:rPr>
          <w:rFonts w:ascii="宋体" w:hAnsi="宋体"/>
          <w:color w:val="auto"/>
          <w:highlight w:val="none"/>
        </w:rPr>
        <w:t>向乙方收取地租</w:t>
      </w:r>
      <w:r>
        <w:rPr>
          <w:rFonts w:hint="eastAsia" w:ascii="宋体" w:hAnsi="宋体"/>
          <w:color w:val="auto"/>
          <w:highlight w:val="none"/>
        </w:rPr>
        <w:t>费</w:t>
      </w:r>
      <w:r>
        <w:rPr>
          <w:rFonts w:ascii="宋体" w:hAnsi="宋体"/>
          <w:color w:val="auto"/>
          <w:highlight w:val="none"/>
        </w:rPr>
        <w:t>，地租</w:t>
      </w:r>
      <w:r>
        <w:rPr>
          <w:rFonts w:hint="eastAsia" w:ascii="宋体" w:hAnsi="宋体"/>
          <w:color w:val="auto"/>
          <w:highlight w:val="none"/>
        </w:rPr>
        <w:t>费</w:t>
      </w:r>
      <w:r>
        <w:rPr>
          <w:rFonts w:ascii="宋体" w:hAnsi="宋体"/>
          <w:color w:val="auto"/>
          <w:highlight w:val="none"/>
        </w:rPr>
        <w:t>金</w:t>
      </w:r>
      <w:r>
        <w:rPr>
          <w:rFonts w:hint="eastAsia" w:ascii="宋体" w:hAnsi="宋体"/>
          <w:color w:val="auto"/>
          <w:highlight w:val="none"/>
        </w:rPr>
        <w:t>额</w:t>
      </w:r>
      <w:r>
        <w:rPr>
          <w:rFonts w:ascii="宋体" w:hAnsi="宋体"/>
          <w:color w:val="auto"/>
          <w:highlight w:val="none"/>
        </w:rPr>
        <w:t>为</w:t>
      </w:r>
      <w:r>
        <w:rPr>
          <w:rFonts w:hint="eastAsia" w:ascii="宋体" w:hAnsi="宋体"/>
          <w:color w:val="auto"/>
          <w:highlight w:val="none"/>
        </w:rPr>
        <w:t>1</w:t>
      </w:r>
      <w:r>
        <w:rPr>
          <w:rFonts w:ascii="宋体" w:hAnsi="宋体"/>
          <w:color w:val="auto"/>
          <w:highlight w:val="none"/>
        </w:rPr>
        <w:t>000</w:t>
      </w:r>
      <w:r>
        <w:rPr>
          <w:rFonts w:hint="eastAsia" w:ascii="宋体" w:hAnsi="宋体"/>
          <w:color w:val="auto"/>
          <w:highlight w:val="none"/>
        </w:rPr>
        <w:t>元/天</w:t>
      </w:r>
      <w:r>
        <w:rPr>
          <w:rFonts w:ascii="宋体" w:hAnsi="宋体"/>
          <w:color w:val="auto"/>
          <w:highlight w:val="none"/>
        </w:rPr>
        <w:t>，甲方有</w:t>
      </w:r>
      <w:r>
        <w:rPr>
          <w:rFonts w:hint="eastAsia" w:ascii="宋体" w:hAnsi="宋体"/>
          <w:color w:val="auto"/>
          <w:highlight w:val="none"/>
        </w:rPr>
        <w:t>权</w:t>
      </w:r>
      <w:r>
        <w:rPr>
          <w:rFonts w:ascii="宋体" w:hAnsi="宋体"/>
          <w:color w:val="auto"/>
          <w:highlight w:val="none"/>
        </w:rPr>
        <w:t>在工程</w:t>
      </w:r>
      <w:r>
        <w:rPr>
          <w:rFonts w:hint="eastAsia" w:ascii="宋体" w:hAnsi="宋体"/>
          <w:color w:val="auto"/>
          <w:highlight w:val="none"/>
        </w:rPr>
        <w:t>结</w:t>
      </w:r>
      <w:r>
        <w:rPr>
          <w:rFonts w:ascii="宋体" w:hAnsi="宋体"/>
          <w:color w:val="auto"/>
          <w:highlight w:val="none"/>
        </w:rPr>
        <w:t>算款或余款中扣除地租</w:t>
      </w:r>
      <w:r>
        <w:rPr>
          <w:rFonts w:hint="eastAsia" w:ascii="宋体" w:hAnsi="宋体"/>
          <w:color w:val="auto"/>
          <w:highlight w:val="none"/>
        </w:rPr>
        <w:t>费</w:t>
      </w:r>
      <w:r>
        <w:rPr>
          <w:rFonts w:ascii="宋体" w:hAnsi="宋体"/>
          <w:color w:val="auto"/>
          <w:highlight w:val="none"/>
        </w:rPr>
        <w:t>。</w:t>
      </w:r>
    </w:p>
    <w:p w14:paraId="73247C65">
      <w:pPr>
        <w:spacing w:line="460" w:lineRule="exact"/>
        <w:ind w:firstLine="420" w:firstLineChars="200"/>
        <w:rPr>
          <w:rFonts w:ascii="宋体" w:hAnsi="宋体"/>
          <w:color w:val="auto"/>
          <w:highlight w:val="none"/>
        </w:rPr>
      </w:pPr>
    </w:p>
    <w:p w14:paraId="59C5345D">
      <w:pPr>
        <w:pStyle w:val="97"/>
        <w:ind w:firstLine="422"/>
        <w:rPr>
          <w:color w:val="auto"/>
          <w:highlight w:val="none"/>
        </w:rPr>
      </w:pPr>
      <w:bookmarkStart w:id="258" w:name="_Toc180591504"/>
      <w:r>
        <w:rPr>
          <w:rFonts w:hint="eastAsia"/>
          <w:color w:val="auto"/>
          <w:highlight w:val="none"/>
        </w:rPr>
        <w:t>第</w:t>
      </w:r>
      <w:r>
        <w:rPr>
          <w:color w:val="auto"/>
          <w:highlight w:val="none"/>
        </w:rPr>
        <w:t>14</w:t>
      </w:r>
      <w:r>
        <w:rPr>
          <w:rFonts w:hint="eastAsia"/>
          <w:color w:val="auto"/>
          <w:highlight w:val="none"/>
        </w:rPr>
        <w:t>条  工程保修</w:t>
      </w:r>
      <w:bookmarkEnd w:id="258"/>
    </w:p>
    <w:p w14:paraId="7D76AF6B">
      <w:pPr>
        <w:widowControl/>
        <w:spacing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14.1</w:t>
      </w:r>
      <w:r>
        <w:rPr>
          <w:rFonts w:hint="eastAsia" w:ascii="宋体" w:hAnsi="宋体"/>
          <w:bCs/>
          <w:color w:val="auto"/>
          <w:szCs w:val="21"/>
          <w:highlight w:val="none"/>
        </w:rPr>
        <w:t>质量保修期：</w:t>
      </w:r>
      <w:r>
        <w:rPr>
          <w:rFonts w:hint="eastAsia" w:ascii="宋体" w:hAnsi="宋体"/>
          <w:bCs/>
          <w:color w:val="auto"/>
          <w:szCs w:val="21"/>
          <w:highlight w:val="none"/>
          <w:u w:val="single"/>
        </w:rPr>
        <w:t>从本工程整体竣工之日算起，保修期为 2 年；</w:t>
      </w:r>
      <w:r>
        <w:rPr>
          <w:rFonts w:hint="eastAsia" w:ascii="宋体" w:hAnsi="宋体"/>
          <w:bCs/>
          <w:color w:val="auto"/>
          <w:szCs w:val="21"/>
          <w:highlight w:val="none"/>
          <w:u w:val="single"/>
        </w:rPr>
        <w:t>绿化工程</w:t>
      </w:r>
      <w:r>
        <w:rPr>
          <w:rFonts w:ascii="宋体" w:hAnsi="宋体"/>
          <w:color w:val="auto"/>
          <w:highlight w:val="none"/>
        </w:rPr>
        <w:t>按甲方要求负责</w:t>
      </w:r>
      <w:r>
        <w:rPr>
          <w:rFonts w:hint="eastAsia" w:ascii="宋体" w:hAnsi="宋体"/>
          <w:color w:val="auto"/>
          <w:highlight w:val="none"/>
        </w:rPr>
        <w:t>管护1年（养护期间所产生的费用由乙方负责）。</w:t>
      </w:r>
    </w:p>
    <w:p w14:paraId="4D34A1B1">
      <w:pPr>
        <w:widowControl/>
        <w:spacing w:line="360" w:lineRule="auto"/>
        <w:ind w:firstLine="420" w:firstLineChars="200"/>
        <w:jc w:val="left"/>
        <w:rPr>
          <w:rFonts w:ascii="宋体" w:hAnsi="宋体"/>
          <w:bCs/>
          <w:color w:val="auto"/>
          <w:szCs w:val="21"/>
          <w:highlight w:val="none"/>
          <w:u w:val="single"/>
        </w:rPr>
      </w:pPr>
      <w:r>
        <w:rPr>
          <w:rFonts w:ascii="宋体" w:hAnsi="宋体"/>
          <w:bCs/>
          <w:color w:val="auto"/>
          <w:szCs w:val="21"/>
          <w:highlight w:val="none"/>
        </w:rPr>
        <w:t>14</w:t>
      </w: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保修期间，乙方有效电子邮箱：</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72BED06">
      <w:pPr>
        <w:pStyle w:val="97"/>
        <w:ind w:firstLine="422"/>
        <w:rPr>
          <w:color w:val="auto"/>
          <w:highlight w:val="none"/>
        </w:rPr>
      </w:pPr>
      <w:bookmarkStart w:id="259" w:name="_Toc180591505"/>
      <w:r>
        <w:rPr>
          <w:rFonts w:hint="eastAsia"/>
          <w:color w:val="auto"/>
          <w:highlight w:val="none"/>
        </w:rPr>
        <w:t>第</w:t>
      </w:r>
      <w:r>
        <w:rPr>
          <w:color w:val="auto"/>
          <w:highlight w:val="none"/>
        </w:rPr>
        <w:t>15</w:t>
      </w:r>
      <w:r>
        <w:rPr>
          <w:rFonts w:hint="eastAsia"/>
          <w:color w:val="auto"/>
          <w:highlight w:val="none"/>
        </w:rPr>
        <w:t xml:space="preserve">条 </w:t>
      </w:r>
      <w:r>
        <w:rPr>
          <w:color w:val="auto"/>
          <w:highlight w:val="none"/>
        </w:rPr>
        <w:t xml:space="preserve"> </w:t>
      </w:r>
      <w:r>
        <w:rPr>
          <w:rFonts w:hint="eastAsia"/>
          <w:color w:val="auto"/>
          <w:highlight w:val="none"/>
        </w:rPr>
        <w:t>其他</w:t>
      </w:r>
      <w:bookmarkEnd w:id="259"/>
    </w:p>
    <w:p w14:paraId="6B30E455">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15</w:t>
      </w:r>
      <w:r>
        <w:rPr>
          <w:rFonts w:hint="eastAsia" w:ascii="宋体" w:hAnsi="宋体"/>
          <w:bCs/>
          <w:color w:val="auto"/>
          <w:szCs w:val="21"/>
          <w:highlight w:val="none"/>
        </w:rPr>
        <w:t>.1停缓建：</w:t>
      </w:r>
    </w:p>
    <w:p w14:paraId="4DB4731C">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15</w:t>
      </w:r>
      <w:r>
        <w:rPr>
          <w:rFonts w:hint="eastAsia" w:ascii="宋体" w:hAnsi="宋体"/>
          <w:bCs/>
          <w:color w:val="auto"/>
          <w:szCs w:val="21"/>
          <w:highlight w:val="none"/>
        </w:rPr>
        <w:t>.2如因甲方原因造成工程停工或者停缓建</w:t>
      </w:r>
      <w:r>
        <w:rPr>
          <w:rFonts w:hint="eastAsia" w:ascii="宋体" w:hAnsi="宋体"/>
          <w:bCs/>
          <w:color w:val="auto"/>
          <w:szCs w:val="21"/>
          <w:highlight w:val="none"/>
          <w:u w:val="single"/>
        </w:rPr>
        <w:t xml:space="preserve">60 </w:t>
      </w:r>
      <w:r>
        <w:rPr>
          <w:rFonts w:hint="eastAsia" w:ascii="宋体" w:hAnsi="宋体"/>
          <w:bCs/>
          <w:color w:val="auto"/>
          <w:szCs w:val="21"/>
          <w:highlight w:val="none"/>
        </w:rPr>
        <w:t>天内，乙方应积极配合甲方做好工人的安抚工作，必要时将工人、材料、机具清退出场，甲方不给予乙方任何补偿；</w:t>
      </w:r>
    </w:p>
    <w:p w14:paraId="1EB0D81C">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15</w:t>
      </w:r>
      <w:r>
        <w:rPr>
          <w:rFonts w:hint="eastAsia" w:ascii="宋体" w:hAnsi="宋体"/>
          <w:bCs/>
          <w:color w:val="auto"/>
          <w:szCs w:val="21"/>
          <w:highlight w:val="none"/>
        </w:rPr>
        <w:t>.3如因甲方原因造成工程停缓建超</w:t>
      </w:r>
      <w:r>
        <w:rPr>
          <w:rFonts w:hint="eastAsia" w:ascii="宋体" w:hAnsi="宋体"/>
          <w:bCs/>
          <w:color w:val="auto"/>
          <w:szCs w:val="21"/>
          <w:highlight w:val="none"/>
        </w:rPr>
        <w:t>过</w:t>
      </w:r>
      <w:r>
        <w:rPr>
          <w:rFonts w:hint="eastAsia" w:ascii="宋体" w:hAnsi="宋体"/>
          <w:bCs/>
          <w:color w:val="auto"/>
          <w:szCs w:val="21"/>
          <w:highlight w:val="none"/>
          <w:u w:val="single"/>
        </w:rPr>
        <w:t>120</w:t>
      </w:r>
      <w:r>
        <w:rPr>
          <w:rFonts w:hint="eastAsia" w:ascii="宋体" w:hAnsi="宋体"/>
          <w:bCs/>
          <w:color w:val="auto"/>
          <w:szCs w:val="21"/>
          <w:highlight w:val="none"/>
        </w:rPr>
        <w:t>天的，乙方有权提出终止合同，且应服从甲方安排组织人员、材料、机械退场，甲方应予以结算已完工程量。</w:t>
      </w:r>
    </w:p>
    <w:p w14:paraId="09D8B6B4">
      <w:pPr>
        <w:spacing w:line="360" w:lineRule="auto"/>
        <w:ind w:firstLine="210" w:firstLineChars="100"/>
        <w:rPr>
          <w:rFonts w:ascii="宋体" w:hAnsi="宋体"/>
          <w:bCs/>
          <w:color w:val="auto"/>
          <w:szCs w:val="21"/>
          <w:highlight w:val="none"/>
        </w:rPr>
      </w:pPr>
      <w:r>
        <w:rPr>
          <w:rFonts w:hint="eastAsia"/>
          <w:color w:val="auto"/>
          <w:highlight w:val="none"/>
        </w:rPr>
        <w:t xml:space="preserve"> </w:t>
      </w:r>
      <w:r>
        <w:rPr>
          <w:color w:val="auto"/>
          <w:highlight w:val="none"/>
        </w:rPr>
        <w:t xml:space="preserve"> </w:t>
      </w:r>
      <w:r>
        <w:rPr>
          <w:rFonts w:ascii="宋体" w:hAnsi="宋体"/>
          <w:bCs/>
          <w:color w:val="auto"/>
          <w:szCs w:val="21"/>
          <w:highlight w:val="none"/>
        </w:rPr>
        <w:t>15</w:t>
      </w: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由于承包人施工方案缺陷而造成的经济损失，包括但不限于调整施工方案所增加的费用，以及对甲方造成的经济损失均由承包人负责，情况严重时发包人可单方面解除合同且保留追究相关损失的权利。</w:t>
      </w:r>
    </w:p>
    <w:p w14:paraId="015F62F9">
      <w:pPr>
        <w:ind w:firstLine="420" w:firstLineChars="200"/>
        <w:rPr>
          <w:rFonts w:ascii="宋体" w:hAnsi="宋体"/>
          <w:bCs/>
          <w:color w:val="auto"/>
          <w:szCs w:val="21"/>
          <w:highlight w:val="none"/>
        </w:rPr>
      </w:pPr>
      <w:r>
        <w:rPr>
          <w:rFonts w:ascii="宋体" w:hAnsi="宋体"/>
          <w:bCs/>
          <w:color w:val="auto"/>
          <w:szCs w:val="21"/>
          <w:highlight w:val="none"/>
        </w:rPr>
        <w:t>15</w:t>
      </w: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工程建设实施过程中，建设管理单位有权减少实施已标价工程量清单内项目，或要求分步分期实施、暂缓施工等，但不补偿承包人任何费用</w:t>
      </w:r>
    </w:p>
    <w:p w14:paraId="436491CB">
      <w:pPr>
        <w:rPr>
          <w:color w:val="auto"/>
          <w:highlight w:val="none"/>
        </w:rPr>
      </w:pPr>
    </w:p>
    <w:p w14:paraId="043A0074">
      <w:pPr>
        <w:rPr>
          <w:color w:val="auto"/>
          <w:highlight w:val="none"/>
        </w:rPr>
      </w:pPr>
    </w:p>
    <w:p w14:paraId="403009B4">
      <w:pPr>
        <w:widowControl/>
        <w:rPr>
          <w:color w:val="auto"/>
          <w:highlight w:val="none"/>
        </w:rPr>
      </w:pPr>
      <w:r>
        <w:rPr>
          <w:color w:val="auto"/>
          <w:highlight w:val="none"/>
        </w:rPr>
        <w:br w:type="page"/>
      </w:r>
    </w:p>
    <w:p w14:paraId="0DF114A3">
      <w:pPr>
        <w:pStyle w:val="96"/>
        <w:rPr>
          <w:color w:val="auto"/>
          <w:highlight w:val="none"/>
        </w:rPr>
      </w:pPr>
      <w:bookmarkStart w:id="260" w:name="_Toc100839982"/>
      <w:bookmarkStart w:id="261" w:name="_Toc180591506"/>
      <w:bookmarkStart w:id="262" w:name="_Toc101358351"/>
      <w:bookmarkStart w:id="263" w:name="_Toc100862510"/>
      <w:bookmarkStart w:id="264" w:name="_Hlk101203260"/>
      <w:bookmarkStart w:id="265" w:name="_Hlk71806257"/>
      <w:bookmarkStart w:id="266" w:name="_Toc14383"/>
      <w:bookmarkStart w:id="267" w:name="_Hlk68816795"/>
      <w:bookmarkStart w:id="268" w:name="_Hlk71794155"/>
      <w:bookmarkStart w:id="269" w:name="_Hlk71810543"/>
      <w:bookmarkStart w:id="270" w:name="_Hlk71749216"/>
      <w:bookmarkStart w:id="271" w:name="_Toc72157088"/>
      <w:bookmarkStart w:id="272" w:name="_Toc4477"/>
      <w:bookmarkStart w:id="273" w:name="_Hlk68817371"/>
      <w:r>
        <w:rPr>
          <w:rFonts w:hint="eastAsia"/>
          <w:color w:val="auto"/>
          <w:highlight w:val="none"/>
        </w:rPr>
        <w:t>第四部分 合同附件</w:t>
      </w:r>
      <w:bookmarkEnd w:id="260"/>
      <w:bookmarkEnd w:id="261"/>
      <w:bookmarkEnd w:id="262"/>
      <w:bookmarkEnd w:id="263"/>
    </w:p>
    <w:bookmarkEnd w:id="264"/>
    <w:p w14:paraId="74B1674F">
      <w:pPr>
        <w:rPr>
          <w:color w:val="auto"/>
          <w:highlight w:val="none"/>
        </w:rPr>
      </w:pPr>
    </w:p>
    <w:p w14:paraId="54D54772">
      <w:pPr>
        <w:rPr>
          <w:color w:val="auto"/>
          <w:highlight w:val="none"/>
        </w:rPr>
      </w:pPr>
    </w:p>
    <w:bookmarkEnd w:id="265"/>
    <w:bookmarkEnd w:id="266"/>
    <w:bookmarkEnd w:id="267"/>
    <w:bookmarkEnd w:id="268"/>
    <w:bookmarkEnd w:id="269"/>
    <w:bookmarkEnd w:id="270"/>
    <w:p w14:paraId="1522C319">
      <w:pPr>
        <w:pStyle w:val="97"/>
        <w:ind w:firstLine="422"/>
        <w:rPr>
          <w:color w:val="auto"/>
          <w:highlight w:val="none"/>
        </w:rPr>
      </w:pPr>
      <w:bookmarkStart w:id="274" w:name="_Toc102402682"/>
      <w:bookmarkStart w:id="275" w:name="_Toc180591507"/>
      <w:bookmarkStart w:id="276" w:name="_Hlk101203303"/>
      <w:bookmarkStart w:id="277" w:name="_Hlk101293734"/>
      <w:bookmarkStart w:id="278" w:name="_Hlk101203399"/>
      <w:r>
        <w:rPr>
          <w:rFonts w:hint="eastAsia"/>
          <w:color w:val="auto"/>
          <w:highlight w:val="none"/>
        </w:rPr>
        <w:t>附件一</w:t>
      </w:r>
      <w:r>
        <w:rPr>
          <w:color w:val="auto"/>
          <w:highlight w:val="none"/>
        </w:rPr>
        <w:t xml:space="preserve">  </w:t>
      </w:r>
      <w:r>
        <w:rPr>
          <w:rFonts w:hint="eastAsia"/>
          <w:color w:val="auto"/>
          <w:highlight w:val="none"/>
        </w:rPr>
        <w:t>乙方主要管理人员名单及职责</w:t>
      </w:r>
      <w:bookmarkEnd w:id="274"/>
      <w:bookmarkEnd w:id="275"/>
      <w:r>
        <w:rPr>
          <w:rFonts w:hint="eastAsia"/>
          <w:color w:val="auto"/>
          <w:highlight w:val="none"/>
        </w:rPr>
        <w:t xml:space="preserve">               </w:t>
      </w:r>
    </w:p>
    <w:p w14:paraId="71A35206">
      <w:pPr>
        <w:snapToGrid w:val="0"/>
        <w:spacing w:before="120" w:line="360" w:lineRule="auto"/>
        <w:ind w:right="-210" w:rightChars="-100"/>
        <w:jc w:val="center"/>
        <w:rPr>
          <w:rFonts w:ascii="宋体" w:hAnsi="宋体"/>
          <w:b/>
          <w:color w:val="auto"/>
          <w:szCs w:val="21"/>
          <w:highlight w:val="none"/>
        </w:rPr>
      </w:pPr>
      <w:r>
        <w:rPr>
          <w:rFonts w:hint="eastAsia" w:ascii="宋体" w:hAnsi="宋体"/>
          <w:b/>
          <w:bCs/>
          <w:color w:val="auto"/>
          <w:szCs w:val="21"/>
          <w:highlight w:val="none"/>
        </w:rPr>
        <w:t>乙方主要管理人员</w:t>
      </w:r>
      <w:r>
        <w:rPr>
          <w:rFonts w:hint="eastAsia" w:ascii="宋体" w:hAnsi="宋体"/>
          <w:b/>
          <w:color w:val="auto"/>
          <w:szCs w:val="21"/>
          <w:highlight w:val="none"/>
        </w:rPr>
        <w:t>名单及职责</w:t>
      </w:r>
    </w:p>
    <w:tbl>
      <w:tblPr>
        <w:tblStyle w:val="30"/>
        <w:tblW w:w="0" w:type="auto"/>
        <w:jc w:val="center"/>
        <w:tblLayout w:type="fixed"/>
        <w:tblCellMar>
          <w:top w:w="0" w:type="dxa"/>
          <w:left w:w="108" w:type="dxa"/>
          <w:bottom w:w="0" w:type="dxa"/>
          <w:right w:w="108" w:type="dxa"/>
        </w:tblCellMar>
      </w:tblPr>
      <w:tblGrid>
        <w:gridCol w:w="700"/>
        <w:gridCol w:w="1500"/>
        <w:gridCol w:w="1160"/>
        <w:gridCol w:w="1429"/>
        <w:gridCol w:w="4211"/>
      </w:tblGrid>
      <w:tr w14:paraId="532AE3D0">
        <w:tblPrEx>
          <w:tblCellMar>
            <w:top w:w="0" w:type="dxa"/>
            <w:left w:w="108" w:type="dxa"/>
            <w:bottom w:w="0" w:type="dxa"/>
            <w:right w:w="108" w:type="dxa"/>
          </w:tblCellMar>
        </w:tblPrEx>
        <w:trPr>
          <w:trHeight w:val="64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18E9602">
            <w:pPr>
              <w:widowControl/>
              <w:spacing w:line="360" w:lineRule="auto"/>
              <w:jc w:val="center"/>
              <w:rPr>
                <w:rFonts w:ascii="宋体" w:hAnsi="宋体" w:cs="宋体"/>
                <w:color w:val="auto"/>
                <w:kern w:val="0"/>
                <w:szCs w:val="21"/>
                <w:highlight w:val="none"/>
              </w:rPr>
            </w:pPr>
            <w:bookmarkStart w:id="279" w:name="_Hlk100860359"/>
            <w:r>
              <w:rPr>
                <w:rFonts w:hint="eastAsia" w:ascii="宋体" w:hAnsi="宋体" w:cs="宋体"/>
                <w:color w:val="auto"/>
                <w:kern w:val="0"/>
                <w:szCs w:val="21"/>
                <w:highlight w:val="none"/>
              </w:rPr>
              <w:t>序号</w:t>
            </w:r>
          </w:p>
        </w:tc>
        <w:tc>
          <w:tcPr>
            <w:tcW w:w="1500" w:type="dxa"/>
            <w:tcBorders>
              <w:top w:val="single" w:color="auto" w:sz="4" w:space="0"/>
              <w:left w:val="nil"/>
              <w:bottom w:val="single" w:color="auto" w:sz="4" w:space="0"/>
              <w:right w:val="single" w:color="auto" w:sz="4" w:space="0"/>
            </w:tcBorders>
            <w:vAlign w:val="center"/>
          </w:tcPr>
          <w:p w14:paraId="761D9ED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职务</w:t>
            </w:r>
          </w:p>
        </w:tc>
        <w:tc>
          <w:tcPr>
            <w:tcW w:w="1160" w:type="dxa"/>
            <w:tcBorders>
              <w:top w:val="single" w:color="auto" w:sz="4" w:space="0"/>
              <w:left w:val="nil"/>
              <w:bottom w:val="single" w:color="auto" w:sz="4" w:space="0"/>
              <w:right w:val="single" w:color="auto" w:sz="4" w:space="0"/>
            </w:tcBorders>
            <w:vAlign w:val="center"/>
          </w:tcPr>
          <w:p w14:paraId="6964AA2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1429" w:type="dxa"/>
            <w:tcBorders>
              <w:top w:val="single" w:color="auto" w:sz="4" w:space="0"/>
              <w:left w:val="nil"/>
              <w:bottom w:val="single" w:color="auto" w:sz="4" w:space="0"/>
              <w:right w:val="single" w:color="auto" w:sz="4" w:space="0"/>
            </w:tcBorders>
            <w:vAlign w:val="center"/>
          </w:tcPr>
          <w:p w14:paraId="55E1602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4211" w:type="dxa"/>
            <w:tcBorders>
              <w:top w:val="single" w:color="auto" w:sz="4" w:space="0"/>
              <w:left w:val="nil"/>
              <w:bottom w:val="single" w:color="auto" w:sz="4" w:space="0"/>
              <w:right w:val="single" w:color="auto" w:sz="4" w:space="0"/>
            </w:tcBorders>
            <w:vAlign w:val="center"/>
          </w:tcPr>
          <w:p w14:paraId="4233AAC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职责</w:t>
            </w:r>
          </w:p>
        </w:tc>
      </w:tr>
      <w:tr w14:paraId="5C97AC4F">
        <w:tblPrEx>
          <w:tblCellMar>
            <w:top w:w="0" w:type="dxa"/>
            <w:left w:w="108" w:type="dxa"/>
            <w:bottom w:w="0" w:type="dxa"/>
            <w:right w:w="108" w:type="dxa"/>
          </w:tblCellMar>
        </w:tblPrEx>
        <w:trPr>
          <w:trHeight w:val="64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F728EC3">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500" w:type="dxa"/>
            <w:tcBorders>
              <w:top w:val="single" w:color="auto" w:sz="4" w:space="0"/>
              <w:left w:val="nil"/>
              <w:bottom w:val="single" w:color="auto" w:sz="4" w:space="0"/>
              <w:right w:val="single" w:color="auto" w:sz="4" w:space="0"/>
            </w:tcBorders>
            <w:vAlign w:val="center"/>
          </w:tcPr>
          <w:p w14:paraId="58DB8D67">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1160" w:type="dxa"/>
            <w:tcBorders>
              <w:top w:val="single" w:color="auto" w:sz="4" w:space="0"/>
              <w:left w:val="nil"/>
              <w:bottom w:val="single" w:color="auto" w:sz="4" w:space="0"/>
              <w:right w:val="single" w:color="auto" w:sz="4" w:space="0"/>
            </w:tcBorders>
            <w:shd w:val="clear" w:color="auto" w:fill="auto"/>
            <w:vAlign w:val="center"/>
          </w:tcPr>
          <w:p w14:paraId="79CC9BF4">
            <w:pPr>
              <w:widowControl/>
              <w:spacing w:line="280" w:lineRule="exact"/>
              <w:jc w:val="center"/>
              <w:rPr>
                <w:rFonts w:ascii="宋体" w:hAnsi="宋体" w:cs="宋体"/>
                <w:color w:val="auto"/>
                <w:kern w:val="0"/>
                <w:szCs w:val="21"/>
                <w:highlight w:val="none"/>
              </w:rPr>
            </w:pPr>
          </w:p>
        </w:tc>
        <w:tc>
          <w:tcPr>
            <w:tcW w:w="1429" w:type="dxa"/>
            <w:tcBorders>
              <w:top w:val="single" w:color="auto" w:sz="4" w:space="0"/>
              <w:left w:val="nil"/>
              <w:bottom w:val="single" w:color="auto" w:sz="4" w:space="0"/>
              <w:right w:val="single" w:color="auto" w:sz="4" w:space="0"/>
            </w:tcBorders>
            <w:shd w:val="clear" w:color="auto" w:fill="auto"/>
            <w:vAlign w:val="center"/>
          </w:tcPr>
          <w:p w14:paraId="3987E34A">
            <w:pPr>
              <w:widowControl/>
              <w:spacing w:line="280" w:lineRule="exact"/>
              <w:jc w:val="center"/>
              <w:rPr>
                <w:rFonts w:ascii="宋体" w:hAnsi="宋体" w:cs="宋体"/>
                <w:color w:val="auto"/>
                <w:kern w:val="0"/>
                <w:szCs w:val="21"/>
                <w:highlight w:val="none"/>
              </w:rPr>
            </w:pPr>
          </w:p>
        </w:tc>
        <w:tc>
          <w:tcPr>
            <w:tcW w:w="4211" w:type="dxa"/>
            <w:tcBorders>
              <w:top w:val="single" w:color="auto" w:sz="4" w:space="0"/>
              <w:left w:val="nil"/>
              <w:bottom w:val="single" w:color="auto" w:sz="4" w:space="0"/>
              <w:right w:val="single" w:color="auto" w:sz="4" w:space="0"/>
            </w:tcBorders>
            <w:vAlign w:val="center"/>
          </w:tcPr>
          <w:p w14:paraId="2D276D45">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现场进度、安全、质量全面负责</w:t>
            </w:r>
          </w:p>
        </w:tc>
      </w:tr>
      <w:tr w14:paraId="6735C2E4">
        <w:tblPrEx>
          <w:tblCellMar>
            <w:top w:w="0" w:type="dxa"/>
            <w:left w:w="108" w:type="dxa"/>
            <w:bottom w:w="0" w:type="dxa"/>
            <w:right w:w="108" w:type="dxa"/>
          </w:tblCellMar>
        </w:tblPrEx>
        <w:trPr>
          <w:trHeight w:val="799" w:hRule="atLeast"/>
          <w:jc w:val="center"/>
        </w:trPr>
        <w:tc>
          <w:tcPr>
            <w:tcW w:w="700" w:type="dxa"/>
            <w:tcBorders>
              <w:top w:val="nil"/>
              <w:left w:val="single" w:color="auto" w:sz="4" w:space="0"/>
              <w:bottom w:val="single" w:color="auto" w:sz="4" w:space="0"/>
              <w:right w:val="single" w:color="auto" w:sz="4" w:space="0"/>
            </w:tcBorders>
            <w:vAlign w:val="center"/>
          </w:tcPr>
          <w:p w14:paraId="41BA2E09">
            <w:pPr>
              <w:widowControl/>
              <w:spacing w:line="280" w:lineRule="exact"/>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500" w:type="dxa"/>
            <w:tcBorders>
              <w:top w:val="nil"/>
              <w:left w:val="nil"/>
              <w:bottom w:val="single" w:color="auto" w:sz="4" w:space="0"/>
              <w:right w:val="single" w:color="auto" w:sz="4" w:space="0"/>
            </w:tcBorders>
            <w:vAlign w:val="center"/>
          </w:tcPr>
          <w:p w14:paraId="1E84F938">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1160" w:type="dxa"/>
            <w:tcBorders>
              <w:top w:val="nil"/>
              <w:left w:val="nil"/>
              <w:bottom w:val="single" w:color="auto" w:sz="4" w:space="0"/>
              <w:right w:val="single" w:color="auto" w:sz="4" w:space="0"/>
            </w:tcBorders>
            <w:shd w:val="clear" w:color="auto" w:fill="auto"/>
            <w:vAlign w:val="center"/>
          </w:tcPr>
          <w:p w14:paraId="6E59AD09">
            <w:pPr>
              <w:widowControl/>
              <w:spacing w:line="280" w:lineRule="exact"/>
              <w:jc w:val="center"/>
              <w:rPr>
                <w:rFonts w:ascii="宋体" w:hAnsi="宋体" w:cs="宋体"/>
                <w:color w:val="auto"/>
                <w:kern w:val="0"/>
                <w:szCs w:val="21"/>
                <w:highlight w:val="none"/>
              </w:rPr>
            </w:pPr>
          </w:p>
        </w:tc>
        <w:tc>
          <w:tcPr>
            <w:tcW w:w="1429" w:type="dxa"/>
            <w:tcBorders>
              <w:top w:val="nil"/>
              <w:left w:val="nil"/>
              <w:bottom w:val="single" w:color="auto" w:sz="4" w:space="0"/>
              <w:right w:val="single" w:color="auto" w:sz="4" w:space="0"/>
            </w:tcBorders>
            <w:shd w:val="clear" w:color="auto" w:fill="auto"/>
            <w:vAlign w:val="center"/>
          </w:tcPr>
          <w:p w14:paraId="01502E5B">
            <w:pPr>
              <w:widowControl/>
              <w:spacing w:line="280" w:lineRule="exact"/>
              <w:jc w:val="center"/>
              <w:rPr>
                <w:rFonts w:ascii="宋体" w:hAnsi="宋体" w:cs="宋体"/>
                <w:color w:val="auto"/>
                <w:kern w:val="0"/>
                <w:szCs w:val="21"/>
                <w:highlight w:val="none"/>
              </w:rPr>
            </w:pPr>
          </w:p>
        </w:tc>
        <w:tc>
          <w:tcPr>
            <w:tcW w:w="4211" w:type="dxa"/>
            <w:tcBorders>
              <w:top w:val="nil"/>
              <w:left w:val="nil"/>
              <w:bottom w:val="single" w:color="auto" w:sz="4" w:space="0"/>
              <w:right w:val="single" w:color="auto" w:sz="4" w:space="0"/>
            </w:tcBorders>
            <w:vAlign w:val="center"/>
          </w:tcPr>
          <w:p w14:paraId="7C0F04BD">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按照合同要求和工作指令、确保人员设备按时进场，做好材料物资的供应工作，安排好施工任务，保证甲方进度计划，及时做好现场协调工作。严格按图纸、施工规范、操作规程组织施工，并进行质量、进度把关控制、负责质量事故的及时上报并按照甲方的要求进行处理。按照上报工程有关的预算、月进度报表、办理现场签证、结算以及对量。</w:t>
            </w:r>
          </w:p>
        </w:tc>
      </w:tr>
      <w:tr w14:paraId="5EF6E51F">
        <w:tblPrEx>
          <w:tblCellMar>
            <w:top w:w="0" w:type="dxa"/>
            <w:left w:w="108" w:type="dxa"/>
            <w:bottom w:w="0" w:type="dxa"/>
            <w:right w:w="108" w:type="dxa"/>
          </w:tblCellMar>
        </w:tblPrEx>
        <w:trPr>
          <w:trHeight w:val="799" w:hRule="atLeast"/>
          <w:jc w:val="center"/>
        </w:trPr>
        <w:tc>
          <w:tcPr>
            <w:tcW w:w="700" w:type="dxa"/>
            <w:tcBorders>
              <w:top w:val="nil"/>
              <w:left w:val="single" w:color="auto" w:sz="4" w:space="0"/>
              <w:bottom w:val="single" w:color="auto" w:sz="4" w:space="0"/>
              <w:right w:val="single" w:color="auto" w:sz="4" w:space="0"/>
            </w:tcBorders>
            <w:vAlign w:val="center"/>
          </w:tcPr>
          <w:p w14:paraId="1482905A">
            <w:pPr>
              <w:widowControl/>
              <w:spacing w:line="280" w:lineRule="exact"/>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500" w:type="dxa"/>
            <w:tcBorders>
              <w:top w:val="nil"/>
              <w:left w:val="nil"/>
              <w:bottom w:val="single" w:color="auto" w:sz="4" w:space="0"/>
              <w:right w:val="single" w:color="auto" w:sz="4" w:space="0"/>
            </w:tcBorders>
            <w:vAlign w:val="center"/>
          </w:tcPr>
          <w:p w14:paraId="6FE89945">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安全主管</w:t>
            </w:r>
          </w:p>
        </w:tc>
        <w:tc>
          <w:tcPr>
            <w:tcW w:w="1160" w:type="dxa"/>
            <w:tcBorders>
              <w:top w:val="nil"/>
              <w:left w:val="nil"/>
              <w:bottom w:val="single" w:color="auto" w:sz="4" w:space="0"/>
              <w:right w:val="single" w:color="auto" w:sz="4" w:space="0"/>
            </w:tcBorders>
            <w:shd w:val="clear" w:color="auto" w:fill="auto"/>
            <w:vAlign w:val="center"/>
          </w:tcPr>
          <w:p w14:paraId="494CDE55">
            <w:pPr>
              <w:widowControl/>
              <w:spacing w:line="280" w:lineRule="exact"/>
              <w:jc w:val="center"/>
              <w:rPr>
                <w:rFonts w:ascii="宋体" w:hAnsi="宋体" w:cs="宋体"/>
                <w:color w:val="auto"/>
                <w:kern w:val="0"/>
                <w:szCs w:val="21"/>
                <w:highlight w:val="none"/>
              </w:rPr>
            </w:pPr>
          </w:p>
        </w:tc>
        <w:tc>
          <w:tcPr>
            <w:tcW w:w="1429" w:type="dxa"/>
            <w:tcBorders>
              <w:top w:val="nil"/>
              <w:left w:val="nil"/>
              <w:bottom w:val="single" w:color="auto" w:sz="4" w:space="0"/>
              <w:right w:val="single" w:color="auto" w:sz="4" w:space="0"/>
            </w:tcBorders>
            <w:shd w:val="clear" w:color="auto" w:fill="auto"/>
            <w:vAlign w:val="center"/>
          </w:tcPr>
          <w:p w14:paraId="24FA3CDF">
            <w:pPr>
              <w:widowControl/>
              <w:spacing w:line="280" w:lineRule="exact"/>
              <w:jc w:val="center"/>
              <w:rPr>
                <w:rFonts w:ascii="宋体" w:hAnsi="宋体" w:cs="宋体"/>
                <w:color w:val="auto"/>
                <w:kern w:val="0"/>
                <w:szCs w:val="21"/>
                <w:highlight w:val="none"/>
              </w:rPr>
            </w:pPr>
          </w:p>
        </w:tc>
        <w:tc>
          <w:tcPr>
            <w:tcW w:w="4211" w:type="dxa"/>
            <w:tcBorders>
              <w:top w:val="nil"/>
              <w:left w:val="nil"/>
              <w:bottom w:val="single" w:color="auto" w:sz="4" w:space="0"/>
              <w:right w:val="single" w:color="auto" w:sz="4" w:space="0"/>
            </w:tcBorders>
            <w:vAlign w:val="center"/>
          </w:tcPr>
          <w:p w14:paraId="2EFDF042">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配合甲方组织对进场工人的安全交底，全面负责乙方承包范围内的安全生产和文明施工。积极配合甲方对乙方所进场材料的的报验工作，负责乙方供应材料的进退场工作。甲方文件的签收工作。</w:t>
            </w:r>
          </w:p>
        </w:tc>
      </w:tr>
      <w:tr w14:paraId="675ADF9B">
        <w:tblPrEx>
          <w:tblCellMar>
            <w:top w:w="0" w:type="dxa"/>
            <w:left w:w="108" w:type="dxa"/>
            <w:bottom w:w="0" w:type="dxa"/>
            <w:right w:w="108" w:type="dxa"/>
          </w:tblCellMar>
        </w:tblPrEx>
        <w:trPr>
          <w:trHeight w:val="799" w:hRule="atLeast"/>
          <w:jc w:val="center"/>
        </w:trPr>
        <w:tc>
          <w:tcPr>
            <w:tcW w:w="700" w:type="dxa"/>
            <w:tcBorders>
              <w:top w:val="nil"/>
              <w:left w:val="single" w:color="auto" w:sz="4" w:space="0"/>
              <w:bottom w:val="single" w:color="auto" w:sz="4" w:space="0"/>
              <w:right w:val="single" w:color="auto" w:sz="4" w:space="0"/>
            </w:tcBorders>
            <w:vAlign w:val="center"/>
          </w:tcPr>
          <w:p w14:paraId="40C0CB9A">
            <w:pPr>
              <w:widowControl/>
              <w:spacing w:line="280" w:lineRule="exact"/>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1500" w:type="dxa"/>
            <w:tcBorders>
              <w:top w:val="nil"/>
              <w:left w:val="nil"/>
              <w:bottom w:val="single" w:color="auto" w:sz="4" w:space="0"/>
              <w:right w:val="single" w:color="auto" w:sz="4" w:space="0"/>
            </w:tcBorders>
            <w:vAlign w:val="center"/>
          </w:tcPr>
          <w:p w14:paraId="3F4F97A8">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测量员</w:t>
            </w:r>
          </w:p>
        </w:tc>
        <w:tc>
          <w:tcPr>
            <w:tcW w:w="1160" w:type="dxa"/>
            <w:tcBorders>
              <w:top w:val="nil"/>
              <w:left w:val="nil"/>
              <w:bottom w:val="single" w:color="auto" w:sz="4" w:space="0"/>
              <w:right w:val="single" w:color="auto" w:sz="4" w:space="0"/>
            </w:tcBorders>
            <w:shd w:val="clear" w:color="auto" w:fill="auto"/>
            <w:vAlign w:val="center"/>
          </w:tcPr>
          <w:p w14:paraId="6B79D129">
            <w:pPr>
              <w:widowControl/>
              <w:spacing w:line="280" w:lineRule="exact"/>
              <w:jc w:val="center"/>
              <w:rPr>
                <w:rFonts w:ascii="宋体" w:hAnsi="宋体" w:cs="宋体"/>
                <w:color w:val="auto"/>
                <w:kern w:val="0"/>
                <w:szCs w:val="21"/>
                <w:highlight w:val="none"/>
              </w:rPr>
            </w:pPr>
          </w:p>
        </w:tc>
        <w:tc>
          <w:tcPr>
            <w:tcW w:w="1429" w:type="dxa"/>
            <w:tcBorders>
              <w:top w:val="nil"/>
              <w:left w:val="nil"/>
              <w:bottom w:val="single" w:color="auto" w:sz="4" w:space="0"/>
              <w:right w:val="single" w:color="auto" w:sz="4" w:space="0"/>
            </w:tcBorders>
            <w:shd w:val="clear" w:color="auto" w:fill="auto"/>
            <w:vAlign w:val="center"/>
          </w:tcPr>
          <w:p w14:paraId="3B59F686">
            <w:pPr>
              <w:widowControl/>
              <w:spacing w:line="280" w:lineRule="exact"/>
              <w:jc w:val="center"/>
              <w:rPr>
                <w:rFonts w:ascii="宋体" w:hAnsi="宋体" w:cs="宋体"/>
                <w:color w:val="auto"/>
                <w:kern w:val="0"/>
                <w:szCs w:val="21"/>
                <w:highlight w:val="none"/>
              </w:rPr>
            </w:pPr>
          </w:p>
        </w:tc>
        <w:tc>
          <w:tcPr>
            <w:tcW w:w="4211" w:type="dxa"/>
            <w:tcBorders>
              <w:top w:val="nil"/>
              <w:left w:val="nil"/>
              <w:bottom w:val="single" w:color="auto" w:sz="4" w:space="0"/>
              <w:right w:val="single" w:color="auto" w:sz="4" w:space="0"/>
            </w:tcBorders>
            <w:vAlign w:val="center"/>
          </w:tcPr>
          <w:p w14:paraId="05534A6D">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全面负责乙方施工范围内的测量放线工作，并对其准确性负责，积极配合甲方测量人员的复核工作，向甲方提供测量资料。</w:t>
            </w:r>
          </w:p>
        </w:tc>
      </w:tr>
      <w:tr w14:paraId="4671FF5C">
        <w:tblPrEx>
          <w:tblCellMar>
            <w:top w:w="0" w:type="dxa"/>
            <w:left w:w="108" w:type="dxa"/>
            <w:bottom w:w="0" w:type="dxa"/>
            <w:right w:w="108" w:type="dxa"/>
          </w:tblCellMar>
        </w:tblPrEx>
        <w:trPr>
          <w:trHeight w:val="799" w:hRule="atLeast"/>
          <w:jc w:val="center"/>
        </w:trPr>
        <w:tc>
          <w:tcPr>
            <w:tcW w:w="700" w:type="dxa"/>
            <w:tcBorders>
              <w:top w:val="nil"/>
              <w:left w:val="single" w:color="auto" w:sz="4" w:space="0"/>
              <w:bottom w:val="single" w:color="auto" w:sz="4" w:space="0"/>
              <w:right w:val="single" w:color="auto" w:sz="4" w:space="0"/>
            </w:tcBorders>
            <w:vAlign w:val="center"/>
          </w:tcPr>
          <w:p w14:paraId="24413D5D">
            <w:pPr>
              <w:widowControl/>
              <w:spacing w:line="280" w:lineRule="exact"/>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1500" w:type="dxa"/>
            <w:tcBorders>
              <w:top w:val="nil"/>
              <w:left w:val="nil"/>
              <w:bottom w:val="single" w:color="auto" w:sz="4" w:space="0"/>
              <w:right w:val="single" w:color="auto" w:sz="4" w:space="0"/>
            </w:tcBorders>
            <w:vAlign w:val="center"/>
          </w:tcPr>
          <w:p w14:paraId="75DBDC84">
            <w:pPr>
              <w:widowControl/>
              <w:spacing w:line="280" w:lineRule="exact"/>
              <w:rPr>
                <w:rFonts w:ascii="宋体" w:hAnsi="宋体" w:cs="宋体"/>
                <w:color w:val="auto"/>
                <w:kern w:val="0"/>
                <w:szCs w:val="21"/>
                <w:highlight w:val="none"/>
              </w:rPr>
            </w:pPr>
            <w:r>
              <w:rPr>
                <w:rFonts w:hint="eastAsia" w:ascii="宋体" w:hAnsi="宋体" w:cs="宋体"/>
                <w:color w:val="auto"/>
                <w:kern w:val="0"/>
                <w:szCs w:val="21"/>
                <w:highlight w:val="none"/>
              </w:rPr>
              <w:t>专职劳务管理员</w:t>
            </w:r>
          </w:p>
        </w:tc>
        <w:tc>
          <w:tcPr>
            <w:tcW w:w="1160" w:type="dxa"/>
            <w:tcBorders>
              <w:top w:val="nil"/>
              <w:left w:val="nil"/>
              <w:bottom w:val="single" w:color="auto" w:sz="4" w:space="0"/>
              <w:right w:val="single" w:color="auto" w:sz="4" w:space="0"/>
            </w:tcBorders>
            <w:shd w:val="clear" w:color="auto" w:fill="auto"/>
            <w:vAlign w:val="center"/>
          </w:tcPr>
          <w:p w14:paraId="0EA7BBF4">
            <w:pPr>
              <w:widowControl/>
              <w:spacing w:line="280" w:lineRule="exact"/>
              <w:jc w:val="center"/>
              <w:rPr>
                <w:rFonts w:ascii="宋体" w:hAnsi="宋体" w:cs="宋体"/>
                <w:color w:val="auto"/>
                <w:kern w:val="0"/>
                <w:szCs w:val="21"/>
                <w:highlight w:val="none"/>
              </w:rPr>
            </w:pPr>
          </w:p>
        </w:tc>
        <w:tc>
          <w:tcPr>
            <w:tcW w:w="1429" w:type="dxa"/>
            <w:tcBorders>
              <w:top w:val="nil"/>
              <w:left w:val="nil"/>
              <w:bottom w:val="single" w:color="auto" w:sz="4" w:space="0"/>
              <w:right w:val="single" w:color="auto" w:sz="4" w:space="0"/>
            </w:tcBorders>
            <w:shd w:val="clear" w:color="auto" w:fill="auto"/>
            <w:vAlign w:val="center"/>
          </w:tcPr>
          <w:p w14:paraId="53E226D4">
            <w:pPr>
              <w:widowControl/>
              <w:spacing w:line="280" w:lineRule="exact"/>
              <w:jc w:val="center"/>
              <w:rPr>
                <w:rFonts w:ascii="宋体" w:hAnsi="宋体" w:cs="宋体"/>
                <w:color w:val="auto"/>
                <w:kern w:val="0"/>
                <w:szCs w:val="21"/>
                <w:highlight w:val="none"/>
              </w:rPr>
            </w:pPr>
          </w:p>
        </w:tc>
        <w:tc>
          <w:tcPr>
            <w:tcW w:w="4211" w:type="dxa"/>
            <w:tcBorders>
              <w:top w:val="nil"/>
              <w:left w:val="nil"/>
              <w:bottom w:val="single" w:color="auto" w:sz="4" w:space="0"/>
              <w:right w:val="single" w:color="auto" w:sz="4" w:space="0"/>
            </w:tcBorders>
            <w:vAlign w:val="center"/>
          </w:tcPr>
          <w:p w14:paraId="25F86CC8">
            <w:pPr>
              <w:widowControl/>
              <w:spacing w:line="280" w:lineRule="exact"/>
              <w:rPr>
                <w:rFonts w:ascii="宋体" w:hAnsi="宋体" w:cs="宋体"/>
                <w:color w:val="auto"/>
                <w:kern w:val="0"/>
                <w:szCs w:val="21"/>
                <w:highlight w:val="none"/>
              </w:rPr>
            </w:pPr>
            <w:r>
              <w:rPr>
                <w:rFonts w:ascii="宋体" w:hAnsi="宋体" w:cs="宋体"/>
                <w:color w:val="auto"/>
                <w:kern w:val="0"/>
                <w:szCs w:val="21"/>
                <w:highlight w:val="none"/>
              </w:rPr>
              <w:t>劳务人员管理工作。</w:t>
            </w:r>
          </w:p>
        </w:tc>
      </w:tr>
      <w:bookmarkEnd w:id="279"/>
    </w:tbl>
    <w:p w14:paraId="1E5E49EF">
      <w:pPr>
        <w:snapToGrid w:val="0"/>
        <w:spacing w:before="120" w:line="360" w:lineRule="auto"/>
        <w:ind w:right="-210" w:rightChars="-100"/>
        <w:rPr>
          <w:rFonts w:ascii="宋体" w:hAnsi="宋体"/>
          <w:bCs/>
          <w:color w:val="auto"/>
          <w:szCs w:val="21"/>
          <w:highlight w:val="none"/>
        </w:rPr>
      </w:pPr>
      <w:r>
        <w:rPr>
          <w:rFonts w:hint="eastAsia" w:ascii="宋体" w:hAnsi="宋体"/>
          <w:bCs/>
          <w:color w:val="auto"/>
          <w:szCs w:val="21"/>
          <w:highlight w:val="none"/>
        </w:rPr>
        <w:t>注：乙方如需更换管理人员，需提前1</w:t>
      </w:r>
      <w:r>
        <w:rPr>
          <w:rFonts w:ascii="宋体" w:hAnsi="宋体"/>
          <w:bCs/>
          <w:color w:val="auto"/>
          <w:szCs w:val="21"/>
          <w:highlight w:val="none"/>
        </w:rPr>
        <w:t>5</w:t>
      </w:r>
      <w:r>
        <w:rPr>
          <w:rFonts w:hint="eastAsia" w:ascii="宋体" w:hAnsi="宋体"/>
          <w:bCs/>
          <w:color w:val="auto"/>
          <w:szCs w:val="21"/>
          <w:highlight w:val="none"/>
        </w:rPr>
        <w:t>天书面通知甲方，经同意后在一周内将已更换人员授权委托书报送甲方。</w:t>
      </w:r>
    </w:p>
    <w:bookmarkEnd w:id="276"/>
    <w:p w14:paraId="0DCB54C9">
      <w:pPr>
        <w:snapToGrid w:val="0"/>
        <w:spacing w:before="120" w:line="360" w:lineRule="auto"/>
        <w:ind w:right="-210" w:rightChars="-100"/>
        <w:rPr>
          <w:rFonts w:ascii="宋体" w:hAnsi="宋体"/>
          <w:bCs/>
          <w:color w:val="auto"/>
          <w:szCs w:val="21"/>
          <w:highlight w:val="none"/>
        </w:rPr>
        <w:sectPr>
          <w:footerReference r:id="rId8" w:type="first"/>
          <w:footerReference r:id="rId7" w:type="default"/>
          <w:pgSz w:w="11906" w:h="16838"/>
          <w:pgMar w:top="1418" w:right="1274" w:bottom="1134" w:left="1418" w:header="851" w:footer="992" w:gutter="0"/>
          <w:pgNumType w:start="1"/>
          <w:cols w:space="720" w:num="1"/>
          <w:titlePg/>
          <w:docGrid w:type="lines" w:linePitch="312" w:charSpace="0"/>
        </w:sectPr>
      </w:pPr>
    </w:p>
    <w:p w14:paraId="1E307320">
      <w:pPr>
        <w:spacing w:line="360" w:lineRule="auto"/>
        <w:jc w:val="center"/>
        <w:rPr>
          <w:rFonts w:ascii="宋体" w:hAnsi="宋体"/>
          <w:b/>
          <w:color w:val="auto"/>
          <w:szCs w:val="21"/>
          <w:highlight w:val="none"/>
        </w:rPr>
      </w:pPr>
      <w:r>
        <w:rPr>
          <w:rFonts w:hint="eastAsia" w:ascii="宋体" w:hAnsi="宋体"/>
          <w:b/>
          <w:color w:val="auto"/>
          <w:szCs w:val="21"/>
          <w:highlight w:val="none"/>
        </w:rPr>
        <w:t>授 权 委 托 书</w:t>
      </w:r>
    </w:p>
    <w:p w14:paraId="43BD4CD8">
      <w:pPr>
        <w:spacing w:line="360" w:lineRule="auto"/>
        <w:jc w:val="center"/>
        <w:rPr>
          <w:rFonts w:ascii="宋体" w:hAnsi="宋体"/>
          <w:b/>
          <w:color w:val="auto"/>
          <w:szCs w:val="21"/>
          <w:highlight w:val="none"/>
        </w:rPr>
      </w:pPr>
      <w:r>
        <w:rPr>
          <w:rFonts w:hint="eastAsia" w:ascii="宋体" w:hAnsi="宋体"/>
          <w:b/>
          <w:color w:val="auto"/>
          <w:szCs w:val="21"/>
          <w:highlight w:val="none"/>
        </w:rPr>
        <w:t>（现场负责人）</w:t>
      </w:r>
    </w:p>
    <w:p w14:paraId="5039D97A">
      <w:pPr>
        <w:spacing w:line="360" w:lineRule="auto"/>
        <w:rPr>
          <w:rFonts w:ascii="宋体" w:hAnsi="宋体"/>
          <w:color w:val="auto"/>
          <w:szCs w:val="21"/>
          <w:highlight w:val="none"/>
        </w:rPr>
      </w:pPr>
    </w:p>
    <w:p w14:paraId="56590372">
      <w:pPr>
        <w:spacing w:line="360" w:lineRule="auto"/>
        <w:rPr>
          <w:rFonts w:ascii="宋体" w:hAnsi="宋体"/>
          <w:color w:val="auto"/>
          <w:szCs w:val="21"/>
          <w:highlight w:val="none"/>
        </w:rPr>
      </w:pPr>
      <w:r>
        <w:rPr>
          <w:rFonts w:hint="eastAsia" w:ascii="宋体" w:hAnsi="宋体"/>
          <w:color w:val="auto"/>
          <w:szCs w:val="21"/>
          <w:highlight w:val="none"/>
        </w:rPr>
        <w:t>委托单位  ：</w:t>
      </w:r>
    </w:p>
    <w:p w14:paraId="2FE61C5C">
      <w:pPr>
        <w:spacing w:line="360" w:lineRule="auto"/>
        <w:rPr>
          <w:rFonts w:ascii="宋体" w:hAnsi="宋体"/>
          <w:color w:val="auto"/>
          <w:szCs w:val="21"/>
          <w:highlight w:val="none"/>
        </w:rPr>
      </w:pPr>
      <w:r>
        <w:rPr>
          <w:rFonts w:hint="eastAsia" w:ascii="宋体" w:hAnsi="宋体"/>
          <w:color w:val="auto"/>
          <w:szCs w:val="21"/>
          <w:highlight w:val="none"/>
        </w:rPr>
        <w:t>住    所  ：</w:t>
      </w:r>
    </w:p>
    <w:p w14:paraId="29DAB723">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w:t>
      </w:r>
      <w:r>
        <w:rPr>
          <w:rFonts w:ascii="宋体" w:hAnsi="宋体"/>
          <w:color w:val="auto"/>
          <w:szCs w:val="21"/>
          <w:highlight w:val="none"/>
        </w:rPr>
        <w:t xml:space="preserve">           </w:t>
      </w:r>
      <w:r>
        <w:rPr>
          <w:rFonts w:hint="eastAsia" w:ascii="宋体" w:hAnsi="宋体"/>
          <w:color w:val="auto"/>
          <w:szCs w:val="21"/>
          <w:highlight w:val="none"/>
        </w:rPr>
        <w:t xml:space="preserve">           职 务：</w:t>
      </w:r>
      <w:r>
        <w:rPr>
          <w:rFonts w:ascii="宋体" w:hAnsi="宋体"/>
          <w:color w:val="auto"/>
          <w:szCs w:val="21"/>
          <w:highlight w:val="none"/>
        </w:rPr>
        <w:t xml:space="preserve"> </w:t>
      </w:r>
      <w:r>
        <w:rPr>
          <w:rFonts w:hint="eastAsia" w:ascii="宋体" w:hAnsi="宋体"/>
          <w:color w:val="auto"/>
          <w:szCs w:val="21"/>
          <w:highlight w:val="none"/>
        </w:rPr>
        <w:t>经理</w:t>
      </w:r>
    </w:p>
    <w:p w14:paraId="46B078A8">
      <w:pPr>
        <w:spacing w:line="360" w:lineRule="auto"/>
        <w:rPr>
          <w:rFonts w:ascii="宋体" w:hAnsi="宋体"/>
          <w:color w:val="auto"/>
          <w:szCs w:val="21"/>
          <w:highlight w:val="none"/>
        </w:rPr>
      </w:pPr>
      <w:r>
        <w:rPr>
          <w:rFonts w:hint="eastAsia" w:ascii="宋体" w:hAnsi="宋体"/>
          <w:color w:val="auto"/>
          <w:szCs w:val="21"/>
          <w:highlight w:val="none"/>
        </w:rPr>
        <w:t xml:space="preserve">受委托人：姓名：    </w:t>
      </w:r>
      <w:r>
        <w:rPr>
          <w:rFonts w:ascii="宋体" w:hAnsi="宋体"/>
          <w:color w:val="auto"/>
          <w:szCs w:val="21"/>
          <w:highlight w:val="none"/>
        </w:rPr>
        <w:t xml:space="preserve">        </w:t>
      </w:r>
      <w:r>
        <w:rPr>
          <w:rFonts w:hint="eastAsia" w:ascii="宋体" w:hAnsi="宋体"/>
          <w:color w:val="auto"/>
          <w:szCs w:val="21"/>
          <w:highlight w:val="none"/>
        </w:rPr>
        <w:t xml:space="preserve">      身份证号： </w:t>
      </w:r>
    </w:p>
    <w:p w14:paraId="7B118EAF">
      <w:pPr>
        <w:spacing w:line="360" w:lineRule="auto"/>
        <w:ind w:firstLine="420" w:firstLineChars="200"/>
        <w:rPr>
          <w:rFonts w:ascii="宋体" w:hAnsi="宋体"/>
          <w:color w:val="auto"/>
          <w:szCs w:val="21"/>
          <w:highlight w:val="none"/>
        </w:rPr>
      </w:pPr>
    </w:p>
    <w:p w14:paraId="6B9BBE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现委托上列受委托人在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中，作为我方现场负责人，有权代表委托人就现场进度、安全、质量、价款、结算等方面的工作进行确认。在整个项目履约过程中，该受托人的一切行为，均代表委托人，与委托人的行为具有同等法律效力。委托人将承担该受托人行为的全部法律后果和法律责任。</w:t>
      </w:r>
    </w:p>
    <w:p w14:paraId="50EC94BB">
      <w:pPr>
        <w:spacing w:line="360" w:lineRule="auto"/>
        <w:ind w:firstLine="420" w:firstLineChars="200"/>
        <w:rPr>
          <w:rFonts w:ascii="宋体" w:hAnsi="宋体"/>
          <w:color w:val="auto"/>
          <w:szCs w:val="21"/>
          <w:highlight w:val="none"/>
        </w:rPr>
      </w:pPr>
    </w:p>
    <w:p w14:paraId="1F12A1FA">
      <w:pPr>
        <w:spacing w:line="360" w:lineRule="auto"/>
        <w:ind w:firstLine="420" w:firstLineChars="200"/>
        <w:rPr>
          <w:rFonts w:ascii="宋体" w:hAnsi="宋体"/>
          <w:color w:val="auto"/>
          <w:szCs w:val="21"/>
          <w:highlight w:val="none"/>
        </w:rPr>
      </w:pPr>
    </w:p>
    <w:p w14:paraId="28DCB7B5">
      <w:pPr>
        <w:spacing w:line="360" w:lineRule="auto"/>
        <w:rPr>
          <w:rFonts w:ascii="宋体" w:hAnsi="宋体"/>
          <w:color w:val="auto"/>
          <w:szCs w:val="21"/>
          <w:highlight w:val="none"/>
        </w:rPr>
      </w:pPr>
      <w:r>
        <w:rPr>
          <w:rFonts w:hint="eastAsia" w:ascii="宋体" w:hAnsi="宋体"/>
          <w:color w:val="auto"/>
          <w:szCs w:val="21"/>
          <w:highlight w:val="none"/>
        </w:rPr>
        <w:t xml:space="preserve">                          委托单位：</w:t>
      </w:r>
    </w:p>
    <w:p w14:paraId="368063F6">
      <w:pPr>
        <w:spacing w:line="360" w:lineRule="auto"/>
        <w:ind w:left="2730" w:hanging="2730" w:hangingChars="1300"/>
        <w:rPr>
          <w:rFonts w:ascii="宋体" w:hAnsi="宋体"/>
          <w:color w:val="auto"/>
          <w:szCs w:val="21"/>
          <w:highlight w:val="none"/>
        </w:rPr>
      </w:pPr>
    </w:p>
    <w:p w14:paraId="76879999">
      <w:pPr>
        <w:spacing w:line="360" w:lineRule="auto"/>
        <w:ind w:left="2730" w:hanging="2730" w:hangingChars="1300"/>
        <w:rPr>
          <w:rFonts w:ascii="宋体" w:hAnsi="宋体"/>
          <w:color w:val="auto"/>
          <w:szCs w:val="21"/>
          <w:highlight w:val="none"/>
        </w:rPr>
      </w:pPr>
      <w:r>
        <w:rPr>
          <w:rFonts w:hint="eastAsia" w:ascii="宋体" w:hAnsi="宋体"/>
          <w:color w:val="auto"/>
          <w:szCs w:val="21"/>
          <w:highlight w:val="none"/>
        </w:rPr>
        <w:t xml:space="preserve">                          法定代表人：  </w:t>
      </w:r>
    </w:p>
    <w:p w14:paraId="4B1C7C7D">
      <w:pPr>
        <w:adjustRightInd w:val="0"/>
        <w:snapToGrid w:val="0"/>
        <w:spacing w:line="360" w:lineRule="auto"/>
        <w:ind w:firstLine="3045" w:firstLineChars="1450"/>
        <w:rPr>
          <w:rFonts w:ascii="宋体" w:hAnsi="宋体"/>
          <w:color w:val="auto"/>
          <w:szCs w:val="21"/>
          <w:highlight w:val="none"/>
        </w:rPr>
      </w:pPr>
      <w:r>
        <w:rPr>
          <w:rFonts w:hint="eastAsia" w:ascii="宋体" w:hAnsi="宋体"/>
          <w:color w:val="auto"/>
          <w:szCs w:val="21"/>
          <w:highlight w:val="none"/>
        </w:rPr>
        <w:t xml:space="preserve">   </w:t>
      </w:r>
    </w:p>
    <w:p w14:paraId="1EE0B5A2">
      <w:pPr>
        <w:spacing w:line="360" w:lineRule="auto"/>
        <w:ind w:left="5076" w:leftChars="1867" w:hanging="1155" w:hangingChars="550"/>
        <w:rPr>
          <w:rFonts w:ascii="宋体" w:hAnsi="宋体"/>
          <w:color w:val="auto"/>
          <w:szCs w:val="21"/>
          <w:highlight w:val="none"/>
        </w:rPr>
      </w:pPr>
      <w:r>
        <w:rPr>
          <w:rFonts w:hint="eastAsia" w:ascii="宋体" w:hAnsi="宋体"/>
          <w:color w:val="auto"/>
          <w:szCs w:val="21"/>
          <w:highlight w:val="none"/>
        </w:rPr>
        <w:t xml:space="preserve">               年    月   日</w:t>
      </w:r>
    </w:p>
    <w:p w14:paraId="2DA4C2BF">
      <w:pPr>
        <w:snapToGrid w:val="0"/>
        <w:spacing w:before="120" w:line="360" w:lineRule="auto"/>
        <w:ind w:right="-210" w:rightChars="-100"/>
        <w:rPr>
          <w:rFonts w:ascii="宋体" w:hAnsi="宋体"/>
          <w:bCs/>
          <w:color w:val="auto"/>
          <w:szCs w:val="21"/>
          <w:highlight w:val="none"/>
        </w:rPr>
      </w:pPr>
    </w:p>
    <w:p w14:paraId="24CFEA63">
      <w:pPr>
        <w:snapToGrid w:val="0"/>
        <w:spacing w:before="120" w:line="360" w:lineRule="auto"/>
        <w:ind w:right="-210" w:rightChars="-100"/>
        <w:rPr>
          <w:rFonts w:ascii="宋体" w:hAnsi="宋体"/>
          <w:bCs/>
          <w:color w:val="auto"/>
          <w:szCs w:val="21"/>
          <w:highlight w:val="none"/>
        </w:rPr>
      </w:pPr>
    </w:p>
    <w:p w14:paraId="575F9900">
      <w:pPr>
        <w:snapToGrid w:val="0"/>
        <w:spacing w:before="120" w:line="360" w:lineRule="auto"/>
        <w:ind w:right="-210" w:rightChars="-100"/>
        <w:rPr>
          <w:rFonts w:ascii="宋体" w:hAnsi="宋体"/>
          <w:bCs/>
          <w:color w:val="auto"/>
          <w:szCs w:val="21"/>
          <w:highlight w:val="none"/>
        </w:rPr>
      </w:pPr>
    </w:p>
    <w:p w14:paraId="097D8851">
      <w:pPr>
        <w:snapToGrid w:val="0"/>
        <w:spacing w:before="120" w:line="360" w:lineRule="auto"/>
        <w:ind w:right="-210" w:rightChars="-100"/>
        <w:rPr>
          <w:rFonts w:ascii="宋体" w:hAnsi="宋体"/>
          <w:bCs/>
          <w:i/>
          <w:iCs/>
          <w:color w:val="auto"/>
          <w:szCs w:val="21"/>
          <w:highlight w:val="none"/>
        </w:rPr>
      </w:pPr>
      <w:r>
        <w:rPr>
          <w:rFonts w:hint="eastAsia" w:ascii="宋体" w:hAnsi="宋体"/>
          <w:bCs/>
          <w:i/>
          <w:iCs/>
          <w:color w:val="auto"/>
          <w:szCs w:val="21"/>
          <w:highlight w:val="none"/>
        </w:rPr>
        <w:t>（附身份证复印件）；</w:t>
      </w:r>
    </w:p>
    <w:p w14:paraId="2FE353CF">
      <w:pPr>
        <w:snapToGrid w:val="0"/>
        <w:spacing w:before="120" w:line="360" w:lineRule="auto"/>
        <w:ind w:right="-210" w:rightChars="-100"/>
        <w:rPr>
          <w:rFonts w:ascii="宋体" w:hAnsi="宋体"/>
          <w:bCs/>
          <w:i/>
          <w:iCs/>
          <w:color w:val="auto"/>
          <w:szCs w:val="21"/>
          <w:highlight w:val="none"/>
        </w:rPr>
      </w:pPr>
    </w:p>
    <w:p w14:paraId="541068E7">
      <w:pPr>
        <w:pStyle w:val="14"/>
        <w:rPr>
          <w:color w:val="auto"/>
          <w:highlight w:val="none"/>
        </w:rPr>
        <w:sectPr>
          <w:pgSz w:w="11906" w:h="16838"/>
          <w:pgMar w:top="1418" w:right="1418" w:bottom="1134" w:left="1418" w:header="851" w:footer="992" w:gutter="0"/>
          <w:cols w:space="720" w:num="1"/>
          <w:titlePg/>
          <w:docGrid w:linePitch="312" w:charSpace="0"/>
        </w:sectPr>
      </w:pPr>
    </w:p>
    <w:p w14:paraId="54C7E2BD">
      <w:pPr>
        <w:spacing w:line="360" w:lineRule="auto"/>
        <w:jc w:val="center"/>
        <w:rPr>
          <w:rFonts w:ascii="宋体" w:hAnsi="宋体"/>
          <w:b/>
          <w:color w:val="auto"/>
          <w:szCs w:val="21"/>
          <w:highlight w:val="none"/>
        </w:rPr>
      </w:pPr>
      <w:r>
        <w:rPr>
          <w:rFonts w:hint="eastAsia" w:ascii="宋体" w:hAnsi="宋体"/>
          <w:b/>
          <w:color w:val="auto"/>
          <w:szCs w:val="21"/>
          <w:highlight w:val="none"/>
        </w:rPr>
        <w:t>授 权 委 托 书</w:t>
      </w:r>
    </w:p>
    <w:p w14:paraId="135256B0">
      <w:pPr>
        <w:spacing w:line="360" w:lineRule="auto"/>
        <w:jc w:val="center"/>
        <w:rPr>
          <w:rFonts w:ascii="宋体" w:hAnsi="宋体"/>
          <w:b/>
          <w:color w:val="auto"/>
          <w:szCs w:val="21"/>
          <w:highlight w:val="none"/>
        </w:rPr>
      </w:pPr>
      <w:r>
        <w:rPr>
          <w:rFonts w:hint="eastAsia" w:ascii="宋体" w:hAnsi="宋体"/>
          <w:b/>
          <w:color w:val="auto"/>
          <w:szCs w:val="21"/>
          <w:highlight w:val="none"/>
        </w:rPr>
        <w:t>（其他管理人员）</w:t>
      </w:r>
    </w:p>
    <w:p w14:paraId="58D4523C">
      <w:pPr>
        <w:spacing w:line="360" w:lineRule="auto"/>
        <w:rPr>
          <w:rFonts w:ascii="宋体" w:hAnsi="宋体"/>
          <w:color w:val="auto"/>
          <w:szCs w:val="21"/>
          <w:highlight w:val="none"/>
        </w:rPr>
      </w:pPr>
    </w:p>
    <w:p w14:paraId="6463BFC1">
      <w:pPr>
        <w:spacing w:line="360" w:lineRule="auto"/>
        <w:rPr>
          <w:rFonts w:ascii="宋体" w:hAnsi="宋体"/>
          <w:color w:val="auto"/>
          <w:szCs w:val="21"/>
          <w:highlight w:val="none"/>
        </w:rPr>
      </w:pPr>
      <w:r>
        <w:rPr>
          <w:rFonts w:hint="eastAsia" w:ascii="宋体" w:hAnsi="宋体"/>
          <w:color w:val="auto"/>
          <w:szCs w:val="21"/>
          <w:highlight w:val="none"/>
        </w:rPr>
        <w:t>委托单位  ：</w:t>
      </w:r>
    </w:p>
    <w:p w14:paraId="61C047E5">
      <w:pPr>
        <w:spacing w:line="360" w:lineRule="auto"/>
        <w:rPr>
          <w:rFonts w:ascii="宋体" w:hAnsi="宋体"/>
          <w:color w:val="auto"/>
          <w:szCs w:val="21"/>
          <w:highlight w:val="none"/>
        </w:rPr>
      </w:pPr>
      <w:r>
        <w:rPr>
          <w:rFonts w:hint="eastAsia" w:ascii="宋体" w:hAnsi="宋体"/>
          <w:color w:val="auto"/>
          <w:szCs w:val="21"/>
          <w:highlight w:val="none"/>
        </w:rPr>
        <w:t>住    所  ：</w:t>
      </w:r>
    </w:p>
    <w:p w14:paraId="289314E7">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职 务：</w:t>
      </w:r>
      <w:r>
        <w:rPr>
          <w:rFonts w:ascii="宋体" w:hAnsi="宋体"/>
          <w:color w:val="auto"/>
          <w:szCs w:val="21"/>
          <w:highlight w:val="none"/>
        </w:rPr>
        <w:t xml:space="preserve">  </w:t>
      </w:r>
      <w:r>
        <w:rPr>
          <w:rFonts w:hint="eastAsia" w:ascii="宋体" w:hAnsi="宋体"/>
          <w:color w:val="auto"/>
          <w:szCs w:val="21"/>
          <w:highlight w:val="none"/>
        </w:rPr>
        <w:t>经理</w:t>
      </w:r>
    </w:p>
    <w:p w14:paraId="2D95AD4C">
      <w:pPr>
        <w:spacing w:line="360" w:lineRule="auto"/>
        <w:rPr>
          <w:rFonts w:ascii="宋体" w:hAnsi="宋体"/>
          <w:color w:val="auto"/>
          <w:szCs w:val="21"/>
          <w:highlight w:val="none"/>
        </w:rPr>
      </w:pPr>
      <w:r>
        <w:rPr>
          <w:rFonts w:hint="eastAsia" w:ascii="宋体" w:hAnsi="宋体"/>
          <w:color w:val="auto"/>
          <w:szCs w:val="21"/>
          <w:highlight w:val="none"/>
        </w:rPr>
        <w:t xml:space="preserve">身份证号：受委托人：姓名：           </w:t>
      </w:r>
      <w:r>
        <w:rPr>
          <w:rFonts w:ascii="宋体" w:hAnsi="宋体"/>
          <w:color w:val="auto"/>
          <w:szCs w:val="21"/>
          <w:highlight w:val="none"/>
        </w:rPr>
        <w:t xml:space="preserve">              </w:t>
      </w:r>
      <w:r>
        <w:rPr>
          <w:rFonts w:hint="eastAsia" w:ascii="宋体" w:hAnsi="宋体"/>
          <w:color w:val="auto"/>
          <w:szCs w:val="21"/>
          <w:highlight w:val="none"/>
        </w:rPr>
        <w:t xml:space="preserve">身份证号：  受委托人：姓名：         </w:t>
      </w:r>
      <w:r>
        <w:rPr>
          <w:rFonts w:ascii="宋体" w:hAnsi="宋体"/>
          <w:color w:val="auto"/>
          <w:szCs w:val="21"/>
          <w:highlight w:val="none"/>
        </w:rPr>
        <w:t xml:space="preserve">            </w:t>
      </w:r>
      <w:r>
        <w:rPr>
          <w:rFonts w:hint="eastAsia" w:ascii="宋体" w:hAnsi="宋体"/>
          <w:color w:val="auto"/>
          <w:szCs w:val="21"/>
          <w:highlight w:val="none"/>
        </w:rPr>
        <w:t xml:space="preserve">身份证号：受委托人：姓名：          </w:t>
      </w:r>
      <w:r>
        <w:rPr>
          <w:rFonts w:ascii="宋体" w:hAnsi="宋体"/>
          <w:color w:val="auto"/>
          <w:szCs w:val="21"/>
          <w:highlight w:val="none"/>
        </w:rPr>
        <w:t xml:space="preserve">                      </w:t>
      </w:r>
      <w:r>
        <w:rPr>
          <w:rFonts w:hint="eastAsia" w:ascii="宋体" w:hAnsi="宋体"/>
          <w:color w:val="auto"/>
          <w:szCs w:val="21"/>
          <w:highlight w:val="none"/>
        </w:rPr>
        <w:t xml:space="preserve">身份证号：  受委托人：姓名：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p>
    <w:p w14:paraId="62260C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现委托上列受委托人在顺丰翠园项目中，担任以下职责：</w:t>
      </w:r>
    </w:p>
    <w:p w14:paraId="68AB5D4B">
      <w:pPr>
        <w:spacing w:line="360" w:lineRule="auto"/>
        <w:ind w:firstLine="420" w:firstLineChars="200"/>
        <w:rPr>
          <w:rFonts w:ascii="宋体" w:hAnsi="宋体"/>
          <w:color w:val="auto"/>
          <w:szCs w:val="21"/>
          <w:highlight w:val="none"/>
        </w:rPr>
      </w:pPr>
      <w:r>
        <w:rPr>
          <w:rFonts w:ascii="宋体" w:hAnsi="宋体"/>
          <w:color w:val="auto"/>
          <w:szCs w:val="21"/>
          <w:highlight w:val="none"/>
        </w:rPr>
        <w:t>受委托人</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作为我方项目负责人，负责本项目全面管理方面的工作。</w:t>
      </w:r>
    </w:p>
    <w:p w14:paraId="1126FF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受委托人 </w:t>
      </w:r>
      <w:r>
        <w:rPr>
          <w:rFonts w:ascii="宋体" w:hAnsi="宋体"/>
          <w:color w:val="auto"/>
          <w:szCs w:val="21"/>
          <w:highlight w:val="none"/>
        </w:rPr>
        <w:t xml:space="preserve">    </w:t>
      </w:r>
      <w:r>
        <w:rPr>
          <w:rFonts w:hint="eastAsia" w:ascii="宋体" w:hAnsi="宋体"/>
          <w:color w:val="auto"/>
          <w:szCs w:val="21"/>
          <w:highlight w:val="none"/>
        </w:rPr>
        <w:t>作为我方技术负责人，负责本项目图纸深化、施工方案、技术优化、预算、月进度报量、办理现场签证、结算等技术管理方面的工作。</w:t>
      </w:r>
    </w:p>
    <w:p w14:paraId="201B47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受委托人 </w:t>
      </w:r>
      <w:r>
        <w:rPr>
          <w:rFonts w:ascii="宋体" w:hAnsi="宋体"/>
          <w:color w:val="auto"/>
          <w:szCs w:val="21"/>
          <w:highlight w:val="none"/>
        </w:rPr>
        <w:t xml:space="preserve">   </w:t>
      </w:r>
      <w:r>
        <w:rPr>
          <w:rFonts w:hint="eastAsia" w:ascii="宋体" w:hAnsi="宋体"/>
          <w:color w:val="auto"/>
          <w:szCs w:val="21"/>
          <w:highlight w:val="none"/>
        </w:rPr>
        <w:t>作为我方安全负责人，负责本项目劳务人员安全交底、现场安全文明施工等安全管理方面的工作。</w:t>
      </w:r>
    </w:p>
    <w:p w14:paraId="51A0CE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受委托人 </w:t>
      </w:r>
      <w:r>
        <w:rPr>
          <w:rFonts w:ascii="宋体" w:hAnsi="宋体"/>
          <w:color w:val="auto"/>
          <w:szCs w:val="21"/>
          <w:highlight w:val="none"/>
        </w:rPr>
        <w:t xml:space="preserve">     </w:t>
      </w:r>
      <w:r>
        <w:rPr>
          <w:rFonts w:hint="eastAsia" w:ascii="宋体" w:hAnsi="宋体"/>
          <w:color w:val="auto"/>
          <w:szCs w:val="21"/>
          <w:highlight w:val="none"/>
        </w:rPr>
        <w:t>作为我方文件签收人，负责本项目所有往来的文件/函件/资料的收发及签收工作。</w:t>
      </w:r>
    </w:p>
    <w:p w14:paraId="21252062">
      <w:pPr>
        <w:spacing w:line="360" w:lineRule="auto"/>
        <w:ind w:left="2730" w:hanging="2730" w:hangingChars="1300"/>
        <w:rPr>
          <w:rFonts w:ascii="宋体" w:hAnsi="宋体"/>
          <w:color w:val="auto"/>
          <w:szCs w:val="21"/>
          <w:highlight w:val="none"/>
        </w:rPr>
      </w:pPr>
      <w:r>
        <w:rPr>
          <w:rFonts w:hint="eastAsia" w:ascii="宋体" w:hAnsi="宋体"/>
          <w:color w:val="auto"/>
          <w:szCs w:val="21"/>
          <w:highlight w:val="none"/>
        </w:rPr>
        <w:t xml:space="preserve">                          委托单位：</w:t>
      </w:r>
    </w:p>
    <w:p w14:paraId="2858142A">
      <w:pPr>
        <w:spacing w:line="360" w:lineRule="auto"/>
        <w:ind w:left="2730" w:hanging="2730" w:hangingChars="1300"/>
        <w:rPr>
          <w:rFonts w:ascii="宋体" w:hAnsi="宋体"/>
          <w:color w:val="auto"/>
          <w:szCs w:val="21"/>
          <w:highlight w:val="none"/>
        </w:rPr>
      </w:pPr>
      <w:r>
        <w:rPr>
          <w:rFonts w:hint="eastAsia" w:ascii="宋体" w:hAnsi="宋体"/>
          <w:color w:val="auto"/>
          <w:szCs w:val="21"/>
          <w:highlight w:val="none"/>
        </w:rPr>
        <w:t xml:space="preserve">                          法定代表人： </w:t>
      </w:r>
    </w:p>
    <w:p w14:paraId="560A4A73">
      <w:pPr>
        <w:spacing w:line="360" w:lineRule="auto"/>
        <w:ind w:left="5076" w:leftChars="1867" w:hanging="1155" w:hangingChars="550"/>
        <w:rPr>
          <w:rFonts w:ascii="宋体" w:hAnsi="宋体"/>
          <w:color w:val="auto"/>
          <w:szCs w:val="21"/>
          <w:highlight w:val="none"/>
        </w:rPr>
      </w:pPr>
      <w:r>
        <w:rPr>
          <w:rFonts w:hint="eastAsia" w:ascii="宋体" w:hAnsi="宋体"/>
          <w:color w:val="auto"/>
          <w:szCs w:val="21"/>
          <w:highlight w:val="none"/>
        </w:rPr>
        <w:t xml:space="preserve">               年    月   日</w:t>
      </w:r>
    </w:p>
    <w:p w14:paraId="63D70AA5">
      <w:pPr>
        <w:spacing w:line="360" w:lineRule="auto"/>
        <w:ind w:left="5076" w:leftChars="1867" w:hanging="1155" w:hangingChars="550"/>
        <w:rPr>
          <w:rFonts w:ascii="宋体" w:hAnsi="宋体"/>
          <w:color w:val="auto"/>
          <w:szCs w:val="21"/>
          <w:highlight w:val="none"/>
        </w:rPr>
      </w:pPr>
    </w:p>
    <w:p w14:paraId="4BC05939">
      <w:pPr>
        <w:spacing w:line="360" w:lineRule="auto"/>
        <w:ind w:left="5076" w:leftChars="1867" w:hanging="1155" w:hangingChars="550"/>
        <w:rPr>
          <w:rFonts w:ascii="宋体" w:hAnsi="宋体"/>
          <w:color w:val="auto"/>
          <w:szCs w:val="21"/>
          <w:highlight w:val="none"/>
        </w:rPr>
      </w:pPr>
    </w:p>
    <w:p w14:paraId="473A2027">
      <w:pPr>
        <w:spacing w:line="360" w:lineRule="auto"/>
        <w:ind w:left="5076" w:leftChars="1867" w:hanging="1155" w:hangingChars="550"/>
        <w:rPr>
          <w:rFonts w:ascii="宋体" w:hAnsi="宋体"/>
          <w:color w:val="auto"/>
          <w:szCs w:val="21"/>
          <w:highlight w:val="none"/>
        </w:rPr>
      </w:pPr>
    </w:p>
    <w:p w14:paraId="2FD9C378">
      <w:pPr>
        <w:spacing w:line="360" w:lineRule="auto"/>
        <w:ind w:left="5076" w:leftChars="1867" w:hanging="1155" w:hangingChars="550"/>
        <w:rPr>
          <w:rFonts w:ascii="宋体" w:hAnsi="宋体"/>
          <w:color w:val="auto"/>
          <w:szCs w:val="21"/>
          <w:highlight w:val="none"/>
        </w:rPr>
      </w:pPr>
    </w:p>
    <w:p w14:paraId="7E54F062">
      <w:pPr>
        <w:spacing w:line="360" w:lineRule="auto"/>
        <w:ind w:left="5076" w:leftChars="1867" w:hanging="1155" w:hangingChars="550"/>
        <w:rPr>
          <w:rFonts w:ascii="宋体" w:hAnsi="宋体"/>
          <w:color w:val="auto"/>
          <w:szCs w:val="21"/>
          <w:highlight w:val="none"/>
        </w:rPr>
      </w:pPr>
    </w:p>
    <w:p w14:paraId="03DE61AB">
      <w:pPr>
        <w:spacing w:line="360" w:lineRule="auto"/>
        <w:ind w:left="5076" w:leftChars="1867" w:hanging="1155" w:hangingChars="550"/>
        <w:rPr>
          <w:rFonts w:ascii="宋体" w:hAnsi="宋体"/>
          <w:color w:val="auto"/>
          <w:szCs w:val="21"/>
          <w:highlight w:val="none"/>
        </w:rPr>
      </w:pPr>
    </w:p>
    <w:p w14:paraId="5AC25ED2">
      <w:pPr>
        <w:spacing w:line="360" w:lineRule="auto"/>
        <w:ind w:left="5076" w:leftChars="1867" w:hanging="1155" w:hangingChars="550"/>
        <w:rPr>
          <w:rFonts w:ascii="宋体" w:hAnsi="宋体"/>
          <w:color w:val="auto"/>
          <w:szCs w:val="21"/>
          <w:highlight w:val="none"/>
        </w:rPr>
      </w:pPr>
    </w:p>
    <w:p w14:paraId="0EBB39D6">
      <w:pPr>
        <w:spacing w:line="360" w:lineRule="auto"/>
        <w:ind w:left="5076" w:leftChars="1867" w:hanging="1155" w:hangingChars="550"/>
        <w:rPr>
          <w:rFonts w:ascii="宋体" w:hAnsi="宋体"/>
          <w:color w:val="auto"/>
          <w:szCs w:val="21"/>
          <w:highlight w:val="none"/>
        </w:rPr>
      </w:pPr>
    </w:p>
    <w:p w14:paraId="53A97438">
      <w:pPr>
        <w:spacing w:line="360" w:lineRule="auto"/>
        <w:ind w:left="5076" w:leftChars="1867" w:hanging="1155" w:hangingChars="550"/>
        <w:rPr>
          <w:rFonts w:ascii="宋体" w:hAnsi="宋体"/>
          <w:color w:val="auto"/>
          <w:szCs w:val="21"/>
          <w:highlight w:val="none"/>
        </w:rPr>
      </w:pPr>
    </w:p>
    <w:p w14:paraId="362A9C9E">
      <w:pPr>
        <w:spacing w:line="360" w:lineRule="auto"/>
        <w:ind w:left="5076" w:leftChars="1867" w:hanging="1155" w:hangingChars="550"/>
        <w:rPr>
          <w:rFonts w:ascii="宋体" w:hAnsi="宋体"/>
          <w:color w:val="auto"/>
          <w:szCs w:val="21"/>
          <w:highlight w:val="none"/>
        </w:rPr>
      </w:pPr>
    </w:p>
    <w:p w14:paraId="1871C53E">
      <w:pPr>
        <w:spacing w:line="360" w:lineRule="auto"/>
        <w:ind w:left="5076" w:leftChars="1867" w:hanging="1155" w:hangingChars="550"/>
        <w:rPr>
          <w:rFonts w:ascii="宋体" w:hAnsi="宋体"/>
          <w:color w:val="auto"/>
          <w:szCs w:val="21"/>
          <w:highlight w:val="none"/>
        </w:rPr>
      </w:pPr>
    </w:p>
    <w:p w14:paraId="74490F52">
      <w:pPr>
        <w:pStyle w:val="97"/>
        <w:ind w:firstLine="422"/>
        <w:rPr>
          <w:color w:val="auto"/>
          <w:highlight w:val="none"/>
        </w:rPr>
      </w:pPr>
      <w:bookmarkStart w:id="280" w:name="_Toc9783"/>
      <w:bookmarkStart w:id="281" w:name="_Toc102402701"/>
      <w:bookmarkStart w:id="282" w:name="_Toc180591508"/>
      <w:bookmarkStart w:id="283" w:name="_Hlk69851747"/>
      <w:r>
        <w:rPr>
          <w:rFonts w:hint="eastAsia"/>
          <w:color w:val="auto"/>
          <w:highlight w:val="none"/>
        </w:rPr>
        <w:t>附件二</w:t>
      </w:r>
      <w:r>
        <w:rPr>
          <w:color w:val="auto"/>
          <w:highlight w:val="none"/>
        </w:rPr>
        <w:t xml:space="preserve">  </w:t>
      </w:r>
      <w:bookmarkEnd w:id="280"/>
      <w:bookmarkEnd w:id="281"/>
      <w:r>
        <w:rPr>
          <w:rFonts w:hint="eastAsia"/>
          <w:color w:val="auto"/>
          <w:highlight w:val="none"/>
        </w:rPr>
        <w:t>工程量清单计价表</w:t>
      </w:r>
      <w:bookmarkEnd w:id="282"/>
    </w:p>
    <w:bookmarkEnd w:id="283"/>
    <w:p w14:paraId="31DDAF5B">
      <w:pPr>
        <w:pStyle w:val="97"/>
        <w:ind w:firstLine="422"/>
        <w:rPr>
          <w:color w:val="auto"/>
          <w:highlight w:val="none"/>
        </w:rPr>
      </w:pPr>
      <w:bookmarkStart w:id="284" w:name="_Hlk108866129"/>
      <w:bookmarkStart w:id="285" w:name="_Toc102402709"/>
      <w:bookmarkStart w:id="286" w:name="_Toc13994"/>
    </w:p>
    <w:p w14:paraId="209D058F">
      <w:pPr>
        <w:pStyle w:val="97"/>
        <w:ind w:firstLine="422"/>
        <w:rPr>
          <w:color w:val="auto"/>
          <w:highlight w:val="none"/>
        </w:rPr>
      </w:pPr>
    </w:p>
    <w:p w14:paraId="42EB0E13">
      <w:pPr>
        <w:pStyle w:val="97"/>
        <w:ind w:firstLine="422"/>
        <w:rPr>
          <w:color w:val="auto"/>
          <w:highlight w:val="none"/>
        </w:rPr>
      </w:pPr>
    </w:p>
    <w:p w14:paraId="4E87C18C">
      <w:pPr>
        <w:pStyle w:val="97"/>
        <w:ind w:firstLine="422"/>
        <w:rPr>
          <w:color w:val="auto"/>
          <w:highlight w:val="none"/>
        </w:rPr>
      </w:pPr>
    </w:p>
    <w:p w14:paraId="4918FF1C">
      <w:pPr>
        <w:pStyle w:val="97"/>
        <w:ind w:firstLine="422"/>
        <w:rPr>
          <w:color w:val="auto"/>
          <w:highlight w:val="none"/>
        </w:rPr>
      </w:pPr>
    </w:p>
    <w:p w14:paraId="5EFFBA8C">
      <w:pPr>
        <w:pStyle w:val="97"/>
        <w:ind w:firstLine="422"/>
        <w:rPr>
          <w:color w:val="auto"/>
          <w:highlight w:val="none"/>
        </w:rPr>
      </w:pPr>
    </w:p>
    <w:p w14:paraId="13A483D9">
      <w:pPr>
        <w:pStyle w:val="97"/>
        <w:ind w:firstLine="422"/>
        <w:rPr>
          <w:color w:val="auto"/>
          <w:highlight w:val="none"/>
        </w:rPr>
      </w:pPr>
    </w:p>
    <w:p w14:paraId="2962E065">
      <w:pPr>
        <w:pStyle w:val="97"/>
        <w:ind w:firstLine="422"/>
        <w:rPr>
          <w:color w:val="auto"/>
          <w:highlight w:val="none"/>
        </w:rPr>
      </w:pPr>
    </w:p>
    <w:p w14:paraId="51473DE2">
      <w:pPr>
        <w:pStyle w:val="97"/>
        <w:ind w:firstLine="422"/>
        <w:rPr>
          <w:color w:val="auto"/>
          <w:highlight w:val="none"/>
        </w:rPr>
      </w:pPr>
    </w:p>
    <w:p w14:paraId="351DF3F9">
      <w:pPr>
        <w:pStyle w:val="97"/>
        <w:ind w:firstLine="422"/>
        <w:rPr>
          <w:color w:val="auto"/>
          <w:highlight w:val="none"/>
        </w:rPr>
      </w:pPr>
    </w:p>
    <w:p w14:paraId="59256E5F">
      <w:pPr>
        <w:pStyle w:val="97"/>
        <w:ind w:firstLine="422"/>
        <w:rPr>
          <w:color w:val="auto"/>
          <w:highlight w:val="none"/>
        </w:rPr>
      </w:pPr>
    </w:p>
    <w:p w14:paraId="0C082754">
      <w:pPr>
        <w:pStyle w:val="97"/>
        <w:ind w:firstLine="422"/>
        <w:rPr>
          <w:color w:val="auto"/>
          <w:highlight w:val="none"/>
        </w:rPr>
      </w:pPr>
    </w:p>
    <w:p w14:paraId="2FD97BD0">
      <w:pPr>
        <w:pStyle w:val="97"/>
        <w:ind w:firstLine="422"/>
        <w:rPr>
          <w:color w:val="auto"/>
          <w:highlight w:val="none"/>
        </w:rPr>
      </w:pPr>
    </w:p>
    <w:p w14:paraId="456F9A2D">
      <w:pPr>
        <w:pStyle w:val="97"/>
        <w:ind w:firstLine="422"/>
        <w:rPr>
          <w:color w:val="auto"/>
          <w:highlight w:val="none"/>
        </w:rPr>
      </w:pPr>
    </w:p>
    <w:p w14:paraId="657A925A">
      <w:pPr>
        <w:pStyle w:val="97"/>
        <w:ind w:firstLine="422"/>
        <w:rPr>
          <w:color w:val="auto"/>
          <w:highlight w:val="none"/>
        </w:rPr>
      </w:pPr>
    </w:p>
    <w:bookmarkEnd w:id="271"/>
    <w:bookmarkEnd w:id="272"/>
    <w:bookmarkEnd w:id="273"/>
    <w:bookmarkEnd w:id="277"/>
    <w:bookmarkEnd w:id="278"/>
    <w:bookmarkEnd w:id="284"/>
    <w:bookmarkEnd w:id="285"/>
    <w:bookmarkEnd w:id="286"/>
    <w:p w14:paraId="2A4D7704">
      <w:pPr>
        <w:rPr>
          <w:color w:val="auto"/>
          <w:highlight w:val="none"/>
        </w:rPr>
      </w:pPr>
    </w:p>
    <w:sectPr>
      <w:footerReference r:id="rId10" w:type="first"/>
      <w:footerReference r:id="rId9" w:type="even"/>
      <w:pgSz w:w="11906" w:h="16838"/>
      <w:pgMar w:top="1418" w:right="1276"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3B98">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87F4">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025129"/>
    </w:sdtPr>
    <w:sdtContent>
      <w:p w14:paraId="18851106">
        <w:pPr>
          <w:pStyle w:val="21"/>
          <w:jc w:val="center"/>
        </w:pPr>
        <w:r>
          <w:fldChar w:fldCharType="begin"/>
        </w:r>
        <w:r>
          <w:instrText xml:space="preserve">PAGE   \* MERGEFORMAT</w:instrText>
        </w:r>
        <w:r>
          <w:fldChar w:fldCharType="separate"/>
        </w:r>
        <w:r>
          <w:rPr>
            <w:lang w:val="zh-CN"/>
          </w:rPr>
          <w:t>40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E0E9">
    <w:pPr>
      <w:pStyle w:val="21"/>
    </w:pPr>
    <w:r>
      <w:pict>
        <v:shape id="文本框 12" o:spid="_x0000_s4097" o:spt="202" type="#_x0000_t202" style="position:absolute;left:0pt;margin-top:0pt;height:20.55pt;width:24.95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48AF9AF5">
                <w:pPr>
                  <w:pStyle w:val="21"/>
                </w:pPr>
                <w:r>
                  <w:fldChar w:fldCharType="begin"/>
                </w:r>
                <w:r>
                  <w:instrText xml:space="preserve"> PAGE  \* MERGEFORMAT </w:instrText>
                </w:r>
                <w:r>
                  <w:fldChar w:fldCharType="separate"/>
                </w:r>
                <w: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BE7F">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39</w:t>
    </w:r>
    <w:r>
      <w:fldChar w:fldCharType="end"/>
    </w:r>
  </w:p>
  <w:p w14:paraId="71EAD039">
    <w:pPr>
      <w:pStyle w:val="2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22E6">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56</w:t>
    </w:r>
    <w:r>
      <w:fldChar w:fldCharType="end"/>
    </w:r>
  </w:p>
  <w:p w14:paraId="6A90A313">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E8CC">
    <w:pPr>
      <w:pStyle w:val="22"/>
      <w:pBdr>
        <w:bottom w:val="none" w:color="auto" w:sz="0" w:space="0"/>
      </w:pBdr>
      <w:jc w:val="both"/>
      <w:rPr>
        <w:rFonts w:ascii="宋体" w:hAnsi="宋体"/>
      </w:rPr>
    </w:pPr>
    <w:r>
      <w:rPr>
        <w:rFonts w:ascii="宋体" w:hAnsi="宋体"/>
      </w:rPr>
      <w:tab/>
    </w:r>
    <w:r>
      <w:rPr>
        <w:rFonts w:ascii="宋体" w:hAnsi="宋体"/>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5E89">
    <w:pPr>
      <w:pStyle w:val="22"/>
      <w:pBdr>
        <w:bottom w:val="none" w:color="auto" w:sz="0" w:space="0"/>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5F0CD"/>
    <w:multiLevelType w:val="singleLevel"/>
    <w:tmpl w:val="B165F0CD"/>
    <w:lvl w:ilvl="0" w:tentative="0">
      <w:start w:val="1"/>
      <w:numFmt w:val="decimal"/>
      <w:lvlText w:val="(%1)"/>
      <w:lvlJc w:val="left"/>
      <w:pPr>
        <w:tabs>
          <w:tab w:val="left" w:pos="312"/>
        </w:tabs>
      </w:pPr>
    </w:lvl>
  </w:abstractNum>
  <w:abstractNum w:abstractNumId="1">
    <w:nsid w:val="0EDD217A"/>
    <w:multiLevelType w:val="singleLevel"/>
    <w:tmpl w:val="0EDD217A"/>
    <w:lvl w:ilvl="0" w:tentative="0">
      <w:start w:val="1"/>
      <w:numFmt w:val="decimalEnclosedCircleChinese"/>
      <w:suff w:val="space"/>
      <w:lvlText w:val="%1"/>
      <w:lvlJc w:val="left"/>
      <w:rPr>
        <w:rFonts w:hint="eastAsia"/>
      </w:rPr>
    </w:lvl>
  </w:abstractNum>
  <w:abstractNum w:abstractNumId="2">
    <w:nsid w:val="38B4211E"/>
    <w:multiLevelType w:val="multilevel"/>
    <w:tmpl w:val="38B4211E"/>
    <w:lvl w:ilvl="0" w:tentative="0">
      <w:start w:val="1"/>
      <w:numFmt w:val="japaneseCounting"/>
      <w:pStyle w:val="83"/>
      <w:lvlText w:val="%1、"/>
      <w:lvlJc w:val="left"/>
      <w:pPr>
        <w:tabs>
          <w:tab w:val="left" w:pos="480"/>
        </w:tabs>
        <w:ind w:left="480" w:hanging="480"/>
      </w:pPr>
      <w:rPr>
        <w:rFonts w:hint="default"/>
        <w:sz w:val="24"/>
      </w:rPr>
    </w:lvl>
    <w:lvl w:ilvl="1" w:tentative="0">
      <w:start w:val="1"/>
      <w:numFmt w:val="lowerLetter"/>
      <w:pStyle w:val="85"/>
      <w:lvlText w:val="%2)"/>
      <w:lvlJc w:val="left"/>
      <w:pPr>
        <w:tabs>
          <w:tab w:val="left" w:pos="840"/>
        </w:tabs>
        <w:ind w:left="840" w:hanging="420"/>
      </w:pPr>
    </w:lvl>
    <w:lvl w:ilvl="2" w:tentative="0">
      <w:start w:val="1"/>
      <w:numFmt w:val="lowerRoman"/>
      <w:pStyle w:val="73"/>
      <w:lvlText w:val="%3."/>
      <w:lvlJc w:val="right"/>
      <w:pPr>
        <w:tabs>
          <w:tab w:val="left" w:pos="1260"/>
        </w:tabs>
        <w:ind w:left="1260" w:hanging="420"/>
      </w:pPr>
    </w:lvl>
    <w:lvl w:ilvl="3" w:tentative="0">
      <w:start w:val="1"/>
      <w:numFmt w:val="decimal"/>
      <w:pStyle w:val="76"/>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7"/>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71"/>
      <w:lvlText w:val="%8)"/>
      <w:lvlJc w:val="left"/>
      <w:pPr>
        <w:tabs>
          <w:tab w:val="left" w:pos="3360"/>
        </w:tabs>
        <w:ind w:left="3360" w:hanging="420"/>
      </w:pPr>
    </w:lvl>
    <w:lvl w:ilvl="8" w:tentative="0">
      <w:start w:val="1"/>
      <w:numFmt w:val="lowerRoman"/>
      <w:pStyle w:val="90"/>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NWZhNWZiNGE1ODFiZmQzZmIyOTczNWIzZTQ3YjQifQ=="/>
  </w:docVars>
  <w:rsids>
    <w:rsidRoot w:val="00F312AC"/>
    <w:rsid w:val="00002EFF"/>
    <w:rsid w:val="00012CC9"/>
    <w:rsid w:val="000165DD"/>
    <w:rsid w:val="000301BA"/>
    <w:rsid w:val="0003163B"/>
    <w:rsid w:val="00031A1F"/>
    <w:rsid w:val="00037393"/>
    <w:rsid w:val="00045E91"/>
    <w:rsid w:val="00047959"/>
    <w:rsid w:val="00050851"/>
    <w:rsid w:val="00052E2F"/>
    <w:rsid w:val="000543F4"/>
    <w:rsid w:val="0006387B"/>
    <w:rsid w:val="0007128D"/>
    <w:rsid w:val="00081CBA"/>
    <w:rsid w:val="0008753D"/>
    <w:rsid w:val="00090F24"/>
    <w:rsid w:val="00094A92"/>
    <w:rsid w:val="000A00A3"/>
    <w:rsid w:val="000A0411"/>
    <w:rsid w:val="000A3793"/>
    <w:rsid w:val="000A4656"/>
    <w:rsid w:val="000B1A63"/>
    <w:rsid w:val="000B5862"/>
    <w:rsid w:val="000C12D7"/>
    <w:rsid w:val="000C7106"/>
    <w:rsid w:val="000E3A8A"/>
    <w:rsid w:val="000E7019"/>
    <w:rsid w:val="000F7BBF"/>
    <w:rsid w:val="001020AE"/>
    <w:rsid w:val="00105B56"/>
    <w:rsid w:val="00107894"/>
    <w:rsid w:val="00120B72"/>
    <w:rsid w:val="001213F2"/>
    <w:rsid w:val="00121F4F"/>
    <w:rsid w:val="0012209B"/>
    <w:rsid w:val="001220C4"/>
    <w:rsid w:val="00122F58"/>
    <w:rsid w:val="001258B3"/>
    <w:rsid w:val="001341D0"/>
    <w:rsid w:val="00142683"/>
    <w:rsid w:val="00144161"/>
    <w:rsid w:val="001465ED"/>
    <w:rsid w:val="001531C3"/>
    <w:rsid w:val="001577ED"/>
    <w:rsid w:val="00160997"/>
    <w:rsid w:val="00162877"/>
    <w:rsid w:val="0016663E"/>
    <w:rsid w:val="00173499"/>
    <w:rsid w:val="00176A6B"/>
    <w:rsid w:val="00180A14"/>
    <w:rsid w:val="00180DF9"/>
    <w:rsid w:val="001813BA"/>
    <w:rsid w:val="001901FB"/>
    <w:rsid w:val="001A1B75"/>
    <w:rsid w:val="001B31A6"/>
    <w:rsid w:val="001E4265"/>
    <w:rsid w:val="001E4D38"/>
    <w:rsid w:val="001E700C"/>
    <w:rsid w:val="001F01AB"/>
    <w:rsid w:val="001F1C9C"/>
    <w:rsid w:val="001F26CB"/>
    <w:rsid w:val="001F285F"/>
    <w:rsid w:val="001F2A50"/>
    <w:rsid w:val="001F5FA0"/>
    <w:rsid w:val="0020221B"/>
    <w:rsid w:val="00203F3A"/>
    <w:rsid w:val="0020588E"/>
    <w:rsid w:val="002131A3"/>
    <w:rsid w:val="00221427"/>
    <w:rsid w:val="00226E90"/>
    <w:rsid w:val="002300C4"/>
    <w:rsid w:val="00240E37"/>
    <w:rsid w:val="00250771"/>
    <w:rsid w:val="002575AB"/>
    <w:rsid w:val="00276C15"/>
    <w:rsid w:val="00285F20"/>
    <w:rsid w:val="00290BEE"/>
    <w:rsid w:val="00293975"/>
    <w:rsid w:val="00296CE4"/>
    <w:rsid w:val="002A1234"/>
    <w:rsid w:val="002A54BE"/>
    <w:rsid w:val="002A6783"/>
    <w:rsid w:val="002B1CAE"/>
    <w:rsid w:val="002C0C08"/>
    <w:rsid w:val="002C383C"/>
    <w:rsid w:val="002C736E"/>
    <w:rsid w:val="002D0E0F"/>
    <w:rsid w:val="002D10E3"/>
    <w:rsid w:val="002D2CC7"/>
    <w:rsid w:val="002D65CB"/>
    <w:rsid w:val="002D7FA5"/>
    <w:rsid w:val="002E0481"/>
    <w:rsid w:val="002E0B8A"/>
    <w:rsid w:val="002E5903"/>
    <w:rsid w:val="002F5092"/>
    <w:rsid w:val="00301A46"/>
    <w:rsid w:val="00315603"/>
    <w:rsid w:val="0032126A"/>
    <w:rsid w:val="00334552"/>
    <w:rsid w:val="00353F67"/>
    <w:rsid w:val="00363CB9"/>
    <w:rsid w:val="00365514"/>
    <w:rsid w:val="0037301E"/>
    <w:rsid w:val="00376F30"/>
    <w:rsid w:val="00376FDE"/>
    <w:rsid w:val="0038017B"/>
    <w:rsid w:val="00380E3D"/>
    <w:rsid w:val="00382DE3"/>
    <w:rsid w:val="003903AA"/>
    <w:rsid w:val="00394CAB"/>
    <w:rsid w:val="003A69CF"/>
    <w:rsid w:val="003B17EA"/>
    <w:rsid w:val="003C4255"/>
    <w:rsid w:val="003D4EAB"/>
    <w:rsid w:val="003D5474"/>
    <w:rsid w:val="003D6345"/>
    <w:rsid w:val="003E20BA"/>
    <w:rsid w:val="003F069D"/>
    <w:rsid w:val="003F4388"/>
    <w:rsid w:val="003F497A"/>
    <w:rsid w:val="0040545C"/>
    <w:rsid w:val="00412459"/>
    <w:rsid w:val="004269AC"/>
    <w:rsid w:val="0042770D"/>
    <w:rsid w:val="00431395"/>
    <w:rsid w:val="00431B62"/>
    <w:rsid w:val="00440898"/>
    <w:rsid w:val="004440C6"/>
    <w:rsid w:val="00444DB5"/>
    <w:rsid w:val="00446554"/>
    <w:rsid w:val="00453407"/>
    <w:rsid w:val="00456C8E"/>
    <w:rsid w:val="0046115C"/>
    <w:rsid w:val="004617DA"/>
    <w:rsid w:val="0047161E"/>
    <w:rsid w:val="004777D2"/>
    <w:rsid w:val="0048165B"/>
    <w:rsid w:val="00484642"/>
    <w:rsid w:val="00485AB0"/>
    <w:rsid w:val="00485FAD"/>
    <w:rsid w:val="00491422"/>
    <w:rsid w:val="00491AC8"/>
    <w:rsid w:val="00494290"/>
    <w:rsid w:val="004954D9"/>
    <w:rsid w:val="004A0FE6"/>
    <w:rsid w:val="004A3B09"/>
    <w:rsid w:val="004A421A"/>
    <w:rsid w:val="004C7D9C"/>
    <w:rsid w:val="004D0837"/>
    <w:rsid w:val="004D13B2"/>
    <w:rsid w:val="004E2F57"/>
    <w:rsid w:val="004E4E2E"/>
    <w:rsid w:val="004E6D75"/>
    <w:rsid w:val="00501303"/>
    <w:rsid w:val="00512C01"/>
    <w:rsid w:val="00542602"/>
    <w:rsid w:val="00544E46"/>
    <w:rsid w:val="00554600"/>
    <w:rsid w:val="00556B64"/>
    <w:rsid w:val="00566497"/>
    <w:rsid w:val="00581339"/>
    <w:rsid w:val="00584BCD"/>
    <w:rsid w:val="0058516B"/>
    <w:rsid w:val="005A396D"/>
    <w:rsid w:val="005A4F2D"/>
    <w:rsid w:val="005A67E7"/>
    <w:rsid w:val="005A69DE"/>
    <w:rsid w:val="005F1035"/>
    <w:rsid w:val="005F54E2"/>
    <w:rsid w:val="0060645C"/>
    <w:rsid w:val="00607F03"/>
    <w:rsid w:val="006124CF"/>
    <w:rsid w:val="00617368"/>
    <w:rsid w:val="006239DA"/>
    <w:rsid w:val="00624879"/>
    <w:rsid w:val="00634B7B"/>
    <w:rsid w:val="0064314D"/>
    <w:rsid w:val="00644888"/>
    <w:rsid w:val="00650A93"/>
    <w:rsid w:val="00653EDC"/>
    <w:rsid w:val="006661DA"/>
    <w:rsid w:val="00666619"/>
    <w:rsid w:val="00666F63"/>
    <w:rsid w:val="0067197C"/>
    <w:rsid w:val="00671C99"/>
    <w:rsid w:val="00673461"/>
    <w:rsid w:val="00673AC7"/>
    <w:rsid w:val="0068069F"/>
    <w:rsid w:val="006815D5"/>
    <w:rsid w:val="006840FB"/>
    <w:rsid w:val="006923A6"/>
    <w:rsid w:val="00694D36"/>
    <w:rsid w:val="006A4A55"/>
    <w:rsid w:val="006B00DA"/>
    <w:rsid w:val="006B3CDC"/>
    <w:rsid w:val="006B553C"/>
    <w:rsid w:val="006D7137"/>
    <w:rsid w:val="006D7291"/>
    <w:rsid w:val="006E6D7B"/>
    <w:rsid w:val="006F6AE7"/>
    <w:rsid w:val="00700C13"/>
    <w:rsid w:val="0070194F"/>
    <w:rsid w:val="0070550A"/>
    <w:rsid w:val="00710ABF"/>
    <w:rsid w:val="00711493"/>
    <w:rsid w:val="00711798"/>
    <w:rsid w:val="00716512"/>
    <w:rsid w:val="00717FB8"/>
    <w:rsid w:val="00722FD2"/>
    <w:rsid w:val="00731903"/>
    <w:rsid w:val="00736B06"/>
    <w:rsid w:val="00744334"/>
    <w:rsid w:val="00750C8A"/>
    <w:rsid w:val="00755328"/>
    <w:rsid w:val="0076180F"/>
    <w:rsid w:val="00766AAD"/>
    <w:rsid w:val="007750DE"/>
    <w:rsid w:val="00782A9E"/>
    <w:rsid w:val="007877C0"/>
    <w:rsid w:val="007B2D25"/>
    <w:rsid w:val="007C3C6A"/>
    <w:rsid w:val="007D065E"/>
    <w:rsid w:val="007D728A"/>
    <w:rsid w:val="007E0BF0"/>
    <w:rsid w:val="007E3221"/>
    <w:rsid w:val="007E3AA8"/>
    <w:rsid w:val="007E48C4"/>
    <w:rsid w:val="007E6483"/>
    <w:rsid w:val="007E7B69"/>
    <w:rsid w:val="00800864"/>
    <w:rsid w:val="00801479"/>
    <w:rsid w:val="008051FE"/>
    <w:rsid w:val="0080718B"/>
    <w:rsid w:val="008118FD"/>
    <w:rsid w:val="008127BF"/>
    <w:rsid w:val="00813576"/>
    <w:rsid w:val="00815CEE"/>
    <w:rsid w:val="00827446"/>
    <w:rsid w:val="00843FFB"/>
    <w:rsid w:val="00853299"/>
    <w:rsid w:val="00855503"/>
    <w:rsid w:val="00857674"/>
    <w:rsid w:val="00861A64"/>
    <w:rsid w:val="00862D8C"/>
    <w:rsid w:val="00874FA4"/>
    <w:rsid w:val="00877A58"/>
    <w:rsid w:val="008815FE"/>
    <w:rsid w:val="00883E64"/>
    <w:rsid w:val="0088435C"/>
    <w:rsid w:val="00884E28"/>
    <w:rsid w:val="00893907"/>
    <w:rsid w:val="00896BDA"/>
    <w:rsid w:val="00897BDE"/>
    <w:rsid w:val="008A0ECD"/>
    <w:rsid w:val="008A25A1"/>
    <w:rsid w:val="008B0271"/>
    <w:rsid w:val="008B5CF3"/>
    <w:rsid w:val="008C511D"/>
    <w:rsid w:val="008D3D62"/>
    <w:rsid w:val="008E5F87"/>
    <w:rsid w:val="008E789F"/>
    <w:rsid w:val="008F1AD1"/>
    <w:rsid w:val="008F44B7"/>
    <w:rsid w:val="008F7881"/>
    <w:rsid w:val="00900687"/>
    <w:rsid w:val="00900F96"/>
    <w:rsid w:val="009122C1"/>
    <w:rsid w:val="009125BE"/>
    <w:rsid w:val="00916771"/>
    <w:rsid w:val="00936EAF"/>
    <w:rsid w:val="00940F0C"/>
    <w:rsid w:val="00950BEE"/>
    <w:rsid w:val="00960C32"/>
    <w:rsid w:val="00961301"/>
    <w:rsid w:val="00976A9C"/>
    <w:rsid w:val="009803E3"/>
    <w:rsid w:val="00980AB4"/>
    <w:rsid w:val="00996FB7"/>
    <w:rsid w:val="00996FC4"/>
    <w:rsid w:val="009A164E"/>
    <w:rsid w:val="009A4834"/>
    <w:rsid w:val="009C0885"/>
    <w:rsid w:val="009C32DE"/>
    <w:rsid w:val="009C3826"/>
    <w:rsid w:val="009E6455"/>
    <w:rsid w:val="009F2F39"/>
    <w:rsid w:val="009F6453"/>
    <w:rsid w:val="00A03631"/>
    <w:rsid w:val="00A05C41"/>
    <w:rsid w:val="00A22018"/>
    <w:rsid w:val="00A35AA4"/>
    <w:rsid w:val="00A40A00"/>
    <w:rsid w:val="00A45FCB"/>
    <w:rsid w:val="00A520C4"/>
    <w:rsid w:val="00A6060A"/>
    <w:rsid w:val="00A64926"/>
    <w:rsid w:val="00A76E2A"/>
    <w:rsid w:val="00A87232"/>
    <w:rsid w:val="00A87FAB"/>
    <w:rsid w:val="00A906E0"/>
    <w:rsid w:val="00A97B03"/>
    <w:rsid w:val="00AA026D"/>
    <w:rsid w:val="00AB01CC"/>
    <w:rsid w:val="00AB2878"/>
    <w:rsid w:val="00AB43CE"/>
    <w:rsid w:val="00AC263B"/>
    <w:rsid w:val="00AD1E82"/>
    <w:rsid w:val="00AD3253"/>
    <w:rsid w:val="00AE1023"/>
    <w:rsid w:val="00AE15F0"/>
    <w:rsid w:val="00AE3DEF"/>
    <w:rsid w:val="00AE3EA4"/>
    <w:rsid w:val="00AE3F08"/>
    <w:rsid w:val="00AE3F28"/>
    <w:rsid w:val="00AF101B"/>
    <w:rsid w:val="00AF4DB6"/>
    <w:rsid w:val="00AF7467"/>
    <w:rsid w:val="00AF77A9"/>
    <w:rsid w:val="00B013C2"/>
    <w:rsid w:val="00B02637"/>
    <w:rsid w:val="00B12981"/>
    <w:rsid w:val="00B229B7"/>
    <w:rsid w:val="00B463DF"/>
    <w:rsid w:val="00B60742"/>
    <w:rsid w:val="00B62E18"/>
    <w:rsid w:val="00B636AE"/>
    <w:rsid w:val="00B94A5E"/>
    <w:rsid w:val="00BA1560"/>
    <w:rsid w:val="00BA2F82"/>
    <w:rsid w:val="00BA3561"/>
    <w:rsid w:val="00BB40B6"/>
    <w:rsid w:val="00BC296D"/>
    <w:rsid w:val="00BC2D9A"/>
    <w:rsid w:val="00BC5F99"/>
    <w:rsid w:val="00BD143C"/>
    <w:rsid w:val="00BD2E2C"/>
    <w:rsid w:val="00BE4B88"/>
    <w:rsid w:val="00BE7381"/>
    <w:rsid w:val="00C00288"/>
    <w:rsid w:val="00C032F0"/>
    <w:rsid w:val="00C06384"/>
    <w:rsid w:val="00C10D40"/>
    <w:rsid w:val="00C51306"/>
    <w:rsid w:val="00C519DF"/>
    <w:rsid w:val="00C6080A"/>
    <w:rsid w:val="00C72763"/>
    <w:rsid w:val="00C735F6"/>
    <w:rsid w:val="00C74372"/>
    <w:rsid w:val="00C74C76"/>
    <w:rsid w:val="00C81CA6"/>
    <w:rsid w:val="00C90C0D"/>
    <w:rsid w:val="00CA0E44"/>
    <w:rsid w:val="00CB1F9C"/>
    <w:rsid w:val="00CC4C3D"/>
    <w:rsid w:val="00CD10A8"/>
    <w:rsid w:val="00CD1645"/>
    <w:rsid w:val="00CD5070"/>
    <w:rsid w:val="00CE1FFA"/>
    <w:rsid w:val="00CE391B"/>
    <w:rsid w:val="00CE44CB"/>
    <w:rsid w:val="00CE4644"/>
    <w:rsid w:val="00D00D61"/>
    <w:rsid w:val="00D03A1F"/>
    <w:rsid w:val="00D03E0F"/>
    <w:rsid w:val="00D05BE3"/>
    <w:rsid w:val="00D10199"/>
    <w:rsid w:val="00D229DF"/>
    <w:rsid w:val="00D3119E"/>
    <w:rsid w:val="00D4078F"/>
    <w:rsid w:val="00D52277"/>
    <w:rsid w:val="00D52B96"/>
    <w:rsid w:val="00D547CF"/>
    <w:rsid w:val="00D55DD2"/>
    <w:rsid w:val="00D63A9D"/>
    <w:rsid w:val="00D77ED8"/>
    <w:rsid w:val="00D80F8B"/>
    <w:rsid w:val="00D83665"/>
    <w:rsid w:val="00D84281"/>
    <w:rsid w:val="00D95B41"/>
    <w:rsid w:val="00DA3B38"/>
    <w:rsid w:val="00DB21ED"/>
    <w:rsid w:val="00DB7B1C"/>
    <w:rsid w:val="00DC5341"/>
    <w:rsid w:val="00DC536E"/>
    <w:rsid w:val="00DC6FEC"/>
    <w:rsid w:val="00DD729B"/>
    <w:rsid w:val="00DE5C82"/>
    <w:rsid w:val="00DE6789"/>
    <w:rsid w:val="00DE6C75"/>
    <w:rsid w:val="00DF0497"/>
    <w:rsid w:val="00DF4D7A"/>
    <w:rsid w:val="00DF70DA"/>
    <w:rsid w:val="00DF7B94"/>
    <w:rsid w:val="00E04834"/>
    <w:rsid w:val="00E11BB6"/>
    <w:rsid w:val="00E16D1E"/>
    <w:rsid w:val="00E23801"/>
    <w:rsid w:val="00E254A9"/>
    <w:rsid w:val="00E307A6"/>
    <w:rsid w:val="00E307E1"/>
    <w:rsid w:val="00E316F0"/>
    <w:rsid w:val="00E33CB0"/>
    <w:rsid w:val="00E430B5"/>
    <w:rsid w:val="00E53FD5"/>
    <w:rsid w:val="00E5466D"/>
    <w:rsid w:val="00E54B92"/>
    <w:rsid w:val="00E554E5"/>
    <w:rsid w:val="00E56EBF"/>
    <w:rsid w:val="00E56F81"/>
    <w:rsid w:val="00E62FC6"/>
    <w:rsid w:val="00E75077"/>
    <w:rsid w:val="00E7681C"/>
    <w:rsid w:val="00E8760B"/>
    <w:rsid w:val="00E9032A"/>
    <w:rsid w:val="00ED2C43"/>
    <w:rsid w:val="00ED30E0"/>
    <w:rsid w:val="00EE0F77"/>
    <w:rsid w:val="00EE1C6E"/>
    <w:rsid w:val="00EF208A"/>
    <w:rsid w:val="00EF3613"/>
    <w:rsid w:val="00F02E44"/>
    <w:rsid w:val="00F16466"/>
    <w:rsid w:val="00F16C3B"/>
    <w:rsid w:val="00F25857"/>
    <w:rsid w:val="00F26EC0"/>
    <w:rsid w:val="00F312AC"/>
    <w:rsid w:val="00F52A05"/>
    <w:rsid w:val="00F56F54"/>
    <w:rsid w:val="00F60169"/>
    <w:rsid w:val="00F6657A"/>
    <w:rsid w:val="00FA099D"/>
    <w:rsid w:val="00FA1991"/>
    <w:rsid w:val="00FB0BBB"/>
    <w:rsid w:val="00FB33F7"/>
    <w:rsid w:val="00FB59C0"/>
    <w:rsid w:val="00FC4FBF"/>
    <w:rsid w:val="00FD4721"/>
    <w:rsid w:val="00FE2E2B"/>
    <w:rsid w:val="00FF0256"/>
    <w:rsid w:val="00FF046E"/>
    <w:rsid w:val="00FF2E15"/>
    <w:rsid w:val="00FF6947"/>
    <w:rsid w:val="03075583"/>
    <w:rsid w:val="048C2E69"/>
    <w:rsid w:val="04FB682E"/>
    <w:rsid w:val="099B191B"/>
    <w:rsid w:val="0B107AB8"/>
    <w:rsid w:val="0E210A2D"/>
    <w:rsid w:val="193F3785"/>
    <w:rsid w:val="1DFDF5C0"/>
    <w:rsid w:val="29717D9F"/>
    <w:rsid w:val="2FAE2DC6"/>
    <w:rsid w:val="37992796"/>
    <w:rsid w:val="44202D43"/>
    <w:rsid w:val="45584924"/>
    <w:rsid w:val="463C3084"/>
    <w:rsid w:val="4D476B5A"/>
    <w:rsid w:val="4D8F49C1"/>
    <w:rsid w:val="51D65196"/>
    <w:rsid w:val="5E046B3C"/>
    <w:rsid w:val="65BE4A08"/>
    <w:rsid w:val="65C9449B"/>
    <w:rsid w:val="66C7B075"/>
    <w:rsid w:val="6C310EC2"/>
    <w:rsid w:val="706379F7"/>
    <w:rsid w:val="722F38EB"/>
    <w:rsid w:val="7BFDF825"/>
    <w:rsid w:val="7DEC6C6E"/>
    <w:rsid w:val="7FF7F63C"/>
    <w:rsid w:val="7FFBF14A"/>
    <w:rsid w:val="834EE281"/>
    <w:rsid w:val="996F9393"/>
    <w:rsid w:val="9DFF544D"/>
    <w:rsid w:val="CCDBF768"/>
    <w:rsid w:val="CFEFBB4D"/>
    <w:rsid w:val="E94FB0DA"/>
    <w:rsid w:val="EDAFB576"/>
    <w:rsid w:val="FFADF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b/>
      <w:sz w:val="32"/>
    </w:rPr>
  </w:style>
  <w:style w:type="paragraph" w:styleId="3">
    <w:name w:val="heading 2"/>
    <w:basedOn w:val="1"/>
    <w:next w:val="1"/>
    <w:link w:val="40"/>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Lines="50" w:line="360" w:lineRule="auto"/>
      <w:jc w:val="left"/>
      <w:textAlignment w:val="baseline"/>
      <w:outlineLvl w:val="2"/>
    </w:pPr>
    <w:rPr>
      <w:rFonts w:ascii="宋体" w:hAnsi="宋体"/>
      <w:b/>
      <w:bCs/>
      <w:color w:val="000000"/>
      <w:kern w:val="0"/>
      <w:sz w:val="28"/>
    </w:rPr>
  </w:style>
  <w:style w:type="paragraph" w:styleId="5">
    <w:name w:val="heading 4"/>
    <w:basedOn w:val="1"/>
    <w:next w:val="1"/>
    <w:link w:val="103"/>
    <w:qFormat/>
    <w:uiPriority w:val="0"/>
    <w:pPr>
      <w:keepNext/>
      <w:keepLines/>
      <w:tabs>
        <w:tab w:val="left" w:pos="864"/>
        <w:tab w:val="left" w:pos="1680"/>
      </w:tabs>
      <w:spacing w:before="280" w:after="290" w:line="372" w:lineRule="auto"/>
      <w:ind w:left="1680" w:hanging="420"/>
      <w:outlineLvl w:val="3"/>
    </w:pPr>
    <w:rPr>
      <w:rFonts w:ascii="Arial" w:hAnsi="Arial" w:eastAsia="黑体"/>
      <w:b/>
      <w:bCs/>
      <w:sz w:val="28"/>
      <w:szCs w:val="28"/>
      <w:lang w:bidi="he-IL"/>
    </w:rPr>
  </w:style>
  <w:style w:type="paragraph" w:styleId="6">
    <w:name w:val="heading 5"/>
    <w:basedOn w:val="1"/>
    <w:next w:val="1"/>
    <w:link w:val="104"/>
    <w:qFormat/>
    <w:uiPriority w:val="0"/>
    <w:pPr>
      <w:keepNext/>
      <w:keepLines/>
      <w:numPr>
        <w:ilvl w:val="4"/>
        <w:numId w:val="1"/>
      </w:numPr>
      <w:tabs>
        <w:tab w:val="left" w:pos="1008"/>
      </w:tabs>
      <w:spacing w:before="280" w:after="290" w:line="372" w:lineRule="auto"/>
      <w:outlineLvl w:val="4"/>
    </w:pPr>
    <w:rPr>
      <w:rFonts w:ascii="Calibri" w:hAnsi="Calibri"/>
      <w:b/>
      <w:bCs/>
      <w:sz w:val="28"/>
      <w:szCs w:val="28"/>
      <w:lang w:bidi="he-IL"/>
    </w:rPr>
  </w:style>
  <w:style w:type="paragraph" w:styleId="7">
    <w:name w:val="heading 6"/>
    <w:basedOn w:val="1"/>
    <w:next w:val="1"/>
    <w:link w:val="105"/>
    <w:qFormat/>
    <w:uiPriority w:val="0"/>
    <w:pPr>
      <w:keepNext/>
      <w:keepLines/>
      <w:numPr>
        <w:ilvl w:val="5"/>
        <w:numId w:val="1"/>
      </w:numPr>
      <w:tabs>
        <w:tab w:val="left" w:pos="1152"/>
      </w:tabs>
      <w:spacing w:before="240" w:after="64" w:line="317" w:lineRule="auto"/>
      <w:outlineLvl w:val="5"/>
    </w:pPr>
    <w:rPr>
      <w:rFonts w:ascii="Arial" w:hAnsi="Arial" w:eastAsia="黑体"/>
      <w:b/>
      <w:bCs/>
      <w:sz w:val="24"/>
      <w:szCs w:val="24"/>
      <w:lang w:bidi="he-IL"/>
    </w:rPr>
  </w:style>
  <w:style w:type="paragraph" w:styleId="8">
    <w:name w:val="heading 7"/>
    <w:basedOn w:val="1"/>
    <w:next w:val="1"/>
    <w:link w:val="106"/>
    <w:qFormat/>
    <w:uiPriority w:val="0"/>
    <w:pPr>
      <w:keepNext/>
      <w:keepLines/>
      <w:numPr>
        <w:ilvl w:val="6"/>
        <w:numId w:val="1"/>
      </w:numPr>
      <w:tabs>
        <w:tab w:val="left" w:pos="1296"/>
      </w:tabs>
      <w:spacing w:before="240" w:after="64" w:line="317" w:lineRule="auto"/>
      <w:outlineLvl w:val="6"/>
    </w:pPr>
    <w:rPr>
      <w:rFonts w:ascii="Calibri" w:hAnsi="Calibri"/>
      <w:b/>
      <w:bCs/>
      <w:sz w:val="24"/>
      <w:szCs w:val="24"/>
      <w:lang w:bidi="he-IL"/>
    </w:rPr>
  </w:style>
  <w:style w:type="paragraph" w:styleId="9">
    <w:name w:val="heading 8"/>
    <w:basedOn w:val="1"/>
    <w:next w:val="1"/>
    <w:link w:val="107"/>
    <w:qFormat/>
    <w:uiPriority w:val="0"/>
    <w:pPr>
      <w:keepNext/>
      <w:keepLines/>
      <w:tabs>
        <w:tab w:val="left" w:pos="1440"/>
        <w:tab w:val="left" w:pos="3360"/>
      </w:tabs>
      <w:spacing w:before="240" w:after="64" w:line="317" w:lineRule="auto"/>
      <w:ind w:left="3360" w:hanging="420"/>
      <w:outlineLvl w:val="7"/>
    </w:pPr>
    <w:rPr>
      <w:rFonts w:ascii="Arial" w:hAnsi="Arial" w:eastAsia="黑体"/>
      <w:sz w:val="24"/>
      <w:szCs w:val="24"/>
      <w:lang w:bidi="he-IL"/>
    </w:rPr>
  </w:style>
  <w:style w:type="paragraph" w:styleId="10">
    <w:name w:val="heading 9"/>
    <w:basedOn w:val="1"/>
    <w:next w:val="1"/>
    <w:link w:val="108"/>
    <w:qFormat/>
    <w:uiPriority w:val="0"/>
    <w:pPr>
      <w:keepNext/>
      <w:keepLines/>
      <w:tabs>
        <w:tab w:val="left" w:pos="1584"/>
        <w:tab w:val="left" w:pos="3780"/>
      </w:tabs>
      <w:spacing w:before="240" w:after="64" w:line="317" w:lineRule="auto"/>
      <w:ind w:left="3780" w:hanging="420"/>
      <w:outlineLvl w:val="8"/>
    </w:pPr>
    <w:rPr>
      <w:rFonts w:ascii="Arial" w:hAnsi="Arial" w:eastAsia="黑体"/>
      <w:szCs w:val="21"/>
      <w:lang w:bidi="he-I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style>
  <w:style w:type="paragraph" w:styleId="12">
    <w:name w:val="Document Map"/>
    <w:basedOn w:val="1"/>
    <w:link w:val="46"/>
    <w:qFormat/>
    <w:uiPriority w:val="0"/>
    <w:pPr>
      <w:shd w:val="clear" w:color="auto" w:fill="000080"/>
    </w:pPr>
  </w:style>
  <w:style w:type="paragraph" w:styleId="13">
    <w:name w:val="annotation text"/>
    <w:basedOn w:val="1"/>
    <w:link w:val="42"/>
    <w:unhideWhenUsed/>
    <w:qFormat/>
    <w:uiPriority w:val="99"/>
    <w:pPr>
      <w:jc w:val="left"/>
    </w:pPr>
  </w:style>
  <w:style w:type="paragraph" w:styleId="14">
    <w:name w:val="Body Text"/>
    <w:basedOn w:val="1"/>
    <w:next w:val="1"/>
    <w:link w:val="44"/>
    <w:unhideWhenUsed/>
    <w:qFormat/>
    <w:uiPriority w:val="0"/>
    <w:pPr>
      <w:spacing w:after="120"/>
    </w:pPr>
  </w:style>
  <w:style w:type="paragraph" w:styleId="15">
    <w:name w:val="Body Text Indent"/>
    <w:basedOn w:val="1"/>
    <w:link w:val="47"/>
    <w:qFormat/>
    <w:uiPriority w:val="0"/>
    <w:pPr>
      <w:snapToGrid w:val="0"/>
      <w:spacing w:line="360" w:lineRule="auto"/>
      <w:ind w:firstLine="570"/>
    </w:pPr>
    <w:rPr>
      <w:sz w:val="24"/>
    </w:rPr>
  </w:style>
  <w:style w:type="paragraph" w:styleId="1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7">
    <w:name w:val="Plain Text"/>
    <w:basedOn w:val="1"/>
    <w:link w:val="48"/>
    <w:qFormat/>
    <w:uiPriority w:val="0"/>
    <w:rPr>
      <w:rFonts w:ascii="宋体" w:hAnsi="Courier New"/>
    </w:rPr>
  </w:style>
  <w:style w:type="paragraph" w:styleId="18">
    <w:name w:val="Date"/>
    <w:basedOn w:val="1"/>
    <w:next w:val="1"/>
    <w:link w:val="49"/>
    <w:qFormat/>
    <w:uiPriority w:val="0"/>
  </w:style>
  <w:style w:type="paragraph" w:styleId="19">
    <w:name w:val="Body Text Indent 2"/>
    <w:basedOn w:val="1"/>
    <w:link w:val="50"/>
    <w:qFormat/>
    <w:uiPriority w:val="0"/>
    <w:pPr>
      <w:spacing w:line="360" w:lineRule="auto"/>
      <w:ind w:firstLine="570"/>
    </w:pPr>
  </w:style>
  <w:style w:type="paragraph" w:styleId="20">
    <w:name w:val="Balloon Text"/>
    <w:basedOn w:val="1"/>
    <w:link w:val="51"/>
    <w:qFormat/>
    <w:uiPriority w:val="0"/>
    <w:rPr>
      <w:sz w:val="18"/>
      <w:szCs w:val="18"/>
    </w:rPr>
  </w:style>
  <w:style w:type="paragraph" w:styleId="21">
    <w:name w:val="footer"/>
    <w:basedOn w:val="1"/>
    <w:link w:val="38"/>
    <w:unhideWhenUsed/>
    <w:qFormat/>
    <w:uiPriority w:val="99"/>
    <w:pPr>
      <w:tabs>
        <w:tab w:val="center" w:pos="4153"/>
        <w:tab w:val="right" w:pos="8306"/>
      </w:tabs>
      <w:snapToGrid w:val="0"/>
      <w:jc w:val="left"/>
    </w:pPr>
    <w:rPr>
      <w:sz w:val="18"/>
      <w:szCs w:val="18"/>
    </w:rPr>
  </w:style>
  <w:style w:type="paragraph" w:styleId="22">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szCs w:val="24"/>
    </w:rPr>
  </w:style>
  <w:style w:type="paragraph" w:styleId="24">
    <w:name w:val="toc 2"/>
    <w:basedOn w:val="1"/>
    <w:next w:val="1"/>
    <w:unhideWhenUsed/>
    <w:qFormat/>
    <w:uiPriority w:val="39"/>
    <w:pPr>
      <w:ind w:left="420" w:leftChars="200"/>
    </w:pPr>
  </w:style>
  <w:style w:type="paragraph" w:styleId="25">
    <w:name w:val="Body Text 2"/>
    <w:basedOn w:val="1"/>
    <w:link w:val="52"/>
    <w:qFormat/>
    <w:uiPriority w:val="0"/>
    <w:pPr>
      <w:spacing w:after="120" w:line="480" w:lineRule="auto"/>
    </w:pPr>
    <w:rPr>
      <w:szCs w:val="24"/>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3"/>
    <w:qFormat/>
    <w:uiPriority w:val="0"/>
    <w:pPr>
      <w:spacing w:before="240" w:after="60"/>
      <w:jc w:val="center"/>
      <w:outlineLvl w:val="0"/>
    </w:pPr>
    <w:rPr>
      <w:rFonts w:ascii="等线 Light" w:hAnsi="等线 Light" w:cs="黑体"/>
      <w:b/>
      <w:bCs/>
      <w:kern w:val="0"/>
      <w:sz w:val="32"/>
      <w:szCs w:val="32"/>
    </w:rPr>
  </w:style>
  <w:style w:type="paragraph" w:styleId="28">
    <w:name w:val="annotation subject"/>
    <w:basedOn w:val="13"/>
    <w:next w:val="13"/>
    <w:link w:val="43"/>
    <w:qFormat/>
    <w:uiPriority w:val="99"/>
    <w:rPr>
      <w:b/>
      <w:bCs/>
      <w:szCs w:val="24"/>
    </w:rPr>
  </w:style>
  <w:style w:type="paragraph" w:styleId="29">
    <w:name w:val="Body Text First Indent"/>
    <w:basedOn w:val="14"/>
    <w:link w:val="45"/>
    <w:qFormat/>
    <w:uiPriority w:val="0"/>
    <w:pPr>
      <w:ind w:firstLine="420" w:firstLineChars="100"/>
    </w:p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character" w:customStyle="1" w:styleId="37">
    <w:name w:val="页眉 Char"/>
    <w:basedOn w:val="32"/>
    <w:link w:val="22"/>
    <w:qFormat/>
    <w:uiPriority w:val="0"/>
    <w:rPr>
      <w:sz w:val="18"/>
      <w:szCs w:val="18"/>
    </w:rPr>
  </w:style>
  <w:style w:type="character" w:customStyle="1" w:styleId="38">
    <w:name w:val="页脚 Char"/>
    <w:basedOn w:val="32"/>
    <w:link w:val="21"/>
    <w:qFormat/>
    <w:uiPriority w:val="99"/>
    <w:rPr>
      <w:sz w:val="18"/>
      <w:szCs w:val="18"/>
    </w:rPr>
  </w:style>
  <w:style w:type="character" w:customStyle="1" w:styleId="39">
    <w:name w:val="标题 1 Char"/>
    <w:basedOn w:val="32"/>
    <w:link w:val="2"/>
    <w:qFormat/>
    <w:uiPriority w:val="0"/>
    <w:rPr>
      <w:rFonts w:ascii="Times New Roman" w:hAnsi="Times New Roman" w:eastAsia="宋体" w:cs="Times New Roman"/>
      <w:b/>
      <w:sz w:val="32"/>
      <w:szCs w:val="20"/>
    </w:rPr>
  </w:style>
  <w:style w:type="character" w:customStyle="1" w:styleId="40">
    <w:name w:val="标题 2 Char"/>
    <w:basedOn w:val="32"/>
    <w:link w:val="3"/>
    <w:qFormat/>
    <w:uiPriority w:val="9"/>
    <w:rPr>
      <w:rFonts w:ascii="Arial" w:hAnsi="Arial" w:eastAsia="黑体" w:cs="Times New Roman"/>
      <w:b/>
      <w:bCs/>
      <w:sz w:val="32"/>
      <w:szCs w:val="32"/>
    </w:rPr>
  </w:style>
  <w:style w:type="character" w:customStyle="1" w:styleId="41">
    <w:name w:val="标题 3 Char"/>
    <w:basedOn w:val="32"/>
    <w:link w:val="4"/>
    <w:qFormat/>
    <w:uiPriority w:val="0"/>
    <w:rPr>
      <w:rFonts w:ascii="宋体" w:hAnsi="宋体" w:eastAsia="宋体" w:cs="Times New Roman"/>
      <w:b/>
      <w:bCs/>
      <w:color w:val="000000"/>
      <w:kern w:val="0"/>
      <w:sz w:val="28"/>
      <w:szCs w:val="20"/>
    </w:rPr>
  </w:style>
  <w:style w:type="character" w:customStyle="1" w:styleId="42">
    <w:name w:val="批注文字 Char"/>
    <w:basedOn w:val="32"/>
    <w:link w:val="13"/>
    <w:qFormat/>
    <w:uiPriority w:val="99"/>
    <w:rPr>
      <w:rFonts w:ascii="Times New Roman" w:hAnsi="Times New Roman" w:eastAsia="宋体" w:cs="Times New Roman"/>
      <w:szCs w:val="20"/>
    </w:rPr>
  </w:style>
  <w:style w:type="character" w:customStyle="1" w:styleId="43">
    <w:name w:val="批注主题 Char"/>
    <w:basedOn w:val="42"/>
    <w:link w:val="28"/>
    <w:qFormat/>
    <w:uiPriority w:val="99"/>
    <w:rPr>
      <w:rFonts w:ascii="Times New Roman" w:hAnsi="Times New Roman" w:eastAsia="宋体" w:cs="Times New Roman"/>
      <w:b/>
      <w:bCs/>
      <w:szCs w:val="24"/>
    </w:rPr>
  </w:style>
  <w:style w:type="character" w:customStyle="1" w:styleId="44">
    <w:name w:val="正文文本 Char"/>
    <w:basedOn w:val="32"/>
    <w:link w:val="14"/>
    <w:qFormat/>
    <w:uiPriority w:val="0"/>
    <w:rPr>
      <w:rFonts w:ascii="Times New Roman" w:hAnsi="Times New Roman" w:eastAsia="宋体" w:cs="Times New Roman"/>
      <w:szCs w:val="20"/>
    </w:rPr>
  </w:style>
  <w:style w:type="character" w:customStyle="1" w:styleId="45">
    <w:name w:val="正文首行缩进 Char"/>
    <w:basedOn w:val="44"/>
    <w:link w:val="29"/>
    <w:qFormat/>
    <w:uiPriority w:val="0"/>
    <w:rPr>
      <w:rFonts w:ascii="Times New Roman" w:hAnsi="Times New Roman" w:eastAsia="宋体" w:cs="Times New Roman"/>
      <w:szCs w:val="20"/>
    </w:rPr>
  </w:style>
  <w:style w:type="character" w:customStyle="1" w:styleId="46">
    <w:name w:val="文档结构图 Char"/>
    <w:basedOn w:val="32"/>
    <w:link w:val="12"/>
    <w:semiHidden/>
    <w:qFormat/>
    <w:uiPriority w:val="0"/>
    <w:rPr>
      <w:rFonts w:ascii="Times New Roman" w:hAnsi="Times New Roman" w:eastAsia="宋体" w:cs="Times New Roman"/>
      <w:szCs w:val="20"/>
      <w:shd w:val="clear" w:color="auto" w:fill="000080"/>
    </w:rPr>
  </w:style>
  <w:style w:type="character" w:customStyle="1" w:styleId="47">
    <w:name w:val="正文文本缩进 Char"/>
    <w:basedOn w:val="32"/>
    <w:link w:val="15"/>
    <w:qFormat/>
    <w:uiPriority w:val="0"/>
    <w:rPr>
      <w:rFonts w:ascii="Times New Roman" w:hAnsi="Times New Roman" w:eastAsia="宋体" w:cs="Times New Roman"/>
      <w:sz w:val="24"/>
      <w:szCs w:val="20"/>
    </w:rPr>
  </w:style>
  <w:style w:type="character" w:customStyle="1" w:styleId="48">
    <w:name w:val="纯文本 Char"/>
    <w:basedOn w:val="32"/>
    <w:link w:val="17"/>
    <w:qFormat/>
    <w:uiPriority w:val="0"/>
    <w:rPr>
      <w:rFonts w:ascii="宋体" w:hAnsi="Courier New" w:eastAsia="宋体" w:cs="Times New Roman"/>
      <w:szCs w:val="20"/>
    </w:rPr>
  </w:style>
  <w:style w:type="character" w:customStyle="1" w:styleId="49">
    <w:name w:val="日期 Char"/>
    <w:basedOn w:val="32"/>
    <w:link w:val="18"/>
    <w:qFormat/>
    <w:uiPriority w:val="0"/>
    <w:rPr>
      <w:rFonts w:ascii="Times New Roman" w:hAnsi="Times New Roman" w:eastAsia="宋体" w:cs="Times New Roman"/>
      <w:szCs w:val="20"/>
    </w:rPr>
  </w:style>
  <w:style w:type="character" w:customStyle="1" w:styleId="50">
    <w:name w:val="正文文本缩进 2 Char"/>
    <w:basedOn w:val="32"/>
    <w:link w:val="19"/>
    <w:qFormat/>
    <w:uiPriority w:val="0"/>
    <w:rPr>
      <w:rFonts w:ascii="Times New Roman" w:hAnsi="Times New Roman" w:eastAsia="宋体" w:cs="Times New Roman"/>
      <w:szCs w:val="20"/>
    </w:rPr>
  </w:style>
  <w:style w:type="character" w:customStyle="1" w:styleId="51">
    <w:name w:val="批注框文本 Char"/>
    <w:basedOn w:val="32"/>
    <w:link w:val="20"/>
    <w:qFormat/>
    <w:uiPriority w:val="0"/>
    <w:rPr>
      <w:rFonts w:ascii="Times New Roman" w:hAnsi="Times New Roman" w:eastAsia="宋体" w:cs="Times New Roman"/>
      <w:sz w:val="18"/>
      <w:szCs w:val="18"/>
    </w:rPr>
  </w:style>
  <w:style w:type="character" w:customStyle="1" w:styleId="52">
    <w:name w:val="正文文本 2 Char"/>
    <w:basedOn w:val="32"/>
    <w:link w:val="25"/>
    <w:qFormat/>
    <w:uiPriority w:val="0"/>
    <w:rPr>
      <w:rFonts w:ascii="Times New Roman" w:hAnsi="Times New Roman" w:eastAsia="宋体" w:cs="Times New Roman"/>
      <w:szCs w:val="24"/>
    </w:rPr>
  </w:style>
  <w:style w:type="character" w:customStyle="1" w:styleId="53">
    <w:name w:val="标题 Char"/>
    <w:basedOn w:val="32"/>
    <w:link w:val="27"/>
    <w:qFormat/>
    <w:uiPriority w:val="0"/>
    <w:rPr>
      <w:rFonts w:ascii="等线 Light" w:hAnsi="等线 Light" w:eastAsia="宋体" w:cs="黑体"/>
      <w:b/>
      <w:bCs/>
      <w:kern w:val="0"/>
      <w:sz w:val="32"/>
      <w:szCs w:val="32"/>
    </w:rPr>
  </w:style>
  <w:style w:type="paragraph" w:customStyle="1" w:styleId="54">
    <w:name w:val="Char Char"/>
    <w:basedOn w:val="1"/>
    <w:qFormat/>
    <w:uiPriority w:val="0"/>
    <w:pPr>
      <w:adjustRightInd w:val="0"/>
      <w:spacing w:line="360" w:lineRule="atLeast"/>
    </w:pPr>
    <w:rPr>
      <w:szCs w:val="24"/>
    </w:rPr>
  </w:style>
  <w:style w:type="paragraph" w:customStyle="1" w:styleId="55">
    <w:name w:val="列表段落1"/>
    <w:basedOn w:val="1"/>
    <w:qFormat/>
    <w:uiPriority w:val="0"/>
    <w:pPr>
      <w:ind w:firstLine="420" w:firstLineChars="200"/>
    </w:pPr>
    <w:rPr>
      <w:rFonts w:ascii="Calibri" w:hAnsi="Calibri"/>
    </w:rPr>
  </w:style>
  <w:style w:type="paragraph" w:customStyle="1" w:styleId="56">
    <w:name w:val="Char Char Char Char Char Char Char Char Char Char Char Char Char"/>
    <w:basedOn w:val="1"/>
    <w:qFormat/>
    <w:uiPriority w:val="0"/>
    <w:rPr>
      <w:sz w:val="30"/>
      <w:szCs w:val="24"/>
    </w:rPr>
  </w:style>
  <w:style w:type="paragraph" w:customStyle="1" w:styleId="57">
    <w:name w:val="字元 字元"/>
    <w:basedOn w:val="1"/>
    <w:qFormat/>
    <w:uiPriority w:val="0"/>
    <w:rPr>
      <w:sz w:val="30"/>
      <w:szCs w:val="24"/>
    </w:rPr>
  </w:style>
  <w:style w:type="paragraph" w:customStyle="1" w:styleId="58">
    <w:name w:val="Char Char Char Char Char Char Char Char Char Char Char Char Char Char Char Char Char Char Char Char Char Char Char Char Char Char Char Char"/>
    <w:basedOn w:val="1"/>
    <w:qFormat/>
    <w:uiPriority w:val="0"/>
    <w:rPr>
      <w:sz w:val="30"/>
      <w:szCs w:val="24"/>
    </w:rPr>
  </w:style>
  <w:style w:type="paragraph" w:customStyle="1" w:styleId="59">
    <w:name w:val="Char Char1"/>
    <w:basedOn w:val="1"/>
    <w:qFormat/>
    <w:uiPriority w:val="0"/>
    <w:rPr>
      <w:sz w:val="30"/>
      <w:szCs w:val="24"/>
    </w:rPr>
  </w:style>
  <w:style w:type="paragraph" w:customStyle="1" w:styleId="60">
    <w:name w:val="Char Char Char Char Char Char Char Char Char Char Char Char Char1"/>
    <w:basedOn w:val="1"/>
    <w:qFormat/>
    <w:uiPriority w:val="0"/>
    <w:rPr>
      <w:sz w:val="30"/>
      <w:szCs w:val="24"/>
    </w:rPr>
  </w:style>
  <w:style w:type="paragraph" w:customStyle="1" w:styleId="61">
    <w:name w:val="列出段落1"/>
    <w:basedOn w:val="1"/>
    <w:qFormat/>
    <w:uiPriority w:val="0"/>
    <w:pPr>
      <w:ind w:firstLine="420" w:firstLineChars="200"/>
    </w:pPr>
    <w:rPr>
      <w:rFonts w:ascii="Calibri" w:hAnsi="Calibri"/>
      <w:szCs w:val="22"/>
    </w:rPr>
  </w:style>
  <w:style w:type="paragraph" w:customStyle="1" w:styleId="62">
    <w:name w:val="缺省文本"/>
    <w:basedOn w:val="1"/>
    <w:qFormat/>
    <w:uiPriority w:val="0"/>
    <w:pPr>
      <w:autoSpaceDE w:val="0"/>
      <w:autoSpaceDN w:val="0"/>
      <w:adjustRightInd w:val="0"/>
      <w:jc w:val="left"/>
    </w:pPr>
    <w:rPr>
      <w:kern w:val="0"/>
      <w:sz w:val="24"/>
      <w:szCs w:val="24"/>
    </w:rPr>
  </w:style>
  <w:style w:type="paragraph" w:customStyle="1" w:styleId="63">
    <w:name w:val="Char"/>
    <w:basedOn w:val="1"/>
    <w:qFormat/>
    <w:uiPriority w:val="0"/>
    <w:rPr>
      <w:sz w:val="30"/>
      <w:szCs w:val="24"/>
    </w:rPr>
  </w:style>
  <w:style w:type="character" w:customStyle="1" w:styleId="64">
    <w:name w:val="tpc_content"/>
    <w:basedOn w:val="32"/>
    <w:qFormat/>
    <w:uiPriority w:val="0"/>
  </w:style>
  <w:style w:type="paragraph" w:customStyle="1" w:styleId="65">
    <w:name w:val="无间隔1"/>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66">
    <w:name w:val="apple-converted-space"/>
    <w:basedOn w:val="32"/>
    <w:qFormat/>
    <w:uiPriority w:val="0"/>
  </w:style>
  <w:style w:type="paragraph" w:customStyle="1" w:styleId="67">
    <w:name w:val="列出段落11"/>
    <w:basedOn w:val="1"/>
    <w:qFormat/>
    <w:uiPriority w:val="0"/>
    <w:pPr>
      <w:ind w:firstLine="420" w:firstLineChars="200"/>
    </w:pPr>
    <w:rPr>
      <w:rFonts w:ascii="Calibri" w:hAnsi="Calibri"/>
      <w:szCs w:val="22"/>
    </w:rPr>
  </w:style>
  <w:style w:type="character" w:customStyle="1" w:styleId="68">
    <w:name w:val="09表南沙医院 Char"/>
    <w:link w:val="69"/>
    <w:qFormat/>
    <w:uiPriority w:val="0"/>
    <w:rPr>
      <w:rFonts w:ascii="黑体" w:hAnsi="黑体" w:eastAsia="黑体"/>
      <w:szCs w:val="21"/>
    </w:rPr>
  </w:style>
  <w:style w:type="paragraph" w:customStyle="1" w:styleId="69">
    <w:name w:val="09表南沙医院"/>
    <w:basedOn w:val="1"/>
    <w:next w:val="1"/>
    <w:link w:val="68"/>
    <w:qFormat/>
    <w:uiPriority w:val="0"/>
    <w:pPr>
      <w:keepNext/>
      <w:overflowPunct w:val="0"/>
      <w:jc w:val="center"/>
    </w:pPr>
    <w:rPr>
      <w:rFonts w:ascii="黑体" w:hAnsi="黑体" w:eastAsia="黑体" w:cstheme="minorBidi"/>
      <w:szCs w:val="21"/>
    </w:rPr>
  </w:style>
  <w:style w:type="character" w:customStyle="1" w:styleId="70">
    <w:name w:val="07表名南沙医院 Char"/>
    <w:link w:val="71"/>
    <w:qFormat/>
    <w:uiPriority w:val="0"/>
    <w:rPr>
      <w:rFonts w:ascii="黑体" w:hAnsi="黑体" w:eastAsia="黑体"/>
      <w:szCs w:val="21"/>
    </w:rPr>
  </w:style>
  <w:style w:type="paragraph" w:customStyle="1" w:styleId="71">
    <w:name w:val="07表名南沙医院"/>
    <w:next w:val="1"/>
    <w:link w:val="70"/>
    <w:qFormat/>
    <w:uiPriority w:val="0"/>
    <w:pPr>
      <w:keepNext/>
      <w:numPr>
        <w:ilvl w:val="7"/>
        <w:numId w:val="1"/>
      </w:numPr>
      <w:overflowPunct w:val="0"/>
    </w:pPr>
    <w:rPr>
      <w:rFonts w:ascii="黑体" w:hAnsi="黑体" w:eastAsia="黑体" w:cstheme="minorBidi"/>
      <w:kern w:val="2"/>
      <w:sz w:val="21"/>
      <w:szCs w:val="21"/>
      <w:lang w:val="en-US" w:eastAsia="zh-CN" w:bidi="ar-SA"/>
    </w:rPr>
  </w:style>
  <w:style w:type="character" w:customStyle="1" w:styleId="72">
    <w:name w:val="03条南沙医院 Char"/>
    <w:link w:val="73"/>
    <w:qFormat/>
    <w:uiPriority w:val="0"/>
    <w:rPr>
      <w:rFonts w:ascii="黑体" w:hAnsi="Calibri" w:eastAsia="黑体"/>
      <w:bCs/>
      <w:sz w:val="28"/>
      <w:szCs w:val="28"/>
    </w:rPr>
  </w:style>
  <w:style w:type="paragraph" w:customStyle="1" w:styleId="73">
    <w:name w:val="03条南沙医院"/>
    <w:next w:val="1"/>
    <w:link w:val="72"/>
    <w:qFormat/>
    <w:uiPriority w:val="0"/>
    <w:pPr>
      <w:numPr>
        <w:ilvl w:val="2"/>
        <w:numId w:val="1"/>
      </w:numPr>
      <w:overflowPunct w:val="0"/>
      <w:spacing w:line="360" w:lineRule="auto"/>
      <w:outlineLvl w:val="2"/>
    </w:pPr>
    <w:rPr>
      <w:rFonts w:ascii="黑体" w:hAnsi="Calibri" w:eastAsia="黑体" w:cstheme="minorBidi"/>
      <w:bCs/>
      <w:kern w:val="2"/>
      <w:sz w:val="28"/>
      <w:szCs w:val="28"/>
      <w:lang w:val="en-US" w:eastAsia="zh-CN" w:bidi="ar-SA"/>
    </w:rPr>
  </w:style>
  <w:style w:type="paragraph" w:customStyle="1" w:styleId="74">
    <w:name w:val="批注主题1"/>
    <w:basedOn w:val="13"/>
    <w:next w:val="13"/>
    <w:qFormat/>
    <w:uiPriority w:val="0"/>
    <w:rPr>
      <w:b/>
      <w:bCs/>
      <w:kern w:val="0"/>
      <w:sz w:val="20"/>
    </w:rPr>
  </w:style>
  <w:style w:type="character" w:customStyle="1" w:styleId="75">
    <w:name w:val="04款南沙医院 Char"/>
    <w:link w:val="76"/>
    <w:qFormat/>
    <w:uiPriority w:val="0"/>
    <w:rPr>
      <w:rFonts w:ascii="黑体" w:eastAsia="黑体"/>
      <w:sz w:val="28"/>
      <w:szCs w:val="28"/>
    </w:rPr>
  </w:style>
  <w:style w:type="paragraph" w:customStyle="1" w:styleId="76">
    <w:name w:val="04款南沙医院"/>
    <w:basedOn w:val="1"/>
    <w:next w:val="1"/>
    <w:link w:val="75"/>
    <w:qFormat/>
    <w:uiPriority w:val="0"/>
    <w:pPr>
      <w:widowControl/>
      <w:numPr>
        <w:ilvl w:val="3"/>
        <w:numId w:val="1"/>
      </w:numPr>
      <w:spacing w:line="360" w:lineRule="auto"/>
      <w:outlineLvl w:val="3"/>
    </w:pPr>
    <w:rPr>
      <w:rFonts w:ascii="黑体" w:eastAsia="黑体" w:hAnsiTheme="minorHAnsi" w:cstheme="minorBidi"/>
      <w:sz w:val="28"/>
      <w:szCs w:val="28"/>
    </w:rPr>
  </w:style>
  <w:style w:type="character" w:customStyle="1" w:styleId="77">
    <w:name w:val="06正文南沙医院 Char"/>
    <w:link w:val="78"/>
    <w:qFormat/>
    <w:uiPriority w:val="0"/>
    <w:rPr>
      <w:rFonts w:ascii="等线" w:hAnsi="宋体"/>
      <w:color w:val="000000"/>
      <w:sz w:val="24"/>
      <w:szCs w:val="24"/>
    </w:rPr>
  </w:style>
  <w:style w:type="paragraph" w:customStyle="1" w:styleId="78">
    <w:name w:val="06正文南沙医院"/>
    <w:link w:val="77"/>
    <w:qFormat/>
    <w:uiPriority w:val="0"/>
    <w:pPr>
      <w:overflowPunct w:val="0"/>
      <w:spacing w:line="360" w:lineRule="auto"/>
      <w:ind w:firstLine="200" w:firstLineChars="200"/>
    </w:pPr>
    <w:rPr>
      <w:rFonts w:ascii="等线" w:hAnsi="宋体" w:eastAsiaTheme="minorEastAsia" w:cstheme="minorBidi"/>
      <w:color w:val="000000"/>
      <w:kern w:val="2"/>
      <w:sz w:val="24"/>
      <w:szCs w:val="24"/>
      <w:lang w:val="en-US" w:eastAsia="zh-CN" w:bidi="ar-SA"/>
    </w:rPr>
  </w:style>
  <w:style w:type="character" w:customStyle="1" w:styleId="79">
    <w:name w:val="07目南沙医院 Char"/>
    <w:basedOn w:val="70"/>
    <w:link w:val="80"/>
    <w:qFormat/>
    <w:uiPriority w:val="0"/>
    <w:rPr>
      <w:rFonts w:ascii="宋体" w:hAnsi="黑体" w:eastAsia="黑体"/>
      <w:sz w:val="24"/>
      <w:szCs w:val="24"/>
    </w:rPr>
  </w:style>
  <w:style w:type="paragraph" w:customStyle="1" w:styleId="80">
    <w:name w:val="07目南沙医院"/>
    <w:basedOn w:val="71"/>
    <w:link w:val="79"/>
    <w:qFormat/>
    <w:uiPriority w:val="0"/>
    <w:pPr>
      <w:keepNext w:val="0"/>
      <w:numPr>
        <w:numId w:val="0"/>
      </w:numPr>
      <w:spacing w:line="360" w:lineRule="auto"/>
    </w:pPr>
    <w:rPr>
      <w:rFonts w:ascii="宋体"/>
      <w:sz w:val="24"/>
      <w:szCs w:val="24"/>
    </w:rPr>
  </w:style>
  <w:style w:type="character" w:customStyle="1" w:styleId="81">
    <w:name w:val="批注引用1"/>
    <w:basedOn w:val="32"/>
    <w:qFormat/>
    <w:uiPriority w:val="0"/>
    <w:rPr>
      <w:sz w:val="21"/>
      <w:szCs w:val="21"/>
    </w:rPr>
  </w:style>
  <w:style w:type="character" w:customStyle="1" w:styleId="82">
    <w:name w:val="01章南沙医院 Char"/>
    <w:basedOn w:val="32"/>
    <w:link w:val="83"/>
    <w:qFormat/>
    <w:uiPriority w:val="0"/>
    <w:rPr>
      <w:rFonts w:ascii="黑体" w:hAnsi="黑体" w:eastAsia="黑体"/>
      <w:kern w:val="44"/>
      <w:sz w:val="32"/>
      <w:szCs w:val="32"/>
    </w:rPr>
  </w:style>
  <w:style w:type="paragraph" w:customStyle="1" w:styleId="83">
    <w:name w:val="01章南沙医院"/>
    <w:next w:val="1"/>
    <w:link w:val="82"/>
    <w:qFormat/>
    <w:uiPriority w:val="0"/>
    <w:pPr>
      <w:numPr>
        <w:ilvl w:val="0"/>
        <w:numId w:val="1"/>
      </w:numPr>
      <w:overflowPunct w:val="0"/>
      <w:spacing w:line="360" w:lineRule="auto"/>
      <w:outlineLvl w:val="0"/>
    </w:pPr>
    <w:rPr>
      <w:rFonts w:ascii="黑体" w:hAnsi="黑体" w:eastAsia="黑体" w:cstheme="minorBidi"/>
      <w:kern w:val="44"/>
      <w:sz w:val="32"/>
      <w:szCs w:val="32"/>
      <w:lang w:val="en-US" w:eastAsia="zh-CN" w:bidi="ar-SA"/>
    </w:rPr>
  </w:style>
  <w:style w:type="character" w:customStyle="1" w:styleId="84">
    <w:name w:val="02节南沙医院 Char"/>
    <w:link w:val="85"/>
    <w:qFormat/>
    <w:uiPriority w:val="0"/>
    <w:rPr>
      <w:rFonts w:ascii="黑体" w:hAnsi="Cambria" w:eastAsia="黑体"/>
      <w:bCs/>
      <w:sz w:val="28"/>
      <w:szCs w:val="28"/>
    </w:rPr>
  </w:style>
  <w:style w:type="paragraph" w:customStyle="1" w:styleId="85">
    <w:name w:val="02节南沙医院"/>
    <w:next w:val="1"/>
    <w:link w:val="84"/>
    <w:qFormat/>
    <w:uiPriority w:val="0"/>
    <w:pPr>
      <w:numPr>
        <w:ilvl w:val="1"/>
        <w:numId w:val="1"/>
      </w:numPr>
      <w:overflowPunct w:val="0"/>
      <w:spacing w:line="360" w:lineRule="auto"/>
    </w:pPr>
    <w:rPr>
      <w:rFonts w:ascii="黑体" w:hAnsi="Cambria" w:eastAsia="黑体" w:cstheme="minorBidi"/>
      <w:bCs/>
      <w:kern w:val="2"/>
      <w:sz w:val="28"/>
      <w:szCs w:val="28"/>
      <w:lang w:val="en-US" w:eastAsia="zh-CN" w:bidi="ar-SA"/>
    </w:rPr>
  </w:style>
  <w:style w:type="paragraph" w:customStyle="1" w:styleId="86">
    <w:name w:val="日期1"/>
    <w:basedOn w:val="1"/>
    <w:next w:val="1"/>
    <w:qFormat/>
    <w:uiPriority w:val="0"/>
    <w:pPr>
      <w:ind w:left="100" w:leftChars="2500"/>
    </w:pPr>
    <w:rPr>
      <w:kern w:val="0"/>
      <w:sz w:val="20"/>
    </w:rPr>
  </w:style>
  <w:style w:type="character" w:customStyle="1" w:styleId="87">
    <w:name w:val="09表内居中南沙医院 Char"/>
    <w:link w:val="88"/>
    <w:qFormat/>
    <w:uiPriority w:val="0"/>
    <w:rPr>
      <w:rFonts w:ascii="等线" w:hAnsi="宋体"/>
      <w:color w:val="000000"/>
      <w:szCs w:val="21"/>
    </w:rPr>
  </w:style>
  <w:style w:type="paragraph" w:customStyle="1" w:styleId="88">
    <w:name w:val="09表内居中南沙医院"/>
    <w:link w:val="87"/>
    <w:qFormat/>
    <w:uiPriority w:val="0"/>
    <w:pPr>
      <w:jc w:val="center"/>
    </w:pPr>
    <w:rPr>
      <w:rFonts w:ascii="等线" w:hAnsi="宋体" w:eastAsiaTheme="minorEastAsia" w:cstheme="minorBidi"/>
      <w:color w:val="000000"/>
      <w:kern w:val="2"/>
      <w:sz w:val="21"/>
      <w:szCs w:val="21"/>
      <w:lang w:val="en-US" w:eastAsia="zh-CN" w:bidi="ar-SA"/>
    </w:rPr>
  </w:style>
  <w:style w:type="character" w:customStyle="1" w:styleId="89">
    <w:name w:val="08图名南沙医院 Char"/>
    <w:link w:val="90"/>
    <w:qFormat/>
    <w:uiPriority w:val="0"/>
    <w:rPr>
      <w:rFonts w:ascii="黑体" w:hAnsi="黑体" w:eastAsia="黑体"/>
      <w:szCs w:val="21"/>
    </w:rPr>
  </w:style>
  <w:style w:type="paragraph" w:customStyle="1" w:styleId="90">
    <w:name w:val="08图名南沙医院"/>
    <w:next w:val="78"/>
    <w:link w:val="89"/>
    <w:qFormat/>
    <w:uiPriority w:val="0"/>
    <w:pPr>
      <w:widowControl w:val="0"/>
      <w:numPr>
        <w:ilvl w:val="8"/>
        <w:numId w:val="1"/>
      </w:numPr>
    </w:pPr>
    <w:rPr>
      <w:rFonts w:ascii="黑体" w:hAnsi="黑体" w:eastAsia="黑体" w:cstheme="minorBidi"/>
      <w:kern w:val="2"/>
      <w:sz w:val="21"/>
      <w:szCs w:val="21"/>
      <w:lang w:val="en-US" w:eastAsia="zh-CN" w:bidi="ar-SA"/>
    </w:rPr>
  </w:style>
  <w:style w:type="character" w:customStyle="1" w:styleId="91">
    <w:name w:val="10表内左对齐南沙医院 Char"/>
    <w:link w:val="92"/>
    <w:qFormat/>
    <w:uiPriority w:val="0"/>
    <w:rPr>
      <w:rFonts w:ascii="等线" w:hAnsi="宋体"/>
      <w:color w:val="000000"/>
      <w:szCs w:val="21"/>
    </w:rPr>
  </w:style>
  <w:style w:type="paragraph" w:customStyle="1" w:styleId="92">
    <w:name w:val="10表内左对齐南沙医院"/>
    <w:basedOn w:val="88"/>
    <w:link w:val="91"/>
    <w:qFormat/>
    <w:uiPriority w:val="0"/>
    <w:pPr>
      <w:widowControl w:val="0"/>
      <w:spacing w:line="360" w:lineRule="auto"/>
      <w:ind w:firstLine="200" w:firstLineChars="200"/>
      <w:jc w:val="left"/>
    </w:pPr>
  </w:style>
  <w:style w:type="character" w:customStyle="1" w:styleId="93">
    <w:name w:val="标题 字符1"/>
    <w:basedOn w:val="32"/>
    <w:qFormat/>
    <w:uiPriority w:val="10"/>
    <w:rPr>
      <w:rFonts w:asciiTheme="majorHAnsi" w:hAnsiTheme="majorHAnsi" w:eastAsiaTheme="majorEastAsia" w:cstheme="majorBidi"/>
      <w:b/>
      <w:bCs/>
      <w:kern w:val="2"/>
      <w:sz w:val="32"/>
      <w:szCs w:val="32"/>
    </w:rPr>
  </w:style>
  <w:style w:type="paragraph" w:customStyle="1" w:styleId="94">
    <w:name w:val="List Paragraph1"/>
    <w:basedOn w:val="1"/>
    <w:qFormat/>
    <w:uiPriority w:val="0"/>
    <w:pPr>
      <w:ind w:firstLine="420" w:firstLineChars="200"/>
    </w:pPr>
    <w:rPr>
      <w:rFonts w:ascii="等线" w:hAnsi="等线" w:eastAsia="等线" w:cs="黑体"/>
      <w:szCs w:val="22"/>
    </w:rPr>
  </w:style>
  <w:style w:type="paragraph" w:customStyle="1" w:styleId="95">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paragraph" w:customStyle="1" w:styleId="96">
    <w:name w:val="八局级1部分"/>
    <w:basedOn w:val="1"/>
    <w:link w:val="98"/>
    <w:qFormat/>
    <w:uiPriority w:val="0"/>
    <w:pPr>
      <w:widowControl/>
      <w:spacing w:line="360" w:lineRule="auto"/>
      <w:jc w:val="center"/>
      <w:outlineLvl w:val="0"/>
    </w:pPr>
    <w:rPr>
      <w:b/>
      <w:sz w:val="32"/>
    </w:rPr>
  </w:style>
  <w:style w:type="paragraph" w:customStyle="1" w:styleId="97">
    <w:name w:val="八局级2条"/>
    <w:basedOn w:val="1"/>
    <w:link w:val="100"/>
    <w:qFormat/>
    <w:uiPriority w:val="0"/>
    <w:pPr>
      <w:snapToGrid w:val="0"/>
      <w:spacing w:line="360" w:lineRule="auto"/>
      <w:ind w:firstLine="200" w:firstLineChars="200"/>
      <w:contextualSpacing/>
      <w:outlineLvl w:val="1"/>
    </w:pPr>
    <w:rPr>
      <w:rFonts w:ascii="宋体" w:hAnsi="宋体"/>
      <w:b/>
      <w:szCs w:val="21"/>
    </w:rPr>
  </w:style>
  <w:style w:type="character" w:customStyle="1" w:styleId="98">
    <w:name w:val="八局级1部分 字符"/>
    <w:basedOn w:val="32"/>
    <w:link w:val="96"/>
    <w:qFormat/>
    <w:uiPriority w:val="0"/>
    <w:rPr>
      <w:rFonts w:ascii="Times New Roman" w:hAnsi="Times New Roman" w:eastAsia="宋体" w:cs="Times New Roman"/>
      <w:b/>
      <w:sz w:val="32"/>
      <w:szCs w:val="20"/>
    </w:rPr>
  </w:style>
  <w:style w:type="paragraph" w:customStyle="1" w:styleId="99">
    <w:name w:val="TOC 标题1"/>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color w:val="2F5597" w:themeColor="accent1" w:themeShade="BF"/>
      <w:kern w:val="0"/>
      <w:szCs w:val="32"/>
    </w:rPr>
  </w:style>
  <w:style w:type="character" w:customStyle="1" w:styleId="100">
    <w:name w:val="八局级2条 字符"/>
    <w:basedOn w:val="32"/>
    <w:link w:val="97"/>
    <w:qFormat/>
    <w:uiPriority w:val="0"/>
    <w:rPr>
      <w:rFonts w:ascii="宋体" w:hAnsi="宋体" w:eastAsia="宋体" w:cs="Times New Roman"/>
      <w:b/>
      <w:szCs w:val="21"/>
    </w:rPr>
  </w:style>
  <w:style w:type="paragraph" w:customStyle="1" w:styleId="101">
    <w:name w:val="八局正文"/>
    <w:basedOn w:val="1"/>
    <w:link w:val="102"/>
    <w:qFormat/>
    <w:uiPriority w:val="0"/>
    <w:pPr>
      <w:adjustRightInd w:val="0"/>
      <w:snapToGrid w:val="0"/>
      <w:spacing w:line="360" w:lineRule="auto"/>
      <w:ind w:firstLine="200" w:firstLineChars="200"/>
    </w:pPr>
    <w:rPr>
      <w:u w:val="single"/>
    </w:rPr>
  </w:style>
  <w:style w:type="character" w:customStyle="1" w:styleId="102">
    <w:name w:val="八局正文 字符"/>
    <w:basedOn w:val="32"/>
    <w:link w:val="101"/>
    <w:qFormat/>
    <w:uiPriority w:val="0"/>
    <w:rPr>
      <w:rFonts w:ascii="Times New Roman" w:hAnsi="Times New Roman" w:eastAsia="宋体" w:cs="Times New Roman"/>
      <w:szCs w:val="20"/>
      <w:u w:val="single"/>
    </w:rPr>
  </w:style>
  <w:style w:type="character" w:customStyle="1" w:styleId="103">
    <w:name w:val="标题 4 Char"/>
    <w:basedOn w:val="32"/>
    <w:link w:val="5"/>
    <w:qFormat/>
    <w:uiPriority w:val="0"/>
    <w:rPr>
      <w:rFonts w:ascii="Arial" w:hAnsi="Arial" w:eastAsia="黑体" w:cs="Times New Roman"/>
      <w:b/>
      <w:bCs/>
      <w:sz w:val="28"/>
      <w:szCs w:val="28"/>
      <w:lang w:bidi="he-IL"/>
    </w:rPr>
  </w:style>
  <w:style w:type="character" w:customStyle="1" w:styleId="104">
    <w:name w:val="标题 5 Char"/>
    <w:basedOn w:val="32"/>
    <w:link w:val="6"/>
    <w:qFormat/>
    <w:uiPriority w:val="0"/>
    <w:rPr>
      <w:rFonts w:ascii="Calibri" w:hAnsi="Calibri" w:eastAsia="宋体" w:cs="Times New Roman"/>
      <w:b/>
      <w:bCs/>
      <w:sz w:val="28"/>
      <w:szCs w:val="28"/>
      <w:lang w:bidi="he-IL"/>
    </w:rPr>
  </w:style>
  <w:style w:type="character" w:customStyle="1" w:styleId="105">
    <w:name w:val="标题 6 Char"/>
    <w:basedOn w:val="32"/>
    <w:link w:val="7"/>
    <w:qFormat/>
    <w:uiPriority w:val="0"/>
    <w:rPr>
      <w:rFonts w:ascii="Arial" w:hAnsi="Arial" w:eastAsia="黑体" w:cs="Times New Roman"/>
      <w:b/>
      <w:bCs/>
      <w:sz w:val="24"/>
      <w:szCs w:val="24"/>
      <w:lang w:bidi="he-IL"/>
    </w:rPr>
  </w:style>
  <w:style w:type="character" w:customStyle="1" w:styleId="106">
    <w:name w:val="标题 7 Char"/>
    <w:basedOn w:val="32"/>
    <w:link w:val="8"/>
    <w:qFormat/>
    <w:uiPriority w:val="0"/>
    <w:rPr>
      <w:rFonts w:ascii="Calibri" w:hAnsi="Calibri" w:eastAsia="宋体" w:cs="Times New Roman"/>
      <w:b/>
      <w:bCs/>
      <w:sz w:val="24"/>
      <w:szCs w:val="24"/>
      <w:lang w:bidi="he-IL"/>
    </w:rPr>
  </w:style>
  <w:style w:type="character" w:customStyle="1" w:styleId="107">
    <w:name w:val="标题 8 Char"/>
    <w:basedOn w:val="32"/>
    <w:link w:val="9"/>
    <w:qFormat/>
    <w:uiPriority w:val="0"/>
    <w:rPr>
      <w:rFonts w:ascii="Arial" w:hAnsi="Arial" w:eastAsia="黑体" w:cs="Times New Roman"/>
      <w:sz w:val="24"/>
      <w:szCs w:val="24"/>
      <w:lang w:bidi="he-IL"/>
    </w:rPr>
  </w:style>
  <w:style w:type="character" w:customStyle="1" w:styleId="108">
    <w:name w:val="标题 9 Char"/>
    <w:basedOn w:val="32"/>
    <w:link w:val="10"/>
    <w:qFormat/>
    <w:uiPriority w:val="0"/>
    <w:rPr>
      <w:rFonts w:ascii="Arial" w:hAnsi="Arial" w:eastAsia="黑体" w:cs="Times New Roman"/>
      <w:szCs w:val="21"/>
      <w:lang w:bidi="he-IL"/>
    </w:rPr>
  </w:style>
  <w:style w:type="character" w:customStyle="1" w:styleId="109">
    <w:name w:val="aa1"/>
    <w:qFormat/>
    <w:uiPriority w:val="0"/>
    <w:rPr>
      <w:rFonts w:hint="eastAsia" w:ascii="宋体" w:hAnsi="宋体" w:eastAsia="宋体"/>
      <w:sz w:val="18"/>
      <w:szCs w:val="18"/>
    </w:rPr>
  </w:style>
  <w:style w:type="paragraph" w:customStyle="1" w:styleId="110">
    <w:name w:val="Char Char Char Char Char Char Char Char Char Char Char Char Char Char Char Char Char Char Char"/>
    <w:basedOn w:val="1"/>
    <w:qFormat/>
    <w:uiPriority w:val="0"/>
    <w:rPr>
      <w:rFonts w:ascii="Calibri" w:hAnsi="Calibri"/>
      <w:sz w:val="30"/>
      <w:szCs w:val="24"/>
    </w:rPr>
  </w:style>
  <w:style w:type="paragraph" w:customStyle="1" w:styleId="111">
    <w:name w:val="Char1"/>
    <w:basedOn w:val="1"/>
    <w:qFormat/>
    <w:uiPriority w:val="0"/>
    <w:rPr>
      <w:rFonts w:ascii="Calibri" w:hAnsi="Calibri"/>
      <w:sz w:val="30"/>
      <w:szCs w:val="24"/>
    </w:rPr>
  </w:style>
  <w:style w:type="paragraph" w:customStyle="1" w:styleId="112">
    <w:name w:val="Char Char Char Char Char Char Char Char Char Char Char Char Char2"/>
    <w:basedOn w:val="1"/>
    <w:qFormat/>
    <w:uiPriority w:val="0"/>
    <w:rPr>
      <w:rFonts w:ascii="Calibri" w:hAnsi="Calibri"/>
      <w:sz w:val="30"/>
      <w:szCs w:val="24"/>
    </w:rPr>
  </w:style>
  <w:style w:type="paragraph" w:customStyle="1" w:styleId="113">
    <w:name w:val="Char Char Char Char Char Char Char Char Char Char Char Char Char Char Char Char Char Char Char1"/>
    <w:basedOn w:val="1"/>
    <w:qFormat/>
    <w:uiPriority w:val="0"/>
    <w:rPr>
      <w:rFonts w:ascii="Calibri" w:hAnsi="Calibri"/>
      <w:sz w:val="30"/>
      <w:szCs w:val="24"/>
    </w:rPr>
  </w:style>
  <w:style w:type="paragraph" w:styleId="114">
    <w:name w:val="List Paragraph"/>
    <w:basedOn w:val="1"/>
    <w:qFormat/>
    <w:uiPriority w:val="34"/>
    <w:pPr>
      <w:ind w:firstLine="420" w:firstLineChars="200"/>
    </w:pPr>
    <w:rPr>
      <w:rFonts w:ascii="Calibri" w:hAnsi="Calibri"/>
      <w:szCs w:val="24"/>
    </w:rPr>
  </w:style>
  <w:style w:type="paragraph" w:customStyle="1" w:styleId="115">
    <w:name w:val="样式 首行缩进:  2 字符"/>
    <w:basedOn w:val="1"/>
    <w:qFormat/>
    <w:uiPriority w:val="0"/>
    <w:pPr>
      <w:widowControl/>
      <w:ind w:firstLine="560"/>
    </w:pPr>
    <w:rPr>
      <w:rFonts w:ascii="Calibri" w:hAnsi="Calibri" w:eastAsia="仿宋_GB2312" w:cs="宋体"/>
      <w:sz w:val="24"/>
    </w:rPr>
  </w:style>
  <w:style w:type="paragraph" w:styleId="11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17">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8">
    <w:name w:val="15"/>
    <w:basedOn w:val="32"/>
    <w:qFormat/>
    <w:uiPriority w:val="0"/>
    <w:rPr>
      <w:rFonts w:hint="default" w:ascii="Calibri" w:hAnsi="Calibri" w:cs="Calibri"/>
    </w:rPr>
  </w:style>
  <w:style w:type="character" w:customStyle="1" w:styleId="119">
    <w:name w:val="short_text"/>
    <w:basedOn w:val="32"/>
    <w:qFormat/>
    <w:uiPriority w:val="0"/>
  </w:style>
  <w:style w:type="paragraph" w:customStyle="1" w:styleId="120">
    <w:name w:val="09表中文字"/>
    <w:qFormat/>
    <w:uiPriority w:val="0"/>
    <w:pPr>
      <w:jc w:val="both"/>
      <w:textAlignment w:val="center"/>
    </w:pPr>
    <w:rPr>
      <w:rFonts w:ascii="仿宋_GB2312" w:hAnsi="仿宋_GB2312" w:eastAsia="仿宋_GB2312" w:cs="仿宋_GB231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30676</Words>
  <Characters>32354</Characters>
  <Lines>278</Lines>
  <Paragraphs>78</Paragraphs>
  <TotalTime>352</TotalTime>
  <ScaleCrop>false</ScaleCrop>
  <LinksUpToDate>false</LinksUpToDate>
  <CharactersWithSpaces>35376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2024-08-08T03:01:00Z</dcterms:created>
  <dc:creator>Reizlaw</dc:creator>
  <cp:lastModifiedBy>Oolong Tea</cp:lastModifiedBy>
  <cp:lastPrinted>2024-10-23T07:58:00Z</cp:lastPrinted>
  <dcterms:modified xsi:type="dcterms:W3CDTF">2024-12-17T09:42:47Z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5616335D34ED4D6187704A104795C754_13</vt:lpwstr>
  </property>
</Properties>
</file>