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62B26">
      <w:pPr>
        <w:snapToGrid/>
        <w:spacing w:before="0" w:after="0" w:line="360" w:lineRule="auto"/>
        <w:jc w:val="center"/>
        <w:rPr>
          <w:rFonts w:hint="eastAsia" w:ascii="宋体" w:hAnsi="宋体" w:eastAsia="宋体" w:cs="宋体"/>
          <w:b/>
          <w:color w:val="auto"/>
          <w:sz w:val="44"/>
          <w:szCs w:val="44"/>
          <w:highlight w:val="none"/>
        </w:rPr>
      </w:pPr>
      <w:bookmarkStart w:id="166" w:name="_GoBack"/>
    </w:p>
    <w:p w14:paraId="4345A207">
      <w:pPr>
        <w:snapToGrid/>
        <w:spacing w:before="0" w:after="0" w:line="360" w:lineRule="auto"/>
        <w:ind w:left="220" w:leftChars="100" w:right="224" w:rightChars="102" w:firstLine="0" w:firstLineChars="0"/>
        <w:jc w:val="distribute"/>
        <w:rPr>
          <w:rFonts w:hint="eastAsia" w:ascii="宋体" w:hAnsi="宋体" w:eastAsia="宋体" w:cs="宋体"/>
          <w:b/>
          <w:color w:val="auto"/>
          <w:sz w:val="36"/>
          <w:szCs w:val="36"/>
          <w:highlight w:val="none"/>
        </w:rPr>
      </w:pPr>
      <w:bookmarkStart w:id="0" w:name="OLE_LINK1"/>
      <w:r>
        <w:rPr>
          <w:rFonts w:hint="eastAsia" w:ascii="宋体" w:hAnsi="宋体" w:eastAsia="宋体" w:cs="宋体"/>
          <w:b/>
          <w:color w:val="auto"/>
          <w:sz w:val="36"/>
          <w:szCs w:val="36"/>
          <w:highlight w:val="none"/>
        </w:rPr>
        <w:t>白云机场三期扩建工程周边临空经济产业园区基础设施三期工程（小㘵-平山首期）（第二批）、（保良北</w:t>
      </w:r>
    </w:p>
    <w:p w14:paraId="430F2C38">
      <w:pPr>
        <w:snapToGrid/>
        <w:spacing w:before="0" w:after="0" w:line="360" w:lineRule="auto"/>
        <w:ind w:left="220" w:leftChars="100" w:right="224" w:rightChars="102" w:firstLine="0" w:firstLineChars="0"/>
        <w:jc w:val="distribut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地块）（第二批）、（小㘵-平山二期）（第二批）、</w:t>
      </w:r>
    </w:p>
    <w:p w14:paraId="2A7ADF50">
      <w:pPr>
        <w:snapToGrid/>
        <w:spacing w:before="0" w:after="0" w:line="360" w:lineRule="auto"/>
        <w:ind w:left="220" w:leftChars="100" w:right="224" w:rightChars="102"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（南方地块）（第二批）、（建南（第二批））</w:t>
      </w:r>
      <w:bookmarkEnd w:id="0"/>
    </w:p>
    <w:p w14:paraId="4F018067">
      <w:pPr>
        <w:snapToGrid/>
        <w:spacing w:before="0" w:after="0" w:line="360" w:lineRule="auto"/>
        <w:ind w:left="440" w:leftChars="100" w:right="224" w:rightChars="102" w:hanging="220" w:hangingChars="61"/>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永久供电设计施工总承包</w:t>
      </w:r>
    </w:p>
    <w:p w14:paraId="2EBD86CB">
      <w:pPr>
        <w:snapToGrid/>
        <w:spacing w:before="0" w:after="0" w:line="360" w:lineRule="auto"/>
        <w:ind w:left="220" w:leftChars="100" w:right="224" w:rightChars="102" w:firstLine="0" w:firstLineChars="0"/>
        <w:jc w:val="both"/>
        <w:rPr>
          <w:rFonts w:hint="eastAsia" w:ascii="宋体" w:hAnsi="宋体" w:eastAsia="宋体" w:cs="宋体"/>
          <w:b/>
          <w:color w:val="auto"/>
          <w:sz w:val="36"/>
          <w:szCs w:val="36"/>
          <w:highlight w:val="none"/>
        </w:rPr>
      </w:pPr>
    </w:p>
    <w:p w14:paraId="78BFAC17">
      <w:pPr>
        <w:jc w:val="both"/>
        <w:rPr>
          <w:rFonts w:hint="eastAsia" w:ascii="宋体" w:hAnsi="宋体" w:eastAsia="宋体" w:cs="宋体"/>
          <w:color w:val="auto"/>
          <w:sz w:val="21"/>
          <w:highlight w:val="none"/>
        </w:rPr>
      </w:pPr>
    </w:p>
    <w:p w14:paraId="723010B1">
      <w:pPr>
        <w:snapToGrid/>
        <w:spacing w:before="0" w:after="0" w:line="360" w:lineRule="auto"/>
        <w:ind w:left="-376" w:leftChars="-171"/>
        <w:jc w:val="center"/>
        <w:rPr>
          <w:rFonts w:hint="eastAsia" w:ascii="宋体" w:hAnsi="宋体" w:eastAsia="宋体" w:cs="宋体"/>
          <w:b/>
          <w:bCs/>
          <w:color w:val="auto"/>
          <w:spacing w:val="26"/>
          <w:sz w:val="84"/>
          <w:szCs w:val="84"/>
          <w:highlight w:val="none"/>
        </w:rPr>
      </w:pPr>
      <w:r>
        <w:rPr>
          <w:rFonts w:hint="eastAsia" w:ascii="宋体" w:hAnsi="宋体" w:eastAsia="宋体" w:cs="宋体"/>
          <w:b/>
          <w:bCs/>
          <w:color w:val="auto"/>
          <w:spacing w:val="26"/>
          <w:sz w:val="84"/>
          <w:szCs w:val="84"/>
          <w:highlight w:val="none"/>
        </w:rPr>
        <w:t>招标文件</w:t>
      </w:r>
    </w:p>
    <w:p w14:paraId="12522CA7">
      <w:pPr>
        <w:snapToGrid/>
        <w:spacing w:before="0" w:after="0" w:line="360" w:lineRule="auto"/>
        <w:ind w:left="-376" w:leftChars="-171"/>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26"/>
          <w:sz w:val="28"/>
          <w:szCs w:val="28"/>
          <w:highlight w:val="none"/>
        </w:rPr>
        <w:t>（第五章 发包人要求）</w:t>
      </w:r>
    </w:p>
    <w:p w14:paraId="03562308">
      <w:pPr>
        <w:snapToGrid/>
        <w:spacing w:before="0" w:after="0" w:line="360" w:lineRule="auto"/>
        <w:jc w:val="both"/>
        <w:rPr>
          <w:rFonts w:hint="eastAsia" w:ascii="宋体" w:hAnsi="宋体" w:eastAsia="宋体" w:cs="宋体"/>
          <w:color w:val="auto"/>
          <w:sz w:val="32"/>
          <w:szCs w:val="24"/>
          <w:highlight w:val="none"/>
        </w:rPr>
      </w:pPr>
    </w:p>
    <w:p w14:paraId="69A83374">
      <w:pPr>
        <w:snapToGrid/>
        <w:spacing w:before="0" w:after="0" w:line="360" w:lineRule="auto"/>
        <w:ind w:firstLine="1280" w:firstLineChars="400"/>
        <w:jc w:val="both"/>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招标单位：</w:t>
      </w:r>
      <w:r>
        <w:rPr>
          <w:rFonts w:hint="eastAsia" w:ascii="宋体" w:hAnsi="宋体" w:eastAsia="宋体" w:cs="宋体"/>
          <w:color w:val="auto"/>
          <w:sz w:val="32"/>
          <w:szCs w:val="32"/>
          <w:highlight w:val="none"/>
          <w:u w:val="single"/>
        </w:rPr>
        <w:t>广州机场建设投资集团有限公司</w:t>
      </w:r>
    </w:p>
    <w:p w14:paraId="1F3485E7">
      <w:pPr>
        <w:pStyle w:val="5"/>
        <w:ind w:firstLine="2880" w:firstLineChars="900"/>
        <w:rPr>
          <w:rFonts w:hint="eastAsia" w:ascii="宋体" w:hAnsi="宋体"/>
          <w:highlight w:val="none"/>
        </w:rPr>
      </w:pPr>
      <w:r>
        <w:rPr>
          <w:rFonts w:hint="eastAsia" w:ascii="宋体" w:hAnsi="宋体" w:cs="宋体"/>
          <w:sz w:val="32"/>
          <w:szCs w:val="32"/>
          <w:highlight w:val="none"/>
          <w:u w:val="single"/>
        </w:rPr>
        <w:t>广州机场开发建设有限公司</w:t>
      </w:r>
    </w:p>
    <w:p w14:paraId="691B66D9">
      <w:pPr>
        <w:snapToGrid/>
        <w:spacing w:before="0" w:after="0" w:line="360" w:lineRule="auto"/>
        <w:ind w:firstLine="3520" w:firstLineChars="11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招标代理单位：</w:t>
      </w:r>
    </w:p>
    <w:p w14:paraId="6D43D72D">
      <w:pPr>
        <w:pStyle w:val="2"/>
        <w:ind w:firstLine="640"/>
        <w:rPr>
          <w:rFonts w:hint="eastAsia" w:hAnsi="宋体" w:cs="宋体"/>
          <w:sz w:val="32"/>
          <w:szCs w:val="32"/>
          <w:highlight w:val="none"/>
        </w:rPr>
      </w:pPr>
    </w:p>
    <w:p w14:paraId="5B62AD8B">
      <w:pPr>
        <w:rPr>
          <w:rFonts w:hint="eastAsia" w:ascii="宋体" w:hAnsi="宋体" w:eastAsia="宋体" w:cs="宋体"/>
          <w:color w:val="auto"/>
          <w:sz w:val="32"/>
          <w:szCs w:val="32"/>
          <w:highlight w:val="none"/>
        </w:rPr>
      </w:pPr>
    </w:p>
    <w:p w14:paraId="621E66A2">
      <w:pPr>
        <w:pStyle w:val="2"/>
        <w:ind w:firstLine="640"/>
        <w:rPr>
          <w:rFonts w:hint="eastAsia" w:hAnsi="宋体" w:cs="宋体"/>
          <w:sz w:val="32"/>
          <w:szCs w:val="32"/>
          <w:highlight w:val="none"/>
        </w:rPr>
      </w:pPr>
    </w:p>
    <w:p w14:paraId="58FCB6A5">
      <w:pPr>
        <w:rPr>
          <w:rFonts w:hint="eastAsia" w:ascii="宋体" w:hAnsi="宋体" w:eastAsia="宋体" w:cs="宋体"/>
          <w:color w:val="auto"/>
          <w:sz w:val="32"/>
          <w:szCs w:val="32"/>
          <w:highlight w:val="none"/>
        </w:rPr>
      </w:pPr>
    </w:p>
    <w:p w14:paraId="5BBA8C9E">
      <w:pPr>
        <w:pStyle w:val="2"/>
        <w:ind w:firstLine="640"/>
        <w:rPr>
          <w:rFonts w:hint="eastAsia" w:hAnsi="宋体" w:cs="宋体"/>
          <w:sz w:val="32"/>
          <w:szCs w:val="32"/>
          <w:highlight w:val="none"/>
        </w:rPr>
      </w:pPr>
    </w:p>
    <w:p w14:paraId="251E8C9A">
      <w:pPr>
        <w:rPr>
          <w:rFonts w:hint="eastAsia"/>
          <w:color w:val="auto"/>
          <w:highlight w:val="none"/>
        </w:rPr>
      </w:pPr>
    </w:p>
    <w:p w14:paraId="50AB5D66">
      <w:pPr>
        <w:snapToGrid/>
        <w:spacing w:before="0" w:after="0" w:line="360" w:lineRule="auto"/>
        <w:ind w:firstLine="1280" w:firstLineChars="400"/>
        <w:jc w:val="both"/>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日期：2024年</w:t>
      </w:r>
      <w:r>
        <w:rPr>
          <w:rFonts w:hint="eastAsia" w:ascii="宋体" w:hAnsi="宋体" w:eastAsia="宋体" w:cs="宋体"/>
          <w:color w:val="auto"/>
          <w:sz w:val="32"/>
          <w:szCs w:val="32"/>
          <w:highlight w:val="none"/>
          <w:lang w:val="en-US" w:eastAsia="zh-CN"/>
        </w:rPr>
        <w:t>12</w:t>
      </w:r>
      <w:r>
        <w:rPr>
          <w:rFonts w:hint="eastAsia" w:ascii="宋体" w:hAnsi="宋体" w:eastAsia="宋体" w:cs="宋体"/>
          <w:color w:val="auto"/>
          <w:sz w:val="32"/>
          <w:szCs w:val="32"/>
          <w:highlight w:val="none"/>
        </w:rPr>
        <w:t>月</w:t>
      </w:r>
    </w:p>
    <w:p w14:paraId="79B27F53">
      <w:pPr>
        <w:rPr>
          <w:rFonts w:hint="eastAsia" w:ascii="宋体" w:hAnsi="宋体" w:eastAsia="宋体"/>
          <w:color w:val="auto"/>
          <w:highlight w:val="none"/>
        </w:rPr>
      </w:pPr>
    </w:p>
    <w:sdt>
      <w:sdtPr>
        <w:rPr>
          <w:rFonts w:hint="eastAsia" w:ascii="宋体" w:hAnsi="宋体" w:eastAsia="宋体"/>
          <w:color w:val="auto"/>
          <w:kern w:val="0"/>
          <w:sz w:val="21"/>
          <w:szCs w:val="20"/>
          <w:highlight w:val="none"/>
        </w:rPr>
        <w:id w:val="147473765"/>
        <w:docPartObj>
          <w:docPartGallery w:val="Table of Contents"/>
          <w:docPartUnique/>
        </w:docPartObj>
      </w:sdtPr>
      <w:sdtEndPr>
        <w:rPr>
          <w:rFonts w:hint="eastAsia" w:ascii="宋体" w:hAnsi="宋体" w:eastAsia="宋体"/>
          <w:color w:val="auto"/>
          <w:kern w:val="0"/>
          <w:sz w:val="22"/>
          <w:szCs w:val="20"/>
          <w:highlight w:val="none"/>
        </w:rPr>
      </w:sdtEndPr>
      <w:sdtContent>
        <w:p w14:paraId="185BCB4B">
          <w:pPr>
            <w:spacing w:before="0" w:after="0" w:line="240" w:lineRule="auto"/>
            <w:jc w:val="center"/>
            <w:rPr>
              <w:rFonts w:hint="eastAsia" w:ascii="宋体" w:hAnsi="宋体" w:eastAsia="宋体"/>
              <w:color w:val="auto"/>
              <w:highlight w:val="none"/>
            </w:rPr>
          </w:pPr>
          <w:r>
            <w:rPr>
              <w:rFonts w:hint="eastAsia" w:ascii="宋体" w:hAnsi="宋体" w:eastAsia="宋体"/>
              <w:b/>
              <w:bCs/>
              <w:color w:val="auto"/>
              <w:sz w:val="28"/>
              <w:szCs w:val="32"/>
              <w:highlight w:val="none"/>
            </w:rPr>
            <w:t>目录</w:t>
          </w:r>
        </w:p>
        <w:p w14:paraId="0EEE5EEA">
          <w:pPr>
            <w:pStyle w:val="30"/>
            <w:tabs>
              <w:tab w:val="right" w:leader="dot" w:pos="9016"/>
            </w:tabs>
            <w:rPr>
              <w:rFonts w:hint="eastAsia" w:ascii="宋体" w:hAnsi="宋体" w:eastAsia="宋体" w:cstheme="minorBidi"/>
              <w:kern w:val="2"/>
              <w:sz w:val="21"/>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r>
            <w:rPr>
              <w:highlight w:val="none"/>
            </w:rPr>
            <w:fldChar w:fldCharType="begin"/>
          </w:r>
          <w:r>
            <w:rPr>
              <w:highlight w:val="none"/>
            </w:rPr>
            <w:instrText xml:space="preserve"> HYPERLINK \l "_Toc122981402" </w:instrText>
          </w:r>
          <w:r>
            <w:rPr>
              <w:highlight w:val="none"/>
            </w:rPr>
            <w:fldChar w:fldCharType="separate"/>
          </w:r>
          <w:r>
            <w:rPr>
              <w:rStyle w:val="47"/>
              <w:rFonts w:hint="eastAsia" w:ascii="宋体" w:hAnsi="宋体" w:cs="宋体"/>
              <w:b/>
              <w:bCs/>
              <w:color w:val="auto"/>
              <w:kern w:val="44"/>
              <w:highlight w:val="none"/>
            </w:rPr>
            <w:t>第一部分 总体要求</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3</w:t>
          </w:r>
        </w:p>
        <w:p w14:paraId="7E15B545">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"_Toc122981403" </w:instrText>
          </w:r>
          <w:r>
            <w:rPr>
              <w:highlight w:val="none"/>
            </w:rPr>
            <w:fldChar w:fldCharType="separate"/>
          </w:r>
          <w:r>
            <w:rPr>
              <w:rStyle w:val="47"/>
              <w:rFonts w:hint="eastAsia" w:ascii="宋体" w:hAnsi="宋体" w:cs="宋体"/>
              <w:color w:val="auto"/>
              <w:highlight w:val="none"/>
            </w:rPr>
            <w:t>一、项目概述</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4</w:t>
          </w:r>
        </w:p>
        <w:p w14:paraId="248AAD25">
          <w:pPr>
            <w:pStyle w:val="30"/>
            <w:tabs>
              <w:tab w:val="right" w:leader="dot" w:pos="9016"/>
            </w:tabs>
            <w:rPr>
              <w:rFonts w:hint="eastAsia" w:ascii="宋体" w:hAnsi="宋体" w:eastAsia="宋体"/>
              <w:highlight w:val="none"/>
            </w:rPr>
          </w:pPr>
          <w:r>
            <w:rPr>
              <w:highlight w:val="none"/>
            </w:rPr>
            <w:fldChar w:fldCharType="begin"/>
          </w:r>
          <w:r>
            <w:rPr>
              <w:highlight w:val="none"/>
            </w:rPr>
            <w:instrText xml:space="preserve"> HYPERLINK \l "_Toc122981403" </w:instrText>
          </w:r>
          <w:r>
            <w:rPr>
              <w:highlight w:val="none"/>
            </w:rPr>
            <w:fldChar w:fldCharType="separate"/>
          </w:r>
          <w:r>
            <w:rPr>
              <w:rStyle w:val="47"/>
              <w:rFonts w:hint="eastAsia" w:ascii="宋体" w:hAnsi="宋体" w:cs="宋体"/>
              <w:color w:val="auto"/>
              <w:highlight w:val="none"/>
            </w:rPr>
            <w:t>二、项目管理目标</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4</w:t>
          </w:r>
        </w:p>
        <w:p w14:paraId="58B41E5B">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"_Toc122981404" </w:instrText>
          </w:r>
          <w:r>
            <w:rPr>
              <w:highlight w:val="none"/>
            </w:rPr>
            <w:fldChar w:fldCharType="separate"/>
          </w:r>
          <w:r>
            <w:rPr>
              <w:rStyle w:val="47"/>
              <w:rFonts w:hint="eastAsia" w:ascii="宋体" w:hAnsi="宋体" w:cs="宋体"/>
              <w:b/>
              <w:bCs/>
              <w:color w:val="auto"/>
              <w:kern w:val="44"/>
              <w:highlight w:val="none"/>
            </w:rPr>
            <w:t>第二部分 设计任务书</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6</w:t>
          </w:r>
        </w:p>
        <w:p w14:paraId="4B279F2E">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"_Toc122981405" </w:instrText>
          </w:r>
          <w:r>
            <w:rPr>
              <w:highlight w:val="none"/>
            </w:rPr>
            <w:fldChar w:fldCharType="separate"/>
          </w:r>
          <w:r>
            <w:rPr>
              <w:rStyle w:val="47"/>
              <w:rFonts w:hint="eastAsia" w:ascii="宋体" w:hAnsi="宋体" w:cs="宋体"/>
              <w:color w:val="auto"/>
              <w:highlight w:val="none"/>
            </w:rPr>
            <w:t>一、总则</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6</w:t>
          </w:r>
        </w:p>
        <w:p w14:paraId="2B06A1F1">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"_Toc122981406" </w:instrText>
          </w:r>
          <w:r>
            <w:rPr>
              <w:highlight w:val="none"/>
            </w:rPr>
            <w:fldChar w:fldCharType="separate"/>
          </w:r>
          <w:r>
            <w:rPr>
              <w:rStyle w:val="47"/>
              <w:rFonts w:hint="eastAsia" w:ascii="宋体" w:hAnsi="宋体" w:cs="宋体"/>
              <w:color w:val="auto"/>
              <w:highlight w:val="none"/>
            </w:rPr>
            <w:t>二、设计工作要求</w:t>
          </w:r>
          <w:r>
            <w:rPr>
              <w:rFonts w:hint="eastAsia" w:ascii="宋体" w:hAnsi="宋体" w:eastAsia="宋体"/>
              <w:highlight w:val="none"/>
            </w:rPr>
            <w:tab/>
          </w:r>
          <w:r>
            <w:rPr>
              <w:rFonts w:hint="eastAsia" w:ascii="宋体" w:hAnsi="宋体" w:eastAsia="宋体"/>
              <w:highlight w:val="none"/>
            </w:rPr>
            <w:fldChar w:fldCharType="begin"/>
          </w:r>
          <w:r>
            <w:rPr>
              <w:rFonts w:hint="eastAsia" w:ascii="宋体" w:hAnsi="宋体" w:eastAsia="宋体"/>
              <w:highlight w:val="none"/>
            </w:rPr>
            <w:instrText xml:space="preserve"> PAGEREF _Toc122981406 \h </w:instrText>
          </w:r>
          <w:r>
            <w:rPr>
              <w:rFonts w:hint="eastAsia" w:ascii="宋体" w:hAnsi="宋体" w:eastAsia="宋体"/>
              <w:highlight w:val="none"/>
            </w:rPr>
            <w:fldChar w:fldCharType="separate"/>
          </w:r>
          <w:r>
            <w:rPr>
              <w:rFonts w:hint="eastAsia" w:ascii="宋体" w:hAnsi="宋体" w:eastAsia="宋体"/>
              <w:highlight w:val="none"/>
            </w:rPr>
            <w:t>1</w:t>
          </w:r>
          <w:r>
            <w:rPr>
              <w:rFonts w:hint="eastAsia" w:ascii="宋体" w:hAnsi="宋体" w:eastAsia="宋体"/>
              <w:highlight w:val="none"/>
            </w:rPr>
            <w:fldChar w:fldCharType="end"/>
          </w:r>
          <w:r>
            <w:rPr>
              <w:rFonts w:hint="eastAsia" w:ascii="宋体" w:hAnsi="宋体" w:eastAsia="宋体"/>
              <w:highlight w:val="none"/>
            </w:rPr>
            <w:fldChar w:fldCharType="end"/>
          </w:r>
          <w:r>
            <w:rPr>
              <w:rFonts w:hint="eastAsia" w:ascii="宋体" w:hAnsi="宋体" w:eastAsia="宋体"/>
              <w:highlight w:val="none"/>
            </w:rPr>
            <w:t>3</w:t>
          </w:r>
        </w:p>
        <w:p w14:paraId="0C37B978">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"_Toc122981408" </w:instrText>
          </w:r>
          <w:r>
            <w:rPr>
              <w:highlight w:val="none"/>
            </w:rPr>
            <w:fldChar w:fldCharType="separate"/>
          </w:r>
          <w:r>
            <w:rPr>
              <w:rStyle w:val="47"/>
              <w:rFonts w:hint="eastAsia" w:ascii="宋体" w:hAnsi="宋体" w:cs="宋体"/>
              <w:color w:val="auto"/>
              <w:highlight w:val="none"/>
            </w:rPr>
            <w:t>三、投标文件编制要求</w:t>
          </w:r>
          <w:r>
            <w:rPr>
              <w:rFonts w:hint="eastAsia" w:ascii="宋体" w:hAnsi="宋体" w:eastAsia="宋体"/>
              <w:highlight w:val="none"/>
            </w:rPr>
            <w:tab/>
          </w:r>
          <w:r>
            <w:rPr>
              <w:rFonts w:hint="eastAsia" w:ascii="宋体" w:hAnsi="宋体" w:eastAsia="宋体"/>
              <w:highlight w:val="none"/>
            </w:rPr>
            <w:fldChar w:fldCharType="begin"/>
          </w:r>
          <w:r>
            <w:rPr>
              <w:rFonts w:hint="eastAsia" w:ascii="宋体" w:hAnsi="宋体" w:eastAsia="宋体"/>
              <w:highlight w:val="none"/>
            </w:rPr>
            <w:instrText xml:space="preserve"> PAGEREF _Toc122981408 \h </w:instrText>
          </w:r>
          <w:r>
            <w:rPr>
              <w:rFonts w:hint="eastAsia" w:ascii="宋体" w:hAnsi="宋体" w:eastAsia="宋体"/>
              <w:highlight w:val="none"/>
            </w:rPr>
            <w:fldChar w:fldCharType="separate"/>
          </w:r>
          <w:r>
            <w:rPr>
              <w:rFonts w:hint="eastAsia" w:ascii="宋体" w:hAnsi="宋体" w:eastAsia="宋体"/>
              <w:highlight w:val="none"/>
            </w:rPr>
            <w:t>2</w:t>
          </w:r>
          <w:r>
            <w:rPr>
              <w:rFonts w:hint="eastAsia" w:ascii="宋体" w:hAnsi="宋体" w:eastAsia="宋体"/>
              <w:highlight w:val="none"/>
            </w:rPr>
            <w:fldChar w:fldCharType="end"/>
          </w:r>
          <w:r>
            <w:rPr>
              <w:rFonts w:hint="eastAsia" w:ascii="宋体" w:hAnsi="宋体" w:eastAsia="宋体"/>
              <w:highlight w:val="none"/>
            </w:rPr>
            <w:fldChar w:fldCharType="end"/>
          </w:r>
          <w:r>
            <w:rPr>
              <w:rFonts w:hint="eastAsia" w:ascii="宋体" w:hAnsi="宋体" w:eastAsia="宋体"/>
              <w:highlight w:val="none"/>
            </w:rPr>
            <w:t>0</w:t>
          </w:r>
        </w:p>
        <w:p w14:paraId="584D59A6">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"_Toc122981409" </w:instrText>
          </w:r>
          <w:r>
            <w:rPr>
              <w:highlight w:val="none"/>
            </w:rPr>
            <w:fldChar w:fldCharType="separate"/>
          </w:r>
          <w:r>
            <w:rPr>
              <w:rStyle w:val="47"/>
              <w:rFonts w:hint="eastAsia" w:ascii="宋体" w:hAnsi="宋体" w:cs="宋体"/>
              <w:color w:val="auto"/>
              <w:highlight w:val="none"/>
            </w:rPr>
            <w:t>四、预算编制</w:t>
          </w:r>
          <w:r>
            <w:rPr>
              <w:rFonts w:hint="eastAsia" w:ascii="宋体" w:hAnsi="宋体" w:eastAsia="宋体"/>
              <w:highlight w:val="none"/>
            </w:rPr>
            <w:tab/>
          </w:r>
          <w:r>
            <w:rPr>
              <w:rFonts w:hint="eastAsia" w:ascii="宋体" w:hAnsi="宋体" w:eastAsia="宋体"/>
              <w:highlight w:val="none"/>
            </w:rPr>
            <w:fldChar w:fldCharType="begin"/>
          </w:r>
          <w:r>
            <w:rPr>
              <w:rFonts w:hint="eastAsia" w:ascii="宋体" w:hAnsi="宋体" w:eastAsia="宋体"/>
              <w:highlight w:val="none"/>
            </w:rPr>
            <w:instrText xml:space="preserve"> PAGEREF _Toc122981409 \h </w:instrText>
          </w:r>
          <w:r>
            <w:rPr>
              <w:rFonts w:hint="eastAsia" w:ascii="宋体" w:hAnsi="宋体" w:eastAsia="宋体"/>
              <w:highlight w:val="none"/>
            </w:rPr>
            <w:fldChar w:fldCharType="separate"/>
          </w:r>
          <w:r>
            <w:rPr>
              <w:rFonts w:hint="eastAsia" w:ascii="宋体" w:hAnsi="宋体" w:eastAsia="宋体"/>
              <w:highlight w:val="none"/>
            </w:rPr>
            <w:t>2</w:t>
          </w:r>
          <w:r>
            <w:rPr>
              <w:rFonts w:hint="eastAsia" w:ascii="宋体" w:hAnsi="宋体" w:eastAsia="宋体"/>
              <w:highlight w:val="none"/>
            </w:rPr>
            <w:fldChar w:fldCharType="end"/>
          </w:r>
          <w:r>
            <w:rPr>
              <w:rFonts w:hint="eastAsia" w:ascii="宋体" w:hAnsi="宋体" w:eastAsia="宋体"/>
              <w:highlight w:val="none"/>
            </w:rPr>
            <w:fldChar w:fldCharType="end"/>
          </w:r>
          <w:r>
            <w:rPr>
              <w:rFonts w:hint="eastAsia" w:ascii="宋体" w:hAnsi="宋体" w:eastAsia="宋体"/>
              <w:highlight w:val="none"/>
            </w:rPr>
            <w:t>0</w:t>
          </w:r>
        </w:p>
        <w:p w14:paraId="47DBD1D5">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"_Toc122981410" </w:instrText>
          </w:r>
          <w:r>
            <w:rPr>
              <w:highlight w:val="none"/>
            </w:rPr>
            <w:fldChar w:fldCharType="separate"/>
          </w:r>
          <w:r>
            <w:rPr>
              <w:rStyle w:val="47"/>
              <w:rFonts w:hint="eastAsia" w:ascii="宋体" w:hAnsi="宋体" w:cs="宋体"/>
              <w:color w:val="auto"/>
              <w:highlight w:val="none"/>
            </w:rPr>
            <w:t>五、设计成果提交要求</w:t>
          </w:r>
          <w:r>
            <w:rPr>
              <w:rFonts w:hint="eastAsia" w:ascii="宋体" w:hAnsi="宋体" w:eastAsia="宋体"/>
              <w:highlight w:val="none"/>
            </w:rPr>
            <w:tab/>
          </w:r>
          <w:r>
            <w:rPr>
              <w:rFonts w:hint="eastAsia" w:ascii="宋体" w:hAnsi="宋体" w:eastAsia="宋体"/>
              <w:highlight w:val="none"/>
            </w:rPr>
            <w:fldChar w:fldCharType="begin"/>
          </w:r>
          <w:r>
            <w:rPr>
              <w:rFonts w:hint="eastAsia" w:ascii="宋体" w:hAnsi="宋体" w:eastAsia="宋体"/>
              <w:highlight w:val="none"/>
            </w:rPr>
            <w:instrText xml:space="preserve"> PAGEREF _Toc122981410 \h </w:instrText>
          </w:r>
          <w:r>
            <w:rPr>
              <w:rFonts w:hint="eastAsia" w:ascii="宋体" w:hAnsi="宋体" w:eastAsia="宋体"/>
              <w:highlight w:val="none"/>
            </w:rPr>
            <w:fldChar w:fldCharType="separate"/>
          </w:r>
          <w:r>
            <w:rPr>
              <w:rFonts w:hint="eastAsia" w:ascii="宋体" w:hAnsi="宋体" w:eastAsia="宋体"/>
              <w:highlight w:val="none"/>
            </w:rPr>
            <w:t>2</w:t>
          </w:r>
          <w:r>
            <w:rPr>
              <w:rFonts w:hint="eastAsia" w:ascii="宋体" w:hAnsi="宋体" w:eastAsia="宋体"/>
              <w:highlight w:val="none"/>
            </w:rPr>
            <w:fldChar w:fldCharType="end"/>
          </w:r>
          <w:r>
            <w:rPr>
              <w:rFonts w:hint="eastAsia" w:ascii="宋体" w:hAnsi="宋体" w:eastAsia="宋体"/>
              <w:highlight w:val="none"/>
            </w:rPr>
            <w:fldChar w:fldCharType="end"/>
          </w:r>
          <w:r>
            <w:rPr>
              <w:rFonts w:hint="eastAsia" w:ascii="宋体" w:hAnsi="宋体" w:eastAsia="宋体"/>
              <w:highlight w:val="none"/>
            </w:rPr>
            <w:t>2</w:t>
          </w:r>
        </w:p>
        <w:p w14:paraId="05969B67">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"_Toc122981411" </w:instrText>
          </w:r>
          <w:r>
            <w:rPr>
              <w:highlight w:val="none"/>
            </w:rPr>
            <w:fldChar w:fldCharType="separate"/>
          </w:r>
          <w:r>
            <w:rPr>
              <w:rStyle w:val="47"/>
              <w:rFonts w:hint="eastAsia" w:ascii="宋体" w:hAnsi="宋体" w:cs="宋体"/>
              <w:color w:val="auto"/>
              <w:highlight w:val="none"/>
            </w:rPr>
            <w:t>六、设计工作管理要求</w:t>
          </w:r>
          <w:r>
            <w:rPr>
              <w:rFonts w:hint="eastAsia" w:ascii="宋体" w:hAnsi="宋体" w:eastAsia="宋体"/>
              <w:highlight w:val="none"/>
            </w:rPr>
            <w:tab/>
          </w:r>
          <w:r>
            <w:rPr>
              <w:rFonts w:hint="eastAsia" w:ascii="宋体" w:hAnsi="宋体" w:eastAsia="宋体"/>
              <w:highlight w:val="none"/>
            </w:rPr>
            <w:fldChar w:fldCharType="begin"/>
          </w:r>
          <w:r>
            <w:rPr>
              <w:rFonts w:hint="eastAsia" w:ascii="宋体" w:hAnsi="宋体" w:eastAsia="宋体"/>
              <w:highlight w:val="none"/>
            </w:rPr>
            <w:instrText xml:space="preserve"> PAGEREF _Toc122981411 \h </w:instrText>
          </w:r>
          <w:r>
            <w:rPr>
              <w:rFonts w:hint="eastAsia" w:ascii="宋体" w:hAnsi="宋体" w:eastAsia="宋体"/>
              <w:highlight w:val="none"/>
            </w:rPr>
            <w:fldChar w:fldCharType="separate"/>
          </w:r>
          <w:r>
            <w:rPr>
              <w:rFonts w:hint="eastAsia" w:ascii="宋体" w:hAnsi="宋体" w:eastAsia="宋体"/>
              <w:highlight w:val="none"/>
            </w:rPr>
            <w:t>2</w:t>
          </w:r>
          <w:r>
            <w:rPr>
              <w:rFonts w:hint="eastAsia" w:ascii="宋体" w:hAnsi="宋体" w:eastAsia="宋体"/>
              <w:highlight w:val="none"/>
            </w:rPr>
            <w:fldChar w:fldCharType="end"/>
          </w:r>
          <w:r>
            <w:rPr>
              <w:rFonts w:hint="eastAsia" w:ascii="宋体" w:hAnsi="宋体" w:eastAsia="宋体"/>
              <w:highlight w:val="none"/>
            </w:rPr>
            <w:fldChar w:fldCharType="end"/>
          </w:r>
          <w:r>
            <w:rPr>
              <w:rFonts w:hint="eastAsia" w:ascii="宋体" w:hAnsi="宋体" w:eastAsia="宋体"/>
              <w:highlight w:val="none"/>
            </w:rPr>
            <w:t>3</w:t>
          </w:r>
        </w:p>
        <w:p w14:paraId="72F9DEAA">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"_Toc122981412" </w:instrText>
          </w:r>
          <w:r>
            <w:rPr>
              <w:highlight w:val="none"/>
            </w:rPr>
            <w:fldChar w:fldCharType="separate"/>
          </w:r>
          <w:r>
            <w:rPr>
              <w:rStyle w:val="47"/>
              <w:rFonts w:hint="eastAsia" w:ascii="宋体" w:hAnsi="宋体" w:cs="宋体"/>
              <w:color w:val="auto"/>
              <w:highlight w:val="none"/>
            </w:rPr>
            <w:t>七、设计人员组织管理要求</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25</w:t>
          </w:r>
        </w:p>
        <w:p w14:paraId="53D90882">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"_Toc122981413" </w:instrText>
          </w:r>
          <w:r>
            <w:rPr>
              <w:highlight w:val="none"/>
            </w:rPr>
            <w:fldChar w:fldCharType="separate"/>
          </w:r>
          <w:r>
            <w:rPr>
              <w:rStyle w:val="47"/>
              <w:rFonts w:hint="eastAsia" w:ascii="宋体" w:hAnsi="宋体" w:cs="宋体"/>
              <w:bCs/>
              <w:color w:val="auto"/>
              <w:kern w:val="44"/>
              <w:highlight w:val="none"/>
            </w:rPr>
            <w:t>八、附则</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27</w:t>
          </w:r>
        </w:p>
        <w:p w14:paraId="41EE428B">
          <w:pPr>
            <w:pStyle w:val="30"/>
            <w:tabs>
              <w:tab w:val="right" w:leader="dot" w:pos="9016"/>
            </w:tabs>
            <w:rPr>
              <w:rFonts w:hint="eastAsia" w:ascii="宋体" w:hAnsi="宋体" w:eastAsia="宋体"/>
              <w:highlight w:val="none"/>
            </w:rPr>
          </w:pPr>
          <w:r>
            <w:rPr>
              <w:highlight w:val="none"/>
            </w:rPr>
            <w:fldChar w:fldCharType="begin"/>
          </w:r>
          <w:r>
            <w:rPr>
              <w:highlight w:val="none"/>
            </w:rPr>
            <w:instrText xml:space="preserve"> HYPERLINK \l "_Toc122981414" </w:instrText>
          </w:r>
          <w:r>
            <w:rPr>
              <w:highlight w:val="none"/>
            </w:rPr>
            <w:fldChar w:fldCharType="separate"/>
          </w:r>
          <w:r>
            <w:rPr>
              <w:rStyle w:val="47"/>
              <w:rFonts w:hint="eastAsia" w:ascii="宋体" w:hAnsi="宋体" w:cs="宋体"/>
              <w:b/>
              <w:bCs/>
              <w:color w:val="auto"/>
              <w:highlight w:val="none"/>
            </w:rPr>
            <w:t>第三部分施工管理任务书</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28</w:t>
          </w:r>
        </w:p>
        <w:p w14:paraId="504EBDB7">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"_Toc122981405" </w:instrText>
          </w:r>
          <w:r>
            <w:rPr>
              <w:highlight w:val="none"/>
            </w:rPr>
            <w:fldChar w:fldCharType="separate"/>
          </w:r>
          <w:r>
            <w:rPr>
              <w:rStyle w:val="47"/>
              <w:rFonts w:hint="eastAsia" w:ascii="宋体" w:hAnsi="宋体" w:cs="宋体"/>
              <w:color w:val="auto"/>
              <w:highlight w:val="none"/>
            </w:rPr>
            <w:t>一、项目施工准备事项</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29</w:t>
          </w:r>
        </w:p>
        <w:p w14:paraId="680E2942">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"_Toc122981405" </w:instrText>
          </w:r>
          <w:r>
            <w:rPr>
              <w:highlight w:val="none"/>
            </w:rPr>
            <w:fldChar w:fldCharType="separate"/>
          </w:r>
          <w:r>
            <w:rPr>
              <w:rStyle w:val="47"/>
              <w:rFonts w:hint="eastAsia" w:ascii="宋体" w:hAnsi="宋体" w:cs="宋体"/>
              <w:color w:val="auto"/>
              <w:highlight w:val="none"/>
            </w:rPr>
            <w:t>二、项目管理重点、难点</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29</w:t>
          </w:r>
        </w:p>
        <w:p w14:paraId="77A9C0EA">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"_Toc122981405" </w:instrText>
          </w:r>
          <w:r>
            <w:rPr>
              <w:highlight w:val="none"/>
            </w:rPr>
            <w:fldChar w:fldCharType="separate"/>
          </w:r>
          <w:r>
            <w:rPr>
              <w:rStyle w:val="47"/>
              <w:rFonts w:hint="eastAsia" w:ascii="宋体" w:hAnsi="宋体" w:cs="宋体"/>
              <w:color w:val="auto"/>
              <w:highlight w:val="none"/>
            </w:rPr>
            <w:t>三、项目管理要求</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30</w:t>
          </w:r>
        </w:p>
        <w:p w14:paraId="4D805B5A">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"_Toc122981405" </w:instrText>
          </w:r>
          <w:r>
            <w:rPr>
              <w:highlight w:val="none"/>
            </w:rPr>
            <w:fldChar w:fldCharType="separate"/>
          </w:r>
          <w:r>
            <w:rPr>
              <w:rStyle w:val="47"/>
              <w:rFonts w:hint="eastAsia" w:ascii="宋体" w:hAnsi="宋体" w:cs="宋体"/>
              <w:color w:val="auto"/>
              <w:highlight w:val="none"/>
            </w:rPr>
            <w:t>四、施工管理人员组织管理要求</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42</w:t>
          </w:r>
        </w:p>
        <w:p w14:paraId="674981DA">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"_Toc122981405" </w:instrText>
          </w:r>
          <w:r>
            <w:rPr>
              <w:highlight w:val="none"/>
            </w:rPr>
            <w:fldChar w:fldCharType="separate"/>
          </w:r>
          <w:r>
            <w:rPr>
              <w:rStyle w:val="47"/>
              <w:rFonts w:hint="eastAsia" w:ascii="宋体" w:hAnsi="宋体" w:cs="宋体"/>
              <w:color w:val="auto"/>
              <w:highlight w:val="none"/>
            </w:rPr>
            <w:t>五、建筑总承包管理内容</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45</w:t>
          </w:r>
        </w:p>
        <w:p w14:paraId="7CAC3F25">
          <w:pPr>
            <w:pStyle w:val="30"/>
            <w:tabs>
              <w:tab w:val="right" w:leader="dot" w:pos="9016"/>
            </w:tabs>
            <w:rPr>
              <w:rFonts w:hint="eastAsia" w:ascii="宋体" w:hAnsi="宋体" w:eastAsia="宋体" w:cstheme="minorBidi"/>
              <w:kern w:val="2"/>
              <w:sz w:val="21"/>
              <w:highlight w:val="none"/>
            </w:rPr>
          </w:pPr>
          <w:r>
            <w:rPr>
              <w:highlight w:val="none"/>
            </w:rPr>
            <w:fldChar w:fldCharType="begin"/>
          </w:r>
          <w:r>
            <w:rPr>
              <w:highlight w:val="none"/>
            </w:rPr>
            <w:instrText xml:space="preserve"> HYPERLINK \l "_Toc122981405" </w:instrText>
          </w:r>
          <w:r>
            <w:rPr>
              <w:highlight w:val="none"/>
            </w:rPr>
            <w:fldChar w:fldCharType="separate"/>
          </w:r>
          <w:r>
            <w:rPr>
              <w:rStyle w:val="47"/>
              <w:rFonts w:hint="eastAsia" w:ascii="宋体" w:hAnsi="宋体" w:cs="宋体"/>
              <w:color w:val="auto"/>
              <w:highlight w:val="none"/>
            </w:rPr>
            <w:t>六、总体施工要求</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46</w:t>
          </w:r>
        </w:p>
        <w:p w14:paraId="575F272D">
          <w:pPr>
            <w:pStyle w:val="30"/>
            <w:tabs>
              <w:tab w:val="right" w:leader="dot" w:pos="9016"/>
            </w:tabs>
            <w:rPr>
              <w:rFonts w:hint="eastAsia" w:ascii="宋体" w:hAnsi="宋体" w:eastAsia="宋体"/>
              <w:highlight w:val="none"/>
            </w:rPr>
          </w:pPr>
          <w:r>
            <w:rPr>
              <w:highlight w:val="none"/>
            </w:rPr>
            <w:fldChar w:fldCharType="begin"/>
          </w:r>
          <w:r>
            <w:rPr>
              <w:highlight w:val="none"/>
            </w:rPr>
            <w:instrText xml:space="preserve"> HYPERLINK \l "_Toc122981405" </w:instrText>
          </w:r>
          <w:r>
            <w:rPr>
              <w:highlight w:val="none"/>
            </w:rPr>
            <w:fldChar w:fldCharType="separate"/>
          </w:r>
          <w:r>
            <w:rPr>
              <w:rFonts w:hint="eastAsia" w:ascii="宋体" w:hAnsi="宋体" w:eastAsia="宋体"/>
              <w:highlight w:val="none"/>
            </w:rPr>
            <w:t>七</w:t>
          </w:r>
          <w:r>
            <w:rPr>
              <w:rStyle w:val="47"/>
              <w:rFonts w:hint="eastAsia" w:ascii="宋体" w:hAnsi="宋体" w:cs="宋体"/>
              <w:color w:val="auto"/>
              <w:highlight w:val="none"/>
            </w:rPr>
            <w:t>、其他注意事项</w:t>
          </w:r>
          <w:r>
            <w:rPr>
              <w:rFonts w:hint="eastAsia" w:ascii="宋体" w:hAnsi="宋体" w:eastAsia="宋体"/>
              <w:highlight w:val="none"/>
            </w:rPr>
            <w:tab/>
          </w:r>
          <w:r>
            <w:rPr>
              <w:rFonts w:hint="eastAsia" w:ascii="宋体" w:hAnsi="宋体" w:eastAsia="宋体"/>
              <w:highlight w:val="none"/>
            </w:rPr>
            <w:fldChar w:fldCharType="end"/>
          </w:r>
          <w:r>
            <w:rPr>
              <w:rFonts w:hint="eastAsia" w:ascii="宋体" w:hAnsi="宋体" w:eastAsia="宋体"/>
              <w:highlight w:val="none"/>
            </w:rPr>
            <w:t>49</w:t>
          </w:r>
        </w:p>
        <w:p w14:paraId="07906194">
          <w:pPr>
            <w:pStyle w:val="30"/>
            <w:tabs>
              <w:tab w:val="right" w:leader="dot" w:pos="9016"/>
            </w:tabs>
            <w:rPr>
              <w:rFonts w:hint="eastAsia" w:ascii="宋体" w:hAnsi="宋体" w:eastAsia="宋体" w:cstheme="minorBidi"/>
              <w:kern w:val="2"/>
              <w:sz w:val="21"/>
              <w:highlight w:val="none"/>
            </w:rPr>
          </w:pPr>
        </w:p>
        <w:p w14:paraId="3FC1E6C2">
          <w:pPr>
            <w:pStyle w:val="84"/>
            <w:tabs>
              <w:tab w:val="right" w:leader="dot" w:pos="9026"/>
            </w:tabs>
            <w:spacing w:line="480" w:lineRule="auto"/>
            <w:rPr>
              <w:rFonts w:hint="eastAsia" w:ascii="宋体" w:hAnsi="宋体" w:eastAsia="宋体"/>
              <w:color w:val="auto"/>
              <w:highlight w:val="none"/>
            </w:rPr>
            <w:sectPr>
              <w:pgSz w:w="11906" w:h="16838"/>
              <w:pgMar w:top="1440" w:right="1440" w:bottom="1440" w:left="1440" w:header="851" w:footer="992" w:gutter="0"/>
              <w:pgNumType w:start="1"/>
              <w:cols w:space="720" w:num="1"/>
              <w:docGrid w:type="lines" w:linePitch="312" w:charSpace="0"/>
            </w:sectPr>
          </w:pPr>
          <w:r>
            <w:rPr>
              <w:rFonts w:hint="eastAsia" w:ascii="宋体" w:hAnsi="宋体" w:eastAsia="宋体" w:cs="宋体"/>
              <w:color w:val="auto"/>
              <w:sz w:val="24"/>
              <w:szCs w:val="24"/>
              <w:highlight w:val="none"/>
            </w:rPr>
            <w:fldChar w:fldCharType="end"/>
          </w:r>
        </w:p>
      </w:sdtContent>
    </w:sdt>
    <w:p w14:paraId="6D561D78">
      <w:pPr>
        <w:widowControl/>
        <w:snapToGrid/>
        <w:spacing w:before="0" w:after="0" w:line="240" w:lineRule="auto"/>
        <w:rPr>
          <w:rStyle w:val="50"/>
          <w:rFonts w:hint="eastAsia" w:ascii="宋体" w:hAnsi="宋体" w:eastAsia="宋体" w:cs="宋体"/>
          <w:color w:val="auto"/>
          <w:kern w:val="44"/>
          <w:szCs w:val="28"/>
          <w:highlight w:val="none"/>
        </w:rPr>
      </w:pPr>
    </w:p>
    <w:p w14:paraId="0BA22326">
      <w:pPr>
        <w:widowControl/>
        <w:snapToGrid/>
        <w:spacing w:before="0" w:after="0" w:line="240" w:lineRule="auto"/>
        <w:jc w:val="center"/>
        <w:rPr>
          <w:rStyle w:val="50"/>
          <w:rFonts w:hint="eastAsia" w:ascii="宋体" w:hAnsi="宋体" w:eastAsia="宋体" w:cs="宋体"/>
          <w:color w:val="auto"/>
          <w:kern w:val="44"/>
          <w:sz w:val="36"/>
          <w:highlight w:val="none"/>
        </w:rPr>
      </w:pPr>
    </w:p>
    <w:p w14:paraId="000E2E70">
      <w:pPr>
        <w:widowControl/>
        <w:snapToGrid/>
        <w:spacing w:before="0" w:after="0" w:line="240" w:lineRule="auto"/>
        <w:jc w:val="center"/>
        <w:outlineLvl w:val="0"/>
        <w:rPr>
          <w:rFonts w:hint="eastAsia" w:ascii="宋体" w:hAnsi="宋体" w:eastAsia="宋体" w:cs="宋体"/>
          <w:b/>
          <w:bCs/>
          <w:color w:val="auto"/>
          <w:sz w:val="48"/>
          <w:szCs w:val="48"/>
          <w:highlight w:val="none"/>
        </w:rPr>
      </w:pPr>
      <w:bookmarkStart w:id="1" w:name="_Toc122981402"/>
      <w:r>
        <w:rPr>
          <w:rStyle w:val="50"/>
          <w:rFonts w:hint="eastAsia" w:ascii="宋体" w:hAnsi="宋体" w:eastAsia="宋体" w:cs="宋体"/>
          <w:color w:val="auto"/>
          <w:kern w:val="44"/>
          <w:sz w:val="36"/>
          <w:highlight w:val="none"/>
        </w:rPr>
        <w:t>第一部分 总体要求</w:t>
      </w:r>
      <w:bookmarkEnd w:id="1"/>
    </w:p>
    <w:p w14:paraId="74FAD989">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5C5BFF78">
      <w:pPr>
        <w:pStyle w:val="3"/>
        <w:spacing w:line="360" w:lineRule="auto"/>
        <w:rPr>
          <w:rFonts w:hint="eastAsia" w:ascii="宋体" w:hAnsi="宋体" w:eastAsia="宋体" w:cs="宋体"/>
          <w:color w:val="auto"/>
          <w:kern w:val="0"/>
          <w:szCs w:val="28"/>
          <w:highlight w:val="none"/>
        </w:rPr>
      </w:pPr>
    </w:p>
    <w:p w14:paraId="56BDDAFB">
      <w:pPr>
        <w:pStyle w:val="3"/>
        <w:spacing w:line="360" w:lineRule="auto"/>
        <w:rPr>
          <w:rFonts w:hint="eastAsia" w:ascii="宋体" w:hAnsi="宋体" w:eastAsia="宋体" w:cs="宋体"/>
          <w:color w:val="auto"/>
          <w:sz w:val="24"/>
          <w:szCs w:val="24"/>
          <w:highlight w:val="none"/>
        </w:rPr>
      </w:pPr>
      <w:bookmarkStart w:id="2" w:name="_Toc122981403"/>
      <w:bookmarkStart w:id="3" w:name="_Toc9414"/>
      <w:r>
        <w:rPr>
          <w:rFonts w:hint="eastAsia" w:ascii="宋体" w:hAnsi="宋体" w:eastAsia="宋体" w:cs="宋体"/>
          <w:color w:val="auto"/>
          <w:kern w:val="0"/>
          <w:szCs w:val="28"/>
          <w:highlight w:val="none"/>
        </w:rPr>
        <w:t>一、项目概述</w:t>
      </w:r>
      <w:bookmarkEnd w:id="2"/>
      <w:bookmarkEnd w:id="3"/>
    </w:p>
    <w:p w14:paraId="03C1C53F">
      <w:pPr>
        <w:pStyle w:val="7"/>
        <w:keepNext w:val="0"/>
        <w:keepLines w:val="0"/>
        <w:widowControl/>
        <w:snapToGrid/>
        <w:spacing w:line="360" w:lineRule="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1.1项目概述</w:t>
      </w:r>
    </w:p>
    <w:p w14:paraId="6FA262BD">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项目地点：广州市花都区、白云区。</w:t>
      </w:r>
    </w:p>
    <w:p w14:paraId="414853BB">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项目规模：详见招标公告。</w:t>
      </w:r>
    </w:p>
    <w:p w14:paraId="4BEA1547">
      <w:pPr>
        <w:pStyle w:val="7"/>
        <w:keepNext w:val="0"/>
        <w:keepLines w:val="0"/>
        <w:widowControl/>
        <w:snapToGrid/>
        <w:spacing w:line="360" w:lineRule="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1.2项目实施内容及范围：见合同协议书。</w:t>
      </w:r>
    </w:p>
    <w:p w14:paraId="2D06283F">
      <w:pPr>
        <w:pStyle w:val="7"/>
        <w:keepNext w:val="0"/>
        <w:keepLines w:val="0"/>
        <w:widowControl/>
        <w:snapToGrid/>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二、项目管理目标</w:t>
      </w:r>
    </w:p>
    <w:p w14:paraId="17F6332B">
      <w:pPr>
        <w:pStyle w:val="7"/>
        <w:keepNext w:val="0"/>
        <w:keepLines w:val="0"/>
        <w:widowControl/>
        <w:snapToGrid/>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2.1 工期进度目标：工期暂定为210个日历天（含设计工期）。最终的进度计划按合同约定履行审批手续后实施，具体施工开工时间以总监理工程师发出的开工令为准。签订合同三天内承包人开始用电报装工作，90天内完成供电部门出具的《用电咨询服务答复书》签订工作，未按期完成签订《用电咨询服务答复书》对承包人进行处罚。</w:t>
      </w:r>
    </w:p>
    <w:p w14:paraId="1A1A7CC7">
      <w:pPr>
        <w:pStyle w:val="59"/>
        <w:spacing w:line="360" w:lineRule="auto"/>
        <w:ind w:firstLine="480" w:firstLineChars="200"/>
        <w:jc w:val="both"/>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2.2 设计工期：见合同协议书。</w:t>
      </w:r>
    </w:p>
    <w:p w14:paraId="798DEE8C">
      <w:pPr>
        <w:pStyle w:val="7"/>
        <w:keepNext w:val="0"/>
        <w:keepLines w:val="0"/>
        <w:widowControl/>
        <w:snapToGrid/>
        <w:spacing w:line="360" w:lineRule="auto"/>
        <w:ind w:firstLine="482" w:firstLineChars="200"/>
        <w:jc w:val="both"/>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2.3、关键节点工期要求：</w:t>
      </w:r>
    </w:p>
    <w:tbl>
      <w:tblPr>
        <w:tblStyle w:val="41"/>
        <w:tblW w:w="8743" w:type="dxa"/>
        <w:tblInd w:w="0" w:type="dxa"/>
        <w:tblLayout w:type="fixed"/>
        <w:tblCellMar>
          <w:top w:w="0" w:type="dxa"/>
          <w:left w:w="108" w:type="dxa"/>
          <w:bottom w:w="0" w:type="dxa"/>
          <w:right w:w="108" w:type="dxa"/>
        </w:tblCellMar>
      </w:tblPr>
      <w:tblGrid>
        <w:gridCol w:w="723"/>
        <w:gridCol w:w="2356"/>
        <w:gridCol w:w="3420"/>
        <w:gridCol w:w="2244"/>
      </w:tblGrid>
      <w:tr w14:paraId="3D513112">
        <w:tblPrEx>
          <w:tblCellMar>
            <w:top w:w="0" w:type="dxa"/>
            <w:left w:w="108" w:type="dxa"/>
            <w:bottom w:w="0" w:type="dxa"/>
            <w:right w:w="108" w:type="dxa"/>
          </w:tblCellMar>
        </w:tblPrEx>
        <w:trPr>
          <w:trHeight w:val="567" w:hRule="atLeast"/>
        </w:trPr>
        <w:tc>
          <w:tcPr>
            <w:tcW w:w="723"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1F8E501B">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序号</w:t>
            </w:r>
          </w:p>
        </w:tc>
        <w:tc>
          <w:tcPr>
            <w:tcW w:w="2356"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46291952">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Ⅰ级关键节点</w:t>
            </w:r>
          </w:p>
        </w:tc>
        <w:tc>
          <w:tcPr>
            <w:tcW w:w="342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2F88D609">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关键节点完成时间</w:t>
            </w:r>
          </w:p>
        </w:tc>
        <w:tc>
          <w:tcPr>
            <w:tcW w:w="2244"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368873EF">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p>
        </w:tc>
      </w:tr>
      <w:tr w14:paraId="18283ED5">
        <w:tblPrEx>
          <w:tblCellMar>
            <w:top w:w="0" w:type="dxa"/>
            <w:left w:w="108" w:type="dxa"/>
            <w:bottom w:w="0" w:type="dxa"/>
            <w:right w:w="108" w:type="dxa"/>
          </w:tblCellMar>
        </w:tblPrEx>
        <w:trPr>
          <w:trHeight w:val="651" w:hRule="atLeast"/>
        </w:trPr>
        <w:tc>
          <w:tcPr>
            <w:tcW w:w="7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86D8AA">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E45DB1">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施工图设计</w:t>
            </w:r>
          </w:p>
        </w:tc>
        <w:tc>
          <w:tcPr>
            <w:tcW w:w="3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CF759A">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用电咨询服务答复书签订起60日历天完成</w:t>
            </w:r>
          </w:p>
        </w:tc>
        <w:tc>
          <w:tcPr>
            <w:tcW w:w="22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38F5A8">
            <w:pPr>
              <w:spacing w:before="0" w:after="0" w:line="360" w:lineRule="auto"/>
              <w:jc w:val="center"/>
              <w:rPr>
                <w:rFonts w:hint="eastAsia" w:ascii="宋体" w:hAnsi="宋体" w:eastAsia="宋体" w:cs="宋体"/>
                <w:color w:val="auto"/>
                <w:sz w:val="21"/>
                <w:szCs w:val="21"/>
                <w:highlight w:val="none"/>
              </w:rPr>
            </w:pPr>
          </w:p>
        </w:tc>
      </w:tr>
      <w:tr w14:paraId="2C2FCB19">
        <w:tblPrEx>
          <w:tblCellMar>
            <w:top w:w="0" w:type="dxa"/>
            <w:left w:w="108" w:type="dxa"/>
            <w:bottom w:w="0" w:type="dxa"/>
            <w:right w:w="108"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15F962">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32EA62">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电房土建部分</w:t>
            </w:r>
          </w:p>
        </w:tc>
        <w:tc>
          <w:tcPr>
            <w:tcW w:w="3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3E6CCF">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发出开工令之日起30日历天完成</w:t>
            </w:r>
          </w:p>
        </w:tc>
        <w:tc>
          <w:tcPr>
            <w:tcW w:w="22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1AC1A6">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根据建筑总承包施工进度调整</w:t>
            </w:r>
          </w:p>
        </w:tc>
      </w:tr>
      <w:tr w14:paraId="33874FD6">
        <w:tblPrEx>
          <w:tblCellMar>
            <w:top w:w="0" w:type="dxa"/>
            <w:left w:w="108" w:type="dxa"/>
            <w:bottom w:w="0" w:type="dxa"/>
            <w:right w:w="108"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6476B3">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4D19B8">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电缆管沟</w:t>
            </w:r>
          </w:p>
        </w:tc>
        <w:tc>
          <w:tcPr>
            <w:tcW w:w="3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2D9673">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发出开工令之日起60日历天完成</w:t>
            </w:r>
          </w:p>
        </w:tc>
        <w:tc>
          <w:tcPr>
            <w:tcW w:w="22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061CDD">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根据建筑总承包施工进度调整</w:t>
            </w:r>
          </w:p>
        </w:tc>
      </w:tr>
      <w:tr w14:paraId="4E597A06">
        <w:tblPrEx>
          <w:tblCellMar>
            <w:top w:w="0" w:type="dxa"/>
            <w:left w:w="108" w:type="dxa"/>
            <w:bottom w:w="0" w:type="dxa"/>
            <w:right w:w="108"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E9B1C2">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CB32E2">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电房设备安装</w:t>
            </w:r>
          </w:p>
        </w:tc>
        <w:tc>
          <w:tcPr>
            <w:tcW w:w="3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21612">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发出开工令之日起80日历天完成</w:t>
            </w:r>
          </w:p>
        </w:tc>
        <w:tc>
          <w:tcPr>
            <w:tcW w:w="22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67384E">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根据建筑总承包施工进度调整</w:t>
            </w:r>
          </w:p>
        </w:tc>
      </w:tr>
      <w:tr w14:paraId="4C3F3B65">
        <w:tblPrEx>
          <w:tblCellMar>
            <w:top w:w="0" w:type="dxa"/>
            <w:left w:w="108" w:type="dxa"/>
            <w:bottom w:w="0" w:type="dxa"/>
            <w:right w:w="108"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959EE9">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840296">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电缆桥架及电缆敷设</w:t>
            </w:r>
          </w:p>
        </w:tc>
        <w:tc>
          <w:tcPr>
            <w:tcW w:w="3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93DBC5">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发出开工令之日起100日历天完成</w:t>
            </w:r>
          </w:p>
        </w:tc>
        <w:tc>
          <w:tcPr>
            <w:tcW w:w="22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A834A8">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根据建筑总承包施工进度调整</w:t>
            </w:r>
          </w:p>
        </w:tc>
      </w:tr>
      <w:tr w14:paraId="40D45235">
        <w:tblPrEx>
          <w:tblCellMar>
            <w:top w:w="0" w:type="dxa"/>
            <w:left w:w="108" w:type="dxa"/>
            <w:bottom w:w="0" w:type="dxa"/>
            <w:right w:w="108"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791B9E">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CA688C">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设备检测及调试</w:t>
            </w:r>
          </w:p>
        </w:tc>
        <w:tc>
          <w:tcPr>
            <w:tcW w:w="3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404EED">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发出开工令之日起120日历天完成</w:t>
            </w:r>
          </w:p>
        </w:tc>
        <w:tc>
          <w:tcPr>
            <w:tcW w:w="22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306EAE">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根据建筑总承包施工进度调整</w:t>
            </w:r>
          </w:p>
        </w:tc>
      </w:tr>
      <w:tr w14:paraId="0610C2EF">
        <w:tblPrEx>
          <w:tblCellMar>
            <w:top w:w="0" w:type="dxa"/>
            <w:left w:w="108" w:type="dxa"/>
            <w:bottom w:w="0" w:type="dxa"/>
            <w:right w:w="108"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1BC5DC">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B4324B">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送电</w:t>
            </w:r>
          </w:p>
        </w:tc>
        <w:tc>
          <w:tcPr>
            <w:tcW w:w="3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4728DA">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发出开工令之日起150日历天完成</w:t>
            </w:r>
          </w:p>
        </w:tc>
        <w:tc>
          <w:tcPr>
            <w:tcW w:w="22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AEBFEE">
            <w:pPr>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根据供电局停电计划调整</w:t>
            </w:r>
          </w:p>
        </w:tc>
      </w:tr>
    </w:tbl>
    <w:p w14:paraId="379A3BC4">
      <w:pPr>
        <w:snapToGrid/>
        <w:spacing w:before="0" w:after="0" w:line="360" w:lineRule="auto"/>
        <w:ind w:right="11"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w:t>
      </w:r>
      <w:r>
        <w:rPr>
          <w:rFonts w:hint="eastAsia" w:ascii="宋体" w:hAnsi="宋体" w:eastAsia="宋体" w:cs="宋体"/>
          <w:color w:val="auto"/>
          <w:spacing w:val="4"/>
          <w:sz w:val="21"/>
          <w:szCs w:val="21"/>
          <w:highlight w:val="none"/>
        </w:rPr>
        <w:t>注：设计进度以满足施工要求为准。</w:t>
      </w:r>
    </w:p>
    <w:p w14:paraId="025AB82C">
      <w:pPr>
        <w:pStyle w:val="7"/>
        <w:keepNext w:val="0"/>
        <w:keepLines w:val="0"/>
        <w:widowControl/>
        <w:snapToGrid/>
        <w:spacing w:line="360" w:lineRule="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2.4、质量目标</w:t>
      </w:r>
    </w:p>
    <w:p w14:paraId="038F7057">
      <w:pPr>
        <w:widowControl/>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设计质量标准要求：满足设计任务书要求，符合《建设工程质量管理条例》、《建设工程勘察设计管理条例》、《建筑工程设计文件编制深度规定（2016年版）》等国家及地方有关工程设计管理法规和规章，达到行业相关规范技术标准等要求。</w:t>
      </w:r>
    </w:p>
    <w:p w14:paraId="1B5BD7CB">
      <w:pPr>
        <w:pStyle w:val="23"/>
        <w:snapToGrid/>
        <w:ind w:left="0" w:leftChars="0" w:firstLine="480" w:firstLineChars="200"/>
        <w:jc w:val="both"/>
        <w:rPr>
          <w:rFonts w:hint="eastAsia" w:ascii="宋体" w:hAnsi="宋体" w:cs="宋体"/>
          <w:szCs w:val="24"/>
          <w:highlight w:val="none"/>
        </w:rPr>
      </w:pPr>
      <w:r>
        <w:rPr>
          <w:rFonts w:hint="eastAsia" w:ascii="宋体" w:hAnsi="宋体" w:cs="宋体"/>
          <w:szCs w:val="24"/>
          <w:highlight w:val="none"/>
        </w:rPr>
        <w:t>2.4.2工程质量标准和要求（施工质量及项目成效目标）：竣工验收合格，符合国家省市工程质量相关检验评定标准,达到供电部门送电的要求。</w:t>
      </w:r>
    </w:p>
    <w:p w14:paraId="45057052">
      <w:pPr>
        <w:pStyle w:val="7"/>
        <w:keepNext w:val="0"/>
        <w:keepLines w:val="0"/>
        <w:widowControl/>
        <w:snapToGrid/>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2.5、职业健康安全管理目标和环境管理目标</w:t>
      </w:r>
    </w:p>
    <w:p w14:paraId="2E8AFF8D">
      <w:pPr>
        <w:pStyle w:val="23"/>
        <w:snapToGrid/>
        <w:ind w:left="0" w:leftChars="0" w:firstLine="480" w:firstLineChars="200"/>
        <w:jc w:val="both"/>
        <w:rPr>
          <w:rFonts w:hint="eastAsia" w:ascii="宋体" w:hAnsi="宋体" w:cs="宋体"/>
          <w:szCs w:val="24"/>
          <w:highlight w:val="none"/>
        </w:rPr>
      </w:pPr>
      <w:r>
        <w:rPr>
          <w:rFonts w:hint="eastAsia" w:ascii="宋体" w:hAnsi="宋体" w:cs="宋体"/>
          <w:szCs w:val="24"/>
          <w:highlight w:val="none"/>
        </w:rPr>
        <w:t>2.5.1职业健康安全管理目标：</w:t>
      </w:r>
    </w:p>
    <w:p w14:paraId="3051A363">
      <w:pPr>
        <w:pStyle w:val="23"/>
        <w:snapToGrid/>
        <w:ind w:left="0" w:leftChars="0" w:firstLine="480" w:firstLineChars="200"/>
        <w:jc w:val="both"/>
        <w:rPr>
          <w:rFonts w:hint="eastAsia" w:ascii="宋体" w:hAnsi="宋体" w:cs="宋体"/>
          <w:szCs w:val="24"/>
          <w:highlight w:val="none"/>
        </w:rPr>
      </w:pPr>
      <w:r>
        <w:rPr>
          <w:rFonts w:hint="eastAsia" w:ascii="宋体" w:hAnsi="宋体" w:cs="宋体"/>
          <w:szCs w:val="24"/>
          <w:highlight w:val="none"/>
        </w:rPr>
        <w:t>（1）杜绝发生一般事故等级及以上的伤亡事故且工伤责任事故死亡人数为零。</w:t>
      </w:r>
    </w:p>
    <w:p w14:paraId="39899C81">
      <w:pPr>
        <w:pStyle w:val="23"/>
        <w:snapToGrid/>
        <w:ind w:left="0" w:leftChars="0" w:firstLine="480" w:firstLineChars="200"/>
        <w:jc w:val="both"/>
        <w:rPr>
          <w:rFonts w:hint="eastAsia" w:ascii="宋体" w:hAnsi="宋体" w:cs="宋体"/>
          <w:szCs w:val="24"/>
          <w:highlight w:val="none"/>
        </w:rPr>
      </w:pPr>
      <w:r>
        <w:rPr>
          <w:rFonts w:hint="eastAsia" w:ascii="宋体" w:hAnsi="宋体" w:cs="宋体"/>
          <w:szCs w:val="24"/>
          <w:highlight w:val="none"/>
        </w:rPr>
        <w:t xml:space="preserve">（2）切实做好疫情防控工作，及时有效采取各项防控措施，提高疫情防控能力，严格落实防疫“四早”原则，确保建设项目不发生疫情，杜绝疫情扩散感染。  </w:t>
      </w:r>
    </w:p>
    <w:p w14:paraId="677EB521">
      <w:pPr>
        <w:pStyle w:val="23"/>
        <w:snapToGrid/>
        <w:ind w:left="0" w:leftChars="0" w:firstLine="480" w:firstLineChars="200"/>
        <w:jc w:val="both"/>
        <w:rPr>
          <w:rFonts w:hint="eastAsia" w:ascii="宋体" w:hAnsi="宋体" w:cs="宋体"/>
          <w:szCs w:val="24"/>
          <w:highlight w:val="none"/>
        </w:rPr>
      </w:pPr>
      <w:r>
        <w:rPr>
          <w:rFonts w:hint="eastAsia" w:ascii="宋体" w:hAnsi="宋体" w:cs="宋体"/>
          <w:szCs w:val="24"/>
          <w:highlight w:val="none"/>
        </w:rPr>
        <w:t>2.5.2环境管理目标：</w:t>
      </w:r>
    </w:p>
    <w:p w14:paraId="54320E8D">
      <w:pPr>
        <w:pStyle w:val="23"/>
        <w:snapToGrid/>
        <w:ind w:left="0" w:leftChars="0" w:firstLine="480" w:firstLineChars="200"/>
        <w:jc w:val="both"/>
        <w:rPr>
          <w:rFonts w:hint="eastAsia" w:ascii="宋体" w:hAnsi="宋体" w:cs="宋体"/>
          <w:b/>
          <w:bCs/>
          <w:szCs w:val="24"/>
          <w:highlight w:val="none"/>
        </w:rPr>
      </w:pPr>
      <w:r>
        <w:rPr>
          <w:rFonts w:hint="eastAsia" w:ascii="宋体" w:hAnsi="宋体" w:cs="宋体"/>
          <w:szCs w:val="24"/>
          <w:highlight w:val="none"/>
        </w:rPr>
        <w:t>严格执行《广州市建设工程现场文明施工管理办法》（穗建质〔2008〕937号）、《关于进一步规范建设工程施工现场围蔽的通知》（穗建质〔2008〕1008号）、《广州市住房和城乡建设局等8部门关于印发广州市建设工程扬尘防治“6个100%”管理标准图集（V2.0版）的通知》和《广州市住房和城乡建设局等9部门关于印发广州市建设工程绿色施工围蔽指导图集（V2.0版）的通知 》（穗建质〔2020〕1号）和《广州机场建设投资集团有限公司建设项目职业健康、安全、环境保护（HSE）标准化指南》等，杜绝环境破坏、环境污染和水体污染事故等。</w:t>
      </w:r>
    </w:p>
    <w:p w14:paraId="24C6C698">
      <w:pPr>
        <w:pStyle w:val="7"/>
        <w:keepNext w:val="0"/>
        <w:keepLines w:val="0"/>
        <w:widowControl/>
        <w:snapToGrid/>
        <w:spacing w:line="360" w:lineRule="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2.6、投资控制（结算）目标</w:t>
      </w:r>
    </w:p>
    <w:p w14:paraId="4B8F10B5">
      <w:pPr>
        <w:snapToGrid/>
        <w:spacing w:before="0" w:after="0" w:line="360" w:lineRule="auto"/>
        <w:ind w:firstLine="496" w:firstLineChars="2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投资控制目标：详见合同条款。</w:t>
      </w:r>
    </w:p>
    <w:p w14:paraId="4C8C0BAD">
      <w:pPr>
        <w:pStyle w:val="2"/>
        <w:numPr>
          <w:ilvl w:val="255"/>
          <w:numId w:val="0"/>
        </w:numPr>
        <w:rPr>
          <w:rFonts w:hint="eastAsia" w:hAnsi="宋体" w:cs="宋体"/>
          <w:spacing w:val="4"/>
          <w:szCs w:val="24"/>
          <w:highlight w:val="none"/>
        </w:rPr>
      </w:pPr>
      <w:r>
        <w:rPr>
          <w:rFonts w:hint="eastAsia" w:hAnsi="宋体" w:cs="宋体"/>
          <w:spacing w:val="4"/>
          <w:szCs w:val="24"/>
          <w:highlight w:val="none"/>
        </w:rPr>
        <w:t>2.7、其他要求</w:t>
      </w:r>
    </w:p>
    <w:p w14:paraId="28864352">
      <w:pPr>
        <w:snapToGrid/>
        <w:spacing w:before="0" w:after="0" w:line="360" w:lineRule="auto"/>
        <w:ind w:firstLine="496" w:firstLineChars="2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详见合同条款。</w:t>
      </w:r>
    </w:p>
    <w:p w14:paraId="4D62BE78">
      <w:pPr>
        <w:widowControl/>
        <w:snapToGrid/>
        <w:spacing w:before="0" w:after="0" w:line="240" w:lineRule="auto"/>
        <w:rPr>
          <w:rStyle w:val="50"/>
          <w:rFonts w:hint="eastAsia" w:ascii="宋体" w:hAnsi="宋体" w:eastAsia="宋体" w:cs="宋体"/>
          <w:color w:val="auto"/>
          <w:kern w:val="44"/>
          <w:sz w:val="36"/>
          <w:highlight w:val="none"/>
        </w:rPr>
      </w:pPr>
      <w:bookmarkStart w:id="4" w:name="_Toc122981404"/>
      <w:r>
        <w:rPr>
          <w:rStyle w:val="50"/>
          <w:rFonts w:hint="eastAsia" w:ascii="宋体" w:hAnsi="宋体" w:eastAsia="宋体" w:cs="宋体"/>
          <w:color w:val="auto"/>
          <w:kern w:val="44"/>
          <w:sz w:val="36"/>
          <w:highlight w:val="none"/>
        </w:rPr>
        <w:br w:type="page"/>
      </w:r>
    </w:p>
    <w:p w14:paraId="4A81D626">
      <w:pPr>
        <w:widowControl/>
        <w:snapToGrid/>
        <w:spacing w:before="0" w:after="0" w:line="240" w:lineRule="auto"/>
        <w:jc w:val="center"/>
        <w:outlineLvl w:val="0"/>
        <w:rPr>
          <w:rFonts w:hint="eastAsia" w:ascii="宋体" w:hAnsi="宋体" w:eastAsia="宋体" w:cs="宋体"/>
          <w:b/>
          <w:bCs/>
          <w:color w:val="auto"/>
          <w:sz w:val="48"/>
          <w:szCs w:val="48"/>
          <w:highlight w:val="none"/>
        </w:rPr>
      </w:pPr>
      <w:r>
        <w:rPr>
          <w:rStyle w:val="50"/>
          <w:rFonts w:hint="eastAsia" w:ascii="宋体" w:hAnsi="宋体" w:eastAsia="宋体" w:cs="宋体"/>
          <w:color w:val="auto"/>
          <w:kern w:val="44"/>
          <w:sz w:val="36"/>
          <w:highlight w:val="none"/>
        </w:rPr>
        <w:t>第二部分 设计任务书</w:t>
      </w:r>
      <w:bookmarkEnd w:id="4"/>
    </w:p>
    <w:p w14:paraId="12D1916D">
      <w:pPr>
        <w:jc w:val="center"/>
        <w:rPr>
          <w:rFonts w:hint="eastAsia" w:ascii="宋体" w:hAnsi="宋体" w:eastAsia="宋体" w:cs="宋体"/>
          <w:color w:val="auto"/>
          <w:sz w:val="32"/>
          <w:szCs w:val="32"/>
          <w:highlight w:val="none"/>
        </w:rPr>
      </w:pPr>
      <w:bookmarkStart w:id="5" w:name="_Toc6321"/>
      <w:bookmarkStart w:id="6" w:name="_Toc96366259"/>
      <w:bookmarkStart w:id="7" w:name="_Toc16781"/>
      <w:bookmarkStart w:id="8" w:name="_Toc101635937"/>
      <w:bookmarkStart w:id="9" w:name="_Toc4505"/>
      <w:bookmarkStart w:id="10" w:name="_Toc30480"/>
      <w:bookmarkStart w:id="11" w:name="_Toc104581783"/>
      <w:bookmarkStart w:id="12" w:name="_Toc12402"/>
      <w:bookmarkStart w:id="13" w:name="_Toc62770032"/>
      <w:r>
        <w:rPr>
          <w:rFonts w:hint="eastAsia" w:ascii="宋体" w:hAnsi="宋体" w:eastAsia="宋体" w:cs="宋体"/>
          <w:b/>
          <w:bCs/>
          <w:color w:val="auto"/>
          <w:sz w:val="28"/>
          <w:szCs w:val="28"/>
          <w:highlight w:val="none"/>
        </w:rPr>
        <w:t>前言</w:t>
      </w:r>
    </w:p>
    <w:p w14:paraId="095A3D45">
      <w:pPr>
        <w:rPr>
          <w:rFonts w:hint="eastAsia" w:ascii="宋体" w:hAnsi="宋体" w:eastAsia="宋体" w:cs="宋体"/>
          <w:color w:val="auto"/>
          <w:sz w:val="28"/>
          <w:szCs w:val="28"/>
          <w:highlight w:val="none"/>
        </w:rPr>
      </w:pPr>
    </w:p>
    <w:p w14:paraId="2F28CD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云机场三期扩建工程周边临空经济产业园基础设施建设三期工程是广州白云国际机场三期扩建工程的重要配套工程。为落实《粤港澳大湾区规划纲要》建设“世界级机场群”，为了强化广州白云国际机场的国际航空枢纽港功能，建设第四、第五跑道及第三航站楼，广州市全力以赴，提前做好拆迁安置工作，保障主体工程顺利实施，按照“集体安置、整体搬迁、彻底解决”的原则，对机场建设区域实施综合治理。通过征地、复建、搬迁、安置等系列措施，从根本上解决相关影响区域的治理问题，对受影响区域居住用房实施搬迁安置。为此根据空港经济区城市总体规划，花都、白云两区范围内确定安置区选址，进行安置区建设。</w:t>
      </w:r>
    </w:p>
    <w:p w14:paraId="1CF2EBB6">
      <w:pPr>
        <w:spacing w:line="360" w:lineRule="auto"/>
        <w:ind w:firstLine="480" w:firstLineChars="200"/>
        <w:rPr>
          <w:rFonts w:hint="eastAsia" w:ascii="宋体" w:hAnsi="宋体" w:eastAsia="宋体" w:cs="宋体"/>
          <w:color w:val="auto"/>
          <w:szCs w:val="20"/>
          <w:highlight w:val="none"/>
        </w:rPr>
      </w:pPr>
      <w:bookmarkStart w:id="14" w:name="_Hlk104657704"/>
      <w:r>
        <w:rPr>
          <w:rFonts w:hint="eastAsia" w:ascii="宋体" w:hAnsi="宋体" w:eastAsia="宋体" w:cs="宋体"/>
          <w:color w:val="auto"/>
          <w:sz w:val="24"/>
          <w:szCs w:val="24"/>
          <w:highlight w:val="none"/>
        </w:rPr>
        <w:t>本设计任务书的主要技术内容包括并不限于永久供电工程的电气设计以及相关辅助设施的专业设计等</w:t>
      </w:r>
      <w:bookmarkEnd w:id="14"/>
      <w:r>
        <w:rPr>
          <w:rFonts w:hint="eastAsia" w:ascii="宋体" w:hAnsi="宋体" w:eastAsia="宋体" w:cs="宋体"/>
          <w:color w:val="auto"/>
          <w:sz w:val="24"/>
          <w:szCs w:val="24"/>
          <w:highlight w:val="none"/>
        </w:rPr>
        <w:t>。</w:t>
      </w:r>
    </w:p>
    <w:p w14:paraId="0DE23681">
      <w:pPr>
        <w:pStyle w:val="3"/>
        <w:keepNext w:val="0"/>
        <w:keepLines w:val="0"/>
        <w:snapToGrid/>
        <w:spacing w:line="360" w:lineRule="auto"/>
        <w:rPr>
          <w:rFonts w:hint="eastAsia" w:ascii="宋体" w:hAnsi="宋体" w:eastAsia="宋体" w:cs="宋体"/>
          <w:color w:val="auto"/>
          <w:highlight w:val="none"/>
        </w:rPr>
      </w:pPr>
      <w:bookmarkStart w:id="15" w:name="_Toc29830"/>
      <w:bookmarkStart w:id="16" w:name="_Toc30685"/>
      <w:bookmarkStart w:id="17" w:name="_Toc32485"/>
      <w:bookmarkStart w:id="18" w:name="_Toc21262"/>
      <w:bookmarkStart w:id="19" w:name="_Toc104581690"/>
      <w:bookmarkStart w:id="20" w:name="_Toc122981405"/>
      <w:r>
        <w:rPr>
          <w:rFonts w:hint="eastAsia" w:ascii="宋体" w:hAnsi="宋体" w:eastAsia="宋体" w:cs="宋体"/>
          <w:color w:val="auto"/>
          <w:highlight w:val="none"/>
        </w:rPr>
        <w:t>一、总则</w:t>
      </w:r>
      <w:bookmarkEnd w:id="15"/>
      <w:bookmarkEnd w:id="16"/>
      <w:bookmarkEnd w:id="17"/>
      <w:bookmarkEnd w:id="18"/>
      <w:bookmarkEnd w:id="19"/>
      <w:bookmarkEnd w:id="20"/>
    </w:p>
    <w:p w14:paraId="296DE749">
      <w:pPr>
        <w:pStyle w:val="6"/>
        <w:keepNext w:val="0"/>
        <w:keepLines w:val="0"/>
        <w:snapToGrid/>
        <w:spacing w:before="156" w:beforeLines="50" w:after="0"/>
        <w:rPr>
          <w:rFonts w:hint="eastAsia" w:ascii="宋体" w:hAnsi="宋体" w:eastAsia="宋体" w:cs="宋体"/>
          <w:color w:val="auto"/>
          <w:sz w:val="24"/>
          <w:szCs w:val="24"/>
          <w:highlight w:val="none"/>
        </w:rPr>
      </w:pPr>
      <w:bookmarkStart w:id="21" w:name="_Toc176921258"/>
      <w:bookmarkStart w:id="22" w:name="_Toc14339"/>
      <w:bookmarkStart w:id="23" w:name="_Toc104581691"/>
      <w:bookmarkStart w:id="24" w:name="_Toc25611"/>
      <w:bookmarkStart w:id="25" w:name="_Toc3764"/>
      <w:bookmarkStart w:id="26" w:name="_Toc176857809"/>
      <w:bookmarkStart w:id="27" w:name="_Toc176925089"/>
      <w:bookmarkStart w:id="28" w:name="_Toc2315"/>
      <w:bookmarkStart w:id="29" w:name="_Toc179860348"/>
      <w:r>
        <w:rPr>
          <w:rFonts w:hint="eastAsia" w:ascii="宋体" w:hAnsi="宋体" w:eastAsia="宋体" w:cs="宋体"/>
          <w:color w:val="auto"/>
          <w:sz w:val="24"/>
          <w:szCs w:val="24"/>
          <w:highlight w:val="none"/>
        </w:rPr>
        <w:t>1.项目背景</w:t>
      </w:r>
      <w:bookmarkEnd w:id="21"/>
      <w:bookmarkEnd w:id="22"/>
      <w:bookmarkEnd w:id="23"/>
      <w:bookmarkEnd w:id="24"/>
      <w:bookmarkEnd w:id="25"/>
      <w:bookmarkEnd w:id="26"/>
      <w:bookmarkEnd w:id="27"/>
      <w:bookmarkEnd w:id="28"/>
      <w:bookmarkEnd w:id="29"/>
    </w:p>
    <w:p w14:paraId="7AF64673">
      <w:pPr>
        <w:pStyle w:val="2"/>
        <w:ind w:firstLine="480"/>
        <w:rPr>
          <w:rFonts w:hint="eastAsia" w:hAnsi="宋体" w:cs="宋体"/>
          <w:szCs w:val="24"/>
          <w:highlight w:val="none"/>
        </w:rPr>
      </w:pPr>
      <w:r>
        <w:rPr>
          <w:rFonts w:hint="eastAsia" w:hAnsi="宋体" w:cs="宋体"/>
          <w:szCs w:val="24"/>
          <w:highlight w:val="none"/>
        </w:rPr>
        <w:t>为落实《粤港澳大湾区规划纲要》建设“世界级机场群”，为加快建设广州白云国际机场三期工程，建设第四、第五跑道及第三航站楼，加强白云机场国际航空枢纽港功能，根本上解决受影响区域居民安置，按照省政府、市政府相关工作部署，要全力以赴提前谋划做好征拆安置工作，保障主体工程顺利实施。</w:t>
      </w:r>
    </w:p>
    <w:p w14:paraId="2A82425E">
      <w:pPr>
        <w:pStyle w:val="2"/>
        <w:ind w:firstLine="480"/>
        <w:rPr>
          <w:rFonts w:hint="eastAsia" w:hAnsi="宋体" w:cs="宋体"/>
          <w:szCs w:val="24"/>
          <w:highlight w:val="none"/>
        </w:rPr>
      </w:pPr>
      <w:r>
        <w:rPr>
          <w:rFonts w:hint="eastAsia" w:hAnsi="宋体" w:cs="宋体"/>
          <w:szCs w:val="24"/>
          <w:highlight w:val="none"/>
        </w:rPr>
        <w:t>为保障白云国际机场三期扩建工程项目顺利进行，推进临空经济示范区建设，加快项目建设进度，推进白云机场三期工程五跑道及北部滑行区的建设，根据基本建设程序及要求，广州机场建设投资集团有限公司开展白云国际机场三期扩建工程周边临空经济产业园区基础设施建设工作。</w:t>
      </w:r>
      <w:bookmarkStart w:id="30" w:name="_Toc179860349"/>
      <w:bookmarkStart w:id="31" w:name="_Toc176921259"/>
      <w:bookmarkStart w:id="32" w:name="_Toc3177"/>
      <w:bookmarkStart w:id="33" w:name="_Toc176857810"/>
      <w:bookmarkStart w:id="34" w:name="_Toc176925090"/>
    </w:p>
    <w:p w14:paraId="2D7EF104">
      <w:pPr>
        <w:pStyle w:val="6"/>
        <w:keepNext w:val="0"/>
        <w:keepLines w:val="0"/>
        <w:snapToGrid/>
        <w:spacing w:before="156" w:beforeLines="50" w:after="0"/>
        <w:rPr>
          <w:rFonts w:hint="eastAsia" w:ascii="宋体" w:hAnsi="宋体" w:eastAsia="宋体" w:cs="宋体"/>
          <w:color w:val="auto"/>
          <w:sz w:val="24"/>
          <w:szCs w:val="24"/>
          <w:highlight w:val="none"/>
        </w:rPr>
      </w:pPr>
      <w:bookmarkStart w:id="35" w:name="_Toc31643"/>
      <w:bookmarkStart w:id="36" w:name="_Toc104581692"/>
      <w:bookmarkStart w:id="37" w:name="_Toc30341"/>
      <w:bookmarkStart w:id="38" w:name="_Toc15284"/>
      <w:r>
        <w:rPr>
          <w:rFonts w:hint="eastAsia" w:ascii="宋体" w:hAnsi="宋体" w:eastAsia="宋体" w:cs="宋体"/>
          <w:color w:val="auto"/>
          <w:sz w:val="24"/>
          <w:szCs w:val="24"/>
          <w:highlight w:val="none"/>
        </w:rPr>
        <w:t>2.设计任务书编制依据</w:t>
      </w:r>
      <w:bookmarkEnd w:id="30"/>
      <w:bookmarkEnd w:id="31"/>
      <w:bookmarkEnd w:id="32"/>
      <w:bookmarkEnd w:id="33"/>
      <w:bookmarkEnd w:id="34"/>
      <w:bookmarkEnd w:id="35"/>
      <w:bookmarkEnd w:id="36"/>
      <w:bookmarkEnd w:id="37"/>
      <w:bookmarkEnd w:id="38"/>
    </w:p>
    <w:p w14:paraId="2CCC45CC">
      <w:pPr>
        <w:pStyle w:val="2"/>
        <w:ind w:firstLine="480"/>
        <w:rPr>
          <w:rFonts w:hint="eastAsia" w:hAnsi="宋体" w:cs="宋体"/>
          <w:szCs w:val="24"/>
          <w:highlight w:val="none"/>
        </w:rPr>
      </w:pPr>
      <w:r>
        <w:rPr>
          <w:rFonts w:hint="eastAsia" w:hAnsi="宋体" w:cs="宋体"/>
          <w:szCs w:val="24"/>
          <w:highlight w:val="none"/>
        </w:rPr>
        <w:t>2.1 《白云机场三期扩建工程及其噪音区征拆安置项目近期实施计划（2021-2023年）》</w:t>
      </w:r>
    </w:p>
    <w:p w14:paraId="3B44DE5D">
      <w:pPr>
        <w:pStyle w:val="2"/>
        <w:ind w:firstLine="480"/>
        <w:rPr>
          <w:rFonts w:hint="eastAsia" w:hAnsi="宋体" w:cs="宋体"/>
          <w:szCs w:val="24"/>
          <w:highlight w:val="none"/>
        </w:rPr>
      </w:pPr>
      <w:r>
        <w:rPr>
          <w:rFonts w:hint="eastAsia" w:hAnsi="宋体" w:cs="宋体"/>
          <w:szCs w:val="24"/>
          <w:highlight w:val="none"/>
        </w:rPr>
        <w:t>2.2 机场噪音安置区控制性详细规划修改、广州空港经济区起步区控制性详细规划修编、白云国际机场三期扩建工程安置区及留用地控制性详细规划调整</w:t>
      </w:r>
    </w:p>
    <w:p w14:paraId="04F6DC33">
      <w:pPr>
        <w:pStyle w:val="2"/>
        <w:ind w:firstLine="480"/>
        <w:rPr>
          <w:rFonts w:hint="eastAsia" w:hAnsi="宋体" w:cs="宋体"/>
          <w:szCs w:val="24"/>
          <w:highlight w:val="none"/>
        </w:rPr>
      </w:pPr>
      <w:r>
        <w:rPr>
          <w:rFonts w:hint="eastAsia" w:hAnsi="宋体" w:cs="宋体"/>
          <w:szCs w:val="24"/>
          <w:highlight w:val="none"/>
        </w:rPr>
        <w:t>2.3 国家及省市颁布的相关法律、法规、规定</w:t>
      </w:r>
    </w:p>
    <w:p w14:paraId="24D89FAF">
      <w:pPr>
        <w:pStyle w:val="2"/>
        <w:ind w:firstLine="480"/>
        <w:rPr>
          <w:rFonts w:hint="eastAsia" w:hAnsi="宋体" w:cs="宋体"/>
          <w:szCs w:val="24"/>
          <w:highlight w:val="none"/>
        </w:rPr>
      </w:pPr>
      <w:r>
        <w:rPr>
          <w:rFonts w:hint="eastAsia" w:hAnsi="宋体" w:cs="宋体"/>
          <w:szCs w:val="24"/>
          <w:highlight w:val="none"/>
        </w:rPr>
        <w:t>2.4 《广州市城市规划管理技术标准与准则》—建筑工程规划管理篇/修建性详细规划篇/市政规划篇（2005年12月）</w:t>
      </w:r>
    </w:p>
    <w:p w14:paraId="659908F7">
      <w:pPr>
        <w:pStyle w:val="2"/>
        <w:ind w:firstLine="480"/>
        <w:rPr>
          <w:rFonts w:hint="eastAsia" w:hAnsi="宋体" w:cs="宋体"/>
          <w:szCs w:val="24"/>
          <w:highlight w:val="none"/>
        </w:rPr>
      </w:pPr>
      <w:r>
        <w:rPr>
          <w:rFonts w:hint="eastAsia" w:hAnsi="宋体" w:cs="宋体"/>
          <w:szCs w:val="24"/>
          <w:highlight w:val="none"/>
        </w:rPr>
        <w:t>2.5 《广州市城乡规划技术规定》</w:t>
      </w:r>
    </w:p>
    <w:p w14:paraId="04BE274C">
      <w:pPr>
        <w:pStyle w:val="2"/>
        <w:ind w:firstLine="480"/>
        <w:rPr>
          <w:rFonts w:hint="eastAsia" w:hAnsi="宋体" w:cs="宋体"/>
          <w:szCs w:val="24"/>
          <w:highlight w:val="none"/>
        </w:rPr>
      </w:pPr>
      <w:r>
        <w:rPr>
          <w:rFonts w:hint="eastAsia" w:hAnsi="宋体" w:cs="宋体"/>
          <w:szCs w:val="24"/>
          <w:highlight w:val="none"/>
        </w:rPr>
        <w:t>2.6 广州市住房和城乡建设局关于白云机场三期扩建工程周边临空经济产业园区基础设施建设三期工程</w:t>
      </w:r>
      <w:r>
        <w:rPr>
          <w:rFonts w:hint="eastAsia" w:ascii="宋体" w:hAnsi="宋体" w:cs="宋体"/>
          <w:sz w:val="24"/>
          <w:highlight w:val="none"/>
        </w:rPr>
        <w:t>（保良北地块）（第二批）</w:t>
      </w:r>
      <w:r>
        <w:rPr>
          <w:rFonts w:hint="eastAsia" w:hAnsi="宋体"/>
          <w:kern w:val="0"/>
          <w:szCs w:val="24"/>
          <w:highlight w:val="none"/>
        </w:rPr>
        <w:t>、（小㘵-平山二期（第二批）、（小㘵-平山首期）（第二批）、（南方地块）（第二批）、（建南（第二批））</w:t>
      </w:r>
      <w:r>
        <w:rPr>
          <w:rFonts w:hint="eastAsia" w:hAnsi="宋体" w:cs="宋体"/>
          <w:szCs w:val="24"/>
          <w:highlight w:val="none"/>
        </w:rPr>
        <w:t>初步设计的复函</w:t>
      </w:r>
    </w:p>
    <w:p w14:paraId="08BA4932">
      <w:pPr>
        <w:pStyle w:val="2"/>
        <w:ind w:firstLine="480"/>
        <w:rPr>
          <w:rFonts w:hint="eastAsia" w:hAnsi="宋体"/>
          <w:highlight w:val="none"/>
        </w:rPr>
      </w:pPr>
      <w:r>
        <w:rPr>
          <w:rFonts w:hint="eastAsia" w:hAnsi="宋体"/>
          <w:highlight w:val="none"/>
        </w:rPr>
        <w:t>2.7</w:t>
      </w:r>
      <w:r>
        <w:rPr>
          <w:rFonts w:hint="eastAsia" w:hAnsi="宋体" w:cs="宋体"/>
          <w:szCs w:val="24"/>
          <w:highlight w:val="none"/>
        </w:rPr>
        <w:t>白云机场三期扩建工程周边临空经济产业园区基础设施建设三期工程</w:t>
      </w:r>
      <w:r>
        <w:rPr>
          <w:rFonts w:hint="eastAsia" w:ascii="宋体" w:hAnsi="宋体" w:cs="宋体"/>
          <w:sz w:val="24"/>
          <w:highlight w:val="none"/>
        </w:rPr>
        <w:t>（保良北地块）（第二批）</w:t>
      </w:r>
      <w:r>
        <w:rPr>
          <w:rFonts w:hint="eastAsia" w:hAnsi="宋体"/>
          <w:kern w:val="0"/>
          <w:szCs w:val="24"/>
          <w:highlight w:val="none"/>
        </w:rPr>
        <w:t>、（小㘵-平山二期（第二批）、（小㘵-平山首期）（第二批）、（南方地块）（第二批）、（建南（第二批））</w:t>
      </w:r>
      <w:r>
        <w:rPr>
          <w:rFonts w:hint="eastAsia" w:hAnsi="宋体" w:cs="宋体"/>
          <w:szCs w:val="24"/>
          <w:highlight w:val="none"/>
        </w:rPr>
        <w:t>初步设计</w:t>
      </w:r>
    </w:p>
    <w:p w14:paraId="6626ACBB">
      <w:pPr>
        <w:pStyle w:val="2"/>
        <w:ind w:firstLine="480"/>
        <w:rPr>
          <w:rFonts w:hint="eastAsia" w:hAnsi="宋体" w:cs="宋体"/>
          <w:szCs w:val="24"/>
          <w:highlight w:val="none"/>
        </w:rPr>
      </w:pPr>
      <w:r>
        <w:rPr>
          <w:rFonts w:hint="eastAsia" w:hAnsi="宋体" w:cs="宋体"/>
          <w:szCs w:val="24"/>
          <w:highlight w:val="none"/>
        </w:rPr>
        <w:t>2.8各专业相关规范。</w:t>
      </w:r>
    </w:p>
    <w:p w14:paraId="1D501F1F">
      <w:pPr>
        <w:pStyle w:val="6"/>
        <w:keepNext w:val="0"/>
        <w:keepLines w:val="0"/>
        <w:snapToGrid/>
        <w:spacing w:before="156" w:beforeLines="50"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3、项目概况</w:t>
      </w:r>
    </w:p>
    <w:tbl>
      <w:tblPr>
        <w:tblStyle w:val="41"/>
        <w:tblpPr w:leftFromText="180" w:rightFromText="180" w:vertAnchor="text" w:horzAnchor="page" w:tblpX="1412" w:tblpY="450"/>
        <w:tblOverlap w:val="never"/>
        <w:tblW w:w="0" w:type="auto"/>
        <w:tblInd w:w="0" w:type="dxa"/>
        <w:tblLayout w:type="fixed"/>
        <w:tblCellMar>
          <w:top w:w="15" w:type="dxa"/>
          <w:left w:w="15" w:type="dxa"/>
          <w:bottom w:w="15" w:type="dxa"/>
          <w:right w:w="15" w:type="dxa"/>
        </w:tblCellMar>
      </w:tblPr>
      <w:tblGrid>
        <w:gridCol w:w="1335"/>
        <w:gridCol w:w="7695"/>
      </w:tblGrid>
      <w:tr w14:paraId="0D8385DA">
        <w:tblPrEx>
          <w:tblCellMar>
            <w:top w:w="15" w:type="dxa"/>
            <w:left w:w="15" w:type="dxa"/>
            <w:bottom w:w="15" w:type="dxa"/>
            <w:right w:w="15" w:type="dxa"/>
          </w:tblCellMar>
        </w:tblPrEx>
        <w:trPr>
          <w:trHeight w:val="405" w:hRule="atLeast"/>
        </w:trPr>
        <w:tc>
          <w:tcPr>
            <w:tcW w:w="133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1B7A1570">
            <w:pPr>
              <w:spacing w:line="300" w:lineRule="auto"/>
              <w:rPr>
                <w:rFonts w:hint="eastAsia" w:ascii="宋体" w:hAnsi="宋体" w:eastAsia="宋体"/>
                <w:color w:val="auto"/>
                <w:highlight w:val="none"/>
              </w:rPr>
            </w:pPr>
            <w:r>
              <w:rPr>
                <w:rFonts w:hint="eastAsia" w:ascii="宋体" w:hAnsi="宋体" w:cs="宋体"/>
                <w:color w:val="auto"/>
                <w:sz w:val="24"/>
                <w:highlight w:val="none"/>
              </w:rPr>
              <w:t>（保良北地块）（第二批）</w:t>
            </w:r>
          </w:p>
        </w:tc>
        <w:tc>
          <w:tcPr>
            <w:tcW w:w="769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7FC4414E">
            <w:pPr>
              <w:spacing w:line="30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主要由住宅、公建配套、小学、幼儿园等组成，分别为住宅地块（地块二、地块四、地块七、地块十三）、学校地块（地块九、地块地块十二）和独立公建地块（地块三、地块六、地块十）。总用地面积约366877.9平方米，总建筑面积74.61万平方米。设计内容为白云机场三期扩建工程周边临空经济产业园区基础设施建设三期工程（保良北地块）（第二批）的永久用电设计。本项目所有电房含专变电房12处，公变房23处，专变位于：地块二2-7#住宅首层、村委首层，地块三 首层，地块四 4-5#栋首层，地块六 首层、地块七 7-17#栋首层、幼儿园首层、地块九首层，地块十首层，地块十二 首层，地块十三 13-1#栋首层、派出所首层；公变位于：地块二2-2#、2-4#、2-5#、2-7#首层，地块四4-1#、4-3#、4-4#、4-7#栋首层,地块七 7-1#、7-3#、7-5#、7-7#、7-8#、7-10#、7-11#、7-13#、7-15#、7-18#、菜市场首层、7-20#、7-23#栋首层，地块十三 13-1#首层。</w:t>
            </w:r>
          </w:p>
        </w:tc>
      </w:tr>
      <w:tr w14:paraId="3DE466A3">
        <w:tblPrEx>
          <w:tblCellMar>
            <w:top w:w="15" w:type="dxa"/>
            <w:left w:w="15" w:type="dxa"/>
            <w:bottom w:w="15" w:type="dxa"/>
            <w:right w:w="15" w:type="dxa"/>
          </w:tblCellMar>
        </w:tblPrEx>
        <w:trPr>
          <w:trHeight w:val="405" w:hRule="atLeast"/>
        </w:trPr>
        <w:tc>
          <w:tcPr>
            <w:tcW w:w="133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362A736B">
            <w:pPr>
              <w:spacing w:line="300" w:lineRule="auto"/>
              <w:rPr>
                <w:rFonts w:hint="eastAsia" w:ascii="宋体" w:hAnsi="宋体" w:eastAsia="宋体"/>
                <w:color w:val="auto"/>
                <w:highlight w:val="none"/>
              </w:rPr>
            </w:pPr>
            <w:r>
              <w:rPr>
                <w:rFonts w:hint="eastAsia" w:ascii="宋体" w:hAnsi="宋体" w:eastAsia="宋体"/>
                <w:color w:val="auto"/>
                <w:highlight w:val="none"/>
              </w:rPr>
              <w:t>（小㘵-平山二期（第二批）</w:t>
            </w:r>
          </w:p>
        </w:tc>
        <w:tc>
          <w:tcPr>
            <w:tcW w:w="769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42849322">
            <w:pPr>
              <w:spacing w:line="30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主要由住宅、公建配套、配套商业、幼儿园等组成，分别为住宅地块（地块一、地块十二、地块十三）。地块一总用地面积约30501.82平方米，总建筑面积105597.81平方米。地块十二总用地面积41916.9平方米，总建筑面积143866平方米。地块十三总用地面积37808.08平方米，总建筑面积129007.44平方米。设计内容为白云机场三期扩建工程周边临空经济产业园区基础设施建设三期工程（小㘵-平山二期（第二批）的永久用电设计。本项目所有电房含专变电房6处，公变房14处，分别位于地块一A1栋、A3栋、A4栋、A5A6栋、A8栋、A9栋、A10栋首层，地块十二的M2栋、M3栋、M4栋、M5栋、M9栋、M11栋、M13栋首层；地块十三的N1栋、N4栋、N5栋、N7栋、N8栋、N10栋首层。</w:t>
            </w:r>
          </w:p>
        </w:tc>
      </w:tr>
      <w:tr w14:paraId="459D2DB1">
        <w:tblPrEx>
          <w:tblCellMar>
            <w:top w:w="15" w:type="dxa"/>
            <w:left w:w="15" w:type="dxa"/>
            <w:bottom w:w="15" w:type="dxa"/>
            <w:right w:w="15" w:type="dxa"/>
          </w:tblCellMar>
        </w:tblPrEx>
        <w:trPr>
          <w:trHeight w:val="405" w:hRule="atLeast"/>
        </w:trPr>
        <w:tc>
          <w:tcPr>
            <w:tcW w:w="133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19C9A904">
            <w:pPr>
              <w:spacing w:line="300" w:lineRule="auto"/>
              <w:rPr>
                <w:rFonts w:hint="eastAsia" w:ascii="宋体" w:hAnsi="宋体" w:eastAsia="宋体"/>
                <w:color w:val="auto"/>
                <w:highlight w:val="none"/>
              </w:rPr>
            </w:pPr>
            <w:r>
              <w:rPr>
                <w:rFonts w:hint="eastAsia" w:ascii="宋体" w:hAnsi="宋体" w:eastAsia="宋体"/>
                <w:color w:val="auto"/>
                <w:sz w:val="24"/>
                <w:szCs w:val="24"/>
                <w:highlight w:val="none"/>
              </w:rPr>
              <w:t>（小㘵-平山首期）（第二批）</w:t>
            </w:r>
          </w:p>
        </w:tc>
        <w:tc>
          <w:tcPr>
            <w:tcW w:w="769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28BA860C">
            <w:pPr>
              <w:spacing w:line="30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本项目为住宅地块(地块一、地块九）。地块一总用地面积约25816.25平方米，总建筑面积 95209.59平方米。地块九总用地面积 12407.81方米，总建筑面积39853.58平方米。设计内容为白云机场三期扩建工程周边临空经济产业园区基础设施建设三期工程（小㘵-平山首期）（第二批）的永久用电设计。本项目所有电房含专变电房2处，公变房8处。分别位于地块一的A2栋、A3栋、A4栋、A5栋、A9栋首层；地块九的J2栋、J3栋、J4栋首层。</w:t>
            </w:r>
          </w:p>
        </w:tc>
      </w:tr>
      <w:tr w14:paraId="439A6905">
        <w:tblPrEx>
          <w:tblCellMar>
            <w:top w:w="15" w:type="dxa"/>
            <w:left w:w="15" w:type="dxa"/>
            <w:bottom w:w="15" w:type="dxa"/>
            <w:right w:w="15" w:type="dxa"/>
          </w:tblCellMar>
        </w:tblPrEx>
        <w:trPr>
          <w:trHeight w:val="405" w:hRule="atLeast"/>
        </w:trPr>
        <w:tc>
          <w:tcPr>
            <w:tcW w:w="133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0655B7FD">
            <w:pPr>
              <w:spacing w:line="300" w:lineRule="auto"/>
              <w:rPr>
                <w:rFonts w:hint="eastAsia" w:ascii="宋体" w:hAnsi="宋体" w:eastAsia="宋体"/>
                <w:color w:val="auto"/>
                <w:highlight w:val="none"/>
              </w:rPr>
            </w:pPr>
            <w:r>
              <w:rPr>
                <w:rFonts w:hint="eastAsia" w:ascii="宋体" w:hAnsi="宋体" w:eastAsia="宋体"/>
                <w:color w:val="auto"/>
                <w:sz w:val="24"/>
                <w:szCs w:val="24"/>
                <w:highlight w:val="none"/>
              </w:rPr>
              <w:t>（南方地块）（第二批）</w:t>
            </w:r>
          </w:p>
        </w:tc>
        <w:tc>
          <w:tcPr>
            <w:tcW w:w="769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3DCC8432">
            <w:pPr>
              <w:spacing w:line="30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由住宅及项目主要由住宅、住宅配套、配套商业、幼儿园等组成，分别为地块一、地块二。地块一总用地面积约46313.98平方米，总建筑面积185095.26平方米。地块二总用地面积约23759.95平方米，总建筑面积96235.21平方米。设计内容为白云机场三期扩建工程周边临空经济产业园区基础设施三期工程(南方地块)(地块一、二)的永久用电设计。地块一所有电房含专变电房2处，公变房7处，分别位于地块一的A2栋、A3栋、A4栋、A5栋、A7栋、A8栋、A10栋、幼儿园。地块二所有电房含专变电房1处，公变房4处，分别位于地块二的B1栋、B3栋、B4栋、B5栋。</w:t>
            </w:r>
          </w:p>
        </w:tc>
      </w:tr>
      <w:tr w14:paraId="03B8F9BB">
        <w:tblPrEx>
          <w:tblCellMar>
            <w:top w:w="15" w:type="dxa"/>
            <w:left w:w="15" w:type="dxa"/>
            <w:bottom w:w="15" w:type="dxa"/>
            <w:right w:w="15" w:type="dxa"/>
          </w:tblCellMar>
        </w:tblPrEx>
        <w:trPr>
          <w:trHeight w:val="405" w:hRule="atLeast"/>
        </w:trPr>
        <w:tc>
          <w:tcPr>
            <w:tcW w:w="133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295562E7">
            <w:pPr>
              <w:spacing w:line="300" w:lineRule="auto"/>
              <w:rPr>
                <w:rFonts w:hint="eastAsia" w:ascii="宋体" w:hAnsi="宋体" w:eastAsia="宋体"/>
                <w:color w:val="auto"/>
                <w:highlight w:val="none"/>
              </w:rPr>
            </w:pPr>
            <w:r>
              <w:rPr>
                <w:rFonts w:hint="eastAsia" w:ascii="宋体" w:hAnsi="宋体" w:eastAsia="宋体"/>
                <w:color w:val="auto"/>
                <w:highlight w:val="none"/>
              </w:rPr>
              <w:t>（建南（第二批））</w:t>
            </w:r>
          </w:p>
        </w:tc>
        <w:tc>
          <w:tcPr>
            <w:tcW w:w="7695"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2424DADC">
            <w:pPr>
              <w:spacing w:line="30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主要由住宅、公建配套、配套商业、幼儿园等组成，分别体育馆地块（地块七）、配套商业地块（地块八）、住宅地块（地块九）和幼儿园地块（地块九）。总用地面积约74467.26平方米，总建筑面积约362086.23平方米。设计内容为白云机场三期扩建工程周边临空经济产业园区基础设施建设三期工程（建南（第二批））的永久用电设计。本项目所有电房含专变电房4处，公变房14处。分别位于：地块七体育馆首层；地块八商业配套首层；地块九D2#栋、D4#栋、D5#栋、D6#栋、D7#栋、D8#栋、D9#栋、D11#栋、D12#栋、D13#栋、D14#栋、幼儿园首层。</w:t>
            </w:r>
          </w:p>
        </w:tc>
      </w:tr>
    </w:tbl>
    <w:p w14:paraId="63027C7A">
      <w:pPr>
        <w:spacing w:line="30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项目主要概况如下：</w:t>
      </w:r>
    </w:p>
    <w:p w14:paraId="1158CB75">
      <w:pPr>
        <w:ind w:firstLine="480"/>
        <w:rPr>
          <w:rFonts w:hint="eastAsia" w:ascii="宋体" w:hAnsi="宋体" w:eastAsia="宋体" w:cs="宋体"/>
          <w:color w:val="auto"/>
          <w:szCs w:val="24"/>
          <w:highlight w:val="none"/>
        </w:rPr>
      </w:pPr>
    </w:p>
    <w:p w14:paraId="21245F41">
      <w:pPr>
        <w:pStyle w:val="6"/>
        <w:keepNext w:val="0"/>
        <w:keepLines w:val="0"/>
        <w:snapToGrid/>
        <w:spacing w:before="156" w:beforeLines="50" w:after="0"/>
        <w:rPr>
          <w:rFonts w:hint="eastAsia" w:ascii="宋体" w:hAnsi="宋体" w:eastAsia="宋体" w:cs="宋体"/>
          <w:color w:val="auto"/>
          <w:sz w:val="24"/>
          <w:szCs w:val="24"/>
          <w:highlight w:val="none"/>
        </w:rPr>
      </w:pPr>
      <w:bookmarkStart w:id="39" w:name="_Toc176921262"/>
      <w:bookmarkStart w:id="40" w:name="_Toc2892"/>
      <w:bookmarkStart w:id="41" w:name="_Toc104581696"/>
      <w:bookmarkStart w:id="42" w:name="_Toc179860352"/>
      <w:bookmarkStart w:id="43" w:name="_Toc29895"/>
      <w:bookmarkStart w:id="44" w:name="_Toc23694"/>
      <w:bookmarkStart w:id="45" w:name="_Toc176857813"/>
      <w:bookmarkStart w:id="46" w:name="_Toc176925093"/>
      <w:bookmarkStart w:id="47" w:name="_Toc23488"/>
      <w:r>
        <w:rPr>
          <w:rFonts w:hint="eastAsia" w:ascii="宋体" w:hAnsi="宋体" w:eastAsia="宋体" w:cs="宋体"/>
          <w:color w:val="auto"/>
          <w:sz w:val="24"/>
          <w:szCs w:val="24"/>
          <w:highlight w:val="none"/>
        </w:rPr>
        <w:t>4、用地现状情况</w:t>
      </w:r>
      <w:bookmarkEnd w:id="39"/>
      <w:bookmarkEnd w:id="40"/>
      <w:bookmarkEnd w:id="41"/>
      <w:bookmarkEnd w:id="42"/>
      <w:bookmarkEnd w:id="43"/>
      <w:bookmarkEnd w:id="44"/>
      <w:bookmarkEnd w:id="45"/>
      <w:bookmarkEnd w:id="46"/>
      <w:bookmarkEnd w:id="47"/>
    </w:p>
    <w:p w14:paraId="767285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本项目安置区选址位于广州市花都区，项目选址交通便利，符合安置区建设的选址要求。</w:t>
      </w:r>
      <w:bookmarkStart w:id="48" w:name="_Toc1745"/>
      <w:bookmarkStart w:id="49" w:name="_Toc16810"/>
      <w:bookmarkStart w:id="50" w:name="_Toc13273"/>
      <w:bookmarkStart w:id="51" w:name="_Toc1224"/>
      <w:bookmarkStart w:id="52" w:name="_Toc104581697"/>
    </w:p>
    <w:p w14:paraId="3F7971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选址现状条件概述</w:t>
      </w:r>
      <w:bookmarkEnd w:id="48"/>
      <w:bookmarkEnd w:id="49"/>
      <w:bookmarkEnd w:id="50"/>
      <w:bookmarkEnd w:id="51"/>
      <w:bookmarkEnd w:id="52"/>
    </w:p>
    <w:p w14:paraId="12AA42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项目用地现状以村民住宅、农用地为主。</w:t>
      </w:r>
    </w:p>
    <w:p w14:paraId="175D3B8B">
      <w:pPr>
        <w:spacing w:line="360" w:lineRule="auto"/>
        <w:ind w:firstLine="480" w:firstLineChars="200"/>
        <w:rPr>
          <w:rFonts w:hint="eastAsia" w:ascii="宋体" w:hAnsi="宋体" w:eastAsia="宋体" w:cs="宋体"/>
          <w:color w:val="auto"/>
          <w:sz w:val="24"/>
          <w:szCs w:val="24"/>
          <w:highlight w:val="none"/>
        </w:rPr>
      </w:pPr>
      <w:bookmarkStart w:id="53" w:name="_Toc17031"/>
      <w:bookmarkStart w:id="54" w:name="_Toc179860354"/>
      <w:bookmarkStart w:id="55" w:name="_Toc23639"/>
      <w:bookmarkStart w:id="56" w:name="_Toc176925095"/>
      <w:bookmarkStart w:id="57" w:name="_Toc23999"/>
      <w:bookmarkStart w:id="58" w:name="_Toc30382"/>
      <w:bookmarkStart w:id="59" w:name="_Toc176921264"/>
      <w:bookmarkStart w:id="60" w:name="_Toc104581698"/>
      <w:bookmarkStart w:id="61" w:name="_Toc176857815"/>
      <w:r>
        <w:rPr>
          <w:rFonts w:hint="eastAsia" w:ascii="宋体" w:hAnsi="宋体" w:eastAsia="宋体" w:cs="宋体"/>
          <w:color w:val="auto"/>
          <w:sz w:val="24"/>
          <w:szCs w:val="24"/>
          <w:highlight w:val="none"/>
        </w:rPr>
        <w:t>4.2 气候条件</w:t>
      </w:r>
      <w:bookmarkEnd w:id="53"/>
      <w:bookmarkEnd w:id="54"/>
      <w:bookmarkEnd w:id="55"/>
      <w:bookmarkEnd w:id="56"/>
      <w:bookmarkEnd w:id="57"/>
      <w:bookmarkEnd w:id="58"/>
      <w:bookmarkEnd w:id="59"/>
      <w:bookmarkEnd w:id="60"/>
      <w:bookmarkEnd w:id="61"/>
    </w:p>
    <w:p w14:paraId="1171A7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所在地区属南亚热带海洋性气候，气候温和，雨量充沛，日照充足。该地区年平均气温21.8℃，最低月（1月）平均气温13.3℃，最高月（7月）平均气温28.4℃；绝对最高气温38.7℃，历年极端最低气温0℃。区内年平均降雨量为1680.5mm，最大年降雨量2516.7mm，最小年降雨量为1158.5mm。降雨集中在4-9月，以5、6月份降雨量最多，最少为12月份。全年主导风向为北风，多出现于9月份至次年3月份，年平均风速2.0m/s。最高风速达35m/s，极大风速为35.4m/s，静风频率33%。年平均日照1895.2小时，7月份日照最长，4月份日照最短。全年日照率为42.9%，年总辐射量（Q）4390.2MJ/m</w:t>
      </w:r>
      <w:r>
        <w:rPr>
          <w:rFonts w:hint="eastAsia" w:ascii="宋体" w:hAnsi="宋体" w:eastAsia="宋体" w:cs="宋体"/>
          <w:color w:val="auto"/>
          <w:sz w:val="24"/>
          <w:szCs w:val="24"/>
          <w:highlight w:val="none"/>
          <w:vertAlign w:val="superscript"/>
        </w:rPr>
        <w:t>２</w:t>
      </w:r>
      <w:r>
        <w:rPr>
          <w:rFonts w:hint="eastAsia" w:ascii="宋体" w:hAnsi="宋体" w:eastAsia="宋体" w:cs="宋体"/>
          <w:color w:val="auto"/>
          <w:sz w:val="24"/>
          <w:szCs w:val="24"/>
          <w:highlight w:val="none"/>
        </w:rPr>
        <w:t>。年平均气压为101.24千帕，年平均相对湿度77%，年平均蒸发量1575.5mm。</w:t>
      </w:r>
    </w:p>
    <w:p w14:paraId="30F45699">
      <w:pPr>
        <w:pStyle w:val="6"/>
        <w:keepNext w:val="0"/>
        <w:keepLines w:val="0"/>
        <w:numPr>
          <w:ilvl w:val="0"/>
          <w:numId w:val="2"/>
        </w:numPr>
        <w:snapToGrid/>
        <w:spacing w:before="156" w:beforeLines="50" w:after="0"/>
        <w:rPr>
          <w:rFonts w:hint="eastAsia" w:ascii="宋体" w:hAnsi="宋体" w:eastAsia="宋体" w:cs="宋体"/>
          <w:color w:val="auto"/>
          <w:sz w:val="24"/>
          <w:szCs w:val="24"/>
          <w:highlight w:val="none"/>
        </w:rPr>
      </w:pPr>
      <w:bookmarkStart w:id="62" w:name="_Toc21802"/>
      <w:bookmarkStart w:id="63" w:name="_Toc8104"/>
      <w:bookmarkStart w:id="64" w:name="_Toc104581699"/>
      <w:bookmarkStart w:id="65" w:name="_Toc23606"/>
      <w:bookmarkStart w:id="66" w:name="_Toc26636"/>
      <w:bookmarkStart w:id="67" w:name="_Toc180918606"/>
      <w:r>
        <w:rPr>
          <w:rFonts w:hint="eastAsia" w:ascii="宋体" w:hAnsi="宋体" w:eastAsia="宋体" w:cs="宋体"/>
          <w:color w:val="auto"/>
          <w:sz w:val="24"/>
          <w:szCs w:val="24"/>
          <w:highlight w:val="none"/>
        </w:rPr>
        <w:t>设计范围和内容</w:t>
      </w:r>
      <w:bookmarkEnd w:id="62"/>
      <w:bookmarkEnd w:id="63"/>
      <w:bookmarkEnd w:id="64"/>
      <w:bookmarkEnd w:id="65"/>
      <w:bookmarkEnd w:id="66"/>
      <w:bookmarkEnd w:id="67"/>
    </w:p>
    <w:p w14:paraId="0CFFD87D">
      <w:pPr>
        <w:spacing w:line="360" w:lineRule="auto"/>
        <w:ind w:firstLine="480" w:firstLineChars="200"/>
        <w:rPr>
          <w:rFonts w:hint="eastAsia" w:ascii="宋体" w:hAnsi="宋体" w:eastAsia="宋体" w:cs="宋体"/>
          <w:color w:val="auto"/>
          <w:sz w:val="24"/>
          <w:szCs w:val="24"/>
          <w:highlight w:val="none"/>
        </w:rPr>
      </w:pPr>
      <w:bookmarkStart w:id="68" w:name="_Toc104581700"/>
      <w:bookmarkStart w:id="69" w:name="_Toc14096"/>
      <w:bookmarkStart w:id="70" w:name="_Toc27040"/>
      <w:bookmarkStart w:id="71" w:name="_Toc28237"/>
      <w:r>
        <w:rPr>
          <w:rFonts w:hint="eastAsia" w:ascii="宋体" w:hAnsi="宋体" w:eastAsia="宋体" w:cs="宋体"/>
          <w:color w:val="auto"/>
          <w:sz w:val="24"/>
          <w:szCs w:val="24"/>
          <w:highlight w:val="none"/>
        </w:rPr>
        <w:t>5.1 本项目设计范围</w:t>
      </w:r>
      <w:bookmarkEnd w:id="68"/>
      <w:bookmarkEnd w:id="69"/>
      <w:bookmarkEnd w:id="70"/>
      <w:bookmarkEnd w:id="71"/>
    </w:p>
    <w:p w14:paraId="263214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按本项目招标公告约定。</w:t>
      </w:r>
    </w:p>
    <w:p w14:paraId="1163177F">
      <w:pPr>
        <w:spacing w:line="360" w:lineRule="auto"/>
        <w:ind w:firstLine="480" w:firstLineChars="200"/>
        <w:rPr>
          <w:rFonts w:hint="eastAsia" w:ascii="宋体" w:hAnsi="宋体" w:eastAsia="宋体" w:cs="宋体"/>
          <w:color w:val="auto"/>
          <w:sz w:val="24"/>
          <w:szCs w:val="24"/>
          <w:highlight w:val="none"/>
        </w:rPr>
      </w:pPr>
      <w:bookmarkStart w:id="72" w:name="_Toc2992"/>
      <w:bookmarkStart w:id="73" w:name="_Toc30875"/>
      <w:bookmarkStart w:id="74" w:name="_Toc30499"/>
      <w:bookmarkStart w:id="75" w:name="_Toc104581701"/>
      <w:r>
        <w:rPr>
          <w:rFonts w:hint="eastAsia" w:ascii="宋体" w:hAnsi="宋体" w:eastAsia="宋体" w:cs="宋体"/>
          <w:color w:val="auto"/>
          <w:sz w:val="24"/>
          <w:szCs w:val="24"/>
          <w:highlight w:val="none"/>
        </w:rPr>
        <w:t>5.2 本项目设计主要内容</w:t>
      </w:r>
      <w:bookmarkEnd w:id="72"/>
      <w:bookmarkEnd w:id="73"/>
      <w:bookmarkEnd w:id="74"/>
      <w:bookmarkEnd w:id="75"/>
    </w:p>
    <w:p w14:paraId="0A0B4D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根据《建筑工程设计文件编制深度规定》（2016年版）中关于施工图设计应达到的设计深度要求及招标人各设计管理办法要求，</w:t>
      </w:r>
      <w:r>
        <w:rPr>
          <w:rFonts w:hint="eastAsia" w:ascii="宋体" w:hAnsi="宋体" w:eastAsia="宋体" w:cs="宋体"/>
          <w:b/>
          <w:color w:val="auto"/>
          <w:sz w:val="24"/>
          <w:szCs w:val="24"/>
          <w:highlight w:val="none"/>
        </w:rPr>
        <w:t>在前期完成的方案和初步设计文件基础上开展施工图设计工作</w:t>
      </w:r>
      <w:r>
        <w:rPr>
          <w:rFonts w:hint="eastAsia" w:ascii="宋体" w:hAnsi="宋体" w:eastAsia="宋体" w:cs="宋体"/>
          <w:color w:val="auto"/>
          <w:sz w:val="24"/>
          <w:szCs w:val="24"/>
          <w:highlight w:val="none"/>
        </w:rPr>
        <w:t>。</w:t>
      </w:r>
    </w:p>
    <w:p w14:paraId="78C2F1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施工图设计、施工图预算编制、协助施工单位编制竣工图及施工配合、现场服务、因政策变化或相应外部条件改变带来的相应设计工作、总协调工作、与本项目相关的设计等工作。</w:t>
      </w:r>
    </w:p>
    <w:p w14:paraId="65B28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主要设计工作，包括但不限于以下内容：</w:t>
      </w:r>
    </w:p>
    <w:p w14:paraId="7945EF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5.2.2.1安置区红线内永久供电工程（从开关房内开关柜（不含）至变配电房各低压配电柜（含）设备以及相关配套土建设施）深化设计，含高压柜、变压器、低压柜、配电柜之间的电缆、母线，电房和开关房内设备基础、电缆沟、装修、通风、照明、防雷接地、光纤自动化、安健环等）；低压柜电柜后（至用户方向）公变部分包括一户一表及电缆、母线槽，充电桩及电缆等需经供电局审核的深化设计；以及相关的业扩配套工程设计。</w:t>
      </w:r>
    </w:p>
    <w:p w14:paraId="671FC0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5.2.2.2 现场查勘：合同签定后，承包人按项目计划赴项目现场、永久电源接入点进行考察，明确甲方对于项目的市场定位，与甲方就项目的经济造价、工期与环境等现场实际因素探讨后，开始进行深化设计。电房总面积及外轮廓不得超越原建筑设计院预留的面积及边线。</w:t>
      </w:r>
    </w:p>
    <w:p w14:paraId="202B6325">
      <w:pPr>
        <w:spacing w:line="360" w:lineRule="auto"/>
        <w:ind w:firstLine="480" w:firstLineChars="200"/>
        <w:rPr>
          <w:rFonts w:hint="eastAsia" w:ascii="宋体" w:hAnsi="宋体" w:eastAsia="宋体" w:cs="宋体"/>
          <w:b/>
          <w:color w:val="auto"/>
          <w:sz w:val="24"/>
          <w:szCs w:val="24"/>
          <w:highlight w:val="none"/>
          <w:u w:val="single"/>
          <w:lang w:eastAsia="zh-CN"/>
        </w:rPr>
      </w:pPr>
      <w:r>
        <w:rPr>
          <w:rFonts w:hint="eastAsia" w:ascii="宋体" w:hAnsi="宋体" w:eastAsia="宋体" w:cs="宋体"/>
          <w:color w:val="auto"/>
          <w:sz w:val="24"/>
          <w:szCs w:val="24"/>
          <w:highlight w:val="none"/>
        </w:rPr>
        <w:t>5.2.2.3永久用电方案阶段：承包人提供经济合理的红线内供电深化设计方案及永久用电工程高压系统方案，电房设置方案，调整负荷计算书等，并构思策划项目地块永久用电方案</w:t>
      </w:r>
      <w:r>
        <w:rPr>
          <w:rFonts w:hint="eastAsia" w:ascii="宋体" w:hAnsi="宋体" w:eastAsia="宋体" w:cs="宋体"/>
          <w:color w:val="auto"/>
          <w:sz w:val="24"/>
          <w:szCs w:val="24"/>
          <w:highlight w:val="none"/>
          <w:lang w:eastAsia="zh-CN"/>
        </w:rPr>
        <w:t>。</w:t>
      </w:r>
    </w:p>
    <w:p w14:paraId="473B8C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5.2.2.4  永久用电施工图设计阶段：承包人在永久用电方案设计通过发包人、供电局审查后，进行永久用电施工图设计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配合供电部门进行红线外业扩配套工程土建及电力管廊设计</w:t>
      </w:r>
      <w:r>
        <w:rPr>
          <w:rFonts w:hint="eastAsia" w:ascii="宋体" w:hAnsi="宋体" w:eastAsia="宋体" w:cs="宋体"/>
          <w:color w:val="auto"/>
          <w:sz w:val="24"/>
          <w:szCs w:val="24"/>
          <w:highlight w:val="none"/>
        </w:rPr>
        <w:t>。此阶段承包人需与项目各专业工程师协调有关设备选型等相关问题，完成施工图纸设计。图纸满足南方电网、广州市供电局、白云区供电局、花都供电局验收标准，并通过上述单位的审查，取得相应的审图合格证书（如有）。</w:t>
      </w:r>
    </w:p>
    <w:p w14:paraId="4E201C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5.2.2.5  设计服务全程把控：承包人需配合招标答疑；配合发包人进行主材品牌、型号、技术参数选定；在永久用电施工过程中，承包人需参加图纸会审，对施工单位进行图纸交底，回复施工图审查意见；完成施工过程的设计变更；配合现场施工；配合发包人完成永久用电工程相关报批及验收工作。</w:t>
      </w:r>
    </w:p>
    <w:p w14:paraId="124868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编制施工图预算。</w:t>
      </w:r>
    </w:p>
    <w:p w14:paraId="5A6471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 主体工程施工图设计文件中，需设计人配合提资、确认的部分由设计人进行提资、会签并盖章确认。设计人应配合主体设计单位出图。</w:t>
      </w:r>
    </w:p>
    <w:p w14:paraId="120D18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 设计变更、现场指导和施工配合服务（设计阶段根据工程建设的需要及建设方的要求确定服务时间）。</w:t>
      </w:r>
    </w:p>
    <w:p w14:paraId="57EEAD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5.2.6 向供电局和主管部门进行报装、验收手续及相关协调工作。将临空三期项目范围内永久用电图纸（含主体工程范围相关图纸）报送供电部门审核，并确保通过审批。取得供电局对临空三期项目的《用电咨询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答复书》和对施工图确认复函等相关同意意见，配合施工单位及甲方完成供电验收。</w:t>
      </w:r>
    </w:p>
    <w:p w14:paraId="5BF92E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5.2.7人员驻场服务：按招标文件及合同要求。</w:t>
      </w:r>
    </w:p>
    <w:p w14:paraId="697FA1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5.2.8招标文件及合同约定的其他设计、服务工作。</w:t>
      </w:r>
    </w:p>
    <w:p w14:paraId="6D5D64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5.2.9因政策变化或相应外部条件改变带来的相应设计工作。</w:t>
      </w:r>
    </w:p>
    <w:p w14:paraId="5B78FE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5.2.10与本项目相关的设计工作。</w:t>
      </w:r>
    </w:p>
    <w:p w14:paraId="42335B7E">
      <w:pPr>
        <w:pStyle w:val="6"/>
        <w:keepNext w:val="0"/>
        <w:keepLines w:val="0"/>
        <w:snapToGrid/>
        <w:spacing w:before="156" w:beforeLines="50" w:after="0"/>
        <w:rPr>
          <w:rFonts w:hint="eastAsia" w:ascii="宋体" w:hAnsi="宋体" w:eastAsia="宋体" w:cs="宋体"/>
          <w:color w:val="auto"/>
          <w:sz w:val="24"/>
          <w:szCs w:val="24"/>
          <w:highlight w:val="none"/>
        </w:rPr>
      </w:pPr>
      <w:bookmarkStart w:id="76" w:name="_Toc22233"/>
      <w:bookmarkStart w:id="77" w:name="_Toc8288"/>
      <w:bookmarkStart w:id="78" w:name="_Toc104581702"/>
      <w:bookmarkStart w:id="79" w:name="_Toc1085"/>
      <w:r>
        <w:rPr>
          <w:rFonts w:hint="eastAsia" w:ascii="宋体" w:hAnsi="宋体" w:eastAsia="宋体" w:cs="宋体"/>
          <w:color w:val="auto"/>
          <w:sz w:val="24"/>
          <w:szCs w:val="24"/>
          <w:highlight w:val="none"/>
        </w:rPr>
        <w:t>6.设计原则</w:t>
      </w:r>
      <w:bookmarkEnd w:id="76"/>
      <w:bookmarkEnd w:id="77"/>
      <w:bookmarkEnd w:id="78"/>
      <w:bookmarkEnd w:id="79"/>
    </w:p>
    <w:p w14:paraId="755C5D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为解决广州白云国际机场三期建设周边受影响居民的居住问题而建设的安置区。建设应坚持遵循安全可靠、经济实用、资源节约、环境友好和适度创新的原则，充分考虑原村落宗族居住习惯和居住行为、住宅使用功能与空间的组合，以满足安置家庭的基本居住生活需求，合理确定套型结构。同时体现“以人为本”的设计原则，创造安全、方便、健康、紧凑、和谐的人居环境，并合理采用成熟可靠的新技术、新材料、新工艺，符合国家有关技术标准、规范，达到节地、节能、节水、节材和环境保护的目标要求。</w:t>
      </w:r>
      <w:bookmarkStart w:id="80" w:name="_Toc31699"/>
      <w:bookmarkStart w:id="81" w:name="_Toc104581703"/>
      <w:bookmarkStart w:id="82" w:name="_Toc9255"/>
      <w:bookmarkStart w:id="83" w:name="_Toc8805"/>
    </w:p>
    <w:bookmarkEnd w:id="80"/>
    <w:bookmarkEnd w:id="81"/>
    <w:bookmarkEnd w:id="82"/>
    <w:bookmarkEnd w:id="83"/>
    <w:p w14:paraId="5C8F6EE1">
      <w:pPr>
        <w:spacing w:line="360" w:lineRule="auto"/>
        <w:ind w:firstLine="480" w:firstLineChars="200"/>
        <w:rPr>
          <w:rFonts w:hint="eastAsia" w:ascii="宋体" w:hAnsi="宋体" w:eastAsia="宋体" w:cs="宋体"/>
          <w:color w:val="auto"/>
          <w:sz w:val="24"/>
          <w:szCs w:val="24"/>
          <w:highlight w:val="none"/>
        </w:rPr>
      </w:pPr>
      <w:bookmarkStart w:id="84" w:name="_Toc2850"/>
      <w:bookmarkStart w:id="85" w:name="_Toc31470"/>
      <w:bookmarkStart w:id="86" w:name="_Toc104581705"/>
      <w:bookmarkStart w:id="87" w:name="_Toc30797"/>
      <w:r>
        <w:rPr>
          <w:rFonts w:hint="eastAsia" w:ascii="宋体" w:hAnsi="宋体" w:eastAsia="宋体" w:cs="宋体"/>
          <w:color w:val="auto"/>
          <w:sz w:val="24"/>
          <w:szCs w:val="24"/>
          <w:highlight w:val="none"/>
        </w:rPr>
        <w:t>6.1体现“集约高效、统筹兼顾、统一布局”的理念</w:t>
      </w:r>
      <w:bookmarkEnd w:id="84"/>
      <w:bookmarkEnd w:id="85"/>
      <w:bookmarkEnd w:id="86"/>
      <w:bookmarkEnd w:id="87"/>
      <w:r>
        <w:rPr>
          <w:rFonts w:hint="eastAsia" w:ascii="宋体" w:hAnsi="宋体" w:eastAsia="宋体" w:cs="宋体"/>
          <w:color w:val="auto"/>
          <w:sz w:val="24"/>
          <w:szCs w:val="24"/>
          <w:highlight w:val="none"/>
        </w:rPr>
        <w:t>，本项目为限额设计，宜本着节约投资的原则，要求依据建设和技术资料合理选择、运用技术经济多方案比选等技术手段，科学分析、系统考虑，不断优化设计方案</w:t>
      </w:r>
    </w:p>
    <w:p w14:paraId="47660AF7">
      <w:pPr>
        <w:spacing w:line="360" w:lineRule="auto"/>
        <w:ind w:firstLine="480" w:firstLineChars="200"/>
        <w:rPr>
          <w:rFonts w:hint="eastAsia" w:ascii="宋体" w:hAnsi="宋体" w:eastAsia="宋体" w:cs="宋体"/>
          <w:color w:val="auto"/>
          <w:sz w:val="24"/>
          <w:szCs w:val="24"/>
          <w:highlight w:val="none"/>
        </w:rPr>
      </w:pPr>
      <w:bookmarkStart w:id="88" w:name="_Toc19360"/>
      <w:bookmarkStart w:id="89" w:name="_Toc104581706"/>
      <w:bookmarkStart w:id="90" w:name="_Toc10875"/>
      <w:bookmarkStart w:id="91" w:name="_Toc32356"/>
      <w:r>
        <w:rPr>
          <w:rFonts w:hint="eastAsia" w:ascii="宋体" w:hAnsi="宋体" w:eastAsia="宋体" w:cs="宋体"/>
          <w:color w:val="auto"/>
          <w:sz w:val="24"/>
          <w:szCs w:val="24"/>
          <w:highlight w:val="none"/>
        </w:rPr>
        <w:t>6.2体现“绿色节能、生态宜居”的设计理念</w:t>
      </w:r>
      <w:bookmarkEnd w:id="88"/>
      <w:bookmarkEnd w:id="89"/>
      <w:bookmarkEnd w:id="90"/>
      <w:bookmarkEnd w:id="91"/>
    </w:p>
    <w:p w14:paraId="3BD651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项目应按绿色建筑标准进行规划设计，积极采用低碳、绿色、环保技术措施。</w:t>
      </w:r>
      <w:bookmarkStart w:id="92" w:name="_Toc26626"/>
      <w:bookmarkStart w:id="93" w:name="_Toc104581707"/>
      <w:bookmarkStart w:id="94" w:name="_Toc26296"/>
      <w:bookmarkStart w:id="95" w:name="_Toc27332"/>
    </w:p>
    <w:p w14:paraId="124129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6.3分期建设</w:t>
      </w:r>
      <w:bookmarkEnd w:id="92"/>
      <w:bookmarkEnd w:id="93"/>
      <w:bookmarkEnd w:id="94"/>
      <w:bookmarkEnd w:id="95"/>
    </w:p>
    <w:p w14:paraId="572BB2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由于场地内的征迁工作尚未完成，现状用地范围内存在农村房屋、市政管线等建筑物及构筑物，因此，主体工程设计已充分考虑结合现状条件，分期建设，本项目供电设计应结合分期建设方案合理设计供电方案。</w:t>
      </w:r>
      <w:bookmarkStart w:id="96" w:name="_Toc104581708"/>
      <w:bookmarkStart w:id="97" w:name="_Toc17701"/>
      <w:bookmarkStart w:id="98" w:name="_Toc16109"/>
      <w:bookmarkStart w:id="99" w:name="_Toc19474"/>
    </w:p>
    <w:bookmarkEnd w:id="96"/>
    <w:bookmarkEnd w:id="97"/>
    <w:bookmarkEnd w:id="98"/>
    <w:bookmarkEnd w:id="99"/>
    <w:p w14:paraId="7A7ED958">
      <w:pPr>
        <w:spacing w:line="360" w:lineRule="auto"/>
        <w:ind w:firstLine="480" w:firstLineChars="200"/>
        <w:rPr>
          <w:rFonts w:hint="eastAsia" w:ascii="宋体" w:hAnsi="宋体" w:eastAsia="宋体" w:cs="宋体"/>
          <w:strike/>
          <w:color w:val="auto"/>
          <w:sz w:val="24"/>
          <w:szCs w:val="24"/>
          <w:highlight w:val="none"/>
        </w:rPr>
        <w:sectPr>
          <w:headerReference r:id="rId5" w:type="default"/>
          <w:footerReference r:id="rId6" w:type="default"/>
          <w:pgSz w:w="11906" w:h="16838"/>
          <w:pgMar w:top="1440" w:right="1440" w:bottom="1440" w:left="1440" w:header="851" w:footer="992" w:gutter="0"/>
          <w:cols w:space="720" w:num="1"/>
          <w:docGrid w:type="lines" w:linePitch="312" w:charSpace="0"/>
        </w:sectPr>
      </w:pPr>
    </w:p>
    <w:bookmarkEnd w:id="5"/>
    <w:bookmarkEnd w:id="6"/>
    <w:p w14:paraId="1E7AD9F5">
      <w:pPr>
        <w:pStyle w:val="3"/>
        <w:keepNext w:val="0"/>
        <w:keepLines w:val="0"/>
        <w:snapToGrid/>
        <w:spacing w:line="360" w:lineRule="auto"/>
        <w:jc w:val="both"/>
        <w:rPr>
          <w:rFonts w:hint="eastAsia" w:ascii="宋体" w:hAnsi="宋体" w:eastAsia="宋体" w:cs="宋体"/>
          <w:color w:val="auto"/>
          <w:highlight w:val="none"/>
        </w:rPr>
      </w:pPr>
      <w:bookmarkStart w:id="100" w:name="_Toc69826371"/>
      <w:bookmarkEnd w:id="100"/>
      <w:bookmarkStart w:id="101" w:name="_Toc19285"/>
      <w:bookmarkStart w:id="102" w:name="_Toc12395"/>
      <w:bookmarkStart w:id="103" w:name="_Toc16356"/>
      <w:bookmarkStart w:id="104" w:name="_Toc104581718"/>
      <w:bookmarkStart w:id="105" w:name="_Toc122981406"/>
      <w:bookmarkStart w:id="106" w:name="_Toc30697"/>
      <w:r>
        <w:rPr>
          <w:rFonts w:hint="eastAsia" w:ascii="宋体" w:hAnsi="宋体" w:eastAsia="宋体" w:cs="宋体"/>
          <w:color w:val="auto"/>
          <w:highlight w:val="none"/>
        </w:rPr>
        <w:t>二、设计工作要求</w:t>
      </w:r>
      <w:bookmarkEnd w:id="101"/>
      <w:bookmarkEnd w:id="102"/>
      <w:bookmarkEnd w:id="103"/>
      <w:bookmarkEnd w:id="104"/>
      <w:bookmarkEnd w:id="105"/>
      <w:bookmarkEnd w:id="106"/>
    </w:p>
    <w:p w14:paraId="05905F37">
      <w:pPr>
        <w:spacing w:line="360" w:lineRule="auto"/>
        <w:ind w:firstLine="480" w:firstLineChars="200"/>
        <w:rPr>
          <w:rFonts w:hint="eastAsia" w:ascii="宋体" w:hAnsi="宋体" w:eastAsia="宋体" w:cs="宋体"/>
          <w:color w:val="auto"/>
          <w:sz w:val="24"/>
          <w:szCs w:val="24"/>
          <w:highlight w:val="none"/>
        </w:rPr>
      </w:pPr>
      <w:bookmarkStart w:id="107" w:name="_Toc308181984"/>
      <w:r>
        <w:rPr>
          <w:rFonts w:hint="eastAsia" w:ascii="宋体" w:hAnsi="宋体" w:eastAsia="宋体" w:cs="宋体"/>
          <w:color w:val="auto"/>
          <w:sz w:val="24"/>
          <w:szCs w:val="24"/>
          <w:highlight w:val="none"/>
        </w:rPr>
        <w:t>承包人应按照政府固定资产投资应当坚持估算控制概算，概算控制预算，预算控制决算的原则，执行《广州市政府投资管理条例》、《广州市财政投资评审监督管理办法》做好限额设计。</w:t>
      </w:r>
      <w:bookmarkStart w:id="108" w:name="_Toc15281"/>
      <w:bookmarkStart w:id="109" w:name="_Toc28516"/>
      <w:bookmarkStart w:id="110" w:name="_Toc104581719"/>
      <w:bookmarkStart w:id="111" w:name="_Toc50537206"/>
      <w:bookmarkStart w:id="112" w:name="_Toc6837"/>
      <w:bookmarkStart w:id="113" w:name="_Toc444182766"/>
    </w:p>
    <w:p w14:paraId="3BD6AC7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1.设计</w:t>
      </w:r>
      <w:bookmarkEnd w:id="108"/>
      <w:bookmarkEnd w:id="109"/>
      <w:bookmarkEnd w:id="110"/>
      <w:bookmarkEnd w:id="111"/>
      <w:bookmarkEnd w:id="112"/>
      <w:bookmarkEnd w:id="113"/>
      <w:r>
        <w:rPr>
          <w:rFonts w:hint="eastAsia" w:ascii="宋体" w:hAnsi="宋体" w:eastAsia="宋体" w:cs="宋体"/>
          <w:b/>
          <w:bCs/>
          <w:color w:val="auto"/>
          <w:sz w:val="24"/>
          <w:szCs w:val="24"/>
          <w:highlight w:val="none"/>
        </w:rPr>
        <w:t>范围</w:t>
      </w:r>
    </w:p>
    <w:bookmarkEnd w:id="107"/>
    <w:p w14:paraId="51330418">
      <w:pPr>
        <w:spacing w:line="360" w:lineRule="auto"/>
        <w:ind w:firstLine="480" w:firstLineChars="200"/>
        <w:rPr>
          <w:rFonts w:hint="eastAsia" w:ascii="宋体" w:hAnsi="宋体" w:eastAsia="宋体" w:cs="宋体"/>
          <w:color w:val="auto"/>
          <w:sz w:val="24"/>
          <w:szCs w:val="24"/>
          <w:highlight w:val="none"/>
        </w:rPr>
      </w:pPr>
      <w:bookmarkStart w:id="114" w:name="_Toc14498"/>
      <w:bookmarkStart w:id="115" w:name="_Toc22722"/>
      <w:bookmarkStart w:id="116" w:name="_Toc1272"/>
      <w:bookmarkStart w:id="117" w:name="_Hlk122945560"/>
      <w:r>
        <w:rPr>
          <w:rFonts w:hint="eastAsia" w:ascii="宋体" w:hAnsi="宋体" w:eastAsia="宋体" w:cs="宋体"/>
          <w:color w:val="auto"/>
          <w:sz w:val="24"/>
          <w:szCs w:val="24"/>
          <w:highlight w:val="none"/>
        </w:rPr>
        <w:t>白云机场三期扩建工程周边临空经济产业园区基础设施三期工程地块红线内永久供电工程:</w:t>
      </w:r>
      <w:bookmarkStart w:id="118" w:name="_Hlk122965329"/>
      <w:r>
        <w:rPr>
          <w:rFonts w:hint="eastAsia" w:ascii="宋体" w:hAnsi="宋体" w:eastAsia="宋体" w:cs="宋体"/>
          <w:color w:val="auto"/>
          <w:sz w:val="24"/>
          <w:szCs w:val="24"/>
          <w:highlight w:val="none"/>
        </w:rPr>
        <w:t>从开关房内开关柜（不含）至变配电房各低压配电柜（含）设备以及相关配套土建设施</w:t>
      </w:r>
      <w:bookmarkEnd w:id="118"/>
      <w:r>
        <w:rPr>
          <w:rFonts w:hint="eastAsia" w:ascii="宋体" w:hAnsi="宋体" w:eastAsia="宋体" w:cs="宋体"/>
          <w:color w:val="auto"/>
          <w:sz w:val="24"/>
          <w:szCs w:val="24"/>
          <w:highlight w:val="none"/>
        </w:rPr>
        <w:t>，低压柜电柜后（至用户方向）公变部分包括一户一表及电缆、母线槽，充电桩及电缆等需经供电局审核的深化设计；以及相关的业扩配套工程设计。</w:t>
      </w:r>
    </w:p>
    <w:p w14:paraId="75FADC4D">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2.规范及标准要求（包含但不限于以下内容）</w:t>
      </w:r>
    </w:p>
    <w:p w14:paraId="6933BE2F">
      <w:pPr>
        <w:pStyle w:val="2"/>
        <w:snapToGrid w:val="0"/>
        <w:spacing w:line="300" w:lineRule="auto"/>
        <w:ind w:firstLine="480"/>
        <w:rPr>
          <w:rFonts w:hint="eastAsia" w:hAnsi="宋体"/>
          <w:szCs w:val="24"/>
          <w:highlight w:val="none"/>
        </w:rPr>
      </w:pPr>
      <w:r>
        <w:rPr>
          <w:rFonts w:hint="eastAsia" w:hAnsi="宋体"/>
          <w:szCs w:val="24"/>
          <w:highlight w:val="none"/>
        </w:rPr>
        <w:t>2.1 《中华人民共和国合同法》、《中华人民共和国建筑法》、中华人民共和国《建筑工程设计文件编制深度规定》；</w:t>
      </w:r>
    </w:p>
    <w:p w14:paraId="3AD06DB2">
      <w:pPr>
        <w:pStyle w:val="2"/>
        <w:snapToGrid w:val="0"/>
        <w:spacing w:line="300" w:lineRule="auto"/>
        <w:ind w:firstLine="480"/>
        <w:rPr>
          <w:rFonts w:hint="eastAsia" w:hAnsi="宋体"/>
          <w:szCs w:val="24"/>
          <w:highlight w:val="none"/>
        </w:rPr>
      </w:pPr>
      <w:r>
        <w:rPr>
          <w:rFonts w:hint="eastAsia" w:hAnsi="宋体"/>
          <w:szCs w:val="24"/>
          <w:highlight w:val="none"/>
        </w:rPr>
        <w:t>2.2 《供配电系统设计规范》(GB 50052-2009)；</w:t>
      </w:r>
    </w:p>
    <w:p w14:paraId="2172C3AD">
      <w:pPr>
        <w:pStyle w:val="2"/>
        <w:snapToGrid w:val="0"/>
        <w:spacing w:line="300" w:lineRule="auto"/>
        <w:ind w:firstLine="480"/>
        <w:rPr>
          <w:rFonts w:hint="eastAsia" w:hAnsi="宋体"/>
          <w:szCs w:val="24"/>
          <w:highlight w:val="none"/>
        </w:rPr>
      </w:pPr>
      <w:r>
        <w:rPr>
          <w:rFonts w:hint="eastAsia" w:hAnsi="宋体"/>
          <w:szCs w:val="24"/>
          <w:highlight w:val="none"/>
        </w:rPr>
        <w:t>2.3 《20kV及以下变配电所设计规范》(GB 50053-2013)；</w:t>
      </w:r>
    </w:p>
    <w:p w14:paraId="0FEC7F47">
      <w:pPr>
        <w:pStyle w:val="2"/>
        <w:snapToGrid w:val="0"/>
        <w:spacing w:line="300" w:lineRule="auto"/>
        <w:ind w:firstLine="480"/>
        <w:rPr>
          <w:rFonts w:hint="eastAsia" w:hAnsi="宋体"/>
          <w:szCs w:val="24"/>
          <w:highlight w:val="none"/>
        </w:rPr>
      </w:pPr>
      <w:r>
        <w:rPr>
          <w:rFonts w:hint="eastAsia" w:hAnsi="宋体"/>
          <w:szCs w:val="24"/>
          <w:highlight w:val="none"/>
        </w:rPr>
        <w:t>2.4 《低压配电设计规范》(GB 50054-2011)；</w:t>
      </w:r>
    </w:p>
    <w:p w14:paraId="1FDD7839">
      <w:pPr>
        <w:pStyle w:val="2"/>
        <w:snapToGrid w:val="0"/>
        <w:spacing w:line="300" w:lineRule="auto"/>
        <w:ind w:firstLine="480"/>
        <w:rPr>
          <w:rFonts w:hint="eastAsia" w:hAnsi="宋体"/>
          <w:szCs w:val="24"/>
          <w:highlight w:val="none"/>
        </w:rPr>
      </w:pPr>
      <w:r>
        <w:rPr>
          <w:rFonts w:hint="eastAsia" w:hAnsi="宋体"/>
          <w:szCs w:val="24"/>
          <w:highlight w:val="none"/>
        </w:rPr>
        <w:t>2.5 《建筑电气与智能化通用规范》(GB55024-2022)</w:t>
      </w:r>
    </w:p>
    <w:p w14:paraId="110BF99A">
      <w:pPr>
        <w:pStyle w:val="2"/>
        <w:snapToGrid w:val="0"/>
        <w:spacing w:line="300" w:lineRule="auto"/>
        <w:ind w:firstLine="480"/>
        <w:rPr>
          <w:rFonts w:hint="eastAsia" w:hAnsi="宋体"/>
          <w:szCs w:val="24"/>
          <w:highlight w:val="none"/>
        </w:rPr>
      </w:pPr>
      <w:r>
        <w:rPr>
          <w:rFonts w:hint="eastAsia" w:hAnsi="宋体"/>
          <w:szCs w:val="24"/>
          <w:highlight w:val="none"/>
        </w:rPr>
        <w:t>2.6 《建筑设计防火规范》(GB50016-2014）（2018年版）；</w:t>
      </w:r>
    </w:p>
    <w:p w14:paraId="2AA9D85C">
      <w:pPr>
        <w:pStyle w:val="2"/>
        <w:snapToGrid w:val="0"/>
        <w:spacing w:line="300" w:lineRule="auto"/>
        <w:ind w:firstLine="480"/>
        <w:rPr>
          <w:rFonts w:hint="eastAsia" w:hAnsi="宋体"/>
          <w:szCs w:val="24"/>
          <w:highlight w:val="none"/>
        </w:rPr>
      </w:pPr>
      <w:r>
        <w:rPr>
          <w:rFonts w:hint="eastAsia" w:hAnsi="宋体"/>
          <w:szCs w:val="24"/>
          <w:highlight w:val="none"/>
        </w:rPr>
        <w:t>2.7 《电力工程电缆设计标准》(GB 50217-2018)；</w:t>
      </w:r>
    </w:p>
    <w:p w14:paraId="79D98A47">
      <w:pPr>
        <w:pStyle w:val="2"/>
        <w:snapToGrid w:val="0"/>
        <w:spacing w:line="300" w:lineRule="auto"/>
        <w:ind w:firstLine="480"/>
        <w:rPr>
          <w:rFonts w:hint="eastAsia" w:hAnsi="宋体"/>
          <w:szCs w:val="24"/>
          <w:highlight w:val="none"/>
        </w:rPr>
      </w:pPr>
      <w:r>
        <w:rPr>
          <w:rFonts w:hint="eastAsia" w:hAnsi="宋体"/>
          <w:szCs w:val="24"/>
          <w:highlight w:val="none"/>
        </w:rPr>
        <w:t>2.8 《建筑物防雷设计规范》(GB 50057-2010) ；</w:t>
      </w:r>
    </w:p>
    <w:p w14:paraId="3E5BF67A">
      <w:pPr>
        <w:pStyle w:val="2"/>
        <w:snapToGrid w:val="0"/>
        <w:spacing w:line="300" w:lineRule="auto"/>
        <w:ind w:firstLine="480"/>
        <w:rPr>
          <w:rFonts w:hint="eastAsia" w:hAnsi="宋体"/>
          <w:szCs w:val="24"/>
          <w:highlight w:val="none"/>
        </w:rPr>
      </w:pPr>
      <w:r>
        <w:rPr>
          <w:rFonts w:hint="eastAsia" w:hAnsi="宋体"/>
          <w:szCs w:val="24"/>
          <w:highlight w:val="none"/>
        </w:rPr>
        <w:t>2.9 《电力装置的继电保护和自动装置设计规范》(GB 50062-2008)；</w:t>
      </w:r>
    </w:p>
    <w:p w14:paraId="6FE3F457">
      <w:pPr>
        <w:pStyle w:val="2"/>
        <w:snapToGrid w:val="0"/>
        <w:spacing w:line="300" w:lineRule="auto"/>
        <w:ind w:firstLine="480"/>
        <w:rPr>
          <w:rFonts w:hint="eastAsia" w:hAnsi="宋体"/>
          <w:szCs w:val="24"/>
          <w:highlight w:val="none"/>
        </w:rPr>
      </w:pPr>
      <w:r>
        <w:rPr>
          <w:rFonts w:hint="eastAsia" w:hAnsi="宋体"/>
          <w:szCs w:val="24"/>
          <w:highlight w:val="none"/>
        </w:rPr>
        <w:t>2.10 广州市供电局等相关规范及技术导则；</w:t>
      </w:r>
    </w:p>
    <w:p w14:paraId="7F562276">
      <w:pPr>
        <w:pStyle w:val="2"/>
        <w:snapToGrid w:val="0"/>
        <w:spacing w:line="300" w:lineRule="auto"/>
        <w:ind w:firstLine="480"/>
        <w:rPr>
          <w:rFonts w:hint="eastAsia" w:hAnsi="宋体"/>
          <w:szCs w:val="24"/>
          <w:highlight w:val="none"/>
        </w:rPr>
      </w:pPr>
      <w:r>
        <w:rPr>
          <w:rFonts w:hint="eastAsia" w:hAnsi="宋体"/>
          <w:szCs w:val="24"/>
          <w:highlight w:val="none"/>
        </w:rPr>
        <w:t>2.11 广州市白云或花都区供电局施工与验收要求；</w:t>
      </w:r>
    </w:p>
    <w:p w14:paraId="4B3424AB">
      <w:pPr>
        <w:pStyle w:val="2"/>
        <w:snapToGrid w:val="0"/>
        <w:spacing w:line="300" w:lineRule="auto"/>
        <w:ind w:firstLine="480"/>
        <w:rPr>
          <w:rFonts w:hint="eastAsia" w:hAnsi="宋体"/>
          <w:szCs w:val="24"/>
          <w:highlight w:val="none"/>
        </w:rPr>
      </w:pPr>
      <w:r>
        <w:rPr>
          <w:rFonts w:hint="eastAsia" w:hAnsi="宋体"/>
          <w:szCs w:val="24"/>
          <w:highlight w:val="none"/>
        </w:rPr>
        <w:t>2.12 南方电网典型设计要求；</w:t>
      </w:r>
    </w:p>
    <w:p w14:paraId="506B694B">
      <w:pPr>
        <w:pStyle w:val="2"/>
        <w:snapToGrid w:val="0"/>
        <w:spacing w:line="300" w:lineRule="auto"/>
        <w:ind w:firstLine="480"/>
        <w:rPr>
          <w:rFonts w:hint="eastAsia" w:hAnsi="宋体"/>
          <w:szCs w:val="24"/>
          <w:highlight w:val="none"/>
        </w:rPr>
      </w:pPr>
      <w:r>
        <w:rPr>
          <w:rFonts w:hint="eastAsia" w:hAnsi="宋体"/>
          <w:szCs w:val="24"/>
          <w:highlight w:val="none"/>
        </w:rPr>
        <w:t>2.13 国家相关施工与验收标准；</w:t>
      </w:r>
    </w:p>
    <w:p w14:paraId="4E7F7677">
      <w:pPr>
        <w:pStyle w:val="2"/>
        <w:snapToGrid w:val="0"/>
        <w:spacing w:line="300" w:lineRule="auto"/>
        <w:ind w:firstLine="480"/>
        <w:rPr>
          <w:rFonts w:hint="eastAsia" w:hAnsi="宋体"/>
          <w:szCs w:val="24"/>
          <w:highlight w:val="none"/>
        </w:rPr>
      </w:pPr>
      <w:r>
        <w:rPr>
          <w:rFonts w:hint="eastAsia" w:hAnsi="宋体"/>
          <w:szCs w:val="24"/>
          <w:highlight w:val="none"/>
        </w:rPr>
        <w:t>2.14 《20kV及以下变电所设计规范》；</w:t>
      </w:r>
    </w:p>
    <w:p w14:paraId="603A0083">
      <w:pPr>
        <w:pStyle w:val="2"/>
        <w:snapToGrid w:val="0"/>
        <w:spacing w:line="300" w:lineRule="auto"/>
        <w:ind w:firstLine="480"/>
        <w:rPr>
          <w:rFonts w:hint="eastAsia" w:hAnsi="宋体"/>
          <w:szCs w:val="24"/>
          <w:highlight w:val="none"/>
        </w:rPr>
      </w:pPr>
      <w:r>
        <w:rPr>
          <w:rFonts w:hint="eastAsia" w:hAnsi="宋体"/>
          <w:szCs w:val="24"/>
          <w:highlight w:val="none"/>
        </w:rPr>
        <w:t>2.15 《3~110kV高压配电装置设计规范》；</w:t>
      </w:r>
    </w:p>
    <w:p w14:paraId="50940D51">
      <w:pPr>
        <w:pStyle w:val="2"/>
        <w:snapToGrid w:val="0"/>
        <w:spacing w:line="300" w:lineRule="auto"/>
        <w:ind w:firstLine="480"/>
        <w:rPr>
          <w:rFonts w:hint="eastAsia" w:hAnsi="宋体"/>
          <w:szCs w:val="24"/>
          <w:highlight w:val="none"/>
        </w:rPr>
      </w:pPr>
      <w:r>
        <w:rPr>
          <w:rFonts w:hint="eastAsia" w:hAnsi="宋体"/>
          <w:szCs w:val="24"/>
          <w:highlight w:val="none"/>
        </w:rPr>
        <w:t>2.16 《南方电网10kV及以下业扩受电工程技术导则》（2018版及以上更新版本）；</w:t>
      </w:r>
    </w:p>
    <w:p w14:paraId="44BA6411">
      <w:pPr>
        <w:pStyle w:val="2"/>
        <w:snapToGrid w:val="0"/>
        <w:spacing w:line="300" w:lineRule="auto"/>
        <w:ind w:firstLine="480"/>
        <w:rPr>
          <w:rFonts w:hint="eastAsia" w:hAnsi="宋体"/>
          <w:szCs w:val="24"/>
          <w:highlight w:val="none"/>
        </w:rPr>
      </w:pPr>
      <w:r>
        <w:rPr>
          <w:rFonts w:hint="eastAsia" w:hAnsi="宋体"/>
          <w:szCs w:val="24"/>
          <w:highlight w:val="none"/>
        </w:rPr>
        <w:t>2.17 《南方电网公司10kV及以下业扩受电工程典型设计》（2018版及以上更新版本）；</w:t>
      </w:r>
    </w:p>
    <w:p w14:paraId="4489189C">
      <w:pPr>
        <w:pStyle w:val="2"/>
        <w:snapToGrid w:val="0"/>
        <w:spacing w:line="300" w:lineRule="auto"/>
        <w:ind w:firstLine="480"/>
        <w:rPr>
          <w:rFonts w:hint="eastAsia" w:hAnsi="宋体"/>
          <w:szCs w:val="24"/>
          <w:highlight w:val="none"/>
        </w:rPr>
      </w:pPr>
      <w:r>
        <w:rPr>
          <w:rFonts w:hint="eastAsia" w:hAnsi="宋体"/>
          <w:szCs w:val="24"/>
          <w:highlight w:val="none"/>
        </w:rPr>
        <w:t>2.18 《广州供电局10KV及以下客户受电工程施工图设计内容及深度要求》（2016版及更新版本）；</w:t>
      </w:r>
    </w:p>
    <w:p w14:paraId="50D72E9B">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 设计深度及格式要求</w:t>
      </w:r>
    </w:p>
    <w:p w14:paraId="502D7684">
      <w:pPr>
        <w:pStyle w:val="2"/>
        <w:snapToGrid w:val="0"/>
        <w:spacing w:line="300" w:lineRule="auto"/>
        <w:ind w:firstLine="480"/>
        <w:rPr>
          <w:rFonts w:hint="eastAsia" w:hAnsi="宋体"/>
          <w:szCs w:val="24"/>
          <w:highlight w:val="none"/>
        </w:rPr>
      </w:pPr>
      <w:r>
        <w:rPr>
          <w:rFonts w:hint="eastAsia" w:hAnsi="宋体"/>
          <w:szCs w:val="24"/>
          <w:highlight w:val="none"/>
        </w:rPr>
        <w:t>3.1 用地红线范围内的永久用电供电方案、施工图设计，设计深度必须满足发包人的用电要求及当地供电局审核要求，且应参照发包人下发的参考图纸进行设计，具体包括（但不限于）以下图纸资料：</w:t>
      </w:r>
    </w:p>
    <w:p w14:paraId="304B92B7">
      <w:pPr>
        <w:pStyle w:val="2"/>
        <w:snapToGrid w:val="0"/>
        <w:spacing w:line="300" w:lineRule="auto"/>
        <w:ind w:firstLine="480"/>
        <w:rPr>
          <w:rFonts w:hint="eastAsia" w:hAnsi="宋体"/>
          <w:szCs w:val="24"/>
          <w:highlight w:val="none"/>
        </w:rPr>
      </w:pPr>
      <w:r>
        <w:rPr>
          <w:rFonts w:hint="eastAsia" w:hAnsi="宋体"/>
          <w:szCs w:val="24"/>
          <w:highlight w:val="none"/>
        </w:rPr>
        <w:t>1) 负荷计算书；</w:t>
      </w:r>
    </w:p>
    <w:p w14:paraId="13515FE8">
      <w:pPr>
        <w:pStyle w:val="2"/>
        <w:snapToGrid w:val="0"/>
        <w:spacing w:line="300" w:lineRule="auto"/>
        <w:ind w:firstLine="480"/>
        <w:rPr>
          <w:rFonts w:hint="eastAsia" w:hAnsi="宋体"/>
          <w:szCs w:val="24"/>
          <w:highlight w:val="none"/>
        </w:rPr>
      </w:pPr>
      <w:r>
        <w:rPr>
          <w:rFonts w:hint="eastAsia" w:hAnsi="宋体"/>
          <w:szCs w:val="24"/>
          <w:highlight w:val="none"/>
        </w:rPr>
        <w:t>2) 设计说明及目录：含设计依据；</w:t>
      </w:r>
    </w:p>
    <w:p w14:paraId="136A791C">
      <w:pPr>
        <w:pStyle w:val="2"/>
        <w:snapToGrid w:val="0"/>
        <w:spacing w:line="300" w:lineRule="auto"/>
        <w:ind w:firstLine="480"/>
        <w:rPr>
          <w:rFonts w:hint="eastAsia" w:hAnsi="宋体"/>
          <w:szCs w:val="24"/>
          <w:highlight w:val="none"/>
        </w:rPr>
      </w:pPr>
      <w:r>
        <w:rPr>
          <w:rFonts w:hint="eastAsia" w:hAnsi="宋体"/>
          <w:szCs w:val="24"/>
          <w:highlight w:val="none"/>
        </w:rPr>
        <w:t>3) 主要工程量汇总表；</w:t>
      </w:r>
    </w:p>
    <w:p w14:paraId="185B9BF3">
      <w:pPr>
        <w:pStyle w:val="2"/>
        <w:snapToGrid w:val="0"/>
        <w:spacing w:line="300" w:lineRule="auto"/>
        <w:ind w:firstLine="480"/>
        <w:rPr>
          <w:rFonts w:hint="eastAsia" w:hAnsi="宋体"/>
          <w:szCs w:val="24"/>
          <w:highlight w:val="none"/>
        </w:rPr>
      </w:pPr>
      <w:r>
        <w:rPr>
          <w:rFonts w:hint="eastAsia" w:hAnsi="宋体"/>
          <w:szCs w:val="24"/>
          <w:highlight w:val="none"/>
        </w:rPr>
        <w:t>4) 电房土建平面图：含门窗尺寸表、预留孔洞尺寸、地面墙面孔洞应满足供</w:t>
      </w:r>
    </w:p>
    <w:p w14:paraId="0FF41603">
      <w:pPr>
        <w:pStyle w:val="2"/>
        <w:snapToGrid w:val="0"/>
        <w:spacing w:line="300" w:lineRule="auto"/>
        <w:ind w:firstLine="720" w:firstLineChars="300"/>
        <w:rPr>
          <w:rFonts w:hint="eastAsia" w:hAnsi="宋体"/>
          <w:szCs w:val="24"/>
          <w:highlight w:val="none"/>
        </w:rPr>
      </w:pPr>
      <w:r>
        <w:rPr>
          <w:rFonts w:hint="eastAsia" w:hAnsi="宋体"/>
          <w:szCs w:val="24"/>
          <w:highlight w:val="none"/>
        </w:rPr>
        <w:t>电局要求；</w:t>
      </w:r>
    </w:p>
    <w:p w14:paraId="2F55DEBE">
      <w:pPr>
        <w:pStyle w:val="2"/>
        <w:snapToGrid w:val="0"/>
        <w:spacing w:line="300" w:lineRule="auto"/>
        <w:ind w:firstLine="480"/>
        <w:rPr>
          <w:rFonts w:hint="eastAsia" w:hAnsi="宋体"/>
          <w:szCs w:val="24"/>
          <w:highlight w:val="none"/>
        </w:rPr>
      </w:pPr>
      <w:r>
        <w:rPr>
          <w:rFonts w:hint="eastAsia" w:hAnsi="宋体"/>
          <w:szCs w:val="24"/>
          <w:highlight w:val="none"/>
        </w:rPr>
        <w:t>5) 电房土建设备基础图：含剖面图、负荷载值；</w:t>
      </w:r>
    </w:p>
    <w:p w14:paraId="18EFF5CE">
      <w:pPr>
        <w:pStyle w:val="2"/>
        <w:snapToGrid w:val="0"/>
        <w:spacing w:line="300" w:lineRule="auto"/>
        <w:ind w:firstLine="480"/>
        <w:rPr>
          <w:rFonts w:hint="eastAsia" w:hAnsi="宋体"/>
          <w:szCs w:val="24"/>
          <w:highlight w:val="none"/>
        </w:rPr>
      </w:pPr>
      <w:r>
        <w:rPr>
          <w:rFonts w:hint="eastAsia" w:hAnsi="宋体"/>
          <w:szCs w:val="24"/>
          <w:highlight w:val="none"/>
        </w:rPr>
        <w:t>6) 电房外立面图；</w:t>
      </w:r>
    </w:p>
    <w:p w14:paraId="65ED365F">
      <w:pPr>
        <w:pStyle w:val="2"/>
        <w:snapToGrid w:val="0"/>
        <w:spacing w:line="300" w:lineRule="auto"/>
        <w:ind w:firstLine="480"/>
        <w:rPr>
          <w:rFonts w:hint="eastAsia" w:hAnsi="宋体"/>
          <w:szCs w:val="24"/>
          <w:highlight w:val="none"/>
        </w:rPr>
      </w:pPr>
      <w:r>
        <w:rPr>
          <w:rFonts w:hint="eastAsia" w:hAnsi="宋体"/>
          <w:szCs w:val="24"/>
          <w:highlight w:val="none"/>
        </w:rPr>
        <w:t>7) 电房地网平面图：含材料表、接地干线连接大样；</w:t>
      </w:r>
    </w:p>
    <w:p w14:paraId="70F87232">
      <w:pPr>
        <w:pStyle w:val="2"/>
        <w:snapToGrid w:val="0"/>
        <w:spacing w:line="300" w:lineRule="auto"/>
        <w:ind w:firstLine="480"/>
        <w:rPr>
          <w:rFonts w:hint="eastAsia" w:hAnsi="宋体"/>
          <w:szCs w:val="24"/>
          <w:highlight w:val="none"/>
        </w:rPr>
      </w:pPr>
      <w:r>
        <w:rPr>
          <w:rFonts w:hint="eastAsia" w:hAnsi="宋体"/>
          <w:szCs w:val="24"/>
          <w:highlight w:val="none"/>
        </w:rPr>
        <w:t>8) 电房门尺寸及安装示意图：含各组件规格;</w:t>
      </w:r>
    </w:p>
    <w:p w14:paraId="6E806D49">
      <w:pPr>
        <w:pStyle w:val="2"/>
        <w:snapToGrid w:val="0"/>
        <w:spacing w:line="300" w:lineRule="auto"/>
        <w:ind w:firstLine="480"/>
        <w:rPr>
          <w:rFonts w:hint="eastAsia" w:hAnsi="宋体"/>
          <w:szCs w:val="24"/>
          <w:highlight w:val="none"/>
        </w:rPr>
      </w:pPr>
      <w:r>
        <w:rPr>
          <w:rFonts w:hint="eastAsia" w:hAnsi="宋体"/>
          <w:szCs w:val="24"/>
          <w:highlight w:val="none"/>
        </w:rPr>
        <w:t>9) 电房窗尺寸及安装示意图：含各组件规格;</w:t>
      </w:r>
    </w:p>
    <w:p w14:paraId="772F95FF">
      <w:pPr>
        <w:pStyle w:val="2"/>
        <w:snapToGrid w:val="0"/>
        <w:spacing w:line="300" w:lineRule="auto"/>
        <w:ind w:firstLine="480"/>
        <w:rPr>
          <w:rFonts w:hint="eastAsia" w:hAnsi="宋体"/>
          <w:szCs w:val="24"/>
          <w:highlight w:val="none"/>
        </w:rPr>
      </w:pPr>
      <w:r>
        <w:rPr>
          <w:rFonts w:hint="eastAsia" w:hAnsi="宋体"/>
          <w:szCs w:val="24"/>
          <w:highlight w:val="none"/>
        </w:rPr>
        <w:t>10) 电房风机罩大样图；</w:t>
      </w:r>
    </w:p>
    <w:p w14:paraId="3C246985">
      <w:pPr>
        <w:pStyle w:val="2"/>
        <w:snapToGrid w:val="0"/>
        <w:spacing w:line="300" w:lineRule="auto"/>
        <w:ind w:firstLine="480"/>
        <w:rPr>
          <w:rFonts w:hint="eastAsia" w:hAnsi="宋体"/>
          <w:szCs w:val="24"/>
          <w:highlight w:val="none"/>
        </w:rPr>
      </w:pPr>
      <w:r>
        <w:rPr>
          <w:rFonts w:hint="eastAsia" w:hAnsi="宋体"/>
          <w:szCs w:val="24"/>
          <w:highlight w:val="none"/>
        </w:rPr>
        <w:t>11) 电房排风口大样图；</w:t>
      </w:r>
    </w:p>
    <w:p w14:paraId="21A9AAC7">
      <w:pPr>
        <w:pStyle w:val="2"/>
        <w:snapToGrid w:val="0"/>
        <w:spacing w:line="300" w:lineRule="auto"/>
        <w:ind w:firstLine="480"/>
        <w:rPr>
          <w:rFonts w:hint="eastAsia" w:hAnsi="宋体"/>
          <w:szCs w:val="24"/>
          <w:highlight w:val="none"/>
        </w:rPr>
      </w:pPr>
      <w:r>
        <w:rPr>
          <w:rFonts w:hint="eastAsia" w:hAnsi="宋体"/>
          <w:szCs w:val="24"/>
          <w:highlight w:val="none"/>
        </w:rPr>
        <w:t>12) 排风口防鼠网大样图；</w:t>
      </w:r>
    </w:p>
    <w:p w14:paraId="4F860F22">
      <w:pPr>
        <w:pStyle w:val="2"/>
        <w:snapToGrid w:val="0"/>
        <w:spacing w:line="300" w:lineRule="auto"/>
        <w:ind w:firstLine="480"/>
        <w:rPr>
          <w:rFonts w:hint="eastAsia" w:hAnsi="宋体"/>
          <w:szCs w:val="24"/>
          <w:highlight w:val="none"/>
        </w:rPr>
      </w:pPr>
      <w:r>
        <w:rPr>
          <w:rFonts w:hint="eastAsia" w:hAnsi="宋体"/>
          <w:szCs w:val="24"/>
          <w:highlight w:val="none"/>
        </w:rPr>
        <w:t>13) 电房门接地大样图；</w:t>
      </w:r>
    </w:p>
    <w:p w14:paraId="06F524E3">
      <w:pPr>
        <w:pStyle w:val="2"/>
        <w:snapToGrid w:val="0"/>
        <w:spacing w:line="300" w:lineRule="auto"/>
        <w:ind w:firstLine="480"/>
        <w:rPr>
          <w:rFonts w:hint="eastAsia" w:hAnsi="宋体"/>
          <w:szCs w:val="24"/>
          <w:highlight w:val="none"/>
        </w:rPr>
      </w:pPr>
      <w:r>
        <w:rPr>
          <w:rFonts w:hint="eastAsia" w:hAnsi="宋体"/>
          <w:szCs w:val="24"/>
          <w:highlight w:val="none"/>
        </w:rPr>
        <w:t>14) 电房窗接地大样图；</w:t>
      </w:r>
    </w:p>
    <w:p w14:paraId="662F16FE">
      <w:pPr>
        <w:pStyle w:val="2"/>
        <w:snapToGrid w:val="0"/>
        <w:spacing w:line="300" w:lineRule="auto"/>
        <w:ind w:firstLine="480"/>
        <w:rPr>
          <w:rFonts w:hint="eastAsia" w:hAnsi="宋体"/>
          <w:szCs w:val="24"/>
          <w:highlight w:val="none"/>
        </w:rPr>
      </w:pPr>
      <w:r>
        <w:rPr>
          <w:rFonts w:hint="eastAsia" w:hAnsi="宋体"/>
          <w:szCs w:val="24"/>
          <w:highlight w:val="none"/>
        </w:rPr>
        <w:t>15) 电房内明装接地线安装图；</w:t>
      </w:r>
    </w:p>
    <w:p w14:paraId="2BEF7AA9">
      <w:pPr>
        <w:pStyle w:val="2"/>
        <w:snapToGrid w:val="0"/>
        <w:spacing w:line="300" w:lineRule="auto"/>
        <w:ind w:firstLine="480"/>
        <w:rPr>
          <w:rFonts w:hint="eastAsia" w:hAnsi="宋体"/>
          <w:szCs w:val="24"/>
          <w:highlight w:val="none"/>
        </w:rPr>
      </w:pPr>
      <w:r>
        <w:rPr>
          <w:rFonts w:hint="eastAsia" w:hAnsi="宋体"/>
          <w:szCs w:val="24"/>
          <w:highlight w:val="none"/>
        </w:rPr>
        <w:t>16) 室内接地大样图；</w:t>
      </w:r>
    </w:p>
    <w:p w14:paraId="012DBBA2">
      <w:pPr>
        <w:pStyle w:val="2"/>
        <w:snapToGrid w:val="0"/>
        <w:spacing w:line="300" w:lineRule="auto"/>
        <w:ind w:firstLine="480"/>
        <w:rPr>
          <w:rFonts w:hint="eastAsia" w:hAnsi="宋体"/>
          <w:szCs w:val="24"/>
          <w:highlight w:val="none"/>
        </w:rPr>
      </w:pPr>
      <w:r>
        <w:rPr>
          <w:rFonts w:hint="eastAsia" w:hAnsi="宋体"/>
          <w:szCs w:val="24"/>
          <w:highlight w:val="none"/>
        </w:rPr>
        <w:t>17) 盖板大样图；</w:t>
      </w:r>
    </w:p>
    <w:p w14:paraId="72DF95E7">
      <w:pPr>
        <w:pStyle w:val="2"/>
        <w:snapToGrid w:val="0"/>
        <w:spacing w:line="300" w:lineRule="auto"/>
        <w:ind w:firstLine="480"/>
        <w:rPr>
          <w:rFonts w:hint="eastAsia" w:hAnsi="宋体"/>
          <w:szCs w:val="24"/>
          <w:highlight w:val="none"/>
        </w:rPr>
      </w:pPr>
      <w:r>
        <w:rPr>
          <w:rFonts w:hint="eastAsia" w:hAnsi="宋体"/>
          <w:szCs w:val="24"/>
          <w:highlight w:val="none"/>
        </w:rPr>
        <w:t>18) 电房电气平面布置图：含主材型号、数量或长度；</w:t>
      </w:r>
    </w:p>
    <w:p w14:paraId="20D5592B">
      <w:pPr>
        <w:pStyle w:val="2"/>
        <w:snapToGrid w:val="0"/>
        <w:spacing w:line="300" w:lineRule="auto"/>
        <w:ind w:firstLine="480"/>
        <w:rPr>
          <w:rFonts w:hint="eastAsia" w:hAnsi="宋体"/>
          <w:szCs w:val="24"/>
          <w:highlight w:val="none"/>
        </w:rPr>
      </w:pPr>
      <w:r>
        <w:rPr>
          <w:rFonts w:hint="eastAsia" w:hAnsi="宋体"/>
          <w:szCs w:val="24"/>
          <w:highlight w:val="none"/>
        </w:rPr>
        <w:t>19) 电房照明平面图：含主材型号、数量或长度，电房配电箱系统图；</w:t>
      </w:r>
    </w:p>
    <w:p w14:paraId="28658581">
      <w:pPr>
        <w:pStyle w:val="2"/>
        <w:snapToGrid w:val="0"/>
        <w:spacing w:line="300" w:lineRule="auto"/>
        <w:ind w:firstLine="480"/>
        <w:rPr>
          <w:rFonts w:hint="eastAsia" w:hAnsi="宋体"/>
          <w:szCs w:val="24"/>
          <w:highlight w:val="none"/>
        </w:rPr>
      </w:pPr>
      <w:r>
        <w:rPr>
          <w:rFonts w:hint="eastAsia" w:hAnsi="宋体"/>
          <w:szCs w:val="24"/>
          <w:highlight w:val="none"/>
        </w:rPr>
        <w:t>20)  10kV系统接线图：含外线，含更动前、后（如有）；</w:t>
      </w:r>
    </w:p>
    <w:p w14:paraId="1DB06ECD">
      <w:pPr>
        <w:pStyle w:val="2"/>
        <w:snapToGrid w:val="0"/>
        <w:spacing w:line="300" w:lineRule="auto"/>
        <w:ind w:firstLine="480"/>
        <w:rPr>
          <w:rFonts w:hint="eastAsia" w:hAnsi="宋体"/>
          <w:szCs w:val="24"/>
          <w:highlight w:val="none"/>
        </w:rPr>
      </w:pPr>
      <w:r>
        <w:rPr>
          <w:rFonts w:hint="eastAsia" w:hAnsi="宋体"/>
          <w:szCs w:val="24"/>
          <w:highlight w:val="none"/>
        </w:rPr>
        <w:t>21)  10kV配电柜接线图：含10kV电源点（增加或改造部分）、10kV受电点，各种运行情况断路器位置表；</w:t>
      </w:r>
    </w:p>
    <w:p w14:paraId="77155092">
      <w:pPr>
        <w:pStyle w:val="2"/>
        <w:snapToGrid w:val="0"/>
        <w:spacing w:line="300" w:lineRule="auto"/>
        <w:ind w:firstLine="480"/>
        <w:rPr>
          <w:rFonts w:hint="eastAsia" w:hAnsi="宋体"/>
          <w:szCs w:val="24"/>
          <w:highlight w:val="none"/>
        </w:rPr>
      </w:pPr>
      <w:r>
        <w:rPr>
          <w:rFonts w:hint="eastAsia" w:hAnsi="宋体"/>
          <w:szCs w:val="24"/>
          <w:highlight w:val="none"/>
        </w:rPr>
        <w:t>22)  10kV电缆走向平面图：含项目红线外、红线内，需标明高差；</w:t>
      </w:r>
    </w:p>
    <w:p w14:paraId="673E82B8">
      <w:pPr>
        <w:pStyle w:val="2"/>
        <w:snapToGrid w:val="0"/>
        <w:spacing w:line="300" w:lineRule="auto"/>
        <w:ind w:firstLine="480"/>
        <w:rPr>
          <w:rFonts w:hint="eastAsia" w:hAnsi="宋体"/>
          <w:szCs w:val="24"/>
          <w:highlight w:val="none"/>
        </w:rPr>
      </w:pPr>
      <w:r>
        <w:rPr>
          <w:rFonts w:hint="eastAsia" w:hAnsi="宋体"/>
          <w:szCs w:val="24"/>
          <w:highlight w:val="none"/>
        </w:rPr>
        <w:t>23)  10kV电缆分接箱/环网柜系统图、基础图；</w:t>
      </w:r>
    </w:p>
    <w:p w14:paraId="50B59C4B">
      <w:pPr>
        <w:pStyle w:val="2"/>
        <w:snapToGrid w:val="0"/>
        <w:spacing w:line="300" w:lineRule="auto"/>
        <w:ind w:firstLine="480"/>
        <w:rPr>
          <w:rFonts w:hint="eastAsia" w:hAnsi="宋体"/>
          <w:szCs w:val="24"/>
          <w:highlight w:val="none"/>
        </w:rPr>
      </w:pPr>
      <w:r>
        <w:rPr>
          <w:rFonts w:hint="eastAsia" w:hAnsi="宋体"/>
          <w:szCs w:val="24"/>
          <w:highlight w:val="none"/>
        </w:rPr>
        <w:t>24) 电缆埋管大样图：含项目红线外、红线内</w:t>
      </w:r>
    </w:p>
    <w:p w14:paraId="56BE5B42">
      <w:pPr>
        <w:pStyle w:val="2"/>
        <w:snapToGrid w:val="0"/>
        <w:spacing w:line="300" w:lineRule="auto"/>
        <w:ind w:firstLine="480"/>
        <w:rPr>
          <w:rFonts w:hint="eastAsia" w:hAnsi="宋体"/>
          <w:szCs w:val="24"/>
          <w:highlight w:val="none"/>
        </w:rPr>
      </w:pPr>
      <w:r>
        <w:rPr>
          <w:rFonts w:hint="eastAsia" w:hAnsi="宋体"/>
          <w:szCs w:val="24"/>
          <w:highlight w:val="none"/>
        </w:rPr>
        <w:t>25) 电缆顶管剖面图（如有）；</w:t>
      </w:r>
    </w:p>
    <w:p w14:paraId="6271AD0A">
      <w:pPr>
        <w:pStyle w:val="2"/>
        <w:snapToGrid w:val="0"/>
        <w:spacing w:line="300" w:lineRule="auto"/>
        <w:ind w:firstLine="480"/>
        <w:rPr>
          <w:rFonts w:hint="eastAsia" w:hAnsi="宋体"/>
          <w:szCs w:val="24"/>
          <w:highlight w:val="none"/>
        </w:rPr>
      </w:pPr>
      <w:r>
        <w:rPr>
          <w:rFonts w:hint="eastAsia" w:hAnsi="宋体"/>
          <w:szCs w:val="24"/>
          <w:highlight w:val="none"/>
        </w:rPr>
        <w:t>26) 二次结线原理图：包括但不限于高压进出线柜、高压计量柜、PT柜、直流屏、变压器；</w:t>
      </w:r>
    </w:p>
    <w:p w14:paraId="0855093D">
      <w:pPr>
        <w:pStyle w:val="2"/>
        <w:snapToGrid w:val="0"/>
        <w:spacing w:line="300" w:lineRule="auto"/>
        <w:ind w:firstLine="480"/>
        <w:rPr>
          <w:rFonts w:hint="eastAsia" w:hAnsi="宋体"/>
          <w:szCs w:val="24"/>
          <w:highlight w:val="none"/>
        </w:rPr>
      </w:pPr>
      <w:r>
        <w:rPr>
          <w:rFonts w:hint="eastAsia" w:hAnsi="宋体"/>
          <w:szCs w:val="24"/>
          <w:highlight w:val="none"/>
        </w:rPr>
        <w:t>27)  0.4kV配电柜一次接线图：含各种运行情况进线、联络断路器位置表；</w:t>
      </w:r>
    </w:p>
    <w:p w14:paraId="643D3285">
      <w:pPr>
        <w:pStyle w:val="2"/>
        <w:snapToGrid w:val="0"/>
        <w:spacing w:line="300" w:lineRule="auto"/>
        <w:ind w:firstLine="480"/>
        <w:rPr>
          <w:rFonts w:hint="eastAsia" w:hAnsi="宋体"/>
          <w:szCs w:val="24"/>
          <w:highlight w:val="none"/>
        </w:rPr>
      </w:pPr>
      <w:r>
        <w:rPr>
          <w:rFonts w:hint="eastAsia" w:hAnsi="宋体"/>
          <w:szCs w:val="24"/>
          <w:highlight w:val="none"/>
        </w:rPr>
        <w:t>28) 高压柜、直流屏安装侧面图；</w:t>
      </w:r>
    </w:p>
    <w:p w14:paraId="25B458C6">
      <w:pPr>
        <w:pStyle w:val="2"/>
        <w:snapToGrid w:val="0"/>
        <w:spacing w:line="300" w:lineRule="auto"/>
        <w:ind w:firstLine="480"/>
        <w:rPr>
          <w:rFonts w:hint="eastAsia" w:hAnsi="宋体"/>
          <w:szCs w:val="24"/>
          <w:highlight w:val="none"/>
        </w:rPr>
      </w:pPr>
      <w:r>
        <w:rPr>
          <w:rFonts w:hint="eastAsia" w:hAnsi="宋体"/>
          <w:szCs w:val="24"/>
          <w:highlight w:val="none"/>
        </w:rPr>
        <w:t>29) 高压柜安装图；</w:t>
      </w:r>
    </w:p>
    <w:p w14:paraId="65722E49">
      <w:pPr>
        <w:pStyle w:val="2"/>
        <w:snapToGrid w:val="0"/>
        <w:spacing w:line="300" w:lineRule="auto"/>
        <w:ind w:firstLine="480"/>
        <w:rPr>
          <w:rFonts w:hint="eastAsia" w:hAnsi="宋体"/>
          <w:szCs w:val="24"/>
          <w:highlight w:val="none"/>
        </w:rPr>
      </w:pPr>
      <w:r>
        <w:rPr>
          <w:rFonts w:hint="eastAsia" w:hAnsi="宋体"/>
          <w:szCs w:val="24"/>
          <w:highlight w:val="none"/>
        </w:rPr>
        <w:t>30) 变压器安装侧视图；</w:t>
      </w:r>
    </w:p>
    <w:p w14:paraId="39E64606">
      <w:pPr>
        <w:pStyle w:val="2"/>
        <w:snapToGrid w:val="0"/>
        <w:spacing w:line="300" w:lineRule="auto"/>
        <w:ind w:firstLine="480"/>
        <w:rPr>
          <w:rFonts w:hint="eastAsia" w:hAnsi="宋体"/>
          <w:szCs w:val="24"/>
          <w:highlight w:val="none"/>
        </w:rPr>
      </w:pPr>
      <w:r>
        <w:rPr>
          <w:rFonts w:hint="eastAsia" w:hAnsi="宋体"/>
          <w:szCs w:val="24"/>
          <w:highlight w:val="none"/>
        </w:rPr>
        <w:t>31) 变压器高压侧支架安装图；</w:t>
      </w:r>
    </w:p>
    <w:p w14:paraId="46F9A48D">
      <w:pPr>
        <w:pStyle w:val="2"/>
        <w:snapToGrid w:val="0"/>
        <w:spacing w:line="300" w:lineRule="auto"/>
        <w:ind w:firstLine="480"/>
        <w:rPr>
          <w:rFonts w:hint="eastAsia" w:hAnsi="宋体"/>
          <w:szCs w:val="24"/>
          <w:highlight w:val="none"/>
        </w:rPr>
      </w:pPr>
      <w:r>
        <w:rPr>
          <w:rFonts w:hint="eastAsia" w:hAnsi="宋体"/>
          <w:szCs w:val="24"/>
          <w:highlight w:val="none"/>
        </w:rPr>
        <w:t>32) 电缆桥架大样图；</w:t>
      </w:r>
    </w:p>
    <w:p w14:paraId="39A02814">
      <w:pPr>
        <w:pStyle w:val="2"/>
        <w:snapToGrid w:val="0"/>
        <w:spacing w:line="300" w:lineRule="auto"/>
        <w:ind w:firstLine="480"/>
        <w:rPr>
          <w:rFonts w:hint="eastAsia" w:hAnsi="宋体"/>
          <w:szCs w:val="24"/>
          <w:highlight w:val="none"/>
        </w:rPr>
      </w:pPr>
      <w:r>
        <w:rPr>
          <w:rFonts w:hint="eastAsia" w:hAnsi="宋体"/>
          <w:szCs w:val="24"/>
          <w:highlight w:val="none"/>
        </w:rPr>
        <w:t>33) 热镀锌花纹钢板大样图；</w:t>
      </w:r>
    </w:p>
    <w:p w14:paraId="35123A03">
      <w:pPr>
        <w:pStyle w:val="2"/>
        <w:snapToGrid w:val="0"/>
        <w:spacing w:line="300" w:lineRule="auto"/>
        <w:ind w:firstLine="480"/>
        <w:rPr>
          <w:rFonts w:hint="eastAsia" w:hAnsi="宋体"/>
          <w:szCs w:val="24"/>
          <w:highlight w:val="none"/>
        </w:rPr>
      </w:pPr>
      <w:r>
        <w:rPr>
          <w:rFonts w:hint="eastAsia" w:hAnsi="宋体"/>
          <w:szCs w:val="24"/>
          <w:highlight w:val="none"/>
        </w:rPr>
        <w:t>34) 安健环标志牌大样图：</w:t>
      </w:r>
    </w:p>
    <w:p w14:paraId="2C1262AA">
      <w:pPr>
        <w:pStyle w:val="2"/>
        <w:snapToGrid w:val="0"/>
        <w:spacing w:line="300" w:lineRule="auto"/>
        <w:ind w:firstLine="480"/>
        <w:rPr>
          <w:rFonts w:hint="eastAsia" w:hAnsi="宋体"/>
          <w:szCs w:val="24"/>
          <w:highlight w:val="none"/>
        </w:rPr>
      </w:pPr>
      <w:r>
        <w:rPr>
          <w:rFonts w:hint="eastAsia" w:hAnsi="宋体"/>
          <w:szCs w:val="24"/>
          <w:highlight w:val="none"/>
        </w:rPr>
        <w:t>35) 不锈钢遮栏加工图（如有）；</w:t>
      </w:r>
    </w:p>
    <w:p w14:paraId="20200D4E">
      <w:pPr>
        <w:pStyle w:val="2"/>
        <w:snapToGrid w:val="0"/>
        <w:spacing w:line="300" w:lineRule="auto"/>
        <w:ind w:firstLine="480"/>
        <w:rPr>
          <w:rFonts w:hint="eastAsia" w:hAnsi="宋体"/>
          <w:szCs w:val="24"/>
          <w:highlight w:val="none"/>
        </w:rPr>
      </w:pPr>
      <w:r>
        <w:rPr>
          <w:rFonts w:hint="eastAsia" w:hAnsi="宋体"/>
          <w:szCs w:val="24"/>
          <w:highlight w:val="none"/>
        </w:rPr>
        <w:t>36) 电房工具箱大样图；</w:t>
      </w:r>
    </w:p>
    <w:p w14:paraId="19D81111">
      <w:pPr>
        <w:pStyle w:val="2"/>
        <w:snapToGrid w:val="0"/>
        <w:spacing w:line="300" w:lineRule="auto"/>
        <w:ind w:firstLine="480"/>
        <w:rPr>
          <w:rFonts w:hint="eastAsia" w:hAnsi="宋体"/>
          <w:szCs w:val="24"/>
          <w:highlight w:val="none"/>
        </w:rPr>
      </w:pPr>
      <w:r>
        <w:rPr>
          <w:rFonts w:hint="eastAsia" w:hAnsi="宋体"/>
          <w:szCs w:val="24"/>
          <w:highlight w:val="none"/>
        </w:rPr>
        <w:t>37）光纤自动化等；</w:t>
      </w:r>
    </w:p>
    <w:p w14:paraId="0953A230">
      <w:p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38）电房消防深化图。</w:t>
      </w:r>
    </w:p>
    <w:p w14:paraId="327838BB">
      <w:pPr>
        <w:pStyle w:val="2"/>
        <w:snapToGrid w:val="0"/>
        <w:spacing w:line="300" w:lineRule="auto"/>
        <w:ind w:firstLine="480"/>
        <w:rPr>
          <w:rFonts w:hint="eastAsia" w:hAnsi="宋体"/>
          <w:szCs w:val="24"/>
          <w:highlight w:val="none"/>
        </w:rPr>
      </w:pPr>
      <w:r>
        <w:rPr>
          <w:rFonts w:hint="eastAsia" w:hAnsi="宋体"/>
          <w:szCs w:val="24"/>
          <w:highlight w:val="none"/>
        </w:rPr>
        <w:t>3.2 根据小区楼栋布局，结合当地供电技术导则要求，对项目10KV接线方式、变压器供电半径、住宅户内负荷调整进行优化设计，争取做到低成本同时又达到使用功能，满足验收要求；</w:t>
      </w:r>
    </w:p>
    <w:p w14:paraId="76F7B641">
      <w:pPr>
        <w:pStyle w:val="2"/>
        <w:snapToGrid w:val="0"/>
        <w:spacing w:line="300" w:lineRule="auto"/>
        <w:ind w:firstLine="480"/>
        <w:rPr>
          <w:rFonts w:hint="eastAsia" w:hAnsi="宋体"/>
          <w:szCs w:val="24"/>
          <w:highlight w:val="none"/>
        </w:rPr>
      </w:pPr>
      <w:r>
        <w:rPr>
          <w:rFonts w:hint="eastAsia" w:hAnsi="宋体"/>
          <w:szCs w:val="24"/>
          <w:highlight w:val="none"/>
        </w:rPr>
        <w:t>3.3 根据当地供电技术导则要求，结合当地电力主管部门品牌库，对高低压开关、电线电缆、变压器筛选低成本同时又达到使用功能，满足验收要求的产品参数进行设计；</w:t>
      </w:r>
    </w:p>
    <w:p w14:paraId="34355D75">
      <w:pPr>
        <w:pStyle w:val="2"/>
        <w:snapToGrid w:val="0"/>
        <w:spacing w:line="300" w:lineRule="auto"/>
        <w:ind w:firstLine="480"/>
        <w:rPr>
          <w:rFonts w:hint="eastAsia" w:hAnsi="宋体"/>
          <w:szCs w:val="24"/>
          <w:highlight w:val="none"/>
        </w:rPr>
      </w:pPr>
      <w:r>
        <w:rPr>
          <w:rFonts w:hint="eastAsia" w:hAnsi="宋体"/>
          <w:szCs w:val="24"/>
          <w:highlight w:val="none"/>
        </w:rPr>
        <w:t>3.4 根据现阶段电房的平面布置，优化柜体的布置图；</w:t>
      </w:r>
    </w:p>
    <w:p w14:paraId="3EDB37BA">
      <w:pPr>
        <w:pStyle w:val="2"/>
        <w:snapToGrid w:val="0"/>
        <w:spacing w:line="300" w:lineRule="auto"/>
        <w:ind w:firstLine="480"/>
        <w:rPr>
          <w:rFonts w:hint="eastAsia" w:hAnsi="宋体"/>
          <w:szCs w:val="24"/>
          <w:highlight w:val="none"/>
        </w:rPr>
      </w:pPr>
      <w:r>
        <w:rPr>
          <w:rFonts w:hint="eastAsia" w:hAnsi="宋体"/>
          <w:szCs w:val="24"/>
          <w:highlight w:val="none"/>
        </w:rPr>
        <w:t>3.5 需对土建条件及工程提出合理要求，并提出与之配套、协调的施工方法；</w:t>
      </w:r>
    </w:p>
    <w:p w14:paraId="04CDAE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确保设计成果审批通过。</w:t>
      </w:r>
      <w:bookmarkStart w:id="119" w:name="_Hlk122965897"/>
      <w:r>
        <w:rPr>
          <w:rFonts w:hint="eastAsia" w:ascii="宋体" w:hAnsi="宋体" w:eastAsia="宋体" w:cs="宋体"/>
          <w:color w:val="auto"/>
          <w:sz w:val="24"/>
          <w:szCs w:val="24"/>
          <w:highlight w:val="none"/>
        </w:rPr>
        <w:t>将临空三期项目范围内永久用电图纸（含主体工程范围相关图纸）报送供电部门审核，并确保通过审批。取得供电局对临空三期项目的《用电咨询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答复书》和对施工图确认复函等相关同意意见，配合施工单位及甲方完成供电验收。</w:t>
      </w:r>
      <w:bookmarkEnd w:id="119"/>
    </w:p>
    <w:bookmarkEnd w:id="114"/>
    <w:bookmarkEnd w:id="115"/>
    <w:bookmarkEnd w:id="116"/>
    <w:bookmarkEnd w:id="117"/>
    <w:p w14:paraId="395326BD">
      <w:pPr>
        <w:spacing w:line="360" w:lineRule="auto"/>
        <w:ind w:firstLine="482" w:firstLineChars="200"/>
        <w:rPr>
          <w:rFonts w:hint="eastAsia" w:ascii="宋体" w:hAnsi="宋体" w:eastAsia="宋体" w:cs="宋体"/>
          <w:b/>
          <w:bCs/>
          <w:color w:val="auto"/>
          <w:sz w:val="24"/>
          <w:szCs w:val="24"/>
          <w:highlight w:val="none"/>
        </w:rPr>
      </w:pPr>
      <w:bookmarkStart w:id="120" w:name="_Toc13508"/>
      <w:bookmarkStart w:id="121" w:name="_Toc2360"/>
      <w:bookmarkStart w:id="122" w:name="_Toc444182769"/>
      <w:bookmarkStart w:id="123" w:name="_Toc28607"/>
      <w:bookmarkStart w:id="124" w:name="_Toc50537209"/>
      <w:bookmarkStart w:id="125" w:name="_Toc104581722"/>
      <w:r>
        <w:rPr>
          <w:rFonts w:hint="eastAsia" w:ascii="宋体" w:hAnsi="宋体" w:eastAsia="宋体" w:cs="宋体"/>
          <w:b/>
          <w:bCs/>
          <w:color w:val="auto"/>
          <w:sz w:val="24"/>
          <w:szCs w:val="24"/>
          <w:highlight w:val="none"/>
        </w:rPr>
        <w:t>4.对各阶段设计文件设计深度的要求</w:t>
      </w:r>
      <w:bookmarkEnd w:id="120"/>
      <w:bookmarkEnd w:id="121"/>
      <w:bookmarkEnd w:id="122"/>
      <w:bookmarkEnd w:id="123"/>
      <w:bookmarkEnd w:id="124"/>
      <w:bookmarkEnd w:id="125"/>
    </w:p>
    <w:p w14:paraId="28058C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应符合中华人民共和国建设部颁发的《建筑工程设计文件编制深度的规定》（最新版）以及建设管理单位编制的项目设计文件深度规定中对各阶段、各专业设计文件编制深度的要求。</w:t>
      </w:r>
    </w:p>
    <w:p w14:paraId="76535CE5">
      <w:pPr>
        <w:spacing w:line="360" w:lineRule="auto"/>
        <w:ind w:firstLine="482" w:firstLineChars="200"/>
        <w:rPr>
          <w:rFonts w:hint="eastAsia" w:ascii="宋体" w:hAnsi="宋体" w:eastAsia="宋体" w:cs="宋体"/>
          <w:b/>
          <w:bCs/>
          <w:color w:val="auto"/>
          <w:sz w:val="24"/>
          <w:szCs w:val="24"/>
          <w:highlight w:val="none"/>
        </w:rPr>
      </w:pPr>
      <w:bookmarkStart w:id="126" w:name="_Toc20415"/>
      <w:bookmarkStart w:id="127" w:name="_Toc21086"/>
      <w:bookmarkStart w:id="128" w:name="_Toc50537210"/>
      <w:bookmarkStart w:id="129" w:name="_Toc104581723"/>
      <w:bookmarkStart w:id="130" w:name="_Toc444182770"/>
      <w:bookmarkStart w:id="131" w:name="_Toc31811"/>
      <w:r>
        <w:rPr>
          <w:rFonts w:hint="eastAsia" w:ascii="宋体" w:hAnsi="宋体" w:eastAsia="宋体" w:cs="宋体"/>
          <w:b/>
          <w:bCs/>
          <w:color w:val="auto"/>
          <w:sz w:val="24"/>
          <w:szCs w:val="24"/>
          <w:highlight w:val="none"/>
        </w:rPr>
        <w:t>5.对设计质量的要求</w:t>
      </w:r>
      <w:bookmarkEnd w:id="126"/>
      <w:bookmarkEnd w:id="127"/>
      <w:bookmarkEnd w:id="128"/>
      <w:bookmarkEnd w:id="129"/>
      <w:bookmarkEnd w:id="130"/>
      <w:bookmarkEnd w:id="131"/>
    </w:p>
    <w:p w14:paraId="7C0875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设计应体现本项目的建设意图，满足本项目的功能需求，在控制投资的同时，做到美观、适用、安全、经济，并具备良好的环保特性，取得良好的社会效益。</w:t>
      </w:r>
    </w:p>
    <w:p w14:paraId="5BCEB6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 设计范围和内容必须符合本设计任务书的规定。</w:t>
      </w:r>
    </w:p>
    <w:p w14:paraId="354E44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 承包人保证每次按合同规定的期限交付的设计文件是完整的、正确的、清晰的。</w:t>
      </w:r>
    </w:p>
    <w:p w14:paraId="035326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5.3.1“完整”是指每次交付的设计文件是合同及附件中规定的全部设计文件。</w:t>
      </w:r>
    </w:p>
    <w:p w14:paraId="1547C4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5.3.2 “正确”是指每次交付的设计文件均符合本章1.1条关于法律、法规、规范、标准的规定；本章1.2条关于各阶段设计文件内容与设计深度的规定；同时保证设计输入的基础资料完整、正确，设计单位法、计算方法与结果、技术参数的选用正确，构造合理，图面表达清楚、文字叙述准确，各专业设计协调统一。</w:t>
      </w:r>
    </w:p>
    <w:p w14:paraId="273186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5.3.3“清晰”是指每次交付的设计文件中的图样、线条、术语、符号、尺寸标准、文字说明等清楚准确。</w:t>
      </w:r>
    </w:p>
    <w:p w14:paraId="61C1D0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 承包人应根据上级主管部门及建设管理单位对设计文件的审核意见，在原定设计范围内对设计进行必要的修改。</w:t>
      </w:r>
    </w:p>
    <w:p w14:paraId="2BAEED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 当承包人提交的设计文件，不符合本章3.3条要求时，承包人应在收到建设管理单位通知5天内，将符合规定的设计文件交付建设管理单位。</w:t>
      </w:r>
    </w:p>
    <w:p w14:paraId="66FEEC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 设计文件的计量单位均应采用国际标准计量单位。长度单位：总平面图标注尺寸以米（m）为单位；施工图设计图标注尺寸以毫米（mm）为单位，标高以米（m）为单位；面积均以平方米（</w:t>
      </w:r>
      <w:r>
        <w:rPr>
          <w:rFonts w:hint="eastAsia" w:ascii="宋体" w:hAnsi="宋体" w:eastAsia="宋体" w:cs="Segoe UI Symbol"/>
          <w:color w:val="auto"/>
          <w:sz w:val="24"/>
          <w:highlight w:val="none"/>
        </w:rPr>
        <w:t>㎡</w:t>
      </w:r>
      <w:r>
        <w:rPr>
          <w:rFonts w:hint="eastAsia" w:ascii="宋体" w:hAnsi="宋体" w:eastAsia="宋体" w:cs="仿宋_GB2312"/>
          <w:color w:val="auto"/>
          <w:sz w:val="24"/>
          <w:highlight w:val="none"/>
        </w:rPr>
        <w:t>）为单位；体积均以立方米（</w:t>
      </w: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3</w:t>
      </w:r>
      <w:r>
        <w:rPr>
          <w:rFonts w:hint="eastAsia" w:ascii="宋体" w:hAnsi="宋体" w:eastAsia="宋体" w:cs="宋体"/>
          <w:color w:val="auto"/>
          <w:sz w:val="24"/>
          <w:highlight w:val="none"/>
        </w:rPr>
        <w:t>）为单位。</w:t>
      </w:r>
    </w:p>
    <w:p w14:paraId="4ADEF5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5.7 设计文件中的坐标系统和高程系统：坐标系统采用广州2000平面坐标系统及高程系统。</w:t>
      </w:r>
    </w:p>
    <w:p w14:paraId="34E21A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5.8 设计图纸必须依照中华人民共和国有关工程图纸规格的规定以及建设管理单位组织编制的设计文件制图标准绘制，保持同类图纸规格统一。</w:t>
      </w:r>
    </w:p>
    <w:p w14:paraId="40CAD8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5.9 承包人应当优先采用标准设计，提高设计质量。同时设计还必须考虑工程的实施条件，采用较为合理的方案，确保工程能够按设计实施。超越目前国内施工单位平均技术水平的设计方案、施工方法，承包人应提出合理理由和可行的实施方案。</w:t>
      </w:r>
    </w:p>
    <w:p w14:paraId="258F9B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5.10承包人应当建立健全质量保证制度和责任追究制度。</w:t>
      </w:r>
    </w:p>
    <w:p w14:paraId="66CB16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承包人的下列人员按照国家有关规定承担相应的质量责任：</w:t>
      </w:r>
    </w:p>
    <w:p w14:paraId="01166E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5.10.1承包人的法定代表人对本单位编制的设计文件全面负责；</w:t>
      </w:r>
    </w:p>
    <w:p w14:paraId="7DEF7D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5.10.2 承包人的项目负责人对其负责项目的设计文件负责；</w:t>
      </w:r>
    </w:p>
    <w:p w14:paraId="223B20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5.10.3 承包人的技术负责人、项目审核人、项目审定人对其负责审核、审定的设计文件负责；</w:t>
      </w:r>
    </w:p>
    <w:p w14:paraId="67F3D0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5.11 为防止承包人对项目基本情况掌握不全面，导致设计闭门造车，分析不完善，设计成果与现场情况不符的情况发生，要求承包人在方案设计阶段对现场情况进行详细摸查和评估，并向建设单位提交书面评估报告。报告应就可能影响下一步设计工作的各方面情况进行说明和分析，并提出建议解决办法。</w:t>
      </w:r>
    </w:p>
    <w:p w14:paraId="4726E0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5.12 承包人应加强设计人员的内部管理，特别是确保各专业间进行充分提资、反复校对，避免由于提资和校核不充分导致各专业图纸间存在矛盾的情况发生。</w:t>
      </w:r>
    </w:p>
    <w:p w14:paraId="077CE7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5.13 在项目开展施工图设计前，本阶段承包人应在建设部门的组织下向施工图设计单位和监理单位进行技术交底，详细说明建设工程设计中的技术关键点，说明和解释初步设计文件，配合完成后续装配式构建的深化设计。</w:t>
      </w:r>
    </w:p>
    <w:p w14:paraId="60C484BD">
      <w:pPr>
        <w:spacing w:line="360" w:lineRule="auto"/>
        <w:ind w:firstLine="482" w:firstLineChars="200"/>
        <w:rPr>
          <w:rFonts w:hint="eastAsia" w:ascii="宋体" w:hAnsi="宋体" w:eastAsia="宋体" w:cs="宋体"/>
          <w:b/>
          <w:bCs/>
          <w:color w:val="auto"/>
          <w:sz w:val="24"/>
          <w:szCs w:val="24"/>
          <w:highlight w:val="none"/>
        </w:rPr>
      </w:pPr>
      <w:bookmarkStart w:id="132" w:name="_Toc24347"/>
      <w:bookmarkStart w:id="133" w:name="_Toc1356"/>
      <w:bookmarkStart w:id="134" w:name="_Toc104581724"/>
      <w:bookmarkStart w:id="135" w:name="_Toc444182771"/>
      <w:bookmarkStart w:id="136" w:name="_Toc50537211"/>
      <w:bookmarkStart w:id="137" w:name="_Toc18687"/>
      <w:r>
        <w:rPr>
          <w:rFonts w:hint="eastAsia" w:ascii="宋体" w:hAnsi="宋体" w:eastAsia="宋体" w:cs="宋体"/>
          <w:b/>
          <w:bCs/>
          <w:color w:val="auto"/>
          <w:sz w:val="24"/>
          <w:szCs w:val="24"/>
          <w:highlight w:val="none"/>
        </w:rPr>
        <w:t>6.对设计与设备、材料选型深化配合方面的要求</w:t>
      </w:r>
      <w:bookmarkEnd w:id="132"/>
      <w:bookmarkEnd w:id="133"/>
      <w:bookmarkEnd w:id="134"/>
      <w:bookmarkEnd w:id="135"/>
      <w:bookmarkEnd w:id="136"/>
      <w:bookmarkEnd w:id="137"/>
    </w:p>
    <w:p w14:paraId="3192DA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 承包人应负责编制设备、材料采购的技术文件，内容包括设备、材料采购清单、技术要求、必要的附图、技术参数表、采购说明和采购时间表等，并包含施工要求、安装说明，并对国内规范以外设计文件所涉及的内容提出验收标准。除有特殊要求的建筑材料、专用设备和工艺生产线可推荐三家以上品牌或按照建设管理单位具体要求外，承包人不得指定材料、构配件、设备的品牌、生产厂、供应商；严禁选用国家明令禁止或者不符合质量标准的材料、构配件、设备。</w:t>
      </w:r>
    </w:p>
    <w:p w14:paraId="679013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 设计文件对于工艺、技术、材料、设备的选用应该满足施工工期的要求，充分考虑设计的可实施性，重视和吸收施工单位对施工安装提出的意见，并充分考虑中国承建商的施工能力。</w:t>
      </w:r>
    </w:p>
    <w:p w14:paraId="20E76E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 设计质量应符合国际通用的ISO—9000质量保证体系所规定的标准及质量要求。</w:t>
      </w:r>
    </w:p>
    <w:p w14:paraId="7E4ED7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 设计所选用的建筑材料及设备（包括各专业采用的材料、设备），在进行性能价格的分析比较后，原则上采用建设单位品牌库中中档以上国内产品。国内没有的建筑材料和设备或国内材料和设备性能无法达到设计要求以及价格高于进口价格时，才采用进口材料和设备。设计中采用的材料和设备均须按中华人民共和国、广东省、广州市有关法律、行政法规和规章的要求，提供明确的技术资料（包括性能指标、规格、型号等方面的资料）。</w:t>
      </w:r>
    </w:p>
    <w:p w14:paraId="43B4CDBB">
      <w:pPr>
        <w:spacing w:line="360" w:lineRule="auto"/>
        <w:ind w:firstLine="482" w:firstLineChars="200"/>
        <w:rPr>
          <w:rFonts w:hint="eastAsia" w:ascii="宋体" w:hAnsi="宋体" w:eastAsia="宋体" w:cs="宋体"/>
          <w:b/>
          <w:bCs/>
          <w:color w:val="auto"/>
          <w:sz w:val="24"/>
          <w:szCs w:val="24"/>
          <w:highlight w:val="none"/>
        </w:rPr>
      </w:pPr>
      <w:bookmarkStart w:id="138" w:name="_Toc2768"/>
      <w:bookmarkStart w:id="139" w:name="_Toc104581725"/>
      <w:bookmarkStart w:id="140" w:name="_Toc23585"/>
      <w:bookmarkStart w:id="141" w:name="_Toc11409"/>
      <w:bookmarkStart w:id="142" w:name="_Toc444182772"/>
      <w:bookmarkStart w:id="143" w:name="_Toc50537212"/>
      <w:r>
        <w:rPr>
          <w:rFonts w:hint="eastAsia" w:ascii="宋体" w:hAnsi="宋体" w:eastAsia="宋体" w:cs="宋体"/>
          <w:b/>
          <w:bCs/>
          <w:color w:val="auto"/>
          <w:sz w:val="24"/>
          <w:szCs w:val="24"/>
          <w:highlight w:val="none"/>
        </w:rPr>
        <w:t>7.投资控制</w:t>
      </w:r>
      <w:bookmarkEnd w:id="138"/>
      <w:bookmarkEnd w:id="139"/>
      <w:bookmarkEnd w:id="140"/>
      <w:bookmarkEnd w:id="141"/>
      <w:bookmarkEnd w:id="142"/>
      <w:bookmarkEnd w:id="143"/>
    </w:p>
    <w:p w14:paraId="0D7A42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限额设计：承包人在保证设计质量的前提下，应遵循功能适用、标准合理、经济合理的原则开展设计工作，实行限额设计，确保工程概预算不突破批复可研立项总投资的限额目标：</w:t>
      </w:r>
    </w:p>
    <w:p w14:paraId="0B59F9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7.1.1 在投资限额目标的基础上结合项目设计内容进一步分解投资，明确投资控制主要指标，在编制设计概、预算时逐步细化落实。</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14:paraId="450B37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7.1.2 承包人在限额设计范围内，应充分运用性价比分析、多方案（不少于2个）技术经济比较等手段，对设计方案进行优化。在所有方案比较的过程中，必须进行相应深度的投资估算比较，确保方案的可比性，并提供相应的工程数量表、主要材料表、主要设备清单等。</w:t>
      </w:r>
    </w:p>
    <w:p w14:paraId="4FD4EA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7.1.3 承包人有关设计的任何修改、变动或由于修改设计所引起的工艺、技术、材料、设备的变更，须经过设计审查单位、建设管理单位和投资方的审批同意。</w:t>
      </w:r>
    </w:p>
    <w:p w14:paraId="3E73AD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设计优化和技术经济分析论证：</w:t>
      </w:r>
    </w:p>
    <w:p w14:paraId="30F2C8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7.2.1 设计方案必须进行技术经济分析。通过对设计方案、工艺、设备等进行全面的评价，在满足功能要求的前提下，采用技术经济优化、可以有效控制工程投资的方案。</w:t>
      </w:r>
    </w:p>
    <w:p w14:paraId="1A8DF1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7.2.2 在保证方案的可实施和可操作性前提下，设计中凡能进行定量分析的设计内容，应通过计算，用数据说明其技术经济的合理性。同时向项目建设管理单位提供各阶段技术经济分析资料，以力求各阶段设计成果能充分体现设计优化的原则。</w:t>
      </w:r>
    </w:p>
    <w:p w14:paraId="67A026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7.2.3 承包人必须对技术方案进行多方案比较和优化，比较方案应具有可比性。各个阶段的技术方案比较必须通过技术经济分析，完成单体或单项工程的造价分析文件编制，确保设计深度能够满足对应阶段编制工程造价文件的需要。</w:t>
      </w:r>
    </w:p>
    <w:p w14:paraId="38290C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7.2.4 为确保设计优化和投资控制，承包人必须对主要供电方案、大宗建材（单项总投资额100万元以上）使用、主要设备（单项投资额10万元以上或总投资额50万元以上）选型等对建成使用和建设投资有重大影响的因素进行经济技术多方案比选和性价比分析，并提交正式的书面报告。</w:t>
      </w:r>
    </w:p>
    <w:p w14:paraId="46699D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7.2.5 承包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w:t>
      </w:r>
    </w:p>
    <w:p w14:paraId="682E5DDD">
      <w:pPr>
        <w:numPr>
          <w:ilvl w:val="255"/>
          <w:numId w:val="0"/>
        </w:numPr>
        <w:ind w:left="44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预算：按合同约定执行。</w:t>
      </w:r>
    </w:p>
    <w:p w14:paraId="4B2A34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 在项目实施阶段，若出现大幅增加工程造价重大设计变更或新增工程实施内容，导致工程造价超出批复概算，承包人须配合项目建设管理单位及时申报概算调整。</w:t>
      </w:r>
    </w:p>
    <w:p w14:paraId="06DD1D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 承包人应当严格执行工程立项及可行性研究批准的估算，不得擅自增加工程量和工程造价提高设计费。</w:t>
      </w:r>
    </w:p>
    <w:p w14:paraId="2E3BF8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7.6 承包人应当按照合同约定进行设计。未按合同约定设计而项目建设管理单位要求纠正的，承包人应当及时修改，不得另行收取费用。</w:t>
      </w:r>
    </w:p>
    <w:p w14:paraId="7833AFEF">
      <w:pPr>
        <w:spacing w:line="360" w:lineRule="auto"/>
        <w:ind w:firstLine="482" w:firstLineChars="200"/>
        <w:rPr>
          <w:rFonts w:hint="eastAsia" w:ascii="宋体" w:hAnsi="宋体" w:eastAsia="宋体" w:cs="宋体"/>
          <w:b/>
          <w:bCs/>
          <w:color w:val="auto"/>
          <w:sz w:val="24"/>
          <w:szCs w:val="24"/>
          <w:highlight w:val="none"/>
        </w:rPr>
      </w:pPr>
      <w:bookmarkStart w:id="144" w:name="_Toc30766"/>
      <w:bookmarkStart w:id="145" w:name="_Toc6873"/>
      <w:bookmarkStart w:id="146" w:name="_Toc50537213"/>
      <w:bookmarkStart w:id="147" w:name="_Toc104581726"/>
      <w:bookmarkStart w:id="148" w:name="_Toc12908"/>
      <w:bookmarkStart w:id="149" w:name="_Toc444182773"/>
      <w:r>
        <w:rPr>
          <w:rFonts w:hint="eastAsia" w:ascii="宋体" w:hAnsi="宋体" w:eastAsia="宋体" w:cs="宋体"/>
          <w:b/>
          <w:bCs/>
          <w:color w:val="auto"/>
          <w:sz w:val="24"/>
          <w:szCs w:val="24"/>
          <w:highlight w:val="none"/>
        </w:rPr>
        <w:t>8.关于设计变更</w:t>
      </w:r>
      <w:bookmarkEnd w:id="144"/>
      <w:bookmarkEnd w:id="145"/>
      <w:bookmarkEnd w:id="146"/>
      <w:bookmarkEnd w:id="147"/>
      <w:bookmarkEnd w:id="148"/>
      <w:bookmarkEnd w:id="149"/>
    </w:p>
    <w:p w14:paraId="7050F4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由于承包人设计错误、对设计基础资料选用不当、专业间接口出现矛盾等情况造成的设计更改，承包人应根据建设单位规定的时间提交设计变更，发包人不对此增加设计费用。</w:t>
      </w:r>
    </w:p>
    <w:p w14:paraId="1355F4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遇到国家设计规范发生修订时，承包人依照修订后的规范进行修改，发包人不对此增加设计费用。</w:t>
      </w:r>
    </w:p>
    <w:p w14:paraId="68EA40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承包人应充分考虑我国国内的施工安装条件和水平、材料供应的条件（即充分考虑设计与施工的衔接），若由于设计自身过错导致无法施工或采购材料，承包人应无条件修改或重新设计。</w:t>
      </w:r>
    </w:p>
    <w:p w14:paraId="4D07B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 对新材料及特殊结构应提供国际权威机构或国内有关部门的试验报告。</w:t>
      </w:r>
    </w:p>
    <w:p w14:paraId="1A7AD89A">
      <w:pPr>
        <w:pStyle w:val="4"/>
        <w:ind w:firstLine="220"/>
        <w:rPr>
          <w:rFonts w:hint="eastAsia" w:ascii="宋体" w:hAnsi="宋体" w:cs="宋体"/>
          <w:sz w:val="22"/>
          <w:szCs w:val="22"/>
          <w:highlight w:val="none"/>
        </w:rPr>
        <w:sectPr>
          <w:footerReference r:id="rId7" w:type="default"/>
          <w:pgSz w:w="11906" w:h="16838"/>
          <w:pgMar w:top="1440" w:right="1440" w:bottom="1440" w:left="1440" w:header="851" w:footer="992" w:gutter="0"/>
          <w:cols w:space="425" w:num="1"/>
          <w:docGrid w:type="lines" w:linePitch="312" w:charSpace="0"/>
        </w:sectPr>
      </w:pPr>
    </w:p>
    <w:p w14:paraId="0821C4B9">
      <w:pPr>
        <w:pStyle w:val="3"/>
        <w:keepNext w:val="0"/>
        <w:keepLines w:val="0"/>
        <w:snapToGrid/>
        <w:spacing w:line="360" w:lineRule="auto"/>
        <w:jc w:val="both"/>
        <w:rPr>
          <w:rFonts w:hint="eastAsia" w:ascii="宋体" w:hAnsi="宋体" w:eastAsia="宋体" w:cs="宋体"/>
          <w:color w:val="auto"/>
          <w:sz w:val="24"/>
          <w:szCs w:val="24"/>
          <w:highlight w:val="none"/>
        </w:rPr>
      </w:pPr>
      <w:bookmarkStart w:id="150" w:name="_Toc122981408"/>
      <w:r>
        <w:rPr>
          <w:rFonts w:hint="eastAsia" w:ascii="宋体" w:hAnsi="宋体" w:eastAsia="宋体" w:cs="宋体"/>
          <w:color w:val="auto"/>
          <w:sz w:val="24"/>
          <w:szCs w:val="24"/>
          <w:highlight w:val="none"/>
        </w:rPr>
        <w:t>三、投标文件编制要求</w:t>
      </w:r>
      <w:bookmarkEnd w:id="150"/>
    </w:p>
    <w:p w14:paraId="7719D038">
      <w:pPr>
        <w:pStyle w:val="6"/>
        <w:keepNext w:val="0"/>
        <w:keepLines w:val="0"/>
        <w:snapToGrid/>
        <w:spacing w:before="120" w:beforeLines="50" w:after="0"/>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1.投标文件的编制要求</w:t>
      </w:r>
    </w:p>
    <w:p w14:paraId="72E22E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w:t>
      </w:r>
    </w:p>
    <w:p w14:paraId="61271650">
      <w:pPr>
        <w:pStyle w:val="3"/>
        <w:keepNext w:val="0"/>
        <w:keepLines w:val="0"/>
        <w:snapToGrid/>
        <w:spacing w:line="360" w:lineRule="auto"/>
        <w:jc w:val="both"/>
        <w:rPr>
          <w:rFonts w:hint="eastAsia" w:ascii="宋体" w:hAnsi="宋体" w:eastAsia="宋体" w:cs="宋体"/>
          <w:color w:val="auto"/>
          <w:sz w:val="24"/>
          <w:szCs w:val="24"/>
          <w:highlight w:val="none"/>
        </w:rPr>
      </w:pPr>
      <w:bookmarkStart w:id="151" w:name="_Toc122981409"/>
      <w:r>
        <w:rPr>
          <w:rFonts w:hint="eastAsia" w:ascii="宋体" w:hAnsi="宋体" w:eastAsia="宋体" w:cs="宋体"/>
          <w:color w:val="auto"/>
          <w:sz w:val="24"/>
          <w:szCs w:val="24"/>
          <w:highlight w:val="none"/>
        </w:rPr>
        <w:t>四、预算编制</w:t>
      </w:r>
      <w:bookmarkEnd w:id="151"/>
    </w:p>
    <w:p w14:paraId="36A446D3">
      <w:pPr>
        <w:pStyle w:val="6"/>
        <w:keepNext w:val="0"/>
        <w:keepLines w:val="0"/>
        <w:snapToGrid/>
        <w:spacing w:before="120" w:beforeLines="50" w:after="0"/>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1.总则</w:t>
      </w:r>
    </w:p>
    <w:p w14:paraId="517156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施工图预算应控制在已批准的设计总概算投资范围以内。</w:t>
      </w:r>
    </w:p>
    <w:p w14:paraId="5C8C1C76">
      <w:pPr>
        <w:pStyle w:val="6"/>
        <w:keepNext w:val="0"/>
        <w:keepLines w:val="0"/>
        <w:snapToGrid/>
        <w:spacing w:before="120" w:beforeLines="50" w:after="0"/>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1.1预算文件组成</w:t>
      </w:r>
    </w:p>
    <w:p w14:paraId="29D735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1.1.1预算文件由封面、扉页（签署页）、目录、编制说明和总预算表、单项工程综合概（预）算表及单位工程预算书等组成。</w:t>
      </w:r>
    </w:p>
    <w:p w14:paraId="6D83AC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封面、扉页及目录封面内容包括：建设项目名称、设计阶段、篇册分册名称、编制单位及日期。扉页内容包括：建设项目名称、各级相关人员签名及其印章（含执业专用章）、编制单位及其印章、日期。目录按预算表格的顺序编排。</w:t>
      </w:r>
    </w:p>
    <w:p w14:paraId="52496F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1.1.3编制说明概预算文件编制完成后，应写出编制说明，文字力求简明扼要。应叙述的内容有：</w:t>
      </w:r>
    </w:p>
    <w:p w14:paraId="70FEDA8D">
      <w:pPr>
        <w:numPr>
          <w:ilvl w:val="0"/>
          <w:numId w:val="3"/>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工程概况：主要包括工程基本情况、编制范围、概(预)算单元划分及编制单位、主要工程内容及施工工法、结构形式、建筑面积、特殊工艺说明等内容。</w:t>
      </w:r>
    </w:p>
    <w:p w14:paraId="14A02280">
      <w:pPr>
        <w:numPr>
          <w:ilvl w:val="0"/>
          <w:numId w:val="3"/>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编制依据及取费标准：按合同约定。</w:t>
      </w:r>
    </w:p>
    <w:p w14:paraId="1F7F2C64">
      <w:pPr>
        <w:numPr>
          <w:ilvl w:val="0"/>
          <w:numId w:val="3"/>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预算成果：按合同约定。</w:t>
      </w:r>
    </w:p>
    <w:p w14:paraId="016C50C7">
      <w:pPr>
        <w:numPr>
          <w:ilvl w:val="0"/>
          <w:numId w:val="3"/>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其它说明（如有）：①、与概预算有关的委托书、协议书、会议纪要主要内容；②、编制中存在的问题；③、其它与概预算有关但不能在表格里反映的事项和其它需要说明的内容。</w:t>
      </w:r>
    </w:p>
    <w:p w14:paraId="659C7784">
      <w:pPr>
        <w:pStyle w:val="6"/>
        <w:keepNext w:val="0"/>
        <w:keepLines w:val="0"/>
        <w:snapToGrid/>
        <w:spacing w:before="120" w:beforeLines="50" w:after="0"/>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1.2概预算表格统一，内容包括：</w:t>
      </w:r>
    </w:p>
    <w:p w14:paraId="3E136A8B">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总概（预）算表</w:t>
      </w:r>
    </w:p>
    <w:p w14:paraId="48115FEE">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其他费用计算表</w:t>
      </w:r>
    </w:p>
    <w:p w14:paraId="334B92BA">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综合概（预）算表</w:t>
      </w:r>
    </w:p>
    <w:p w14:paraId="55F3022F">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单位工程费用汇总表</w:t>
      </w:r>
    </w:p>
    <w:p w14:paraId="322C89CA">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分部分项工程和单价措施项目清单与计价表</w:t>
      </w:r>
    </w:p>
    <w:p w14:paraId="12AEFD57">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综合单价计算表</w:t>
      </w:r>
    </w:p>
    <w:p w14:paraId="7F947E47">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总价措施项目清单与计价表</w:t>
      </w:r>
    </w:p>
    <w:p w14:paraId="49479C8F">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其他项目清单与计价汇总表</w:t>
      </w:r>
    </w:p>
    <w:p w14:paraId="5EA0259D">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规费、税金项目清单与计价表</w:t>
      </w:r>
    </w:p>
    <w:p w14:paraId="189AB38F">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单位工程人材机汇总表</w:t>
      </w:r>
    </w:p>
    <w:p w14:paraId="2BCA640F">
      <w:pPr>
        <w:numPr>
          <w:ilvl w:val="0"/>
          <w:numId w:val="4"/>
        </w:numPr>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单位工程主材设备汇总表(机电工程)。</w:t>
      </w:r>
    </w:p>
    <w:p w14:paraId="2A4ABB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根据工程建设概预算管理的需要可以增加的其它必要的表格。</w:t>
      </w:r>
    </w:p>
    <w:p w14:paraId="1923C17B">
      <w:pPr>
        <w:pStyle w:val="6"/>
        <w:keepNext w:val="0"/>
        <w:keepLines w:val="0"/>
        <w:snapToGrid/>
        <w:spacing w:before="120" w:beforeLines="50" w:after="0"/>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1.3 限额设计</w:t>
      </w:r>
    </w:p>
    <w:p w14:paraId="5143D8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1.3.1限额设计是投资控制的有效手段，应将节约投资和科学设计有机结合，既保证工程质量又有效控制工程造价。</w:t>
      </w:r>
    </w:p>
    <w:p w14:paraId="798D79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1.3.2本项目采用造价限额设计：具体造价限额待概算审定后，以批复金额及合同约定为准。</w:t>
      </w:r>
    </w:p>
    <w:p w14:paraId="69B53B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1.3.3应在限额设计范围内，要求依据建设和技术资料合理选择、运用技术经济多方案比选等技术手段，科学分析、系统考虑，不断优化设计方案，确保工程质量，严格控制成本造价，降低项目总投资。</w:t>
      </w:r>
    </w:p>
    <w:p w14:paraId="7CCC1994">
      <w:pPr>
        <w:pStyle w:val="3"/>
        <w:keepNext w:val="0"/>
        <w:keepLines w:val="0"/>
        <w:snapToGrid/>
        <w:spacing w:line="360" w:lineRule="auto"/>
        <w:jc w:val="both"/>
        <w:rPr>
          <w:rFonts w:hint="eastAsia" w:ascii="宋体" w:hAnsi="宋体" w:eastAsia="宋体" w:cs="宋体"/>
          <w:color w:val="auto"/>
          <w:sz w:val="24"/>
          <w:szCs w:val="24"/>
          <w:highlight w:val="none"/>
        </w:rPr>
      </w:pPr>
    </w:p>
    <w:p w14:paraId="5BC0C26F">
      <w:pPr>
        <w:widowControl/>
        <w:snapToGrid/>
        <w:spacing w:before="0" w:after="0" w:line="24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p>
    <w:p w14:paraId="79FAAA2B">
      <w:pPr>
        <w:pStyle w:val="3"/>
        <w:keepNext w:val="0"/>
        <w:keepLines w:val="0"/>
        <w:snapToGrid/>
        <w:spacing w:line="360" w:lineRule="auto"/>
        <w:jc w:val="both"/>
        <w:rPr>
          <w:rFonts w:hint="eastAsia" w:ascii="宋体" w:hAnsi="宋体" w:eastAsia="宋体" w:cs="宋体"/>
          <w:color w:val="auto"/>
          <w:sz w:val="24"/>
          <w:szCs w:val="24"/>
          <w:highlight w:val="none"/>
        </w:rPr>
      </w:pPr>
      <w:bookmarkStart w:id="152" w:name="_Toc122981410"/>
      <w:r>
        <w:rPr>
          <w:rFonts w:hint="eastAsia" w:ascii="宋体" w:hAnsi="宋体" w:eastAsia="宋体" w:cs="宋体"/>
          <w:color w:val="auto"/>
          <w:sz w:val="24"/>
          <w:szCs w:val="24"/>
          <w:highlight w:val="none"/>
        </w:rPr>
        <w:t>五、设计成果提交要求</w:t>
      </w:r>
      <w:bookmarkEnd w:id="152"/>
    </w:p>
    <w:p w14:paraId="6C7C2F50">
      <w:pPr>
        <w:widowControl/>
        <w:adjustRightInd w:val="0"/>
        <w:spacing w:before="0" w:after="0" w:line="360" w:lineRule="auto"/>
        <w:ind w:firstLine="480" w:firstLineChars="200"/>
        <w:jc w:val="both"/>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承包人提交的设计成果文件应满足合同约定的时间要求；相关设计成果文件的质量须一次性通过甲方或甲方委托的第三方根据合同约定标准进行的审核。承包人设计成果文件的提交时间以符合合同约定质量的设计成果文件的提交时间为准。设计成果文件提交的时间及套数如下：</w:t>
      </w:r>
    </w:p>
    <w:p w14:paraId="669B0429">
      <w:pPr>
        <w:ind w:firstLine="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设计成果提交时间表</w:t>
      </w:r>
    </w:p>
    <w:tbl>
      <w:tblPr>
        <w:tblStyle w:val="41"/>
        <w:tblW w:w="8429" w:type="dxa"/>
        <w:tblInd w:w="91" w:type="dxa"/>
        <w:tblLayout w:type="fixed"/>
        <w:tblCellMar>
          <w:top w:w="0" w:type="dxa"/>
          <w:left w:w="108" w:type="dxa"/>
          <w:bottom w:w="0" w:type="dxa"/>
          <w:right w:w="108" w:type="dxa"/>
        </w:tblCellMar>
      </w:tblPr>
      <w:tblGrid>
        <w:gridCol w:w="735"/>
        <w:gridCol w:w="2447"/>
        <w:gridCol w:w="1110"/>
        <w:gridCol w:w="1483"/>
        <w:gridCol w:w="900"/>
        <w:gridCol w:w="1754"/>
      </w:tblGrid>
      <w:tr w14:paraId="604ED05D">
        <w:tblPrEx>
          <w:tblCellMar>
            <w:top w:w="0" w:type="dxa"/>
            <w:left w:w="108" w:type="dxa"/>
            <w:bottom w:w="0" w:type="dxa"/>
            <w:right w:w="108" w:type="dxa"/>
          </w:tblCellMar>
        </w:tblPrEx>
        <w:trPr>
          <w:trHeight w:val="23" w:hRule="atLeast"/>
        </w:trPr>
        <w:tc>
          <w:tcPr>
            <w:tcW w:w="735" w:type="dxa"/>
            <w:tcBorders>
              <w:top w:val="single" w:color="auto" w:sz="4" w:space="0"/>
              <w:left w:val="single" w:color="auto" w:sz="4" w:space="0"/>
              <w:bottom w:val="single" w:color="auto" w:sz="4" w:space="0"/>
              <w:right w:val="single" w:color="auto" w:sz="4" w:space="0"/>
            </w:tcBorders>
            <w:vAlign w:val="center"/>
          </w:tcPr>
          <w:p w14:paraId="48CF77E4">
            <w:pPr>
              <w:widowControl/>
              <w:adjustRightInd w:val="0"/>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序号</w:t>
            </w:r>
          </w:p>
        </w:tc>
        <w:tc>
          <w:tcPr>
            <w:tcW w:w="3557" w:type="dxa"/>
            <w:gridSpan w:val="2"/>
            <w:tcBorders>
              <w:top w:val="single" w:color="auto" w:sz="4" w:space="0"/>
              <w:left w:val="nil"/>
              <w:bottom w:val="single" w:color="auto" w:sz="4" w:space="0"/>
              <w:right w:val="single" w:color="auto" w:sz="4" w:space="0"/>
            </w:tcBorders>
            <w:vAlign w:val="center"/>
          </w:tcPr>
          <w:p w14:paraId="67605DE3">
            <w:pPr>
              <w:widowControl/>
              <w:adjustRightInd w:val="0"/>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资料及文件名称</w:t>
            </w:r>
          </w:p>
        </w:tc>
        <w:tc>
          <w:tcPr>
            <w:tcW w:w="1483" w:type="dxa"/>
            <w:tcBorders>
              <w:top w:val="single" w:color="auto" w:sz="4" w:space="0"/>
              <w:left w:val="nil"/>
              <w:bottom w:val="single" w:color="auto" w:sz="4" w:space="0"/>
              <w:right w:val="single" w:color="auto" w:sz="4" w:space="0"/>
            </w:tcBorders>
            <w:vAlign w:val="center"/>
          </w:tcPr>
          <w:p w14:paraId="4279C7FE">
            <w:pPr>
              <w:widowControl/>
              <w:adjustRightInd w:val="0"/>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提交日期</w:t>
            </w:r>
          </w:p>
        </w:tc>
        <w:tc>
          <w:tcPr>
            <w:tcW w:w="900" w:type="dxa"/>
            <w:tcBorders>
              <w:top w:val="single" w:color="auto" w:sz="4" w:space="0"/>
              <w:left w:val="nil"/>
              <w:bottom w:val="single" w:color="auto" w:sz="4" w:space="0"/>
              <w:right w:val="single" w:color="auto" w:sz="4" w:space="0"/>
            </w:tcBorders>
            <w:vAlign w:val="center"/>
          </w:tcPr>
          <w:p w14:paraId="4BB53DB7">
            <w:pPr>
              <w:widowControl/>
              <w:adjustRightInd w:val="0"/>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套数</w:t>
            </w:r>
          </w:p>
        </w:tc>
        <w:tc>
          <w:tcPr>
            <w:tcW w:w="1754" w:type="dxa"/>
            <w:tcBorders>
              <w:top w:val="single" w:color="auto" w:sz="4" w:space="0"/>
              <w:left w:val="nil"/>
              <w:bottom w:val="single" w:color="auto" w:sz="4" w:space="0"/>
              <w:right w:val="single" w:color="auto" w:sz="4" w:space="0"/>
            </w:tcBorders>
            <w:vAlign w:val="center"/>
          </w:tcPr>
          <w:p w14:paraId="4792444C">
            <w:pPr>
              <w:widowControl/>
              <w:adjustRightInd w:val="0"/>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备注</w:t>
            </w:r>
          </w:p>
        </w:tc>
      </w:tr>
      <w:tr w14:paraId="3A8CDE9C">
        <w:tblPrEx>
          <w:tblCellMar>
            <w:top w:w="0" w:type="dxa"/>
            <w:left w:w="108" w:type="dxa"/>
            <w:bottom w:w="0" w:type="dxa"/>
            <w:right w:w="108" w:type="dxa"/>
          </w:tblCellMar>
        </w:tblPrEx>
        <w:trPr>
          <w:trHeight w:val="23"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14:paraId="04214E1B">
            <w:pPr>
              <w:widowControl/>
              <w:adjustRightInd w:val="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p>
        </w:tc>
        <w:tc>
          <w:tcPr>
            <w:tcW w:w="2447" w:type="dxa"/>
            <w:vMerge w:val="restart"/>
            <w:tcBorders>
              <w:top w:val="single" w:color="auto" w:sz="4" w:space="0"/>
              <w:left w:val="single" w:color="auto" w:sz="4" w:space="0"/>
              <w:bottom w:val="single" w:color="auto" w:sz="4" w:space="0"/>
              <w:right w:val="single" w:color="auto" w:sz="4" w:space="0"/>
            </w:tcBorders>
            <w:vAlign w:val="center"/>
          </w:tcPr>
          <w:p w14:paraId="47307783">
            <w:pPr>
              <w:widowControl/>
              <w:adjustRightInd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施工图（经供电局审核审批通过的，包括主要材料设备清单、技术规范要求等文件）</w:t>
            </w:r>
          </w:p>
        </w:tc>
        <w:tc>
          <w:tcPr>
            <w:tcW w:w="1110" w:type="dxa"/>
            <w:tcBorders>
              <w:top w:val="single" w:color="auto" w:sz="4" w:space="0"/>
              <w:left w:val="single" w:color="auto" w:sz="4" w:space="0"/>
              <w:bottom w:val="single" w:color="auto" w:sz="4" w:space="0"/>
              <w:right w:val="single" w:color="auto" w:sz="4" w:space="0"/>
            </w:tcBorders>
            <w:vAlign w:val="center"/>
          </w:tcPr>
          <w:p w14:paraId="1CA5EEEB">
            <w:pPr>
              <w:widowControl/>
              <w:adjustRightInd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用电报装的成果文件</w:t>
            </w:r>
          </w:p>
        </w:tc>
        <w:tc>
          <w:tcPr>
            <w:tcW w:w="1483" w:type="dxa"/>
            <w:vMerge w:val="restart"/>
            <w:tcBorders>
              <w:top w:val="single" w:color="auto" w:sz="4" w:space="0"/>
              <w:left w:val="single" w:color="auto" w:sz="4" w:space="0"/>
              <w:bottom w:val="single" w:color="auto" w:sz="4" w:space="0"/>
              <w:right w:val="single" w:color="auto" w:sz="4" w:space="0"/>
            </w:tcBorders>
            <w:vAlign w:val="center"/>
          </w:tcPr>
          <w:p w14:paraId="6F5C66E4">
            <w:pPr>
              <w:adjustRightInd w:val="0"/>
              <w:rPr>
                <w:rFonts w:hint="eastAsia" w:ascii="宋体" w:hAnsi="宋体" w:eastAsia="宋体" w:cs="宋体"/>
                <w:snapToGrid w:val="0"/>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F13225E">
            <w:pPr>
              <w:adjustRightInd w:val="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p>
        </w:tc>
        <w:tc>
          <w:tcPr>
            <w:tcW w:w="1754" w:type="dxa"/>
            <w:tcBorders>
              <w:top w:val="single" w:color="auto" w:sz="4" w:space="0"/>
              <w:left w:val="single" w:color="auto" w:sz="4" w:space="0"/>
              <w:bottom w:val="single" w:color="auto" w:sz="4" w:space="0"/>
              <w:right w:val="single" w:color="auto" w:sz="4" w:space="0"/>
            </w:tcBorders>
            <w:vAlign w:val="center"/>
          </w:tcPr>
          <w:p w14:paraId="3F2CD985">
            <w:pPr>
              <w:adjustRightInd w:val="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电子文档光盘2套（</w:t>
            </w:r>
            <w:r>
              <w:rPr>
                <w:rFonts w:hint="eastAsia" w:ascii="宋体" w:hAnsi="宋体" w:eastAsia="宋体"/>
                <w:color w:val="auto"/>
                <w:highlight w:val="none"/>
              </w:rPr>
              <w:t>含电子CAD、PDF文件等</w:t>
            </w:r>
            <w:r>
              <w:rPr>
                <w:rFonts w:hint="eastAsia" w:ascii="宋体" w:hAnsi="宋体" w:eastAsia="宋体" w:cs="宋体"/>
                <w:color w:val="auto"/>
                <w:sz w:val="24"/>
                <w:szCs w:val="24"/>
                <w:highlight w:val="none"/>
              </w:rPr>
              <w:t>）</w:t>
            </w:r>
          </w:p>
        </w:tc>
      </w:tr>
      <w:tr w14:paraId="253ECB23">
        <w:tblPrEx>
          <w:tblCellMar>
            <w:top w:w="0" w:type="dxa"/>
            <w:left w:w="108" w:type="dxa"/>
            <w:bottom w:w="0" w:type="dxa"/>
            <w:right w:w="108" w:type="dxa"/>
          </w:tblCellMar>
        </w:tblPrEx>
        <w:trPr>
          <w:trHeight w:val="23"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68EC4CEE">
            <w:pPr>
              <w:widowControl/>
              <w:adjustRightInd w:val="0"/>
              <w:jc w:val="center"/>
              <w:rPr>
                <w:rFonts w:hint="eastAsia" w:ascii="宋体" w:hAnsi="宋体" w:eastAsia="宋体" w:cs="宋体"/>
                <w:snapToGrid w:val="0"/>
                <w:color w:val="auto"/>
                <w:sz w:val="24"/>
                <w:szCs w:val="24"/>
                <w:highlight w:val="none"/>
              </w:rPr>
            </w:pPr>
          </w:p>
        </w:tc>
        <w:tc>
          <w:tcPr>
            <w:tcW w:w="2447" w:type="dxa"/>
            <w:vMerge w:val="continue"/>
            <w:tcBorders>
              <w:top w:val="single" w:color="auto" w:sz="4" w:space="0"/>
              <w:left w:val="single" w:color="auto" w:sz="4" w:space="0"/>
              <w:bottom w:val="single" w:color="auto" w:sz="4" w:space="0"/>
              <w:right w:val="single" w:color="auto" w:sz="4" w:space="0"/>
            </w:tcBorders>
            <w:vAlign w:val="center"/>
          </w:tcPr>
          <w:p w14:paraId="355D939B">
            <w:pPr>
              <w:widowControl/>
              <w:adjustRightInd w:val="0"/>
              <w:rPr>
                <w:rFonts w:hint="eastAsia" w:ascii="宋体" w:hAnsi="宋体" w:eastAsia="宋体" w:cs="宋体"/>
                <w:snapToGrid w:val="0"/>
                <w:color w:val="auto"/>
                <w:sz w:val="24"/>
                <w:szCs w:val="24"/>
                <w:highlight w:val="none"/>
              </w:rPr>
            </w:pPr>
          </w:p>
        </w:tc>
        <w:tc>
          <w:tcPr>
            <w:tcW w:w="1110" w:type="dxa"/>
            <w:tcBorders>
              <w:top w:val="single" w:color="auto" w:sz="4" w:space="0"/>
              <w:left w:val="nil"/>
              <w:bottom w:val="single" w:color="auto" w:sz="4" w:space="0"/>
              <w:right w:val="single" w:color="auto" w:sz="4" w:space="0"/>
            </w:tcBorders>
            <w:vAlign w:val="center"/>
          </w:tcPr>
          <w:p w14:paraId="58120CF0">
            <w:pPr>
              <w:adjustRightInd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施工图</w:t>
            </w:r>
          </w:p>
        </w:tc>
        <w:tc>
          <w:tcPr>
            <w:tcW w:w="1483" w:type="dxa"/>
            <w:vMerge w:val="continue"/>
            <w:tcBorders>
              <w:top w:val="single" w:color="auto" w:sz="4" w:space="0"/>
              <w:left w:val="single" w:color="auto" w:sz="4" w:space="0"/>
              <w:bottom w:val="single" w:color="auto" w:sz="4" w:space="0"/>
              <w:right w:val="single" w:color="auto" w:sz="4" w:space="0"/>
            </w:tcBorders>
            <w:vAlign w:val="center"/>
          </w:tcPr>
          <w:p w14:paraId="0A5E688C">
            <w:pPr>
              <w:adjustRightInd w:val="0"/>
              <w:rPr>
                <w:rFonts w:hint="eastAsia" w:ascii="宋体" w:hAnsi="宋体" w:eastAsia="宋体" w:cs="宋体"/>
                <w:snapToGrid w:val="0"/>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B6D6555">
            <w:pPr>
              <w:adjustRightInd w:val="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15</w:t>
            </w:r>
          </w:p>
        </w:tc>
        <w:tc>
          <w:tcPr>
            <w:tcW w:w="1754" w:type="dxa"/>
            <w:tcBorders>
              <w:top w:val="single" w:color="auto" w:sz="4" w:space="0"/>
              <w:left w:val="single" w:color="auto" w:sz="4" w:space="0"/>
              <w:bottom w:val="single" w:color="auto" w:sz="4" w:space="0"/>
              <w:right w:val="single" w:color="auto" w:sz="4" w:space="0"/>
            </w:tcBorders>
            <w:vAlign w:val="center"/>
          </w:tcPr>
          <w:p w14:paraId="51E699A9">
            <w:pPr>
              <w:adjustRightInd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提交</w:t>
            </w:r>
            <w:r>
              <w:rPr>
                <w:rFonts w:hint="eastAsia" w:ascii="宋体" w:hAnsi="宋体" w:eastAsia="宋体" w:cs="宋体"/>
                <w:color w:val="auto"/>
                <w:sz w:val="24"/>
                <w:szCs w:val="24"/>
                <w:highlight w:val="none"/>
              </w:rPr>
              <w:t>电子文档光盘2套（</w:t>
            </w:r>
            <w:r>
              <w:rPr>
                <w:rFonts w:hint="eastAsia" w:ascii="宋体" w:hAnsi="宋体" w:eastAsia="宋体"/>
                <w:color w:val="auto"/>
                <w:highlight w:val="none"/>
              </w:rPr>
              <w:t>含电子CAD、PDF文件等</w:t>
            </w:r>
            <w:r>
              <w:rPr>
                <w:rFonts w:hint="eastAsia" w:ascii="宋体" w:hAnsi="宋体" w:eastAsia="宋体" w:cs="宋体"/>
                <w:color w:val="auto"/>
                <w:sz w:val="24"/>
                <w:szCs w:val="24"/>
                <w:highlight w:val="none"/>
              </w:rPr>
              <w:t>）</w:t>
            </w:r>
          </w:p>
        </w:tc>
      </w:tr>
      <w:tr w14:paraId="25640061">
        <w:tblPrEx>
          <w:tblCellMar>
            <w:top w:w="0" w:type="dxa"/>
            <w:left w:w="108" w:type="dxa"/>
            <w:bottom w:w="0" w:type="dxa"/>
            <w:right w:w="108" w:type="dxa"/>
          </w:tblCellMar>
        </w:tblPrEx>
        <w:trPr>
          <w:trHeight w:val="23" w:hRule="atLeast"/>
        </w:trPr>
        <w:tc>
          <w:tcPr>
            <w:tcW w:w="735" w:type="dxa"/>
            <w:tcBorders>
              <w:top w:val="single" w:color="auto" w:sz="4" w:space="0"/>
              <w:left w:val="single" w:color="auto" w:sz="4" w:space="0"/>
              <w:bottom w:val="single" w:color="auto" w:sz="4" w:space="0"/>
              <w:right w:val="single" w:color="auto" w:sz="4" w:space="0"/>
            </w:tcBorders>
            <w:vAlign w:val="center"/>
          </w:tcPr>
          <w:p w14:paraId="7F196C56">
            <w:pPr>
              <w:widowControl/>
              <w:adjustRightInd w:val="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w:t>
            </w:r>
          </w:p>
        </w:tc>
        <w:tc>
          <w:tcPr>
            <w:tcW w:w="3557" w:type="dxa"/>
            <w:gridSpan w:val="2"/>
            <w:tcBorders>
              <w:top w:val="single" w:color="auto" w:sz="4" w:space="0"/>
              <w:left w:val="single" w:color="auto" w:sz="4" w:space="0"/>
              <w:bottom w:val="single" w:color="auto" w:sz="4" w:space="0"/>
              <w:right w:val="single" w:color="auto" w:sz="4" w:space="0"/>
            </w:tcBorders>
            <w:vAlign w:val="center"/>
          </w:tcPr>
          <w:p w14:paraId="07D0E711">
            <w:pPr>
              <w:widowControl/>
              <w:adjustRightInd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施工图预算</w:t>
            </w:r>
          </w:p>
        </w:tc>
        <w:tc>
          <w:tcPr>
            <w:tcW w:w="1483" w:type="dxa"/>
            <w:vMerge w:val="continue"/>
            <w:tcBorders>
              <w:top w:val="single" w:color="auto" w:sz="4" w:space="0"/>
              <w:left w:val="single" w:color="auto" w:sz="4" w:space="0"/>
              <w:bottom w:val="single" w:color="auto" w:sz="4" w:space="0"/>
              <w:right w:val="single" w:color="auto" w:sz="4" w:space="0"/>
            </w:tcBorders>
            <w:vAlign w:val="center"/>
          </w:tcPr>
          <w:p w14:paraId="49A126AD">
            <w:pPr>
              <w:adjustRightInd w:val="0"/>
              <w:rPr>
                <w:rFonts w:hint="eastAsia" w:ascii="宋体" w:hAnsi="宋体" w:eastAsia="宋体" w:cs="宋体"/>
                <w:snapToGrid w:val="0"/>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9229457">
            <w:pPr>
              <w:adjustRightInd w:val="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10</w:t>
            </w:r>
          </w:p>
        </w:tc>
        <w:tc>
          <w:tcPr>
            <w:tcW w:w="1754" w:type="dxa"/>
            <w:tcBorders>
              <w:top w:val="single" w:color="auto" w:sz="4" w:space="0"/>
              <w:left w:val="single" w:color="auto" w:sz="4" w:space="0"/>
              <w:bottom w:val="single" w:color="auto" w:sz="4" w:space="0"/>
              <w:right w:val="single" w:color="auto" w:sz="4" w:space="0"/>
            </w:tcBorders>
            <w:vAlign w:val="center"/>
          </w:tcPr>
          <w:p w14:paraId="230D3626">
            <w:pPr>
              <w:adjustRightInd w:val="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电子文档2套</w:t>
            </w:r>
          </w:p>
        </w:tc>
      </w:tr>
      <w:tr w14:paraId="3DEECFC8">
        <w:tblPrEx>
          <w:tblCellMar>
            <w:top w:w="0" w:type="dxa"/>
            <w:left w:w="108" w:type="dxa"/>
            <w:bottom w:w="0" w:type="dxa"/>
            <w:right w:w="108" w:type="dxa"/>
          </w:tblCellMar>
        </w:tblPrEx>
        <w:trPr>
          <w:trHeight w:val="23" w:hRule="atLeast"/>
        </w:trPr>
        <w:tc>
          <w:tcPr>
            <w:tcW w:w="735" w:type="dxa"/>
            <w:tcBorders>
              <w:top w:val="single" w:color="auto" w:sz="4" w:space="0"/>
              <w:left w:val="single" w:color="auto" w:sz="4" w:space="0"/>
              <w:bottom w:val="single" w:color="auto" w:sz="4" w:space="0"/>
              <w:right w:val="single" w:color="auto" w:sz="4" w:space="0"/>
            </w:tcBorders>
            <w:vAlign w:val="center"/>
          </w:tcPr>
          <w:p w14:paraId="006213E1">
            <w:pPr>
              <w:widowControl/>
              <w:adjustRightInd w:val="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p>
        </w:tc>
        <w:tc>
          <w:tcPr>
            <w:tcW w:w="3557" w:type="dxa"/>
            <w:gridSpan w:val="2"/>
            <w:tcBorders>
              <w:top w:val="single" w:color="auto" w:sz="4" w:space="0"/>
              <w:left w:val="single" w:color="auto" w:sz="4" w:space="0"/>
              <w:bottom w:val="single" w:color="auto" w:sz="4" w:space="0"/>
              <w:right w:val="single" w:color="auto" w:sz="4" w:space="0"/>
            </w:tcBorders>
            <w:vAlign w:val="center"/>
          </w:tcPr>
          <w:p w14:paraId="59DEF378">
            <w:pPr>
              <w:widowControl/>
              <w:adjustRightInd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竣工图</w:t>
            </w:r>
          </w:p>
        </w:tc>
        <w:tc>
          <w:tcPr>
            <w:tcW w:w="1483" w:type="dxa"/>
            <w:vMerge w:val="continue"/>
            <w:tcBorders>
              <w:top w:val="single" w:color="auto" w:sz="4" w:space="0"/>
              <w:left w:val="single" w:color="auto" w:sz="4" w:space="0"/>
              <w:bottom w:val="single" w:color="auto" w:sz="4" w:space="0"/>
              <w:right w:val="single" w:color="auto" w:sz="4" w:space="0"/>
            </w:tcBorders>
            <w:vAlign w:val="center"/>
          </w:tcPr>
          <w:p w14:paraId="22F6F2A5">
            <w:pPr>
              <w:adjustRightInd w:val="0"/>
              <w:rPr>
                <w:rFonts w:hint="eastAsia" w:ascii="宋体" w:hAnsi="宋体" w:eastAsia="宋体" w:cs="宋体"/>
                <w:snapToGrid w:val="0"/>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6CEB7A8">
            <w:pPr>
              <w:adjustRightInd w:val="0"/>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8</w:t>
            </w:r>
          </w:p>
        </w:tc>
        <w:tc>
          <w:tcPr>
            <w:tcW w:w="1754" w:type="dxa"/>
            <w:tcBorders>
              <w:top w:val="single" w:color="auto" w:sz="4" w:space="0"/>
              <w:left w:val="single" w:color="auto" w:sz="4" w:space="0"/>
              <w:bottom w:val="single" w:color="auto" w:sz="4" w:space="0"/>
              <w:right w:val="single" w:color="auto" w:sz="4" w:space="0"/>
            </w:tcBorders>
            <w:vAlign w:val="center"/>
          </w:tcPr>
          <w:p w14:paraId="7CBAD51A">
            <w:pPr>
              <w:adjustRightInd w:val="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电子文档2套（</w:t>
            </w:r>
            <w:r>
              <w:rPr>
                <w:rFonts w:hint="eastAsia" w:ascii="宋体" w:hAnsi="宋体" w:eastAsia="宋体"/>
                <w:color w:val="auto"/>
                <w:highlight w:val="none"/>
              </w:rPr>
              <w:t>含电子CAD、PDF文件等</w:t>
            </w:r>
            <w:r>
              <w:rPr>
                <w:rFonts w:hint="eastAsia" w:ascii="宋体" w:hAnsi="宋体" w:eastAsia="宋体" w:cs="宋体"/>
                <w:color w:val="auto"/>
                <w:sz w:val="24"/>
                <w:szCs w:val="24"/>
                <w:highlight w:val="none"/>
              </w:rPr>
              <w:t>）</w:t>
            </w:r>
          </w:p>
        </w:tc>
      </w:tr>
      <w:tr w14:paraId="720D392E">
        <w:tblPrEx>
          <w:tblCellMar>
            <w:top w:w="0" w:type="dxa"/>
            <w:left w:w="108" w:type="dxa"/>
            <w:bottom w:w="0" w:type="dxa"/>
            <w:right w:w="108" w:type="dxa"/>
          </w:tblCellMar>
        </w:tblPrEx>
        <w:trPr>
          <w:trHeight w:val="23" w:hRule="atLeast"/>
        </w:trPr>
        <w:tc>
          <w:tcPr>
            <w:tcW w:w="735" w:type="dxa"/>
            <w:tcBorders>
              <w:top w:val="single" w:color="auto" w:sz="4" w:space="0"/>
              <w:left w:val="single" w:color="auto" w:sz="4" w:space="0"/>
              <w:bottom w:val="single" w:color="auto" w:sz="4" w:space="0"/>
              <w:right w:val="single" w:color="auto" w:sz="4" w:space="0"/>
            </w:tcBorders>
            <w:vAlign w:val="center"/>
          </w:tcPr>
          <w:p w14:paraId="6E512C34">
            <w:pPr>
              <w:widowControl/>
              <w:adjustRightInd w:val="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p>
        </w:tc>
        <w:tc>
          <w:tcPr>
            <w:tcW w:w="3557" w:type="dxa"/>
            <w:gridSpan w:val="2"/>
            <w:tcBorders>
              <w:top w:val="single" w:color="auto" w:sz="4" w:space="0"/>
              <w:left w:val="nil"/>
              <w:bottom w:val="single" w:color="auto" w:sz="4" w:space="0"/>
              <w:right w:val="single" w:color="auto" w:sz="4" w:space="0"/>
            </w:tcBorders>
            <w:vAlign w:val="center"/>
          </w:tcPr>
          <w:p w14:paraId="72A16E4F">
            <w:pPr>
              <w:widowControl/>
              <w:adjustRightInd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其他设计文件</w:t>
            </w:r>
          </w:p>
        </w:tc>
        <w:tc>
          <w:tcPr>
            <w:tcW w:w="1483" w:type="dxa"/>
            <w:vMerge w:val="continue"/>
            <w:tcBorders>
              <w:top w:val="single" w:color="auto" w:sz="4" w:space="0"/>
              <w:left w:val="nil"/>
              <w:bottom w:val="single" w:color="auto" w:sz="4" w:space="0"/>
              <w:right w:val="single" w:color="auto" w:sz="4" w:space="0"/>
            </w:tcBorders>
            <w:vAlign w:val="center"/>
          </w:tcPr>
          <w:p w14:paraId="7C32829C">
            <w:pPr>
              <w:widowControl/>
              <w:adjustRightInd w:val="0"/>
              <w:rPr>
                <w:rFonts w:hint="eastAsia" w:ascii="宋体" w:hAnsi="宋体" w:eastAsia="宋体" w:cs="宋体"/>
                <w:snapToGrid w:val="0"/>
                <w:color w:val="auto"/>
                <w:sz w:val="24"/>
                <w:szCs w:val="24"/>
                <w:highlight w:val="none"/>
              </w:rPr>
            </w:pPr>
          </w:p>
        </w:tc>
        <w:tc>
          <w:tcPr>
            <w:tcW w:w="900" w:type="dxa"/>
            <w:tcBorders>
              <w:top w:val="single" w:color="auto" w:sz="4" w:space="0"/>
              <w:left w:val="nil"/>
              <w:bottom w:val="single" w:color="auto" w:sz="4" w:space="0"/>
              <w:right w:val="single" w:color="auto" w:sz="4" w:space="0"/>
            </w:tcBorders>
            <w:vAlign w:val="center"/>
          </w:tcPr>
          <w:p w14:paraId="5DE4C5D0">
            <w:pPr>
              <w:widowControl/>
              <w:adjustRightInd w:val="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按甲方要求</w:t>
            </w:r>
          </w:p>
        </w:tc>
        <w:tc>
          <w:tcPr>
            <w:tcW w:w="1754" w:type="dxa"/>
            <w:tcBorders>
              <w:top w:val="single" w:color="auto" w:sz="4" w:space="0"/>
              <w:left w:val="nil"/>
              <w:bottom w:val="single" w:color="auto" w:sz="4" w:space="0"/>
              <w:right w:val="single" w:color="auto" w:sz="4" w:space="0"/>
            </w:tcBorders>
            <w:vAlign w:val="center"/>
          </w:tcPr>
          <w:p w14:paraId="539C3AB9">
            <w:pPr>
              <w:widowControl/>
              <w:adjustRightInd w:val="0"/>
              <w:rPr>
                <w:rFonts w:hint="eastAsia" w:ascii="宋体" w:hAnsi="宋体" w:eastAsia="宋体" w:cs="宋体"/>
                <w:snapToGrid w:val="0"/>
                <w:color w:val="auto"/>
                <w:sz w:val="24"/>
                <w:szCs w:val="24"/>
                <w:highlight w:val="none"/>
              </w:rPr>
            </w:pPr>
          </w:p>
        </w:tc>
      </w:tr>
    </w:tbl>
    <w:p w14:paraId="706DC635">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2.承包人必须按照经过甲方审批确定的设计进度计划及时提交设计中间资料，以满足发包人开展有关工作的需要，有关费用已包含在本合同约定的设计费用之内。</w:t>
      </w:r>
    </w:p>
    <w:p w14:paraId="54702C92">
      <w:pPr>
        <w:adjustRightInd w:val="0"/>
        <w:spacing w:line="360" w:lineRule="auto"/>
        <w:ind w:firstLine="480" w:firstLineChars="200"/>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3.承包人向甲方提交的各版次设计成果文件应满足勘察设计文件审批的要求及本工程各阶段建设的需要。</w:t>
      </w:r>
    </w:p>
    <w:p w14:paraId="7E4C4811">
      <w:pPr>
        <w:adjustRightInd w:val="0"/>
        <w:spacing w:line="360" w:lineRule="auto"/>
        <w:ind w:firstLine="480" w:firstLineChars="200"/>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4.承包人按合同约定的时限将设计成果文件或资料交付至甲方指定的地点，相关费用（包括运输、邮寄、电传、关税等费用）已经含于设计费中。</w:t>
      </w:r>
    </w:p>
    <w:p w14:paraId="51D133BE">
      <w:pPr>
        <w:adjustRightInd w:val="0"/>
        <w:spacing w:line="360" w:lineRule="auto"/>
        <w:ind w:firstLine="470" w:firstLineChars="196"/>
        <w:rPr>
          <w:rFonts w:hint="eastAsia" w:ascii="宋体" w:hAnsi="宋体" w:eastAsia="宋体" w:cs="宋体"/>
          <w:snapToGrid w:val="0"/>
          <w:color w:val="auto"/>
          <w:sz w:val="24"/>
          <w:szCs w:val="24"/>
          <w:highlight w:val="none"/>
        </w:rPr>
      </w:pPr>
      <w:r>
        <w:rPr>
          <w:rFonts w:hint="eastAsia" w:ascii="宋体" w:hAnsi="宋体" w:eastAsia="宋体" w:cs="宋体"/>
          <w:bCs/>
          <w:snapToGrid w:val="0"/>
          <w:color w:val="auto"/>
          <w:sz w:val="24"/>
          <w:szCs w:val="24"/>
          <w:highlight w:val="none"/>
        </w:rPr>
        <w:t>5.在报装过程中</w:t>
      </w:r>
      <w:r>
        <w:rPr>
          <w:rFonts w:hint="eastAsia" w:ascii="宋体" w:hAnsi="宋体" w:eastAsia="宋体" w:cs="宋体"/>
          <w:snapToGrid w:val="0"/>
          <w:color w:val="auto"/>
          <w:sz w:val="24"/>
          <w:szCs w:val="24"/>
          <w:highlight w:val="none"/>
        </w:rPr>
        <w:t>需要提供设计成果文件或设计中间资料的电子文档的，承包人应无偿提供。</w:t>
      </w:r>
    </w:p>
    <w:p w14:paraId="75A253C7">
      <w:pPr>
        <w:pStyle w:val="3"/>
        <w:keepNext w:val="0"/>
        <w:keepLines w:val="0"/>
        <w:snapToGrid/>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color w:val="auto"/>
          <w:kern w:val="44"/>
          <w:sz w:val="24"/>
          <w:szCs w:val="24"/>
          <w:highlight w:val="none"/>
        </w:rPr>
        <w:br w:type="page"/>
      </w:r>
      <w:bookmarkStart w:id="153" w:name="_Toc122981411"/>
      <w:r>
        <w:rPr>
          <w:rFonts w:hint="eastAsia" w:ascii="宋体" w:hAnsi="宋体" w:eastAsia="宋体" w:cs="宋体"/>
          <w:color w:val="auto"/>
          <w:sz w:val="24"/>
          <w:szCs w:val="24"/>
          <w:highlight w:val="none"/>
        </w:rPr>
        <w:t>六、设计工作管理要求</w:t>
      </w:r>
      <w:bookmarkEnd w:id="153"/>
    </w:p>
    <w:p w14:paraId="050106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须牵头成立设计管理部门，根据工期要求，编制总控计划及各专业专项工作计划（含设计、采购、报批、造价工作等），报批报建信息及计划一览表、设计技术问题沟通清单及应对措施一览表等，并统筹协同设计与施工，制定应对措施，确保项目目标的顺利实现。其具体工作职责包含以下主要内容：</w:t>
      </w:r>
    </w:p>
    <w:p w14:paraId="722F298A">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编制设计管理大纲，内容包括：工作原则、团队的组织架构、工作分解、职责分工、工作流程、以及各阶段主要工作内容等；大纲应对项目设计全过程中的控制节点进行明确，存在风险进行分析，同时提出相应的对策和管理办法，确认设计管理范围，并完成《设计管理范围确认表》。</w:t>
      </w:r>
    </w:p>
    <w:p w14:paraId="3E3F4D40">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2.熟悉合同/协议并进行整理归纳，了解项目各方的工作内容、职责与权利；明确发包人对设计工作的具体要求，如设计范围、设计深度、建设标准、功能定位、进度要求、造价控制等。</w:t>
      </w:r>
    </w:p>
    <w:p w14:paraId="5C2BD222">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3.召开设计启动会，分析项目背景与风险、进行合同交底、宣布《设计管理大纲》和进度要求等事宜。</w:t>
      </w:r>
    </w:p>
    <w:p w14:paraId="44201A96">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根据项目总进度计划编制设计总进度计划，并充分考虑政府职能部门及第三方设计咨询单位审查、专家评审，政府职能部门及规范要求的各项检测、监测、观测等影响，内容包括：施工图阶段进度计划、专项设计进度计划等，并根据阶段及项目需要，对各阶段、各项设计工作的进度计划进行拆分和细化，把控整体及分项设计工作进度。</w:t>
      </w:r>
    </w:p>
    <w:p w14:paraId="6F3EEF7D">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5.根据计划，合理统筹项目所涉及的各专项、专业设计进度，专项、专业接口及控制点，并以设计为主导及核心，协同造价编制、报批报建、施工深化三方面同步开展工作，以落实方案效果、限额设计等目标。</w:t>
      </w:r>
    </w:p>
    <w:p w14:paraId="5F061D06">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6.完善设计输入条件；设计管理者应主动协助发包人收集各阶段设计输入资料，并及时交予设计团队；施工图阶段输入资料主要包括：施工图设计任务书、分包设计的相关设计参数。</w:t>
      </w:r>
    </w:p>
    <w:p w14:paraId="7A1BF8A5">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7.编制各阶段设计任务书，内容包括：项目概况、设计工作内容、设计界面划分、建设标准（功能、工艺、美观等要求）、设计造价要求、设计进度要求、设计成果要求。</w:t>
      </w:r>
    </w:p>
    <w:p w14:paraId="41103560">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8.承包人正式开展工作后5天内需向发包人提供详细的设计工作计划（包含：设计分包人进场计划、要求建设方提交相关设计资料的时间节点、每个设计阶段详细的出图计划等），设计计划需契合发包人总体设计进度计划要求。</w:t>
      </w:r>
    </w:p>
    <w:p w14:paraId="2B484EBB">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9.协助发包人组织召开设计相关会议，包括：设计例会、设计专题研讨会及设计阶段成果评审会等。</w:t>
      </w:r>
    </w:p>
    <w:p w14:paraId="01622406">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10.在各设计阶段，组织设计团队进行设计文件内部审查，协助设计咨询单位（如有）、专项咨询单位（如有）、造价咨询单位（由发包人招标确定）进行设计文件审核，以确保设计质量，达到设计目标。</w:t>
      </w:r>
    </w:p>
    <w:p w14:paraId="7B783F55">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11.协助发包人办理各项报批报审工作。</w:t>
      </w:r>
    </w:p>
    <w:p w14:paraId="31275CAB">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12.组织设计团队编制材料、设备清单。</w:t>
      </w:r>
    </w:p>
    <w:p w14:paraId="341AD00E">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13.组织进行内部设计交底与图纸会审。</w:t>
      </w:r>
    </w:p>
    <w:p w14:paraId="755D1DEA">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14.对设计变更进行管理。</w:t>
      </w:r>
    </w:p>
    <w:p w14:paraId="65A6E5D1">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15.组织工程中间验收。</w:t>
      </w:r>
    </w:p>
    <w:p w14:paraId="5EE77E6E">
      <w:pPr>
        <w:widowControl/>
        <w:adjustRightInd w:val="0"/>
        <w:spacing w:line="360" w:lineRule="auto"/>
        <w:ind w:firstLine="470" w:firstLineChars="196"/>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16.关于限额设计管理要求，包括但不限于以下：</w:t>
      </w:r>
    </w:p>
    <w:p w14:paraId="64E4414F">
      <w:pPr>
        <w:numPr>
          <w:ilvl w:val="0"/>
          <w:numId w:val="5"/>
        </w:numPr>
        <w:autoSpaceDE w:val="0"/>
        <w:autoSpaceDN w:val="0"/>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所有设计工作均要按发包人批准的各专业工程限额设计指标要求进行设计。中标人在完成各专业工程施工图设计的同时应按发包人要求编制改专业工程施工图预算报发包人审核。若施工图预算超过该限额的，中标人应无条件修改设计并控制在限额设计范围内，直至满足发包人的限额设计要求，中标人须承担由此造成的一切责任。</w:t>
      </w:r>
    </w:p>
    <w:p w14:paraId="46FA4B1E">
      <w:pPr>
        <w:numPr>
          <w:ilvl w:val="0"/>
          <w:numId w:val="5"/>
        </w:numPr>
        <w:autoSpaceDE w:val="0"/>
        <w:autoSpaceDN w:val="0"/>
        <w:snapToGrid/>
        <w:spacing w:before="0" w:after="0"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承包人须配合发包人实施设计全过程的成本优化工作，须向发包人提供结构设计模型及计算书等成果文件。</w:t>
      </w:r>
    </w:p>
    <w:p w14:paraId="6CFCD4CA">
      <w:pPr>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br w:type="page"/>
      </w:r>
    </w:p>
    <w:p w14:paraId="4E7E4159">
      <w:pPr>
        <w:pStyle w:val="3"/>
        <w:keepNext w:val="0"/>
        <w:keepLines w:val="0"/>
        <w:snapToGrid/>
        <w:spacing w:line="360" w:lineRule="auto"/>
        <w:jc w:val="both"/>
        <w:rPr>
          <w:rFonts w:hint="eastAsia" w:ascii="宋体" w:hAnsi="宋体" w:eastAsia="宋体" w:cs="宋体"/>
          <w:color w:val="auto"/>
          <w:sz w:val="24"/>
          <w:szCs w:val="24"/>
          <w:highlight w:val="none"/>
        </w:rPr>
      </w:pPr>
      <w:bookmarkStart w:id="154" w:name="_Toc122981412"/>
      <w:r>
        <w:rPr>
          <w:rFonts w:hint="eastAsia" w:ascii="宋体" w:hAnsi="宋体" w:eastAsia="宋体" w:cs="宋体"/>
          <w:color w:val="auto"/>
          <w:sz w:val="24"/>
          <w:szCs w:val="24"/>
          <w:highlight w:val="none"/>
        </w:rPr>
        <w:t>七、设计人员组织管理要求</w:t>
      </w:r>
      <w:bookmarkEnd w:id="154"/>
    </w:p>
    <w:p w14:paraId="7042F8F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1.设计人员要求</w:t>
      </w:r>
    </w:p>
    <w:p w14:paraId="29DA4677">
      <w:pPr>
        <w:spacing w:line="360" w:lineRule="auto"/>
        <w:ind w:firstLine="56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各专业人员要求表</w:t>
      </w:r>
    </w:p>
    <w:tbl>
      <w:tblPr>
        <w:tblStyle w:val="41"/>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124"/>
        <w:gridCol w:w="4309"/>
        <w:gridCol w:w="1296"/>
      </w:tblGrid>
      <w:tr w14:paraId="0CDC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A9659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4" w:type="dxa"/>
            <w:tcBorders>
              <w:top w:val="single" w:color="auto" w:sz="4" w:space="0"/>
              <w:left w:val="nil"/>
              <w:bottom w:val="single" w:color="auto" w:sz="4" w:space="0"/>
              <w:right w:val="single" w:color="auto" w:sz="4" w:space="0"/>
            </w:tcBorders>
            <w:vAlign w:val="center"/>
          </w:tcPr>
          <w:p w14:paraId="6944EE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专业分工</w:t>
            </w:r>
          </w:p>
        </w:tc>
        <w:tc>
          <w:tcPr>
            <w:tcW w:w="4309" w:type="dxa"/>
            <w:tcBorders>
              <w:top w:val="single" w:color="auto" w:sz="4" w:space="0"/>
              <w:left w:val="nil"/>
              <w:bottom w:val="single" w:color="auto" w:sz="4" w:space="0"/>
              <w:right w:val="single" w:color="auto" w:sz="4" w:space="0"/>
            </w:tcBorders>
            <w:vAlign w:val="center"/>
          </w:tcPr>
          <w:p w14:paraId="3105A79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c>
          <w:tcPr>
            <w:tcW w:w="1296" w:type="dxa"/>
            <w:tcBorders>
              <w:top w:val="single" w:color="auto" w:sz="4" w:space="0"/>
              <w:left w:val="nil"/>
              <w:bottom w:val="single" w:color="auto" w:sz="4" w:space="0"/>
              <w:right w:val="single" w:color="auto" w:sz="4" w:space="0"/>
            </w:tcBorders>
            <w:vAlign w:val="center"/>
          </w:tcPr>
          <w:p w14:paraId="3806FB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最低投入人数要求</w:t>
            </w:r>
          </w:p>
        </w:tc>
      </w:tr>
      <w:tr w14:paraId="7A7D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F11DC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24" w:type="dxa"/>
            <w:tcBorders>
              <w:top w:val="single" w:color="auto" w:sz="4" w:space="0"/>
              <w:left w:val="nil"/>
              <w:bottom w:val="single" w:color="auto" w:sz="4" w:space="0"/>
              <w:right w:val="single" w:color="auto" w:sz="4" w:space="0"/>
            </w:tcBorders>
            <w:vAlign w:val="center"/>
          </w:tcPr>
          <w:p w14:paraId="670C68C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设计指挥长</w:t>
            </w:r>
          </w:p>
        </w:tc>
        <w:tc>
          <w:tcPr>
            <w:tcW w:w="4309" w:type="dxa"/>
            <w:tcBorders>
              <w:top w:val="single" w:color="auto" w:sz="4" w:space="0"/>
              <w:left w:val="nil"/>
              <w:bottom w:val="single" w:color="auto" w:sz="4" w:space="0"/>
              <w:right w:val="single" w:color="auto" w:sz="4" w:space="0"/>
            </w:tcBorders>
          </w:tcPr>
          <w:p w14:paraId="01FA60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设计指挥长应由设计方现任单位领导班子副职或以上级别的领导担任，且应已任该职务满半年或以上。</w:t>
            </w:r>
          </w:p>
        </w:tc>
        <w:tc>
          <w:tcPr>
            <w:tcW w:w="1296" w:type="dxa"/>
            <w:tcBorders>
              <w:top w:val="single" w:color="auto" w:sz="4" w:space="0"/>
              <w:left w:val="nil"/>
              <w:bottom w:val="single" w:color="auto" w:sz="4" w:space="0"/>
              <w:right w:val="single" w:color="auto" w:sz="4" w:space="0"/>
            </w:tcBorders>
            <w:vAlign w:val="center"/>
          </w:tcPr>
          <w:p w14:paraId="2FD7E4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C66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2E3530B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24" w:type="dxa"/>
            <w:tcBorders>
              <w:top w:val="single" w:color="auto" w:sz="4" w:space="0"/>
              <w:left w:val="nil"/>
              <w:bottom w:val="single" w:color="auto" w:sz="4" w:space="0"/>
              <w:right w:val="single" w:color="auto" w:sz="4" w:space="0"/>
            </w:tcBorders>
            <w:vAlign w:val="center"/>
          </w:tcPr>
          <w:p w14:paraId="30973F1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设计负责人</w:t>
            </w:r>
          </w:p>
        </w:tc>
        <w:tc>
          <w:tcPr>
            <w:tcW w:w="4309" w:type="dxa"/>
            <w:tcBorders>
              <w:top w:val="single" w:color="auto" w:sz="4" w:space="0"/>
              <w:left w:val="nil"/>
              <w:bottom w:val="single" w:color="auto" w:sz="4" w:space="0"/>
              <w:right w:val="single" w:color="auto" w:sz="4" w:space="0"/>
            </w:tcBorders>
            <w:vAlign w:val="center"/>
          </w:tcPr>
          <w:p w14:paraId="31E0483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按招标公告的要求。</w:t>
            </w:r>
          </w:p>
        </w:tc>
        <w:tc>
          <w:tcPr>
            <w:tcW w:w="1296" w:type="dxa"/>
            <w:tcBorders>
              <w:top w:val="single" w:color="auto" w:sz="4" w:space="0"/>
              <w:left w:val="nil"/>
              <w:bottom w:val="single" w:color="auto" w:sz="4" w:space="0"/>
              <w:right w:val="single" w:color="auto" w:sz="4" w:space="0"/>
            </w:tcBorders>
            <w:vAlign w:val="center"/>
          </w:tcPr>
          <w:p w14:paraId="092063D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FD0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2ACF2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24" w:type="dxa"/>
            <w:tcBorders>
              <w:top w:val="single" w:color="auto" w:sz="4" w:space="0"/>
              <w:left w:val="nil"/>
              <w:bottom w:val="single" w:color="auto" w:sz="4" w:space="0"/>
              <w:right w:val="single" w:color="auto" w:sz="4" w:space="0"/>
            </w:tcBorders>
            <w:vAlign w:val="center"/>
          </w:tcPr>
          <w:p w14:paraId="072DC2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电气专业负责人</w:t>
            </w:r>
          </w:p>
        </w:tc>
        <w:tc>
          <w:tcPr>
            <w:tcW w:w="4309" w:type="dxa"/>
            <w:tcBorders>
              <w:top w:val="single" w:color="auto" w:sz="4" w:space="0"/>
              <w:left w:val="nil"/>
              <w:bottom w:val="single" w:color="auto" w:sz="4" w:space="0"/>
              <w:right w:val="single" w:color="auto" w:sz="4" w:space="0"/>
            </w:tcBorders>
            <w:vAlign w:val="center"/>
          </w:tcPr>
          <w:p w14:paraId="11ECB4B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具有注册电气工程师，或本专业（含相近专业）高级技术职称，或中级技术职称从事本专业工作10年以上。</w:t>
            </w:r>
          </w:p>
        </w:tc>
        <w:tc>
          <w:tcPr>
            <w:tcW w:w="1296" w:type="dxa"/>
            <w:tcBorders>
              <w:top w:val="single" w:color="auto" w:sz="4" w:space="0"/>
              <w:left w:val="nil"/>
              <w:bottom w:val="single" w:color="auto" w:sz="4" w:space="0"/>
              <w:right w:val="single" w:color="auto" w:sz="4" w:space="0"/>
            </w:tcBorders>
            <w:vAlign w:val="center"/>
          </w:tcPr>
          <w:p w14:paraId="7226140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5B36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6E652B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24" w:type="dxa"/>
            <w:tcBorders>
              <w:top w:val="single" w:color="auto" w:sz="4" w:space="0"/>
              <w:left w:val="nil"/>
              <w:bottom w:val="single" w:color="auto" w:sz="4" w:space="0"/>
              <w:right w:val="single" w:color="auto" w:sz="4" w:space="0"/>
            </w:tcBorders>
            <w:vAlign w:val="center"/>
          </w:tcPr>
          <w:p w14:paraId="17CDA2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结构专业负责人</w:t>
            </w:r>
          </w:p>
        </w:tc>
        <w:tc>
          <w:tcPr>
            <w:tcW w:w="4309" w:type="dxa"/>
            <w:tcBorders>
              <w:top w:val="single" w:color="auto" w:sz="4" w:space="0"/>
              <w:left w:val="nil"/>
              <w:bottom w:val="single" w:color="auto" w:sz="4" w:space="0"/>
              <w:right w:val="single" w:color="auto" w:sz="4" w:space="0"/>
            </w:tcBorders>
            <w:vAlign w:val="center"/>
          </w:tcPr>
          <w:p w14:paraId="3773638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一级注册结构工程师、本专业高级技术职称，或中级技术职称从事本专业工作10年以上。</w:t>
            </w:r>
          </w:p>
        </w:tc>
        <w:tc>
          <w:tcPr>
            <w:tcW w:w="1296" w:type="dxa"/>
            <w:tcBorders>
              <w:top w:val="single" w:color="auto" w:sz="4" w:space="0"/>
              <w:left w:val="nil"/>
              <w:bottom w:val="single" w:color="auto" w:sz="4" w:space="0"/>
              <w:right w:val="single" w:color="auto" w:sz="4" w:space="0"/>
            </w:tcBorders>
            <w:vAlign w:val="center"/>
          </w:tcPr>
          <w:p w14:paraId="62C9112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124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201040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24" w:type="dxa"/>
            <w:tcBorders>
              <w:top w:val="single" w:color="auto" w:sz="4" w:space="0"/>
              <w:left w:val="nil"/>
              <w:bottom w:val="single" w:color="auto" w:sz="4" w:space="0"/>
              <w:right w:val="single" w:color="auto" w:sz="4" w:space="0"/>
            </w:tcBorders>
            <w:vAlign w:val="center"/>
          </w:tcPr>
          <w:p w14:paraId="2633F5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建筑专业负责人</w:t>
            </w:r>
          </w:p>
        </w:tc>
        <w:tc>
          <w:tcPr>
            <w:tcW w:w="4309" w:type="dxa"/>
            <w:tcBorders>
              <w:top w:val="single" w:color="auto" w:sz="4" w:space="0"/>
              <w:left w:val="nil"/>
              <w:bottom w:val="single" w:color="auto" w:sz="4" w:space="0"/>
              <w:right w:val="single" w:color="auto" w:sz="4" w:space="0"/>
            </w:tcBorders>
            <w:vAlign w:val="center"/>
          </w:tcPr>
          <w:p w14:paraId="577AD35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一级注册建筑师、本专业高级技术职称且从事本专业工作10年以上。</w:t>
            </w:r>
          </w:p>
        </w:tc>
        <w:tc>
          <w:tcPr>
            <w:tcW w:w="1296" w:type="dxa"/>
            <w:tcBorders>
              <w:top w:val="single" w:color="auto" w:sz="4" w:space="0"/>
              <w:left w:val="nil"/>
              <w:bottom w:val="single" w:color="auto" w:sz="4" w:space="0"/>
              <w:right w:val="single" w:color="auto" w:sz="4" w:space="0"/>
            </w:tcBorders>
            <w:vAlign w:val="center"/>
          </w:tcPr>
          <w:p w14:paraId="18B4AD1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F78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B89710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24" w:type="dxa"/>
            <w:tcBorders>
              <w:top w:val="single" w:color="auto" w:sz="4" w:space="0"/>
              <w:left w:val="nil"/>
              <w:bottom w:val="single" w:color="auto" w:sz="4" w:space="0"/>
              <w:right w:val="single" w:color="auto" w:sz="4" w:space="0"/>
            </w:tcBorders>
            <w:vAlign w:val="center"/>
          </w:tcPr>
          <w:p w14:paraId="30853A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给排水专业负责人</w:t>
            </w:r>
          </w:p>
        </w:tc>
        <w:tc>
          <w:tcPr>
            <w:tcW w:w="4309" w:type="dxa"/>
            <w:tcBorders>
              <w:top w:val="single" w:color="auto" w:sz="4" w:space="0"/>
              <w:left w:val="nil"/>
              <w:bottom w:val="single" w:color="auto" w:sz="4" w:space="0"/>
              <w:right w:val="single" w:color="auto" w:sz="4" w:space="0"/>
            </w:tcBorders>
            <w:vAlign w:val="center"/>
          </w:tcPr>
          <w:p w14:paraId="72EA61E7">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具有注册公用设备工程师，或本专业（含相近专业）高级技术职称，或中级技术职称从事本专业工作10年以上。</w:t>
            </w:r>
          </w:p>
        </w:tc>
        <w:tc>
          <w:tcPr>
            <w:tcW w:w="1296" w:type="dxa"/>
            <w:tcBorders>
              <w:top w:val="single" w:color="auto" w:sz="4" w:space="0"/>
              <w:left w:val="nil"/>
              <w:bottom w:val="single" w:color="auto" w:sz="4" w:space="0"/>
              <w:right w:val="single" w:color="auto" w:sz="4" w:space="0"/>
            </w:tcBorders>
            <w:vAlign w:val="center"/>
          </w:tcPr>
          <w:p w14:paraId="7F69A6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BD1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16A15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24" w:type="dxa"/>
            <w:tcBorders>
              <w:top w:val="single" w:color="auto" w:sz="4" w:space="0"/>
              <w:left w:val="nil"/>
              <w:bottom w:val="single" w:color="auto" w:sz="4" w:space="0"/>
              <w:right w:val="single" w:color="auto" w:sz="4" w:space="0"/>
            </w:tcBorders>
            <w:vAlign w:val="center"/>
          </w:tcPr>
          <w:p w14:paraId="3EC99B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暖通空调专业负责人</w:t>
            </w:r>
          </w:p>
        </w:tc>
        <w:tc>
          <w:tcPr>
            <w:tcW w:w="4309" w:type="dxa"/>
            <w:tcBorders>
              <w:top w:val="single" w:color="auto" w:sz="4" w:space="0"/>
              <w:left w:val="nil"/>
              <w:bottom w:val="single" w:color="auto" w:sz="4" w:space="0"/>
              <w:right w:val="single" w:color="auto" w:sz="4" w:space="0"/>
            </w:tcBorders>
            <w:vAlign w:val="center"/>
          </w:tcPr>
          <w:p w14:paraId="017D394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具有注册公用设备工程师，或本专业（含相近专业）高级技术职称，或中级技术职称从事本专业工作10年以上。</w:t>
            </w:r>
          </w:p>
        </w:tc>
        <w:tc>
          <w:tcPr>
            <w:tcW w:w="1296" w:type="dxa"/>
            <w:tcBorders>
              <w:top w:val="single" w:color="auto" w:sz="4" w:space="0"/>
              <w:left w:val="nil"/>
              <w:bottom w:val="single" w:color="auto" w:sz="4" w:space="0"/>
              <w:right w:val="single" w:color="auto" w:sz="4" w:space="0"/>
            </w:tcBorders>
            <w:vAlign w:val="center"/>
          </w:tcPr>
          <w:p w14:paraId="6A0F2B8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1D7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CAA6E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24" w:type="dxa"/>
            <w:tcBorders>
              <w:top w:val="single" w:color="auto" w:sz="4" w:space="0"/>
              <w:left w:val="nil"/>
              <w:bottom w:val="single" w:color="auto" w:sz="4" w:space="0"/>
              <w:right w:val="single" w:color="auto" w:sz="4" w:space="0"/>
            </w:tcBorders>
            <w:vAlign w:val="center"/>
          </w:tcPr>
          <w:p w14:paraId="1F9417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造价专业负责人</w:t>
            </w:r>
          </w:p>
        </w:tc>
        <w:tc>
          <w:tcPr>
            <w:tcW w:w="4309" w:type="dxa"/>
            <w:tcBorders>
              <w:top w:val="single" w:color="auto" w:sz="4" w:space="0"/>
              <w:left w:val="nil"/>
              <w:bottom w:val="single" w:color="auto" w:sz="4" w:space="0"/>
              <w:right w:val="single" w:color="auto" w:sz="4" w:space="0"/>
            </w:tcBorders>
            <w:vAlign w:val="center"/>
          </w:tcPr>
          <w:p w14:paraId="2CFEEF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具有一级注册造价工程师资格，或工程技术或工程经济专业高级技术职称，或中级技术职称从事本专业工作10年以上。</w:t>
            </w:r>
          </w:p>
        </w:tc>
        <w:tc>
          <w:tcPr>
            <w:tcW w:w="1296" w:type="dxa"/>
            <w:tcBorders>
              <w:top w:val="single" w:color="auto" w:sz="4" w:space="0"/>
              <w:left w:val="nil"/>
              <w:bottom w:val="single" w:color="auto" w:sz="4" w:space="0"/>
              <w:right w:val="single" w:color="auto" w:sz="4" w:space="0"/>
            </w:tcBorders>
            <w:vAlign w:val="center"/>
          </w:tcPr>
          <w:p w14:paraId="5C1301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14:paraId="318031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C29A2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（1）如有其他未提及专业应满足表中最低要求。</w:t>
      </w:r>
    </w:p>
    <w:p w14:paraId="78DF4C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w:t>
      </w:r>
    </w:p>
    <w:p w14:paraId="226948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（3）每专业其他参与设计工作人员不少于1人，要求相应专业注册工程师或本专业（含相近专业）中级或以上技术职称。</w:t>
      </w:r>
    </w:p>
    <w:p w14:paraId="6AFF24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（4）若设计工作不满足工程进度要求，发包人可要求承包人全部设计人员（包括各专业设计人和项目负责人员）驻场设计，时间可从签订设计合同开始到施工图设计完成为止。 </w:t>
      </w:r>
    </w:p>
    <w:p w14:paraId="39E24C8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2.设计人员组织管理要求主要如下（包含但不限于以下要求）：</w:t>
      </w:r>
    </w:p>
    <w:p w14:paraId="333EAB31">
      <w:pPr>
        <w:numPr>
          <w:ilvl w:val="255"/>
          <w:numId w:val="0"/>
        </w:numPr>
        <w:tabs>
          <w:tab w:val="left" w:pos="896"/>
        </w:tabs>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2.1承包人必须集中设计力量确保设计进度。</w:t>
      </w:r>
    </w:p>
    <w:p w14:paraId="2DDBDAC7">
      <w:pPr>
        <w:numPr>
          <w:ilvl w:val="255"/>
          <w:numId w:val="0"/>
        </w:numPr>
        <w:tabs>
          <w:tab w:val="left" w:pos="896"/>
        </w:tabs>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2.2承包人在明确分工各负其责的基础上，按照招标文件所列要求承诺为本项目合同约定项目指定的设计负责人、各专业设计负责人、各专业设计人、报建协调人，并向建设管理单位出具相应的授权文件。</w:t>
      </w:r>
    </w:p>
    <w:p w14:paraId="296A6D27">
      <w:pPr>
        <w:numPr>
          <w:ilvl w:val="255"/>
          <w:numId w:val="0"/>
        </w:numPr>
        <w:tabs>
          <w:tab w:val="left" w:pos="913"/>
        </w:tabs>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2.3项目设计负责人，各专业设计负责人应能够胜任所承担任务的设计、组织、计划、协调工作。</w:t>
      </w:r>
    </w:p>
    <w:p w14:paraId="7683056C">
      <w:pPr>
        <w:numPr>
          <w:ilvl w:val="255"/>
          <w:numId w:val="0"/>
        </w:numPr>
        <w:tabs>
          <w:tab w:val="left" w:pos="896"/>
        </w:tabs>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2.4须报送项目设计负责人、各专业设计负责人、其他参与设计工作的主要人员姓名、年龄、学历、专业、职称、职务、相关经历和主要技术成果以及在本合同约定项目中负责的设计任务等资料。</w:t>
      </w:r>
    </w:p>
    <w:p w14:paraId="7512995D">
      <w:pPr>
        <w:numPr>
          <w:ilvl w:val="255"/>
          <w:numId w:val="0"/>
        </w:numPr>
        <w:tabs>
          <w:tab w:val="left" w:pos="896"/>
        </w:tabs>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2.5必须保证参与本项目各设计部分人员的稳定性，不可随意撤换，且短时离开本地须向项目发包人请假并制定离开后的协调人，否则必须承担相应责任。</w:t>
      </w:r>
    </w:p>
    <w:p w14:paraId="23C2313F">
      <w:pPr>
        <w:numPr>
          <w:ilvl w:val="255"/>
          <w:numId w:val="0"/>
        </w:numPr>
        <w:tabs>
          <w:tab w:val="left" w:pos="899"/>
        </w:tabs>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发包人有权随时以书面形式要求中标人更换不合格或不称职的设计人员，无正当理由设计人不得拒绝。设计人应自接到发包人更换设计人员的书面通知之日起一周内将变更后的设计人员名录书面通知发包人，并将其业绩等资料送发包人审核，直至发包人认可。</w:t>
      </w:r>
    </w:p>
    <w:p w14:paraId="3E7D3E9A">
      <w:pPr>
        <w:tabs>
          <w:tab w:val="left" w:pos="896"/>
        </w:tabs>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pacing w:val="-3"/>
          <w:sz w:val="24"/>
          <w:szCs w:val="24"/>
          <w:highlight w:val="none"/>
        </w:rPr>
        <w:t>承包人</w:t>
      </w:r>
      <w:r>
        <w:rPr>
          <w:rFonts w:hint="eastAsia" w:ascii="宋体" w:hAnsi="宋体" w:eastAsia="宋体" w:cs="宋体"/>
          <w:color w:val="auto"/>
          <w:sz w:val="24"/>
          <w:szCs w:val="24"/>
          <w:highlight w:val="none"/>
        </w:rPr>
        <w:t>应安排专人（至少1名）全面配合跟进所有报审报装工作（包括提供</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5"/>
          <w:sz w:val="24"/>
          <w:szCs w:val="24"/>
          <w:highlight w:val="none"/>
        </w:rPr>
        <w:t>目</w:t>
      </w:r>
      <w:r>
        <w:rPr>
          <w:rFonts w:hint="eastAsia" w:ascii="宋体" w:hAnsi="宋体" w:eastAsia="宋体" w:cs="宋体"/>
          <w:color w:val="auto"/>
          <w:spacing w:val="-3"/>
          <w:sz w:val="24"/>
          <w:szCs w:val="24"/>
          <w:highlight w:val="none"/>
        </w:rPr>
        <w:t>发包人</w:t>
      </w:r>
      <w:r>
        <w:rPr>
          <w:rFonts w:hint="eastAsia" w:ascii="宋体" w:hAnsi="宋体" w:eastAsia="宋体" w:cs="宋体"/>
          <w:color w:val="auto"/>
          <w:spacing w:val="-5"/>
          <w:sz w:val="24"/>
          <w:szCs w:val="24"/>
          <w:highlight w:val="none"/>
        </w:rPr>
        <w:t>报</w:t>
      </w:r>
      <w:r>
        <w:rPr>
          <w:rFonts w:hint="eastAsia" w:ascii="宋体" w:hAnsi="宋体" w:eastAsia="宋体" w:cs="宋体"/>
          <w:color w:val="auto"/>
          <w:spacing w:val="-3"/>
          <w:sz w:val="24"/>
          <w:szCs w:val="24"/>
          <w:highlight w:val="none"/>
        </w:rPr>
        <w:t>审报建</w:t>
      </w:r>
      <w:r>
        <w:rPr>
          <w:rFonts w:hint="eastAsia" w:ascii="宋体" w:hAnsi="宋体" w:eastAsia="宋体" w:cs="宋体"/>
          <w:color w:val="auto"/>
          <w:spacing w:val="-5"/>
          <w:sz w:val="24"/>
          <w:szCs w:val="24"/>
          <w:highlight w:val="none"/>
        </w:rPr>
        <w:t>及</w:t>
      </w:r>
      <w:r>
        <w:rPr>
          <w:rFonts w:hint="eastAsia" w:ascii="宋体" w:hAnsi="宋体" w:eastAsia="宋体" w:cs="宋体"/>
          <w:color w:val="auto"/>
          <w:spacing w:val="-3"/>
          <w:sz w:val="24"/>
          <w:szCs w:val="24"/>
          <w:highlight w:val="none"/>
        </w:rPr>
        <w:t>有关外</w:t>
      </w:r>
      <w:r>
        <w:rPr>
          <w:rFonts w:hint="eastAsia" w:ascii="宋体" w:hAnsi="宋体" w:eastAsia="宋体" w:cs="宋体"/>
          <w:color w:val="auto"/>
          <w:spacing w:val="-5"/>
          <w:sz w:val="24"/>
          <w:szCs w:val="24"/>
          <w:highlight w:val="none"/>
        </w:rPr>
        <w:t>出</w:t>
      </w:r>
      <w:r>
        <w:rPr>
          <w:rFonts w:hint="eastAsia" w:ascii="宋体" w:hAnsi="宋体" w:eastAsia="宋体" w:cs="宋体"/>
          <w:color w:val="auto"/>
          <w:spacing w:val="-3"/>
          <w:sz w:val="24"/>
          <w:szCs w:val="24"/>
          <w:highlight w:val="none"/>
        </w:rPr>
        <w:t>协调所</w:t>
      </w:r>
      <w:r>
        <w:rPr>
          <w:rFonts w:hint="eastAsia" w:ascii="宋体" w:hAnsi="宋体" w:eastAsia="宋体" w:cs="宋体"/>
          <w:color w:val="auto"/>
          <w:spacing w:val="-5"/>
          <w:sz w:val="24"/>
          <w:szCs w:val="24"/>
          <w:highlight w:val="none"/>
        </w:rPr>
        <w:t>需</w:t>
      </w:r>
      <w:r>
        <w:rPr>
          <w:rFonts w:hint="eastAsia" w:ascii="宋体" w:hAnsi="宋体" w:eastAsia="宋体" w:cs="宋体"/>
          <w:color w:val="auto"/>
          <w:spacing w:val="-3"/>
          <w:sz w:val="24"/>
          <w:szCs w:val="24"/>
          <w:highlight w:val="none"/>
        </w:rPr>
        <w:t>的交通</w:t>
      </w:r>
      <w:r>
        <w:rPr>
          <w:rFonts w:hint="eastAsia" w:ascii="宋体" w:hAnsi="宋体" w:eastAsia="宋体" w:cs="宋体"/>
          <w:color w:val="auto"/>
          <w:spacing w:val="-5"/>
          <w:sz w:val="24"/>
          <w:szCs w:val="24"/>
          <w:highlight w:val="none"/>
        </w:rPr>
        <w:t>便</w:t>
      </w:r>
      <w:r>
        <w:rPr>
          <w:rFonts w:hint="eastAsia" w:ascii="宋体" w:hAnsi="宋体" w:eastAsia="宋体" w:cs="宋体"/>
          <w:color w:val="auto"/>
          <w:spacing w:val="-3"/>
          <w:sz w:val="24"/>
          <w:szCs w:val="24"/>
          <w:highlight w:val="none"/>
        </w:rPr>
        <w:t>利，包</w:t>
      </w:r>
      <w:r>
        <w:rPr>
          <w:rFonts w:hint="eastAsia" w:ascii="宋体" w:hAnsi="宋体" w:eastAsia="宋体" w:cs="宋体"/>
          <w:color w:val="auto"/>
          <w:spacing w:val="-5"/>
          <w:sz w:val="24"/>
          <w:szCs w:val="24"/>
          <w:highlight w:val="none"/>
        </w:rPr>
        <w:t>括</w:t>
      </w:r>
      <w:r>
        <w:rPr>
          <w:rFonts w:hint="eastAsia" w:ascii="宋体" w:hAnsi="宋体" w:eastAsia="宋体" w:cs="宋体"/>
          <w:color w:val="auto"/>
          <w:spacing w:val="-3"/>
          <w:sz w:val="24"/>
          <w:szCs w:val="24"/>
          <w:highlight w:val="none"/>
        </w:rPr>
        <w:t>放线测</w:t>
      </w:r>
      <w:r>
        <w:rPr>
          <w:rFonts w:hint="eastAsia" w:ascii="宋体" w:hAnsi="宋体" w:eastAsia="宋体" w:cs="宋体"/>
          <w:color w:val="auto"/>
          <w:spacing w:val="-5"/>
          <w:sz w:val="24"/>
          <w:szCs w:val="24"/>
          <w:highlight w:val="none"/>
        </w:rPr>
        <w:t>量</w:t>
      </w:r>
      <w:r>
        <w:rPr>
          <w:rFonts w:hint="eastAsia" w:ascii="宋体" w:hAnsi="宋体" w:eastAsia="宋体" w:cs="宋体"/>
          <w:color w:val="auto"/>
          <w:spacing w:val="-3"/>
          <w:sz w:val="24"/>
          <w:szCs w:val="24"/>
          <w:highlight w:val="none"/>
        </w:rPr>
        <w:t>费、公</w:t>
      </w:r>
      <w:r>
        <w:rPr>
          <w:rFonts w:hint="eastAsia" w:ascii="宋体" w:hAnsi="宋体" w:eastAsia="宋体" w:cs="宋体"/>
          <w:color w:val="auto"/>
          <w:spacing w:val="-5"/>
          <w:sz w:val="24"/>
          <w:szCs w:val="24"/>
          <w:highlight w:val="none"/>
        </w:rPr>
        <w:t>示</w:t>
      </w:r>
      <w:r>
        <w:rPr>
          <w:rFonts w:hint="eastAsia" w:ascii="宋体" w:hAnsi="宋体" w:eastAsia="宋体" w:cs="宋体"/>
          <w:color w:val="auto"/>
          <w:spacing w:val="-3"/>
          <w:sz w:val="24"/>
          <w:szCs w:val="24"/>
          <w:highlight w:val="none"/>
        </w:rPr>
        <w:t>费</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购</w:t>
      </w:r>
      <w:r>
        <w:rPr>
          <w:rFonts w:hint="eastAsia" w:ascii="宋体" w:hAnsi="宋体" w:eastAsia="宋体" w:cs="宋体"/>
          <w:color w:val="auto"/>
          <w:spacing w:val="24"/>
          <w:sz w:val="24"/>
          <w:szCs w:val="24"/>
          <w:highlight w:val="none"/>
        </w:rPr>
        <w:t>买</w:t>
      </w:r>
      <w:r>
        <w:rPr>
          <w:rFonts w:hint="eastAsia" w:ascii="宋体" w:hAnsi="宋体" w:eastAsia="宋体" w:cs="宋体"/>
          <w:color w:val="auto"/>
          <w:spacing w:val="-3"/>
          <w:sz w:val="24"/>
          <w:szCs w:val="24"/>
          <w:highlight w:val="none"/>
        </w:rPr>
        <w:t>地</w:t>
      </w:r>
      <w:r>
        <w:rPr>
          <w:rFonts w:hint="eastAsia" w:ascii="宋体" w:hAnsi="宋体" w:eastAsia="宋体" w:cs="宋体"/>
          <w:color w:val="auto"/>
          <w:sz w:val="24"/>
          <w:szCs w:val="24"/>
          <w:highlight w:val="none"/>
        </w:rPr>
        <w:t>形</w:t>
      </w:r>
      <w:r>
        <w:rPr>
          <w:rFonts w:hint="eastAsia" w:ascii="宋体" w:hAnsi="宋体" w:eastAsia="宋体" w:cs="宋体"/>
          <w:color w:val="auto"/>
          <w:spacing w:val="-3"/>
          <w:sz w:val="24"/>
          <w:szCs w:val="24"/>
          <w:highlight w:val="none"/>
        </w:rPr>
        <w:t>图、</w:t>
      </w:r>
      <w:r>
        <w:rPr>
          <w:rFonts w:hint="eastAsia" w:ascii="宋体" w:hAnsi="宋体" w:eastAsia="宋体" w:cs="宋体"/>
          <w:color w:val="auto"/>
          <w:sz w:val="24"/>
          <w:szCs w:val="24"/>
          <w:highlight w:val="none"/>
        </w:rPr>
        <w:t>管</w:t>
      </w:r>
      <w:r>
        <w:rPr>
          <w:rFonts w:hint="eastAsia" w:ascii="宋体" w:hAnsi="宋体" w:eastAsia="宋体" w:cs="宋体"/>
          <w:color w:val="auto"/>
          <w:spacing w:val="-3"/>
          <w:sz w:val="24"/>
          <w:szCs w:val="24"/>
          <w:highlight w:val="none"/>
        </w:rPr>
        <w:t>线</w:t>
      </w:r>
      <w:r>
        <w:rPr>
          <w:rFonts w:hint="eastAsia" w:ascii="宋体" w:hAnsi="宋体" w:eastAsia="宋体" w:cs="宋体"/>
          <w:color w:val="auto"/>
          <w:sz w:val="24"/>
          <w:szCs w:val="24"/>
          <w:highlight w:val="none"/>
        </w:rPr>
        <w:t>图</w:t>
      </w:r>
      <w:r>
        <w:rPr>
          <w:rFonts w:hint="eastAsia" w:ascii="宋体" w:hAnsi="宋体" w:eastAsia="宋体" w:cs="宋体"/>
          <w:color w:val="auto"/>
          <w:spacing w:val="-3"/>
          <w:sz w:val="24"/>
          <w:szCs w:val="24"/>
          <w:highlight w:val="none"/>
        </w:rPr>
        <w:t>纸、</w:t>
      </w:r>
      <w:r>
        <w:rPr>
          <w:rFonts w:hint="eastAsia" w:ascii="宋体" w:hAnsi="宋体" w:eastAsia="宋体" w:cs="宋体"/>
          <w:color w:val="auto"/>
          <w:sz w:val="24"/>
          <w:szCs w:val="24"/>
          <w:highlight w:val="none"/>
        </w:rPr>
        <w:t>加</w:t>
      </w:r>
      <w:r>
        <w:rPr>
          <w:rFonts w:hint="eastAsia" w:ascii="宋体" w:hAnsi="宋体" w:eastAsia="宋体" w:cs="宋体"/>
          <w:color w:val="auto"/>
          <w:spacing w:val="-3"/>
          <w:sz w:val="24"/>
          <w:szCs w:val="24"/>
          <w:highlight w:val="none"/>
        </w:rPr>
        <w:t>晒加</w:t>
      </w:r>
      <w:r>
        <w:rPr>
          <w:rFonts w:hint="eastAsia" w:ascii="宋体" w:hAnsi="宋体" w:eastAsia="宋体" w:cs="宋体"/>
          <w:color w:val="auto"/>
          <w:sz w:val="24"/>
          <w:szCs w:val="24"/>
          <w:highlight w:val="none"/>
        </w:rPr>
        <w:t>印</w:t>
      </w:r>
      <w:r>
        <w:rPr>
          <w:rFonts w:hint="eastAsia" w:ascii="宋体" w:hAnsi="宋体" w:eastAsia="宋体" w:cs="宋体"/>
          <w:color w:val="auto"/>
          <w:spacing w:val="-3"/>
          <w:sz w:val="24"/>
          <w:szCs w:val="24"/>
          <w:highlight w:val="none"/>
        </w:rPr>
        <w:t>图纸</w:t>
      </w:r>
      <w:r>
        <w:rPr>
          <w:rFonts w:hint="eastAsia" w:ascii="宋体" w:hAnsi="宋体" w:eastAsia="宋体" w:cs="宋体"/>
          <w:color w:val="auto"/>
          <w:sz w:val="24"/>
          <w:szCs w:val="24"/>
          <w:highlight w:val="none"/>
        </w:rPr>
        <w:t>资</w:t>
      </w:r>
      <w:r>
        <w:rPr>
          <w:rFonts w:hint="eastAsia" w:ascii="宋体" w:hAnsi="宋体" w:eastAsia="宋体" w:cs="宋体"/>
          <w:color w:val="auto"/>
          <w:spacing w:val="-3"/>
          <w:sz w:val="24"/>
          <w:szCs w:val="24"/>
          <w:highlight w:val="none"/>
        </w:rPr>
        <w:t>料等</w:t>
      </w:r>
      <w:r>
        <w:rPr>
          <w:rFonts w:hint="eastAsia" w:ascii="宋体" w:hAnsi="宋体" w:eastAsia="宋体" w:cs="宋体"/>
          <w:color w:val="auto"/>
          <w:sz w:val="24"/>
          <w:szCs w:val="24"/>
          <w:highlight w:val="none"/>
        </w:rPr>
        <w:t>相</w:t>
      </w:r>
      <w:r>
        <w:rPr>
          <w:rFonts w:hint="eastAsia" w:ascii="宋体" w:hAnsi="宋体" w:eastAsia="宋体" w:cs="宋体"/>
          <w:color w:val="auto"/>
          <w:spacing w:val="-3"/>
          <w:sz w:val="24"/>
          <w:szCs w:val="24"/>
          <w:highlight w:val="none"/>
        </w:rPr>
        <w:t>关</w:t>
      </w:r>
      <w:r>
        <w:rPr>
          <w:rFonts w:hint="eastAsia" w:ascii="宋体" w:hAnsi="宋体" w:eastAsia="宋体" w:cs="宋体"/>
          <w:color w:val="auto"/>
          <w:sz w:val="24"/>
          <w:szCs w:val="24"/>
          <w:highlight w:val="none"/>
        </w:rPr>
        <w:t>报</w:t>
      </w:r>
      <w:r>
        <w:rPr>
          <w:rFonts w:hint="eastAsia" w:ascii="宋体" w:hAnsi="宋体" w:eastAsia="宋体" w:cs="宋体"/>
          <w:color w:val="auto"/>
          <w:spacing w:val="-3"/>
          <w:sz w:val="24"/>
          <w:szCs w:val="24"/>
          <w:highlight w:val="none"/>
        </w:rPr>
        <w:t>建费</w:t>
      </w:r>
      <w:r>
        <w:rPr>
          <w:rFonts w:hint="eastAsia" w:ascii="宋体" w:hAnsi="宋体" w:eastAsia="宋体" w:cs="宋体"/>
          <w:color w:val="auto"/>
          <w:sz w:val="24"/>
          <w:szCs w:val="24"/>
          <w:highlight w:val="none"/>
        </w:rPr>
        <w:t>用</w:t>
      </w:r>
      <w:r>
        <w:rPr>
          <w:rFonts w:hint="eastAsia" w:ascii="宋体" w:hAnsi="宋体" w:eastAsia="宋体" w:cs="宋体"/>
          <w:color w:val="auto"/>
          <w:spacing w:val="-3"/>
          <w:sz w:val="24"/>
          <w:szCs w:val="24"/>
          <w:highlight w:val="none"/>
        </w:rPr>
        <w:t>、各</w:t>
      </w:r>
      <w:r>
        <w:rPr>
          <w:rFonts w:hint="eastAsia" w:ascii="宋体" w:hAnsi="宋体" w:eastAsia="宋体" w:cs="宋体"/>
          <w:color w:val="auto"/>
          <w:sz w:val="24"/>
          <w:szCs w:val="24"/>
          <w:highlight w:val="none"/>
        </w:rPr>
        <w:t>阶</w:t>
      </w:r>
      <w:r>
        <w:rPr>
          <w:rFonts w:hint="eastAsia" w:ascii="宋体" w:hAnsi="宋体" w:eastAsia="宋体" w:cs="宋体"/>
          <w:color w:val="auto"/>
          <w:spacing w:val="-3"/>
          <w:sz w:val="24"/>
          <w:szCs w:val="24"/>
          <w:highlight w:val="none"/>
        </w:rPr>
        <w:t>段的</w:t>
      </w:r>
      <w:r>
        <w:rPr>
          <w:rFonts w:hint="eastAsia" w:ascii="宋体" w:hAnsi="宋体" w:eastAsia="宋体" w:cs="宋体"/>
          <w:color w:val="auto"/>
          <w:sz w:val="24"/>
          <w:szCs w:val="24"/>
          <w:highlight w:val="none"/>
        </w:rPr>
        <w:t>汇</w:t>
      </w:r>
      <w:r>
        <w:rPr>
          <w:rFonts w:hint="eastAsia" w:ascii="宋体" w:hAnsi="宋体" w:eastAsia="宋体" w:cs="宋体"/>
          <w:color w:val="auto"/>
          <w:spacing w:val="-3"/>
          <w:sz w:val="24"/>
          <w:szCs w:val="24"/>
          <w:highlight w:val="none"/>
        </w:rPr>
        <w:t>报文</w:t>
      </w:r>
      <w:r>
        <w:rPr>
          <w:rFonts w:hint="eastAsia" w:ascii="宋体" w:hAnsi="宋体" w:eastAsia="宋体" w:cs="宋体"/>
          <w:color w:val="auto"/>
          <w:sz w:val="24"/>
          <w:szCs w:val="24"/>
          <w:highlight w:val="none"/>
        </w:rPr>
        <w:t>件</w:t>
      </w:r>
      <w:r>
        <w:rPr>
          <w:rFonts w:hint="eastAsia" w:ascii="宋体" w:hAnsi="宋体" w:eastAsia="宋体" w:cs="宋体"/>
          <w:color w:val="auto"/>
          <w:spacing w:val="-3"/>
          <w:sz w:val="24"/>
          <w:szCs w:val="24"/>
          <w:highlight w:val="none"/>
        </w:rPr>
        <w:t>和</w:t>
      </w:r>
      <w:r>
        <w:rPr>
          <w:rFonts w:hint="eastAsia" w:ascii="宋体" w:hAnsi="宋体" w:eastAsia="宋体" w:cs="宋体"/>
          <w:color w:val="auto"/>
          <w:sz w:val="24"/>
          <w:szCs w:val="24"/>
          <w:highlight w:val="none"/>
        </w:rPr>
        <w:t>送</w:t>
      </w:r>
      <w:r>
        <w:rPr>
          <w:rFonts w:hint="eastAsia" w:ascii="宋体" w:hAnsi="宋体" w:eastAsia="宋体" w:cs="宋体"/>
          <w:color w:val="auto"/>
          <w:spacing w:val="-3"/>
          <w:sz w:val="24"/>
          <w:szCs w:val="24"/>
          <w:highlight w:val="none"/>
        </w:rPr>
        <w:t>审</w:t>
      </w:r>
      <w:r>
        <w:rPr>
          <w:rFonts w:hint="eastAsia" w:ascii="宋体" w:hAnsi="宋体" w:eastAsia="宋体" w:cs="宋体"/>
          <w:color w:val="auto"/>
          <w:spacing w:val="-5"/>
          <w:sz w:val="24"/>
          <w:szCs w:val="24"/>
          <w:highlight w:val="none"/>
        </w:rPr>
        <w:t>文</w:t>
      </w:r>
      <w:r>
        <w:rPr>
          <w:rFonts w:hint="eastAsia" w:ascii="宋体" w:hAnsi="宋体" w:eastAsia="宋体" w:cs="宋体"/>
          <w:color w:val="auto"/>
          <w:sz w:val="24"/>
          <w:szCs w:val="24"/>
          <w:highlight w:val="none"/>
        </w:rPr>
        <w:t>件晒制费用已包含在设计费中）。</w:t>
      </w:r>
    </w:p>
    <w:p w14:paraId="2A12186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r>
        <w:rPr>
          <w:rFonts w:hint="eastAsia" w:ascii="宋体" w:hAnsi="宋体" w:eastAsia="宋体" w:cs="宋体"/>
          <w:color w:val="auto"/>
          <w:spacing w:val="-3"/>
          <w:sz w:val="24"/>
          <w:szCs w:val="24"/>
          <w:highlight w:val="none"/>
        </w:rPr>
        <w:t>承包人</w:t>
      </w:r>
      <w:r>
        <w:rPr>
          <w:rFonts w:hint="eastAsia" w:ascii="宋体" w:hAnsi="宋体" w:eastAsia="宋体" w:cs="宋体"/>
          <w:color w:val="auto"/>
          <w:sz w:val="24"/>
          <w:szCs w:val="24"/>
          <w:highlight w:val="none"/>
        </w:rPr>
        <w:t>须根据不同阶段的实际需要，安排相应阶段的专业技术人员驻场。</w:t>
      </w:r>
    </w:p>
    <w:p w14:paraId="62423A96">
      <w:pPr>
        <w:keepNext/>
        <w:keepLines/>
        <w:tabs>
          <w:tab w:val="left" w:pos="0"/>
        </w:tabs>
        <w:spacing w:line="360" w:lineRule="auto"/>
        <w:jc w:val="both"/>
        <w:outlineLvl w:val="0"/>
        <w:rPr>
          <w:rFonts w:hint="eastAsia" w:ascii="宋体" w:hAnsi="宋体" w:eastAsia="宋体" w:cs="宋体"/>
          <w:b/>
          <w:color w:val="auto"/>
          <w:kern w:val="44"/>
          <w:sz w:val="24"/>
          <w:szCs w:val="24"/>
          <w:highlight w:val="none"/>
        </w:rPr>
      </w:pPr>
      <w:r>
        <w:rPr>
          <w:rFonts w:hint="eastAsia" w:ascii="宋体" w:hAnsi="宋体" w:eastAsia="宋体" w:cs="宋体"/>
          <w:color w:val="auto"/>
          <w:sz w:val="24"/>
          <w:szCs w:val="24"/>
          <w:highlight w:val="none"/>
        </w:rPr>
        <w:br w:type="page"/>
      </w:r>
      <w:bookmarkStart w:id="155" w:name="_Toc122981413"/>
      <w:r>
        <w:rPr>
          <w:rFonts w:hint="eastAsia" w:ascii="宋体" w:hAnsi="宋体" w:eastAsia="宋体" w:cs="宋体"/>
          <w:b/>
          <w:color w:val="auto"/>
          <w:kern w:val="44"/>
          <w:sz w:val="24"/>
          <w:szCs w:val="24"/>
          <w:highlight w:val="none"/>
        </w:rPr>
        <w:t>八、附则</w:t>
      </w:r>
      <w:bookmarkEnd w:id="155"/>
    </w:p>
    <w:p w14:paraId="05C7F2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1.本任务书未提及部分，详见《机场安置区设计技术标准》。</w:t>
      </w:r>
    </w:p>
    <w:p w14:paraId="48D878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2.招标期间由招标组织单位发出的有关投标答疑文件与其它文件内容有矛盾时，以日期较晚的文件为准。</w:t>
      </w:r>
    </w:p>
    <w:p w14:paraId="41E309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3.如对本任务书有疑问，按照招标文件的相关规定进行答疑。</w:t>
      </w:r>
    </w:p>
    <w:p w14:paraId="5FDC8B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4.本任务书尚未详尽之处，将在招标后补充完善。</w:t>
      </w:r>
    </w:p>
    <w:p w14:paraId="74866C37">
      <w:pPr>
        <w:widowControl/>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5.本任务书的解释权归发包人所有。</w:t>
      </w:r>
    </w:p>
    <w:p w14:paraId="5C85B978">
      <w:pPr>
        <w:widowControl/>
        <w:snapToGrid/>
        <w:spacing w:before="0" w:after="0" w:line="240" w:lineRule="auto"/>
        <w:rPr>
          <w:rFonts w:hint="eastAsia" w:ascii="宋体" w:hAnsi="宋体" w:eastAsia="宋体" w:cs="宋体"/>
          <w:b/>
          <w:bCs/>
          <w:color w:val="auto"/>
          <w:sz w:val="36"/>
          <w:szCs w:val="36"/>
          <w:highlight w:val="none"/>
        </w:rPr>
      </w:pPr>
    </w:p>
    <w:p w14:paraId="559D9FF7">
      <w:pPr>
        <w:pStyle w:val="63"/>
        <w:jc w:val="center"/>
        <w:outlineLvl w:val="0"/>
        <w:rPr>
          <w:rFonts w:hint="eastAsia" w:ascii="宋体" w:hAnsi="宋体" w:eastAsia="宋体" w:cs="宋体"/>
          <w:b/>
          <w:bCs/>
          <w:color w:val="auto"/>
          <w:sz w:val="36"/>
          <w:szCs w:val="36"/>
          <w:highlight w:val="none"/>
        </w:rPr>
      </w:pPr>
    </w:p>
    <w:p w14:paraId="551607B1">
      <w:pPr>
        <w:pStyle w:val="63"/>
        <w:jc w:val="center"/>
        <w:outlineLvl w:val="0"/>
        <w:rPr>
          <w:rFonts w:hint="eastAsia" w:ascii="宋体" w:hAnsi="宋体" w:eastAsia="宋体" w:cs="宋体"/>
          <w:b/>
          <w:bCs/>
          <w:color w:val="auto"/>
          <w:sz w:val="36"/>
          <w:szCs w:val="36"/>
          <w:highlight w:val="none"/>
        </w:rPr>
      </w:pPr>
      <w:bookmarkStart w:id="156" w:name="_Toc122981414"/>
    </w:p>
    <w:p w14:paraId="239EB08B">
      <w:pPr>
        <w:pStyle w:val="63"/>
        <w:jc w:val="center"/>
        <w:outlineLvl w:val="0"/>
        <w:rPr>
          <w:rFonts w:hint="eastAsia" w:ascii="宋体" w:hAnsi="宋体" w:eastAsia="宋体" w:cs="宋体"/>
          <w:b/>
          <w:bCs/>
          <w:color w:val="auto"/>
          <w:sz w:val="36"/>
          <w:szCs w:val="36"/>
          <w:highlight w:val="none"/>
        </w:rPr>
      </w:pPr>
    </w:p>
    <w:p w14:paraId="5F565EBD">
      <w:pPr>
        <w:pStyle w:val="63"/>
        <w:jc w:val="center"/>
        <w:outlineLvl w:val="0"/>
        <w:rPr>
          <w:rFonts w:hint="eastAsia" w:ascii="宋体" w:hAnsi="宋体" w:eastAsia="宋体" w:cs="宋体"/>
          <w:b/>
          <w:bCs/>
          <w:color w:val="auto"/>
          <w:sz w:val="36"/>
          <w:szCs w:val="36"/>
          <w:highlight w:val="none"/>
        </w:rPr>
      </w:pPr>
    </w:p>
    <w:p w14:paraId="103A2F7D">
      <w:pPr>
        <w:pStyle w:val="63"/>
        <w:jc w:val="center"/>
        <w:outlineLvl w:val="0"/>
        <w:rPr>
          <w:rFonts w:hint="eastAsia" w:ascii="宋体" w:hAnsi="宋体" w:eastAsia="宋体" w:cs="宋体"/>
          <w:b/>
          <w:bCs/>
          <w:color w:val="auto"/>
          <w:sz w:val="36"/>
          <w:szCs w:val="36"/>
          <w:highlight w:val="none"/>
        </w:rPr>
      </w:pPr>
    </w:p>
    <w:p w14:paraId="0D97014E">
      <w:pPr>
        <w:pStyle w:val="63"/>
        <w:jc w:val="center"/>
        <w:outlineLvl w:val="0"/>
        <w:rPr>
          <w:rFonts w:hint="eastAsia" w:ascii="宋体" w:hAnsi="宋体" w:eastAsia="宋体" w:cs="宋体"/>
          <w:b/>
          <w:bCs/>
          <w:color w:val="auto"/>
          <w:sz w:val="36"/>
          <w:szCs w:val="36"/>
          <w:highlight w:val="none"/>
        </w:rPr>
      </w:pPr>
    </w:p>
    <w:p w14:paraId="7C352D2D">
      <w:pPr>
        <w:pStyle w:val="63"/>
        <w:jc w:val="center"/>
        <w:outlineLvl w:val="0"/>
        <w:rPr>
          <w:rFonts w:hint="eastAsia" w:ascii="宋体" w:hAnsi="宋体" w:eastAsia="宋体" w:cs="宋体"/>
          <w:b/>
          <w:bCs/>
          <w:color w:val="auto"/>
          <w:sz w:val="36"/>
          <w:szCs w:val="36"/>
          <w:highlight w:val="none"/>
        </w:rPr>
      </w:pPr>
    </w:p>
    <w:p w14:paraId="04F311D5">
      <w:pPr>
        <w:pStyle w:val="63"/>
        <w:jc w:val="center"/>
        <w:outlineLvl w:val="0"/>
        <w:rPr>
          <w:rFonts w:hint="eastAsia" w:ascii="宋体" w:hAnsi="宋体" w:eastAsia="宋体" w:cs="宋体"/>
          <w:b/>
          <w:bCs/>
          <w:color w:val="auto"/>
          <w:sz w:val="36"/>
          <w:szCs w:val="36"/>
          <w:highlight w:val="none"/>
        </w:rPr>
      </w:pPr>
    </w:p>
    <w:p w14:paraId="23911D8D">
      <w:pPr>
        <w:pStyle w:val="63"/>
        <w:jc w:val="center"/>
        <w:outlineLvl w:val="0"/>
        <w:rPr>
          <w:rFonts w:hint="eastAsia" w:ascii="宋体" w:hAnsi="宋体" w:eastAsia="宋体" w:cs="宋体"/>
          <w:b/>
          <w:bCs/>
          <w:color w:val="auto"/>
          <w:sz w:val="36"/>
          <w:szCs w:val="36"/>
          <w:highlight w:val="none"/>
        </w:rPr>
      </w:pPr>
    </w:p>
    <w:p w14:paraId="28717DE4">
      <w:pPr>
        <w:pStyle w:val="63"/>
        <w:jc w:val="center"/>
        <w:outlineLvl w:val="0"/>
        <w:rPr>
          <w:rFonts w:hint="eastAsia" w:ascii="宋体" w:hAnsi="宋体" w:eastAsia="宋体" w:cs="宋体"/>
          <w:b/>
          <w:bCs/>
          <w:color w:val="auto"/>
          <w:sz w:val="36"/>
          <w:szCs w:val="36"/>
          <w:highlight w:val="none"/>
        </w:rPr>
      </w:pPr>
    </w:p>
    <w:p w14:paraId="390383DB">
      <w:pPr>
        <w:pStyle w:val="63"/>
        <w:jc w:val="center"/>
        <w:outlineLvl w:val="0"/>
        <w:rPr>
          <w:rFonts w:hint="eastAsia" w:ascii="宋体" w:hAnsi="宋体" w:eastAsia="宋体" w:cs="宋体"/>
          <w:b/>
          <w:bCs/>
          <w:color w:val="auto"/>
          <w:sz w:val="36"/>
          <w:szCs w:val="36"/>
          <w:highlight w:val="none"/>
        </w:rPr>
      </w:pPr>
    </w:p>
    <w:p w14:paraId="5BB24A52">
      <w:pPr>
        <w:pStyle w:val="63"/>
        <w:jc w:val="center"/>
        <w:outlineLvl w:val="0"/>
        <w:rPr>
          <w:rFonts w:hint="eastAsia" w:ascii="宋体" w:hAnsi="宋体" w:eastAsia="宋体" w:cs="宋体"/>
          <w:b/>
          <w:bCs/>
          <w:color w:val="auto"/>
          <w:sz w:val="36"/>
          <w:szCs w:val="36"/>
          <w:highlight w:val="none"/>
        </w:rPr>
      </w:pPr>
    </w:p>
    <w:p w14:paraId="288B7184">
      <w:pPr>
        <w:pStyle w:val="63"/>
        <w:jc w:val="center"/>
        <w:outlineLvl w:val="0"/>
        <w:rPr>
          <w:rFonts w:hint="eastAsia" w:ascii="宋体" w:hAnsi="宋体" w:eastAsia="宋体" w:cs="宋体"/>
          <w:b/>
          <w:bCs/>
          <w:color w:val="auto"/>
          <w:sz w:val="36"/>
          <w:szCs w:val="36"/>
          <w:highlight w:val="none"/>
        </w:rPr>
      </w:pPr>
    </w:p>
    <w:p w14:paraId="7E374208">
      <w:pPr>
        <w:pStyle w:val="63"/>
        <w:jc w:val="center"/>
        <w:outlineLvl w:val="0"/>
        <w:rPr>
          <w:rFonts w:hint="eastAsia" w:ascii="宋体" w:hAnsi="宋体" w:eastAsia="宋体" w:cs="宋体"/>
          <w:b/>
          <w:bCs/>
          <w:color w:val="auto"/>
          <w:sz w:val="36"/>
          <w:szCs w:val="36"/>
          <w:highlight w:val="none"/>
        </w:rPr>
      </w:pPr>
    </w:p>
    <w:p w14:paraId="0E76B318">
      <w:pPr>
        <w:pStyle w:val="63"/>
        <w:jc w:val="center"/>
        <w:outlineLvl w:val="0"/>
        <w:rPr>
          <w:rFonts w:hint="eastAsia" w:ascii="宋体" w:hAnsi="宋体" w:eastAsia="宋体" w:cs="宋体"/>
          <w:b/>
          <w:bCs/>
          <w:color w:val="auto"/>
          <w:sz w:val="36"/>
          <w:szCs w:val="36"/>
          <w:highlight w:val="none"/>
        </w:rPr>
      </w:pPr>
    </w:p>
    <w:p w14:paraId="78FDF8AD">
      <w:pPr>
        <w:pStyle w:val="63"/>
        <w:jc w:val="center"/>
        <w:outlineLvl w:val="0"/>
        <w:rPr>
          <w:rFonts w:hint="eastAsia" w:ascii="宋体" w:hAnsi="宋体" w:eastAsia="宋体" w:cs="宋体"/>
          <w:b/>
          <w:bCs/>
          <w:color w:val="auto"/>
          <w:sz w:val="36"/>
          <w:szCs w:val="36"/>
          <w:highlight w:val="none"/>
        </w:rPr>
      </w:pPr>
    </w:p>
    <w:p w14:paraId="1164D320">
      <w:pPr>
        <w:pStyle w:val="63"/>
        <w:jc w:val="center"/>
        <w:outlineLvl w:val="0"/>
        <w:rPr>
          <w:rFonts w:hint="eastAsia" w:ascii="宋体" w:hAnsi="宋体" w:eastAsia="宋体" w:cs="宋体"/>
          <w:b/>
          <w:bCs/>
          <w:color w:val="auto"/>
          <w:sz w:val="36"/>
          <w:szCs w:val="36"/>
          <w:highlight w:val="none"/>
        </w:rPr>
      </w:pPr>
    </w:p>
    <w:p w14:paraId="1A533C50">
      <w:pPr>
        <w:pStyle w:val="63"/>
        <w:jc w:val="center"/>
        <w:outlineLvl w:val="0"/>
        <w:rPr>
          <w:rFonts w:hint="eastAsia" w:ascii="宋体" w:hAnsi="宋体" w:eastAsia="宋体" w:cs="宋体"/>
          <w:b/>
          <w:bCs/>
          <w:color w:val="auto"/>
          <w:sz w:val="36"/>
          <w:szCs w:val="36"/>
          <w:highlight w:val="none"/>
        </w:rPr>
      </w:pPr>
    </w:p>
    <w:p w14:paraId="297BA077">
      <w:pPr>
        <w:pStyle w:val="63"/>
        <w:jc w:val="center"/>
        <w:outlineLvl w:val="0"/>
        <w:rPr>
          <w:rFonts w:hint="eastAsia" w:ascii="宋体" w:hAnsi="宋体" w:eastAsia="宋体" w:cs="宋体"/>
          <w:b/>
          <w:bCs/>
          <w:color w:val="auto"/>
          <w:sz w:val="36"/>
          <w:szCs w:val="36"/>
          <w:highlight w:val="none"/>
        </w:rPr>
      </w:pPr>
    </w:p>
    <w:p w14:paraId="70F40CB6">
      <w:pPr>
        <w:pStyle w:val="63"/>
        <w:jc w:val="center"/>
        <w:outlineLvl w:val="0"/>
        <w:rPr>
          <w:rFonts w:hint="eastAsia" w:ascii="宋体" w:hAnsi="宋体" w:eastAsia="宋体" w:cs="宋体"/>
          <w:b/>
          <w:bCs/>
          <w:color w:val="auto"/>
          <w:sz w:val="36"/>
          <w:szCs w:val="36"/>
          <w:highlight w:val="none"/>
        </w:rPr>
      </w:pPr>
    </w:p>
    <w:p w14:paraId="3C05F573">
      <w:pPr>
        <w:pStyle w:val="63"/>
        <w:jc w:val="center"/>
        <w:outlineLvl w:val="0"/>
        <w:rPr>
          <w:rFonts w:hint="eastAsia" w:ascii="宋体" w:hAnsi="宋体" w:eastAsia="宋体" w:cs="宋体"/>
          <w:b/>
          <w:bCs/>
          <w:color w:val="auto"/>
          <w:sz w:val="36"/>
          <w:szCs w:val="36"/>
          <w:highlight w:val="none"/>
        </w:rPr>
      </w:pPr>
    </w:p>
    <w:p w14:paraId="5354ECC9">
      <w:pPr>
        <w:pStyle w:val="63"/>
        <w:jc w:val="center"/>
        <w:outlineLvl w:val="0"/>
        <w:rPr>
          <w:rFonts w:hint="eastAsia" w:ascii="宋体" w:hAnsi="宋体" w:eastAsia="宋体" w:cs="宋体"/>
          <w:b/>
          <w:bCs/>
          <w:color w:val="auto"/>
          <w:sz w:val="48"/>
          <w:szCs w:val="48"/>
          <w:highlight w:val="none"/>
        </w:rPr>
      </w:pPr>
      <w:r>
        <w:rPr>
          <w:rFonts w:hint="eastAsia" w:ascii="宋体" w:hAnsi="宋体" w:eastAsia="宋体" w:cs="宋体"/>
          <w:b/>
          <w:bCs/>
          <w:color w:val="auto"/>
          <w:sz w:val="36"/>
          <w:szCs w:val="36"/>
          <w:highlight w:val="none"/>
        </w:rPr>
        <w:t>第三部分 施工管理任务书</w:t>
      </w:r>
      <w:bookmarkEnd w:id="156"/>
    </w:p>
    <w:p w14:paraId="096D7893">
      <w:pP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br w:type="page"/>
      </w:r>
    </w:p>
    <w:p w14:paraId="75357384">
      <w:pPr>
        <w:pStyle w:val="7"/>
        <w:keepNext w:val="0"/>
        <w:keepLines w:val="0"/>
        <w:widowControl/>
        <w:snapToGrid/>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一、项目施工准备事项</w:t>
      </w:r>
    </w:p>
    <w:p w14:paraId="32E943F3">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1、施工总平面布置</w:t>
      </w:r>
    </w:p>
    <w:p w14:paraId="5A0A5A68">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根据安置区各地块规划建设内容，由项目总承包单位统筹考虑总平面布置，并按广州市安全文明施工管理相关要求执行。若因影响后续施工而产生二次或多次临建设施搬迁，承包人必须无条件服从施工安排，并恢复原状，由此引起的恢复费用，发包人不做任何补偿。</w:t>
      </w:r>
    </w:p>
    <w:p w14:paraId="355B4E35">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2、三通一平部署</w:t>
      </w:r>
    </w:p>
    <w:p w14:paraId="03B7BCC0">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 临水临电接驳</w:t>
      </w:r>
    </w:p>
    <w:p w14:paraId="3E0F6B68">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本项目临水由总承包单位在项目附近市政给水主管进行接驳。临时用电由总承包单位在附近的原有供配电所引出。</w:t>
      </w:r>
    </w:p>
    <w:p w14:paraId="196B046A">
      <w:pPr>
        <w:snapToGrid/>
        <w:spacing w:before="0" w:after="0" w:line="360" w:lineRule="auto"/>
        <w:ind w:right="11"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2.2 围蔽及临时道路</w:t>
      </w:r>
    </w:p>
    <w:p w14:paraId="103FC1CC">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2.2.1 围蔽的要求及范围</w:t>
      </w:r>
    </w:p>
    <w:p w14:paraId="7B5D3E2E">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要求：施工期间对施工区域及周边用地范围按建设主管部门及发包人的要求进行围蔽。</w:t>
      </w:r>
    </w:p>
    <w:p w14:paraId="77B36EE2">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2.2.2 临时道路：</w:t>
      </w:r>
    </w:p>
    <w:p w14:paraId="7242CC51">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承包人自行踏勘现场。总承包单位从外路引入施工便道。</w:t>
      </w:r>
    </w:p>
    <w:p w14:paraId="5A96DC57">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2.3 临时排水及排污</w:t>
      </w:r>
    </w:p>
    <w:p w14:paraId="17F6305D">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临时排水可就近排入附近的原有排水口及市政排污口，由总承包单位修建临时排污设施，符合广州市建筑污水排放标准。</w:t>
      </w:r>
    </w:p>
    <w:p w14:paraId="63805A49">
      <w:pPr>
        <w:snapToGrid/>
        <w:spacing w:before="0"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3、视频监控系统安装工程</w:t>
      </w:r>
    </w:p>
    <w:p w14:paraId="479858AD">
      <w:pPr>
        <w:snapToGrid/>
        <w:spacing w:before="0" w:after="0" w:line="360" w:lineRule="auto"/>
        <w:ind w:firstLine="438" w:firstLineChars="177"/>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施工现场的视频监控系统应满足《广州市建委关于广州市建筑工地安装视频监控装置的通知》(穗建筑[2006]551号)、《关于全面启动广州市社会治安视频监控系统建设有关问题的通知》（穗视频建字【2006】1号）和《广州市住房和城乡建设委员会关于全市建设工地纳入视频监管的通知》（穗建质[2017]1166号）等文件及发包单位相关要求，施工现场的视频监控应接入到发包单位，且发包单位视频监控系统软件及硬件建设由总承包单位负责。</w:t>
      </w:r>
    </w:p>
    <w:p w14:paraId="1DD29E1B">
      <w:pPr>
        <w:pStyle w:val="7"/>
        <w:keepNext w:val="0"/>
        <w:keepLines w:val="0"/>
        <w:widowControl/>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二、项目管理重点、难点</w:t>
      </w:r>
    </w:p>
    <w:p w14:paraId="2075F829">
      <w:pPr>
        <w:snapToGrid/>
        <w:spacing w:before="0" w:after="0" w:line="360" w:lineRule="auto"/>
        <w:ind w:firstLine="424"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管理是质量管理的重中之重。因此，严格实行材料看样定板制度，对进场材料严格按照定板标准组织监理验收并按相关规定进行材料检测，必须是百分百合格且与样板一致的材料才准进场使用。成套设备严格执行开箱验收制度，组织监理严格按照设计图纸和主要材料设备技术需求书列明的参数核对设备信息，确保进场设备符合设计和当地供电局要求。</w:t>
      </w:r>
    </w:p>
    <w:p w14:paraId="7D390477">
      <w:pPr>
        <w:snapToGrid/>
        <w:spacing w:before="0" w:after="0" w:line="360" w:lineRule="auto"/>
        <w:ind w:firstLine="424"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2、现场临设场地需统一规划，各专业的平行施工较多，因此，工序衔接、专业之间的配合垂直运输设备的使用统筹、现场材料进场堆放等诸多方面需要现场管理组重点协调，是现场管理的一项重点工作。</w:t>
      </w:r>
    </w:p>
    <w:p w14:paraId="77961946">
      <w:pPr>
        <w:snapToGrid/>
        <w:spacing w:before="0" w:after="0" w:line="360" w:lineRule="auto"/>
        <w:ind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3、项目一次性开工面积较大，工程量较多，确保各地块永电工程合理搭接，是本项目</w:t>
      </w:r>
      <w:r>
        <w:rPr>
          <w:rFonts w:hint="eastAsia" w:ascii="宋体" w:hAnsi="宋体" w:eastAsia="宋体" w:cs="宋体"/>
          <w:color w:val="auto"/>
          <w:spacing w:val="4"/>
          <w:sz w:val="24"/>
          <w:szCs w:val="24"/>
          <w:highlight w:val="none"/>
        </w:rPr>
        <w:t>管理重点。</w:t>
      </w:r>
    </w:p>
    <w:p w14:paraId="744FBCE3">
      <w:pPr>
        <w:snapToGrid/>
        <w:spacing w:before="0" w:after="0" w:line="360" w:lineRule="auto"/>
        <w:ind w:firstLine="496" w:firstLineChars="200"/>
        <w:rPr>
          <w:rFonts w:hint="eastAsia" w:ascii="宋体" w:hAnsi="宋体" w:eastAsia="宋体" w:cs="宋体"/>
          <w:color w:val="auto"/>
          <w:spacing w:val="4"/>
          <w:sz w:val="24"/>
          <w:szCs w:val="24"/>
          <w:highlight w:val="none"/>
          <w:lang w:val="zh-CN"/>
        </w:rPr>
      </w:pPr>
      <w:r>
        <w:rPr>
          <w:rFonts w:hint="eastAsia" w:ascii="宋体" w:hAnsi="宋体" w:eastAsia="宋体" w:cs="宋体"/>
          <w:color w:val="auto"/>
          <w:spacing w:val="4"/>
          <w:sz w:val="24"/>
          <w:szCs w:val="24"/>
          <w:highlight w:val="none"/>
        </w:rPr>
        <w:t>4、项目施工</w:t>
      </w:r>
      <w:r>
        <w:rPr>
          <w:rFonts w:hint="eastAsia" w:ascii="宋体" w:hAnsi="宋体" w:eastAsia="宋体" w:cs="宋体"/>
          <w:color w:val="auto"/>
          <w:spacing w:val="4"/>
          <w:sz w:val="24"/>
          <w:szCs w:val="24"/>
          <w:highlight w:val="none"/>
          <w:lang w:val="zh-CN"/>
        </w:rPr>
        <w:t>技术要求较为复杂，工期要求紧，同一时段要求提供的各种资源密度大，</w:t>
      </w:r>
      <w:r>
        <w:rPr>
          <w:rFonts w:hint="eastAsia" w:ascii="宋体" w:hAnsi="宋体" w:eastAsia="宋体" w:cs="宋体"/>
          <w:color w:val="auto"/>
          <w:spacing w:val="4"/>
          <w:sz w:val="24"/>
          <w:szCs w:val="24"/>
          <w:highlight w:val="none"/>
        </w:rPr>
        <w:t>是本项目管理难点</w:t>
      </w:r>
      <w:r>
        <w:rPr>
          <w:rFonts w:hint="eastAsia" w:ascii="宋体" w:hAnsi="宋体" w:eastAsia="宋体" w:cs="宋体"/>
          <w:color w:val="auto"/>
          <w:spacing w:val="4"/>
          <w:sz w:val="24"/>
          <w:szCs w:val="24"/>
          <w:highlight w:val="none"/>
          <w:lang w:val="zh-CN"/>
        </w:rPr>
        <w:t>。</w:t>
      </w:r>
      <w:r>
        <w:rPr>
          <w:rFonts w:hint="eastAsia" w:ascii="宋体" w:hAnsi="宋体" w:eastAsia="宋体" w:cs="宋体"/>
          <w:color w:val="auto"/>
          <w:spacing w:val="4"/>
          <w:sz w:val="24"/>
          <w:szCs w:val="24"/>
          <w:highlight w:val="none"/>
        </w:rPr>
        <w:t>承包人</w:t>
      </w:r>
      <w:r>
        <w:rPr>
          <w:rFonts w:hint="eastAsia" w:ascii="宋体" w:hAnsi="宋体" w:eastAsia="宋体" w:cs="宋体"/>
          <w:color w:val="auto"/>
          <w:spacing w:val="4"/>
          <w:sz w:val="24"/>
          <w:szCs w:val="24"/>
          <w:highlight w:val="none"/>
          <w:lang w:val="zh-CN"/>
        </w:rPr>
        <w:t>应对各种资源调配进行安排，包括人力资源调配，各种施工设备安排，工程所需设备、材料、软件的准备，周转资金的筹备等。在</w:t>
      </w:r>
      <w:r>
        <w:rPr>
          <w:rFonts w:hint="eastAsia" w:ascii="宋体" w:hAnsi="宋体" w:eastAsia="宋体" w:cs="宋体"/>
          <w:color w:val="auto"/>
          <w:spacing w:val="4"/>
          <w:sz w:val="24"/>
          <w:szCs w:val="24"/>
          <w:highlight w:val="none"/>
        </w:rPr>
        <w:t>发包人和监理单位</w:t>
      </w:r>
      <w:r>
        <w:rPr>
          <w:rFonts w:hint="eastAsia" w:ascii="宋体" w:hAnsi="宋体" w:eastAsia="宋体" w:cs="宋体"/>
          <w:color w:val="auto"/>
          <w:spacing w:val="4"/>
          <w:sz w:val="24"/>
          <w:szCs w:val="24"/>
          <w:highlight w:val="none"/>
          <w:lang w:val="zh-CN"/>
        </w:rPr>
        <w:t>发出进场通知后的三天内，</w:t>
      </w:r>
      <w:r>
        <w:rPr>
          <w:rFonts w:hint="eastAsia" w:ascii="宋体" w:hAnsi="宋体" w:eastAsia="宋体" w:cs="宋体"/>
          <w:color w:val="auto"/>
          <w:spacing w:val="4"/>
          <w:sz w:val="24"/>
          <w:szCs w:val="24"/>
          <w:highlight w:val="none"/>
        </w:rPr>
        <w:t>承包人</w:t>
      </w:r>
      <w:r>
        <w:rPr>
          <w:rFonts w:hint="eastAsia" w:ascii="宋体" w:hAnsi="宋体" w:eastAsia="宋体" w:cs="宋体"/>
          <w:color w:val="auto"/>
          <w:spacing w:val="4"/>
          <w:sz w:val="24"/>
          <w:szCs w:val="24"/>
          <w:highlight w:val="none"/>
          <w:lang w:val="zh-CN"/>
        </w:rPr>
        <w:t>必须按照投标承诺保证全部项目管理人员和</w:t>
      </w:r>
      <w:r>
        <w:rPr>
          <w:rFonts w:hint="eastAsia" w:ascii="宋体" w:hAnsi="宋体" w:eastAsia="宋体" w:cs="宋体"/>
          <w:color w:val="auto"/>
          <w:spacing w:val="4"/>
          <w:sz w:val="24"/>
          <w:szCs w:val="24"/>
          <w:highlight w:val="none"/>
        </w:rPr>
        <w:t>施工</w:t>
      </w:r>
      <w:r>
        <w:rPr>
          <w:rFonts w:hint="eastAsia" w:ascii="宋体" w:hAnsi="宋体" w:eastAsia="宋体" w:cs="宋体"/>
          <w:color w:val="auto"/>
          <w:spacing w:val="4"/>
          <w:sz w:val="24"/>
          <w:szCs w:val="24"/>
          <w:highlight w:val="none"/>
          <w:lang w:val="zh-CN"/>
        </w:rPr>
        <w:t>人员投入</w:t>
      </w:r>
      <w:r>
        <w:rPr>
          <w:rFonts w:hint="eastAsia" w:ascii="宋体" w:hAnsi="宋体" w:eastAsia="宋体" w:cs="宋体"/>
          <w:color w:val="auto"/>
          <w:spacing w:val="4"/>
          <w:sz w:val="24"/>
          <w:szCs w:val="24"/>
          <w:highlight w:val="none"/>
        </w:rPr>
        <w:t>施工</w:t>
      </w:r>
      <w:r>
        <w:rPr>
          <w:rFonts w:hint="eastAsia" w:ascii="宋体" w:hAnsi="宋体" w:eastAsia="宋体" w:cs="宋体"/>
          <w:color w:val="auto"/>
          <w:spacing w:val="4"/>
          <w:sz w:val="24"/>
          <w:szCs w:val="24"/>
          <w:highlight w:val="none"/>
          <w:lang w:val="zh-CN"/>
        </w:rPr>
        <w:t>。</w:t>
      </w:r>
    </w:p>
    <w:p w14:paraId="369F349E">
      <w:pPr>
        <w:snapToGrid/>
        <w:spacing w:before="0" w:after="0"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4"/>
          <w:sz w:val="24"/>
          <w:szCs w:val="24"/>
          <w:highlight w:val="none"/>
          <w:lang w:val="zh-CN"/>
        </w:rPr>
        <w:t>项目严格执行合同管理，对</w:t>
      </w:r>
      <w:r>
        <w:rPr>
          <w:rFonts w:hint="eastAsia" w:ascii="宋体" w:hAnsi="宋体" w:eastAsia="宋体" w:cs="宋体"/>
          <w:color w:val="auto"/>
          <w:spacing w:val="4"/>
          <w:sz w:val="24"/>
          <w:szCs w:val="24"/>
          <w:highlight w:val="none"/>
        </w:rPr>
        <w:t>承包人</w:t>
      </w:r>
      <w:r>
        <w:rPr>
          <w:rFonts w:hint="eastAsia" w:ascii="宋体" w:hAnsi="宋体" w:eastAsia="宋体" w:cs="宋体"/>
          <w:color w:val="auto"/>
          <w:spacing w:val="4"/>
          <w:sz w:val="24"/>
          <w:szCs w:val="24"/>
          <w:highlight w:val="none"/>
          <w:lang w:val="zh-CN"/>
        </w:rPr>
        <w:t>的违约（特别是工期、质量方面）有相当严厉的处罚。</w:t>
      </w:r>
      <w:r>
        <w:rPr>
          <w:rFonts w:hint="eastAsia" w:ascii="宋体" w:hAnsi="宋体" w:eastAsia="宋体" w:cs="宋体"/>
          <w:color w:val="auto"/>
          <w:spacing w:val="4"/>
          <w:sz w:val="24"/>
          <w:szCs w:val="24"/>
          <w:highlight w:val="none"/>
        </w:rPr>
        <w:t>承包人</w:t>
      </w:r>
      <w:r>
        <w:rPr>
          <w:rFonts w:hint="eastAsia" w:ascii="宋体" w:hAnsi="宋体" w:eastAsia="宋体" w:cs="宋体"/>
          <w:color w:val="auto"/>
          <w:spacing w:val="4"/>
          <w:sz w:val="24"/>
          <w:szCs w:val="24"/>
          <w:highlight w:val="none"/>
          <w:lang w:val="zh-CN"/>
        </w:rPr>
        <w:t>应对本项目的资源投入计划、进度计划及施工方案等制订完善有效的保障措施，最大限度地减小违约的可能。</w:t>
      </w:r>
    </w:p>
    <w:p w14:paraId="0636E975">
      <w:pPr>
        <w:snapToGrid/>
        <w:spacing w:before="0" w:after="0"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文明施工与绿色施工，承包人应按照广东省房屋市政工程安全生产文明施工示范工地的要求做好现场安全生产及文明施工，保证施工场地清洁、扬尘及噪音管理符合环境卫生管理的有关规定。需根据《建筑工程绿色施工评价标准》（GB/T 50640-2010）、《广州市建设工程绿色施工工作技术指引》及相关规定，按照不同阶段进行安全文明与绿色施工策划，使用可重复利用周转材料，半成品推广工厂制作到场安装，全过程标准化，实现节能减排，绿色环保，积极创新，凸显亮点。</w:t>
      </w:r>
    </w:p>
    <w:p w14:paraId="5902B56F">
      <w:pPr>
        <w:snapToGrid/>
        <w:spacing w:before="0" w:after="0"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7、项目一次性开工面积较大，工程量较多，竣工验收的统一及管理是本项目管理的难点。</w:t>
      </w:r>
    </w:p>
    <w:p w14:paraId="18E23D33">
      <w:pPr>
        <w:pStyle w:val="7"/>
        <w:keepNext w:val="0"/>
        <w:keepLines w:val="0"/>
        <w:widowControl/>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三、项目管理要求</w:t>
      </w:r>
    </w:p>
    <w:p w14:paraId="707AF008">
      <w:pPr>
        <w:snapToGrid/>
        <w:spacing w:before="0" w:after="0"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1、深化设计管理要求</w:t>
      </w:r>
    </w:p>
    <w:p w14:paraId="0F924B22">
      <w:pPr>
        <w:snapToGrid/>
        <w:spacing w:before="0" w:after="0"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 深化设计包括永电工程设计，电力管沟及配电房深化设计，</w:t>
      </w:r>
      <w:r>
        <w:rPr>
          <w:rFonts w:hint="eastAsia" w:ascii="宋体" w:hAnsi="宋体" w:eastAsia="宋体" w:cs="宋体"/>
          <w:color w:val="auto"/>
          <w:sz w:val="24"/>
          <w:szCs w:val="24"/>
          <w:highlight w:val="none"/>
        </w:rPr>
        <w:t>低压柜电柜后（至用户方向）公变部分包括一户一表及电缆、母线槽，充电桩及电缆等需经供电局审核的深化设计，相关的业扩配套工程设计，</w:t>
      </w:r>
      <w:r>
        <w:rPr>
          <w:rFonts w:hint="eastAsia" w:ascii="宋体" w:hAnsi="宋体" w:eastAsia="宋体" w:cs="宋体"/>
          <w:color w:val="auto"/>
          <w:spacing w:val="4"/>
          <w:sz w:val="24"/>
          <w:szCs w:val="24"/>
          <w:highlight w:val="none"/>
        </w:rPr>
        <w:t>机电管线综合平衡设计等；</w:t>
      </w:r>
    </w:p>
    <w:p w14:paraId="4EF95206">
      <w:pPr>
        <w:snapToGrid/>
        <w:spacing w:before="0" w:after="0"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 深化设计能力要求。承包人应具备相应的永电工程深化设计能力。</w:t>
      </w:r>
    </w:p>
    <w:p w14:paraId="7D261FF3">
      <w:pPr>
        <w:snapToGrid/>
        <w:spacing w:before="0" w:after="0" w:line="36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 深化设计工作要点</w:t>
      </w:r>
    </w:p>
    <w:p w14:paraId="1066FB99">
      <w:pPr>
        <w:snapToGrid/>
        <w:spacing w:before="0" w:after="0" w:line="36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1.3.1 深化设计是在不改变原施工图设计功能、结构体系和设计意图的前提下，以提高施工图的可操作性和便于施工为目的，对施工图进行深化、优化和完善、力求节约投资的技术工作。有关费用已包含在合同总价中。</w:t>
      </w:r>
    </w:p>
    <w:p w14:paraId="044E3FF7">
      <w:pPr>
        <w:snapToGrid/>
        <w:spacing w:before="0" w:after="0"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1.3.2 承包人进行深化设计时，应以供电局审批的设计图纸为依据，如没有合理的原因，不能进行改动；深化设计图纸报经监理单位和发包人同意批准后方可实施。</w:t>
      </w:r>
    </w:p>
    <w:p w14:paraId="792CBDFF">
      <w:pPr>
        <w:snapToGrid/>
        <w:spacing w:before="0" w:after="0" w:line="36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1.3.3 深化设计选用的材料厂家及品牌应是承包人根据招标文件《主要设备材料品牌/生产厂家推荐表》和供电部门年度《电力工程物资合格供应商名单》规定提交的投标文件上列明的材料厂家及品牌。如经考察，投标人选用的材料不满足工程需要，发包人有权在《主要设备材料品牌/生产厂家推荐表》和供电部门年度《电力工程物资合格供应商名单》中选择其他满足规定的材料厂家及品牌，合同价款不作调整。</w:t>
      </w:r>
    </w:p>
    <w:p w14:paraId="20BAF530">
      <w:pPr>
        <w:snapToGrid/>
        <w:spacing w:before="0" w:after="0" w:line="36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1.3.4 深化设计须结合施工工艺要求，与各相关专业工程充分沟通，不得影响其他专业或系统的结构体系和使用功能等。</w:t>
      </w:r>
    </w:p>
    <w:p w14:paraId="73213294">
      <w:pPr>
        <w:snapToGrid/>
        <w:spacing w:before="0" w:after="0" w:line="36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1.3.5 深化设计的计量计价原则：在满足招标技术要求（包括强制性条款、推荐品牌要求）的前提下，深化设计引起的材质、参数（含规格、型号等)的调整均不作为调价的依据。</w:t>
      </w:r>
    </w:p>
    <w:p w14:paraId="1FB3B441">
      <w:pPr>
        <w:snapToGrid/>
        <w:spacing w:before="0" w:after="0" w:line="36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1.3.6 根据本项目的特点，承包人需对深化设计进度、质量作出明确承诺，如承包人未能按进度计划或质量完成深化设计，影响到工程质量或工期时将承担合同相应的违约责任。</w:t>
      </w:r>
    </w:p>
    <w:p w14:paraId="6BA5EC73">
      <w:pPr>
        <w:pStyle w:val="7"/>
        <w:keepNext w:val="0"/>
        <w:keepLines w:val="0"/>
        <w:widowControl/>
        <w:snapToGrid/>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2、质量管理要求</w:t>
      </w:r>
    </w:p>
    <w:p w14:paraId="673BA7F4">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 承包人应当完善质量管理制度，建立质量控制流程，进行全面质量管理（TQC），以《质量管理体系标准要求》（GB/T19000-2008）为标准，建立并保持一个有效的工程质量管理体系。为此，承包人必须做到（不限于）：</w:t>
      </w:r>
    </w:p>
    <w:p w14:paraId="78A7BD6E">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2.1.1 建立完整的质量保证体系，建立并完善各项目质量管理检查制度及企业质量管理文件等；</w:t>
      </w:r>
    </w:p>
    <w:p w14:paraId="7DAA1A30">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2.1.2 承包人提交监理工程师批准的施工组织设计或者施工方案必须附有完备的工程质量保证措施；</w:t>
      </w:r>
    </w:p>
    <w:p w14:paraId="3A96CA3B">
      <w:pPr>
        <w:snapToGrid/>
        <w:spacing w:before="0" w:after="0" w:line="360" w:lineRule="auto"/>
        <w:ind w:firstLine="424"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2.1.3永电工程开工前，承包人必须按要求逐级进行技术交底</w:t>
      </w:r>
      <w:r>
        <w:rPr>
          <w:rFonts w:hint="eastAsia" w:ascii="宋体" w:hAnsi="宋体" w:eastAsia="宋体" w:cs="宋体"/>
          <w:color w:val="auto"/>
          <w:spacing w:val="4"/>
          <w:sz w:val="24"/>
          <w:szCs w:val="24"/>
          <w:highlight w:val="none"/>
        </w:rPr>
        <w:t>，组织学习有关规程、标准、规范和工艺要求，在施工中必须按规程及工艺进行操作，并邀请监理人参加。承包人应将交底过程资料报监理人备案。</w:t>
      </w:r>
    </w:p>
    <w:p w14:paraId="4BBEDE50">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2.2 质量通病防治</w:t>
      </w:r>
    </w:p>
    <w:p w14:paraId="62E280C4">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承包人必须严格执行有关质量通病治理措施、工程建设强制性标准和有关节能、环境保护、绿色施工的规定。承包人须针对项目制定工程质量通病防治措施方案。</w:t>
      </w:r>
    </w:p>
    <w:p w14:paraId="41D6AEEB">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2.3 材料、设备质量保证</w:t>
      </w:r>
    </w:p>
    <w:p w14:paraId="5BA6F407">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工程所用材料设备必须符合设计和供电局有关规范与规定。承包人须确保使用的材料设备是合格的、全新的、未使用过的，凡材料设备质量不符合要求，须停工和返工，返工费用由承包人承担，工期不予顺延。</w:t>
      </w:r>
    </w:p>
    <w:p w14:paraId="40FC720B">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2.4 人员持证上岗</w:t>
      </w:r>
    </w:p>
    <w:p w14:paraId="056D6F89">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承包人投入的作业人员需具备独立完成办理供电部门高压送电和验收资格。施工作业人员必须具备相应的上岗证，如进网电工作业证、特种作业操作证，以确保施工质量。所有人员必须带证上岗，随时接受发包人、监理单位检查，否则按合同约定承担违约责任。</w:t>
      </w:r>
    </w:p>
    <w:p w14:paraId="6B0C7F24">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2.5 按图施工</w:t>
      </w:r>
    </w:p>
    <w:p w14:paraId="6467AC77">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承包人必须严格按审查批准的施工方案和供电部门审批的设计图纸施工，不得擅自修改施工方案及设计图纸。</w:t>
      </w:r>
    </w:p>
    <w:p w14:paraId="3CB2A078">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2.6 检验与检查</w:t>
      </w:r>
    </w:p>
    <w:p w14:paraId="2BEA2C06">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承包人必须加强质量自检，做好原材料自检、施工过程数据记录及隐蔽工程验收等工作。监理人、发包人、供电部门、行政主管部门将严格按相关规范和规定对工程质量进行检查验收，未经验收的工程不得进入下一道工序。监理人、发包人、供电部门、行政主管部门检查或检验不能免除或减轻承包人按照合同约定应当承担的责任。</w:t>
      </w:r>
    </w:p>
    <w:p w14:paraId="08B49B79">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2.7 现场保护</w:t>
      </w:r>
    </w:p>
    <w:p w14:paraId="12460EC4">
      <w:pPr>
        <w:snapToGrid/>
        <w:spacing w:before="0" w:after="0" w:line="360" w:lineRule="auto"/>
        <w:ind w:firstLine="438"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承包人应加强工程材料、设备、半成品、成品的现场保护工作，项目移交之前造成的遗失或损坏由承包人自行承担。</w:t>
      </w:r>
    </w:p>
    <w:p w14:paraId="344168DD">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2.8 工程技术档案管理</w:t>
      </w:r>
    </w:p>
    <w:p w14:paraId="33ECC0DE">
      <w:pPr>
        <w:snapToGrid/>
        <w:spacing w:before="0" w:after="0" w:line="360" w:lineRule="auto"/>
        <w:ind w:firstLine="438" w:firstLineChars="177"/>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承包人应保证按照国家、地方、行业的有关规定，准确、及时做好日常工程技术资料的记录、整理和归档移交工作，保证记录中原始数据的真实性和及时性，监理单位或发包人有权抽查承包人日常工程技术资料的整理工作，若发现未按照规定及时做好资料整理工作或发现原始记录数据不存在、不真实、不完整，经监理单位确认，发包人有权拒绝相应部分工程的工程量计量与支付，并视情节轻重，由承包人按照合同专用条款的约定承担违约责任。</w:t>
      </w:r>
    </w:p>
    <w:p w14:paraId="7834EE04">
      <w:pPr>
        <w:pStyle w:val="7"/>
        <w:keepNext w:val="0"/>
        <w:keepLines w:val="0"/>
        <w:widowControl/>
        <w:snapToGrid/>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3、工人工资及预付款支付管理要求</w:t>
      </w:r>
    </w:p>
    <w:p w14:paraId="093D2D99">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3.1 中标后，承包人必须按建设主管部门要求设立工人工资支付专用账户，通过工人工资支付专用账户，依法按时足额将工人工资直接支付到工人的工资个人账户，并按月将工人工资支付明细表报发包人备案，作为次月工程进度款的支付条件之一。承包人应当建立用工管理台账，真实、准确记录工人名册、劳动合同、劳务合同、工程进度、工时、劳务承包款和工人工资支付情况等信息，并保存两年以上备查。</w:t>
      </w:r>
    </w:p>
    <w:p w14:paraId="30C8B630">
      <w:pPr>
        <w:snapToGrid/>
        <w:spacing w:before="0" w:after="0"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 本工程资金支付金额以有权审批部门审批金额为准。</w:t>
      </w:r>
    </w:p>
    <w:p w14:paraId="652538EF">
      <w:pPr>
        <w:snapToGrid/>
        <w:spacing w:before="0" w:after="0" w:line="360" w:lineRule="auto"/>
        <w:ind w:firstLine="496" w:firstLineChars="2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 承包人在收到发包人工程预付款后，应及时向分包单位、供应商支付备料款等相关费用。承包人如挪用预付款，或未及时向分包单位、供应商支付备料款导致工期延误的，发包人一经查实，有权对承包人按合同约定进行处罚。</w:t>
      </w:r>
    </w:p>
    <w:p w14:paraId="572EF35D">
      <w:pPr>
        <w:snapToGrid/>
        <w:spacing w:before="0" w:after="0" w:line="360" w:lineRule="auto"/>
        <w:ind w:firstLine="496" w:firstLineChars="2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 工人工资支付管理要求须满足委托人制定的相关制度要求。</w:t>
      </w:r>
    </w:p>
    <w:p w14:paraId="2E4F03FB">
      <w:pPr>
        <w:pStyle w:val="7"/>
        <w:keepNext w:val="0"/>
        <w:keepLines w:val="0"/>
        <w:widowControl/>
        <w:snapToGrid/>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4、进度管理要求</w:t>
      </w:r>
    </w:p>
    <w:p w14:paraId="30615446">
      <w:pPr>
        <w:snapToGrid/>
        <w:spacing w:before="0" w:after="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进场前核实现场条件</w:t>
      </w:r>
    </w:p>
    <w:p w14:paraId="6B01F0FB">
      <w:pPr>
        <w:snapToGrid/>
        <w:spacing w:before="0" w:after="0" w:line="360" w:lineRule="auto"/>
        <w:ind w:firstLine="424"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在收到发包人进场通知后，对开工条件进行全面摸查、分析，作出全面开工、或局部开工、或不具备开工条件的判断，并书面向监理人、招标人报告。如工程具备开工条件，承包人应就全面开工或局部开工的实际条件，合理安排相匹配的人员、材料、机械设备进场，对于大型机械设备还须报监理人、发包人批准进场方案后方能进场；如工程不具备开工条件，承包人应在收到发包人进场通知后5天内以书面形式向发包人提出延期进场的要求并说明理由，报监理单位和发包人批准后方可延期进场，否则发包人不承担由此造成承包人的损失。</w:t>
      </w:r>
    </w:p>
    <w:p w14:paraId="75892E08">
      <w:pPr>
        <w:snapToGrid/>
        <w:spacing w:before="0" w:after="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进度计划编制和资源投入</w:t>
      </w:r>
    </w:p>
    <w:p w14:paraId="43B61750">
      <w:pPr>
        <w:snapToGrid/>
        <w:spacing w:before="0" w:after="0" w:line="360" w:lineRule="auto"/>
        <w:ind w:firstLine="424"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进场后须根据项目实施总控计划、施工图纸和现场实际情况编制切实可行的实施进度计划，并按照监理工程师、发包人的要求随时修订和调整，采取一切可能的措施，确保按批准的进度计划实施工程。承包人应根据工作面的变化情况及工程进度要求，合理调配人员及施工机械设备。承包人如不根据工作面变化情况合理调整人员、施工机械设备，造成的人员、设备窝工费用发包人不予支付。</w:t>
      </w:r>
    </w:p>
    <w:p w14:paraId="6914F7C6">
      <w:pPr>
        <w:snapToGrid/>
        <w:spacing w:before="0" w:after="0" w:line="360" w:lineRule="auto"/>
        <w:ind w:firstLine="424"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工期计划</w:t>
      </w:r>
    </w:p>
    <w:p w14:paraId="46B52599">
      <w:pPr>
        <w:snapToGrid/>
        <w:spacing w:before="0" w:after="0" w:line="360" w:lineRule="auto"/>
        <w:ind w:firstLine="424"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根据节点工期要求编制各节点机械设备、劳动力、材料投入计划并进行考核，对材料、机械设备、劳动力投入不足等情况追究施工方的违约责任。</w:t>
      </w:r>
    </w:p>
    <w:p w14:paraId="23670958">
      <w:pPr>
        <w:snapToGrid/>
        <w:spacing w:before="0" w:after="0" w:line="360" w:lineRule="auto"/>
        <w:ind w:firstLine="424" w:firstLineChars="17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承包人在施工过程中需要为政府部门、供电部门、建设单位、监理单位、检测单位的检查、检测预留足够的时间，其时间相应计入总工期中，不作为工期调整的依据。</w:t>
      </w:r>
    </w:p>
    <w:p w14:paraId="0785494C">
      <w:pPr>
        <w:snapToGrid/>
        <w:spacing w:before="0" w:after="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进度计划修订与调整</w:t>
      </w:r>
    </w:p>
    <w:p w14:paraId="388EF78F">
      <w:pPr>
        <w:snapToGrid/>
        <w:spacing w:before="0" w:after="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过程中，如因不可抗力、工程设计有重大变更等非承包人原因导致工期确需调整的，承包人应及时向监理单位和发包人提出工期调整及人员、机械设备投入调整的报告，经监理单位和发包人批准后方可执行，且承包人不得因此向发包人提出人员、机械设备等窝工费用的索赔。</w:t>
      </w:r>
    </w:p>
    <w:p w14:paraId="612D9C58">
      <w:pPr>
        <w:snapToGrid/>
        <w:spacing w:before="0" w:after="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非发包人原因工期延误的处理</w:t>
      </w:r>
    </w:p>
    <w:p w14:paraId="0831DD40">
      <w:pPr>
        <w:snapToGrid/>
        <w:spacing w:before="0" w:after="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非发包人延误工期的情况下，如果监理人或发包人书面指出承包人实施合同工程或其任何部分的进度过慢，迟于进度计划或不能按期竣工，则承包人应按照采取一切改进措施，加快工程进度。如果承包人在接到监理工程师或发包人通知后的14天内，未能采取加快工程进度的措施，致使实际进度进一步延迟；或承包人虽然采取了改进措施，仍无法按期竣工，监理人应立即报告发包人，并抄送承包人。发包人可按照合同规定解除合同，也可将合同工程中的一部分工作交由第三方完成，由此增加的一切费用由承包人承担。即使承包人承担增加的费用，也不能免除其按照合同约定应承担的任何责任和应履行的任何义务。</w:t>
      </w:r>
    </w:p>
    <w:p w14:paraId="7B8FF40F">
      <w:pPr>
        <w:pStyle w:val="7"/>
        <w:keepNext w:val="0"/>
        <w:keepLines w:val="0"/>
        <w:widowControl/>
        <w:snapToGrid/>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5、安全文明、职业健康与环境管理施工要求</w:t>
      </w:r>
    </w:p>
    <w:p w14:paraId="14374759">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5.1安全文明施工一般规定</w:t>
      </w:r>
    </w:p>
    <w:p w14:paraId="15DD8CB7">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根据广州市城乡建委《广州市住房和城乡建设委员会关于全市建设工地纳入视频监管的通知》（穗建质〔2017〕1166号）要求，建立并完善工地的视频监控系统。</w:t>
      </w:r>
    </w:p>
    <w:p w14:paraId="71570CD5">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承包人应按《广州市住房和城乡建设局等9部门关于印发广州市建设工程绿色施工围蔽指导图集（V2.0版）的通知 》（穗建质〔2020〕1号）实施。</w:t>
      </w:r>
    </w:p>
    <w:p w14:paraId="3BA65CEA">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严格按照《广州市城乡建设委员会关于印发广州市建设工程绿色施工工作技术指引的通知》（穗建质〔2014〕914号）要求，对建设工程全过程实施绿色施工。</w:t>
      </w:r>
    </w:p>
    <w:p w14:paraId="0BB099A9">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 严格按照《广州市住房和城乡建设局等8部门关于印发广州市建设工程扬尘防治“6个100%”管理标准图集（V2.0版）的通知》的要求，对建设工程全过程实施扬尘防治。</w:t>
      </w:r>
    </w:p>
    <w:p w14:paraId="1CCC5460">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 严格执行《广州机场建设投资集团有限公司建设项目职业健康、安全、环境保护（HSE）标准化指南》，符合发包人关于安全文明施工管理的相关规定。</w:t>
      </w:r>
    </w:p>
    <w:p w14:paraId="608904AF">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环境保护一般规定</w:t>
      </w:r>
    </w:p>
    <w:p w14:paraId="4FE28715">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承包人应在进入现场前向监理单位提交施工期间的环境保护方案，经监理工程师批准后实施。在实施过程中所采用的材料、设备等经监理工程师和发包人同意后使用。</w:t>
      </w:r>
    </w:p>
    <w:p w14:paraId="71476F2B">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职业健康一般规定</w:t>
      </w:r>
    </w:p>
    <w:p w14:paraId="52F955A5">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依法为其履行合同所雇用的人员办理必要的证件、许可、保险和注册等，按照法律规定保障现场施工人员的劳动安全，提供劳动保护,采取有效的防止粉尘、降低噪声、控制有害气体和保障高温、高寒、高空作业安全等劳动保护措施。承包人雇佣人员在施工中受到伤害的，承包人应立即采取有效措施进行抢救和治疗。承包人应为其履行合同所雇用的人员提供必要的膳宿条件和生活环境，采取有效措施预防传染病，保证施工人员的健康。</w:t>
      </w:r>
    </w:p>
    <w:p w14:paraId="1ECAA9D0">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疫情防控规定</w:t>
      </w:r>
    </w:p>
    <w:p w14:paraId="5E424A27">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按照各级政府、主管部门及发包人要求做好疫情防控工作。</w:t>
      </w:r>
    </w:p>
    <w:p w14:paraId="63526E27">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安全保证措施要求</w:t>
      </w:r>
    </w:p>
    <w:p w14:paraId="39F3D262">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保证措施必须包括人员投入，安全措施费投入，安全教育培训，应急救援演练，安全检查及隐患排查整改，专项施工方案的编制、审批和实施措施，预防施工坍塌事故的措施，预防建筑起重机械伤害事故的措施等重点内容。措施项目的实施要求须满足《建筑施工安全检查标准》（JGJ59-2011）、《建筑施工现场环境与卫生标准》（JGJ146-2004）、广东省建设厅转发建设部关于印发《建筑工程安全防护、文明施工措施费用及使用管理规定》的通知（粤建管字[2005]116号）、关于印发《广东省建设厅建筑工程安全防护、文明施工措施费用管理办法》的通知（粤建管字[2007]39号）、关于印发《广州市建设工程现场文明施工管理办法》的通知（穗建质[2008]937号）、《广州市住房和城乡建设局等9部门关于印发广州市建设工程绿色施工围蔽指导图集（V2.0版）的通知 》（穗建质〔2020〕1号）、关于印发《广州市建设工程施工现场消防安全管理规定》的通知（穗建质[2011]617号）、《广州市建设工程文明施工管理规定》（广州市人民政府2011年第62号令）及发包人制定的相关规定的要求。</w:t>
      </w:r>
    </w:p>
    <w:p w14:paraId="0452CC25">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 安全生产管理人员投入要求</w:t>
      </w:r>
    </w:p>
    <w:p w14:paraId="4206FFA7">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承包人必须严格按照省市相关规定和发包人要求，足额投入安全生产管理人员，其中：专职安全员必须持证上岗，特殊工种的人员也应受过专门的培训并已取得政府有关管理机构颁发的上岗证书。</w:t>
      </w:r>
    </w:p>
    <w:p w14:paraId="4EBCC517">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承包人必须明确划分各人员的责任，使其在施工过程中履行自己的责任和义务。项目经理是安全第一责任人，负责安全生产的直接责任。</w:t>
      </w:r>
    </w:p>
    <w:p w14:paraId="26EAAD14">
      <w:pPr>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承包人必须制定严格的安全技术操作规程，并定期对安全生产管理人员进行考核。</w:t>
      </w:r>
    </w:p>
    <w:p w14:paraId="5341C4BE">
      <w:pPr>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进场前发包人对安全管理人员进行面试，并定期考核，合格者方能入职上岗，发包人有权更换不合格安全生产管理人员。</w:t>
      </w:r>
    </w:p>
    <w:p w14:paraId="36361A18">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 承包人对现场安全负全责</w:t>
      </w:r>
    </w:p>
    <w:p w14:paraId="7A023500">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承包人对经发包人移交的施工场地负有全过程、全面的管理责任，必须对施工场地范围内的治安秩序、安全保卫、环境卫生以及周围房屋、市政设施等全面负责，对施工场地范围内的交通道路、用水、用电、场地内的施工协调负责，确保不对周边环境、道路、行人和相邻施工现场造成不利影响，不得干扰周围居民的正常生活。承包人应加强现场治安防卫工作。在工程开工后7天内编制施工场地治安管理计划，并制定应对突发治安事件的紧急预案。在工程施工过程中，发生暴乱、爆炸等恐怖事件，以及群殴、械斗等群体性突发治安事件的，承包人应立即向发包人和当地政府报告。承包人应积极协助当地有关部门采取措施平息事态，防止事态扩大，尽量避免人员伤亡和财产损失。</w:t>
      </w:r>
    </w:p>
    <w:p w14:paraId="3DFB6C8D">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 危险性较大工程的安全管理</w:t>
      </w:r>
    </w:p>
    <w:p w14:paraId="5771DC8C">
      <w:pPr>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危险性较大的分部分项工程《危险性较大的分部分项工程安全管理规定》(中华人民共和国住房和城乡建设部令第37号)等文规定执行。需单独编制危险性较大分部分项专项工程施工方案的，及要求进行专家论证的超过一定规模的危险性较大的分部分项工程，承包人应及时编制和组织论证，相关专家应选用自政府、行业协会或发包人的专家库。承包人在动力设备、输电线路、地下管道、密封防震车间、易燃易爆地段以及临街交通要道附近施工时，施工开始前应向发包人和监理人提出安全防护措施，经发包人认可后实施。 </w:t>
      </w:r>
    </w:p>
    <w:p w14:paraId="608BCBCD">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02054A49">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 安全问题应急措施及上报制度</w:t>
      </w:r>
    </w:p>
    <w:p w14:paraId="4F335D80">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在工程实施期间，如遇到突发的地质变动、事先未知的地下施工障碍等影响施工安全的紧急情况，承包人应及时报告监理人和发包人，发包人应当及时下令停工并报政府有关行政管理部门采取应急措施。</w:t>
      </w:r>
    </w:p>
    <w:p w14:paraId="4EFFA9CC">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 安全文明施工费用专款专用</w:t>
      </w:r>
    </w:p>
    <w:p w14:paraId="1D157FC7">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前，承包人应制定安全文明施工方案及年度安全文明措施费投入计划，安全文明措施费必须按照工程进度及合同条款要求足额投入，监理单位和发包人定期组织现场验收。承包人须定期上报安全文明措施费使用情况，并提供有效证明材料，上报监理单位及发包人审核。</w:t>
      </w:r>
    </w:p>
    <w:p w14:paraId="7B2FFC28">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施工过程中必须严格执行安全文明施工方案，安全防护、文明施工的内容按承包人向发包人提交且经发包人批准的详细的施工组织设计实施，包括且不限于施工的安全设施、机具以及围网、护栏、高压线防护、管线防护、临边防护、涉铁涉路防护、施工通道等，全部按发包人或产权单位的要求统一标准、统一标识。所需安全防护、文明施工措施费必须专款专用，严禁挪用，一经发现，根据合同约定处理。</w:t>
      </w:r>
    </w:p>
    <w:p w14:paraId="58840643">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承包人不按要求实施安全生产、文明施工时的特殊处理措施</w:t>
      </w:r>
    </w:p>
    <w:p w14:paraId="0B217E74">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监理单位、发包人或监督部门在安全文明施工检查过程中，如发现施工现场不满足国家、省、市关于安全文明生产的相关规定和发包人对本工程安全文明施工的相关要求，且不按监理单位要求在限定时间内整改完毕的，发包人可以自行或委托其他单位实施整改，所发生的费用从安全防护、文明施工措施费款项中扣除，不足部分从承包人的合同价款中扣除。</w:t>
      </w:r>
    </w:p>
    <w:p w14:paraId="699AAFE1">
      <w:pPr>
        <w:snapToGrid/>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或缺陷责任期内发生危及工程安全的事件，监理人通知承包人进行抢救，承包人声明无能力或不愿立即执行的，发包人有权自行或委托其他单位进行抢救。此类抢救按合同约定属于承包人义务的，由此增加的费用和（或）延误的工期由承包人承担。</w:t>
      </w:r>
    </w:p>
    <w:p w14:paraId="49BCA010">
      <w:pPr>
        <w:pStyle w:val="7"/>
        <w:keepNext w:val="0"/>
        <w:keepLines w:val="0"/>
        <w:widowControl/>
        <w:snapToGrid/>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6、绿色施工管理要求</w:t>
      </w:r>
    </w:p>
    <w:p w14:paraId="0B92BB84">
      <w:pPr>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施工管理要求。加强绿色施工管理，主要包括组织管理、规划管理、实施管理、评价管理和人员安全与健康管理五个方面。建立绿色施工管理体系，并制定相应的管理制度与目标；编制绿色施工方案，该方案应在施工组织设计中独立成章，并按有关规定进行审批；绿色施工应对整个施工过程实施动态管理，加强对施工策划、施工准备、材料采购、现场施工、工程验收等各阶段的管理和监督。</w:t>
      </w:r>
    </w:p>
    <w:p w14:paraId="583C270F">
      <w:pPr>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环境保护要求。对土方作业阶段、结构安装装饰阶段作业区扬尘高度进行监控，采用喷雾、洒水等措施进行治理；同时做好对噪音与振动控制、光污染控制、水污染控制、土壤保护、建筑垃圾控制、地下设施、文物和资源保护等方面控制。</w:t>
      </w:r>
    </w:p>
    <w:p w14:paraId="608D73CE">
      <w:pPr>
        <w:pStyle w:val="7"/>
        <w:keepNext w:val="0"/>
        <w:keepLines w:val="0"/>
        <w:widowControl/>
        <w:snapToGrid/>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7、投资控制要求：详见合同条款。</w:t>
      </w:r>
    </w:p>
    <w:p w14:paraId="075B9B53">
      <w:pPr>
        <w:pStyle w:val="7"/>
        <w:keepNext w:val="0"/>
        <w:keepLines w:val="0"/>
        <w:widowControl/>
        <w:snapToGrid/>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8、材料设备管理要求</w:t>
      </w:r>
    </w:p>
    <w:p w14:paraId="7193BBFF">
      <w:pPr>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材料设备采购计划管理</w:t>
      </w:r>
    </w:p>
    <w:p w14:paraId="2A4B0C70">
      <w:pPr>
        <w:spacing w:before="0" w:after="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进场后应根据设计图纸及施工进度计划制定主要材料设备采购计划，及时签订采购合同（签订供货合同的时间必须至少比第一批货物计划进场的时间提前两个月+备货期），影响工程造价较大的大批量材料设备，承包人必须提前定制或锁定价格，否则由此引起的工期调整或价格调整，发包人有权不予批准。其中：</w:t>
      </w:r>
    </w:p>
    <w:p w14:paraId="5DD34FE9">
      <w:pPr>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 主要材料设备采购计划需报监理单位审核，审核合格后报发包人备案，并作为第一期工程进度款的支付条件之一；</w:t>
      </w:r>
    </w:p>
    <w:p w14:paraId="2AA71D5F">
      <w:pPr>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 主要材料设备的采购合同必须报发包人备案（具体需要备案的材料设备采购合同种类由发包人根据项目实际需要确定），作为涉及相应材料设备的中间计量进度款的支付条件之一。</w:t>
      </w:r>
    </w:p>
    <w:p w14:paraId="2ABC678F">
      <w:pPr>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材料设备采购管理</w:t>
      </w:r>
    </w:p>
    <w:p w14:paraId="58D5FFEA">
      <w:pPr>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确保在满足或优于招标文件（包括招标文件各专业主要设备材料技术参数）、招标图纸和相关规范要求的条件下采购主要材料设备。甲方保留对材料设备进行集中采购的权利，乙方须无条件配合。同时承包人应承诺优先通过广州市建材集群采购管理服务综合平台采购项目所需的预拌混凝土和装配式混凝土预制构件等材料设备。其中：</w:t>
      </w:r>
    </w:p>
    <w:p w14:paraId="5DDBDC7F">
      <w:pPr>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 招标文件有推荐品牌和供电部门年度《</w:t>
      </w:r>
      <w:r>
        <w:rPr>
          <w:rFonts w:hint="eastAsia" w:ascii="宋体" w:hAnsi="宋体" w:eastAsia="宋体" w:cs="宋体"/>
          <w:color w:val="auto"/>
          <w:sz w:val="24"/>
          <w:szCs w:val="24"/>
          <w:highlight w:val="none"/>
          <w:lang w:eastAsia="zh-CN"/>
        </w:rPr>
        <w:t>电力工程</w:t>
      </w:r>
      <w:r>
        <w:rPr>
          <w:rFonts w:hint="eastAsia" w:ascii="宋体" w:hAnsi="宋体" w:eastAsia="宋体" w:cs="宋体"/>
          <w:color w:val="auto"/>
          <w:sz w:val="24"/>
          <w:szCs w:val="24"/>
          <w:highlight w:val="none"/>
        </w:rPr>
        <w:t>物资合格供应商名单》范围的主要材料设备，原则上必须在推荐品牌和供电部门年度《电</w:t>
      </w:r>
      <w:r>
        <w:rPr>
          <w:rFonts w:hint="eastAsia" w:ascii="宋体" w:hAnsi="宋体" w:eastAsia="宋体" w:cs="宋体"/>
          <w:color w:val="auto"/>
          <w:sz w:val="24"/>
          <w:szCs w:val="24"/>
          <w:highlight w:val="none"/>
          <w:lang w:val="en-US" w:eastAsia="zh-CN"/>
        </w:rPr>
        <w:t>力</w:t>
      </w:r>
      <w:r>
        <w:rPr>
          <w:rFonts w:hint="eastAsia" w:ascii="宋体" w:hAnsi="宋体" w:eastAsia="宋体" w:cs="宋体"/>
          <w:color w:val="auto"/>
          <w:sz w:val="24"/>
          <w:szCs w:val="24"/>
          <w:highlight w:val="none"/>
        </w:rPr>
        <w:t>工程物资合格供应商名单》范围内选用（具体见《主要材料设备品牌/生产厂家推荐表》）。</w:t>
      </w:r>
    </w:p>
    <w:p w14:paraId="3AA619F5">
      <w:pPr>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若承包人选用同等或优于推荐品牌的，在采购前必须经发包人审批同意，否则，视为承包人自行更换品牌，按招标文件和合同规定承担违约责任。</w:t>
      </w:r>
    </w:p>
    <w:p w14:paraId="6D551A61">
      <w:pPr>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 不在推荐品牌范围的主要材料设备，承包人按中国名牌、国家免检产品、省知名品牌的顺序选定，同时须严格按照发包人看样定板的相关规定执行。</w:t>
      </w:r>
    </w:p>
    <w:p w14:paraId="6DE524BB">
      <w:pPr>
        <w:snapToGrid/>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 本项目主要设备材料品牌/生产厂家推荐表，详见合同《主要设备材料推荐品牌表》。</w:t>
      </w:r>
    </w:p>
    <w:p w14:paraId="2238137D">
      <w:pPr>
        <w:spacing w:before="0" w:after="0" w:line="360" w:lineRule="auto"/>
        <w:ind w:firstLine="463" w:firstLineChars="193"/>
        <w:rPr>
          <w:rFonts w:hint="eastAsia" w:ascii="宋体" w:hAnsi="宋体" w:eastAsia="宋体" w:cs="宋体"/>
          <w:color w:val="auto"/>
          <w:highlight w:val="none"/>
        </w:rPr>
      </w:pPr>
      <w:r>
        <w:rPr>
          <w:rFonts w:hint="eastAsia" w:ascii="宋体" w:hAnsi="宋体" w:eastAsia="宋体" w:cs="宋体"/>
          <w:color w:val="auto"/>
          <w:sz w:val="24"/>
          <w:highlight w:val="none"/>
        </w:rPr>
        <w:t>8.3 材料设备检验、试验管理</w:t>
      </w:r>
    </w:p>
    <w:p w14:paraId="551D9B8F">
      <w:pPr>
        <w:spacing w:before="0" w:after="0" w:line="360" w:lineRule="auto"/>
        <w:ind w:firstLine="463" w:firstLineChars="193"/>
        <w:rPr>
          <w:rFonts w:hint="eastAsia" w:ascii="宋体" w:hAnsi="宋体" w:eastAsia="宋体" w:cs="宋体"/>
          <w:color w:val="auto"/>
          <w:highlight w:val="none"/>
        </w:rPr>
      </w:pPr>
      <w:r>
        <w:rPr>
          <w:rFonts w:hint="eastAsia" w:ascii="宋体" w:hAnsi="宋体" w:eastAsia="宋体" w:cs="宋体"/>
          <w:color w:val="auto"/>
          <w:sz w:val="24"/>
          <w:highlight w:val="none"/>
        </w:rPr>
        <w:t>无论发包人是否推荐品牌范围，所有用于本工程的材料设备必须严格按合同条款的约定进行检验、试验，确保材料设备质量。材料进场批次要与见证取样检测批次一致，否则，多出批次的检测费由承包人承担。</w:t>
      </w:r>
    </w:p>
    <w:p w14:paraId="6DB5B5DD">
      <w:pPr>
        <w:spacing w:before="0" w:after="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8.4 乙供材料设备看样定板管理</w:t>
      </w:r>
    </w:p>
    <w:p w14:paraId="2FE9CAD4">
      <w:pPr>
        <w:spacing w:before="0" w:after="0" w:line="360" w:lineRule="auto"/>
        <w:ind w:firstLine="463" w:firstLineChars="193"/>
        <w:rPr>
          <w:rFonts w:hint="eastAsia" w:ascii="宋体" w:hAnsi="宋体" w:eastAsia="宋体" w:cs="宋体"/>
          <w:color w:val="auto"/>
          <w:highlight w:val="none"/>
        </w:rPr>
      </w:pPr>
      <w:r>
        <w:rPr>
          <w:rFonts w:hint="eastAsia" w:ascii="宋体" w:hAnsi="宋体" w:eastAsia="宋体" w:cs="宋体"/>
          <w:color w:val="auto"/>
          <w:sz w:val="24"/>
          <w:highlight w:val="none"/>
        </w:rPr>
        <w:t>为加强本工程所使用的乙供材料设备的质量管理，确保承包人所选购的材料设备的质量、技术性能、款式、效果等方面满足设计和使用需求，所有主要材料设备在看样定板之前，发包人、使用业主、监理单位、设计单位有权对乙供材料设备厂家的生产能力、制造水平、生产工艺等方面进行综合考察评估，考核评估合格的方能采购。如经综合考察评估不合格，发包人有权在《主要材料设备品牌/生产厂家推荐表》</w:t>
      </w:r>
      <w:r>
        <w:rPr>
          <w:rFonts w:hint="eastAsia" w:ascii="宋体" w:hAnsi="宋体" w:eastAsia="宋体" w:cs="宋体"/>
          <w:color w:val="auto"/>
          <w:sz w:val="24"/>
          <w:szCs w:val="24"/>
          <w:highlight w:val="none"/>
        </w:rPr>
        <w:t>和供电部门年度《电</w:t>
      </w:r>
      <w:r>
        <w:rPr>
          <w:rFonts w:hint="eastAsia" w:ascii="宋体" w:hAnsi="宋体" w:eastAsia="宋体" w:cs="宋体"/>
          <w:color w:val="auto"/>
          <w:sz w:val="24"/>
          <w:szCs w:val="24"/>
          <w:highlight w:val="none"/>
          <w:lang w:val="en-US" w:eastAsia="zh-CN"/>
        </w:rPr>
        <w:t>力</w:t>
      </w:r>
      <w:r>
        <w:rPr>
          <w:rFonts w:hint="eastAsia" w:ascii="宋体" w:hAnsi="宋体" w:eastAsia="宋体" w:cs="宋体"/>
          <w:color w:val="auto"/>
          <w:sz w:val="24"/>
          <w:szCs w:val="24"/>
          <w:highlight w:val="none"/>
        </w:rPr>
        <w:t>工程物资合格供应商名单》</w:t>
      </w:r>
      <w:r>
        <w:rPr>
          <w:rFonts w:hint="eastAsia" w:ascii="宋体" w:hAnsi="宋体" w:eastAsia="宋体" w:cs="宋体"/>
          <w:color w:val="auto"/>
          <w:sz w:val="24"/>
          <w:highlight w:val="none"/>
        </w:rPr>
        <w:t>中选择其他满足规定的材料厂家及品牌，经考核评估合格后予以选用，合同价款不作调整。</w:t>
      </w:r>
    </w:p>
    <w:p w14:paraId="4BC3EE4D">
      <w:pPr>
        <w:spacing w:before="0" w:after="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8.5 乙供材料设备供应商管理</w:t>
      </w:r>
    </w:p>
    <w:p w14:paraId="7A62182C">
      <w:pPr>
        <w:spacing w:before="0" w:after="0" w:line="360" w:lineRule="auto"/>
        <w:ind w:firstLine="463" w:firstLineChars="193"/>
        <w:rPr>
          <w:rFonts w:hint="eastAsia" w:ascii="宋体" w:hAnsi="宋体" w:eastAsia="宋体" w:cs="宋体"/>
          <w:color w:val="auto"/>
          <w:highlight w:val="none"/>
        </w:rPr>
      </w:pPr>
      <w:r>
        <w:rPr>
          <w:rFonts w:hint="eastAsia" w:ascii="宋体" w:hAnsi="宋体" w:eastAsia="宋体" w:cs="宋体"/>
          <w:color w:val="auto"/>
          <w:sz w:val="24"/>
          <w:highlight w:val="none"/>
        </w:rPr>
        <w:t>承包人应在确定主要乙供材料设备供应商的7个工作日内，将供应商的清单明细（包括供应商的名称、联系人、联系电话、联系地址等）报监理单位和发包人备案。供应商须服从监理单位和发包人的管理，并按要求参加相关工作例会。</w:t>
      </w:r>
    </w:p>
    <w:p w14:paraId="736C530F">
      <w:pPr>
        <w:spacing w:before="0" w:after="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8.6 材料设备专用于本工程</w:t>
      </w:r>
    </w:p>
    <w:p w14:paraId="4CA234BF">
      <w:pPr>
        <w:spacing w:before="0" w:after="0" w:line="360" w:lineRule="auto"/>
        <w:ind w:firstLine="463" w:firstLineChars="193"/>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承包人运入施工现场的材料、工程设备、施工设备以及在施工场地建设的临时设施，包括备品备件、安装工具与资料，必须专用于工程。未经发包人批准不得运出施工现场或挪作他用。</w:t>
      </w:r>
    </w:p>
    <w:p w14:paraId="07E24143">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9、验收及结算管理要求</w:t>
      </w:r>
    </w:p>
    <w:p w14:paraId="0A3646CC">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9.1 工程验收管理要求：</w:t>
      </w:r>
    </w:p>
    <w:p w14:paraId="3E686D98">
      <w:pPr>
        <w:snapToGrid/>
        <w:spacing w:before="0" w:after="0" w:line="360" w:lineRule="auto"/>
        <w:ind w:firstLine="426"/>
        <w:rPr>
          <w:rFonts w:hint="eastAsia" w:ascii="宋体" w:hAnsi="宋体" w:eastAsia="宋体" w:cs="宋体"/>
          <w:color w:val="auto"/>
          <w:highlight w:val="none"/>
        </w:rPr>
      </w:pPr>
      <w:r>
        <w:rPr>
          <w:rFonts w:hint="eastAsia" w:ascii="宋体" w:hAnsi="宋体" w:eastAsia="宋体" w:cs="宋体"/>
          <w:color w:val="auto"/>
          <w:spacing w:val="4"/>
          <w:sz w:val="24"/>
          <w:highlight w:val="none"/>
        </w:rPr>
        <w:t>9.1.1 承包人必须在工程具备验收条件时的3周前编制验收计划，按工程竣工验收有关规定及验收计划分阶段逐项申报验收，确保工程一次验收合格。</w:t>
      </w:r>
    </w:p>
    <w:p w14:paraId="77DAE59C">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9.1.2承包人严格按招标单位《工程验收及备案管理实施细则》执行。</w:t>
      </w:r>
    </w:p>
    <w:p w14:paraId="42E45B15">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9.1.3 经验收评定，工程质量不合格或工程内容有尚未完成者，由承包人在商定的期限内进行修补后，再进行验收，直至达到完全符合合同要求为止，并按最后验收合格的日期作为竣工日期，由此产生的一切费用均由承包人负责。</w:t>
      </w:r>
    </w:p>
    <w:p w14:paraId="7DC114EA">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9.1.4竣工验收完成后承包人须向发包人提供完整竣工资料（包含竣工图）及竣工验收报告；并做好竣工档案、竣工备案等工作。工程验收的其他要求按合同约定执行。</w:t>
      </w:r>
    </w:p>
    <w:p w14:paraId="79103335">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9.2 工程造价（结算）管理要求：</w:t>
      </w:r>
    </w:p>
    <w:p w14:paraId="3A57FBEF">
      <w:pPr>
        <w:spacing w:before="0" w:after="0" w:line="360" w:lineRule="auto"/>
        <w:ind w:firstLine="438" w:firstLineChars="177"/>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 xml:space="preserve">9.2.1 </w:t>
      </w:r>
      <w:r>
        <w:rPr>
          <w:rFonts w:hint="eastAsia" w:ascii="宋体" w:hAnsi="宋体" w:eastAsia="宋体" w:cs="宋体"/>
          <w:color w:val="auto"/>
          <w:sz w:val="24"/>
          <w:highlight w:val="none"/>
        </w:rPr>
        <w:t>承包人须在施工图纸审定后一个月内编制施工图预算，提出施工图预算工程量与招标清单工程量之间的差异，并报监理单位和发包人审核备案。</w:t>
      </w:r>
    </w:p>
    <w:p w14:paraId="132812F8">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9.2.2 承包人应按发包人要求派出足够的、有能力的造价人员负责结算工作。若派出的造价人员不足或不能胜任结算工作，承包人应按发包人的要求及时更换，直至满足要求为止。</w:t>
      </w:r>
    </w:p>
    <w:p w14:paraId="4603AB3F">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9.2.3 承包人执行发包人下发的结算编制指引及与结算有关的文件规定。</w:t>
      </w:r>
    </w:p>
    <w:p w14:paraId="71869320">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9.2.4 承包人须协助发包人加强投资控制，每期申请进度款的计量计价应准确，进度款的申请应与主要材料设备采购计划相匹配，严禁虚报计量或超前计量，否则严格按合同约定承担违约责任。</w:t>
      </w:r>
    </w:p>
    <w:p w14:paraId="29C7CD96">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9.2.5 在施工过程中发生的工程变更、工程签证等引起合同价款调增事件后，承包人未按合同约定办理变更工程预算审批的，则发包人有权根据实际情况决定是否调整合同价款以及调整的金额。</w:t>
      </w:r>
    </w:p>
    <w:p w14:paraId="45E0EA7D">
      <w:pPr>
        <w:snapToGrid/>
        <w:spacing w:before="0" w:after="0"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9.2.6 根据项目的实际情况，如承包人需另行租用场地用于临设之用，属于承包人自行考虑范畴，相关的费用投标时综合考虑，不再另行计量、支付。</w:t>
      </w:r>
    </w:p>
    <w:p w14:paraId="5AE7480B">
      <w:pPr>
        <w:snapToGrid/>
        <w:spacing w:before="0" w:after="0" w:line="240" w:lineRule="auto"/>
        <w:ind w:right="11"/>
        <w:jc w:val="center"/>
        <w:rPr>
          <w:rFonts w:hint="eastAsia" w:ascii="宋体" w:hAnsi="宋体" w:eastAsia="宋体" w:cs="宋体"/>
          <w:color w:val="auto"/>
          <w:highlight w:val="none"/>
        </w:rPr>
      </w:pPr>
      <w:r>
        <w:rPr>
          <w:rFonts w:hint="eastAsia" w:ascii="宋体" w:hAnsi="宋体" w:eastAsia="宋体" w:cs="宋体"/>
          <w:b/>
          <w:color w:val="auto"/>
          <w:sz w:val="28"/>
          <w:szCs w:val="21"/>
          <w:highlight w:val="none"/>
        </w:rPr>
        <w:t>结算送审资料移交清单</w:t>
      </w:r>
    </w:p>
    <w:tbl>
      <w:tblPr>
        <w:tblStyle w:val="41"/>
        <w:tblW w:w="0" w:type="auto"/>
        <w:jc w:val="center"/>
        <w:tblLayout w:type="fixed"/>
        <w:tblCellMar>
          <w:top w:w="0" w:type="dxa"/>
          <w:left w:w="108" w:type="dxa"/>
          <w:bottom w:w="0" w:type="dxa"/>
          <w:right w:w="108" w:type="dxa"/>
        </w:tblCellMar>
      </w:tblPr>
      <w:tblGrid>
        <w:gridCol w:w="1460"/>
        <w:gridCol w:w="6915"/>
      </w:tblGrid>
      <w:tr w14:paraId="007E2266">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405A7F">
            <w:pPr>
              <w:tabs>
                <w:tab w:val="left" w:pos="379"/>
                <w:tab w:val="center" w:pos="682"/>
              </w:tabs>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58F2C4">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资料名称</w:t>
            </w:r>
          </w:p>
        </w:tc>
      </w:tr>
      <w:tr w14:paraId="37C671C1">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51C950">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6292A1">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工程结算书及其电子文档</w:t>
            </w:r>
          </w:p>
        </w:tc>
      </w:tr>
      <w:tr w14:paraId="59150BEB">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4D34B7">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F439D1">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w:t>
            </w:r>
          </w:p>
        </w:tc>
      </w:tr>
      <w:tr w14:paraId="3807041A">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CBCDE2">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116492">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工程竣工图纸（及其电子文档）</w:t>
            </w:r>
          </w:p>
        </w:tc>
      </w:tr>
      <w:tr w14:paraId="1013BD65">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6B78A3">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5C1464">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tc>
      </w:tr>
      <w:tr w14:paraId="53592DD0">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73D0A0">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656CB5">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tc>
      </w:tr>
      <w:tr w14:paraId="373375B2">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976346">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D3835C">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r>
      <w:tr w14:paraId="3DB850EC">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ECED83">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2A3456">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工程开工报告</w:t>
            </w:r>
          </w:p>
        </w:tc>
      </w:tr>
      <w:tr w14:paraId="3CBD978F">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AE0A95">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86D6B0">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竣工验收报告</w:t>
            </w:r>
          </w:p>
        </w:tc>
      </w:tr>
      <w:tr w14:paraId="53B73F51">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2DC9E7">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B51E6C">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工程设计变更</w:t>
            </w:r>
          </w:p>
        </w:tc>
      </w:tr>
      <w:tr w14:paraId="15320129">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639648">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886488">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工程签证</w:t>
            </w:r>
          </w:p>
        </w:tc>
      </w:tr>
      <w:tr w14:paraId="4CF03319">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63F166">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FB6093">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工程量计算书（含钢筋抽料表）及其电子文档</w:t>
            </w:r>
          </w:p>
        </w:tc>
      </w:tr>
      <w:tr w14:paraId="7492A227">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6DCDE7">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30FE1C">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工程预（概）算批复文件</w:t>
            </w:r>
          </w:p>
        </w:tc>
      </w:tr>
      <w:tr w14:paraId="1C9A8DB2">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A295B3">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0BD427">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相关资金安排（批复）文件</w:t>
            </w:r>
          </w:p>
        </w:tc>
      </w:tr>
      <w:tr w14:paraId="611D02B9">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146392">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AA8BFB">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招标图</w:t>
            </w:r>
          </w:p>
        </w:tc>
      </w:tr>
      <w:tr w14:paraId="4E7165C5">
        <w:tblPrEx>
          <w:tblCellMar>
            <w:top w:w="0" w:type="dxa"/>
            <w:left w:w="108" w:type="dxa"/>
            <w:bottom w:w="0" w:type="dxa"/>
            <w:right w:w="108" w:type="dxa"/>
          </w:tblCellMar>
        </w:tblPrEx>
        <w:trPr>
          <w:trHeight w:val="437"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7D2715">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36B718">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图纸会审记录</w:t>
            </w:r>
          </w:p>
        </w:tc>
      </w:tr>
      <w:tr w14:paraId="16992968">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B9C7FA">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B627C7">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工程洽商记录</w:t>
            </w:r>
          </w:p>
        </w:tc>
      </w:tr>
      <w:tr w14:paraId="676CB661">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3482A9">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5955A3">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监理合同</w:t>
            </w:r>
          </w:p>
        </w:tc>
      </w:tr>
      <w:tr w14:paraId="572E1880">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B35AD3">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C1B1D9">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监理工程师通知或发包人施工指令</w:t>
            </w:r>
          </w:p>
        </w:tc>
      </w:tr>
      <w:tr w14:paraId="5D169876">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68F40C">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003EEA">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会议纪要</w:t>
            </w:r>
          </w:p>
        </w:tc>
      </w:tr>
      <w:tr w14:paraId="0A0BECE5">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8AD363">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2E5597">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材料、设备单价呈批审核单</w:t>
            </w:r>
          </w:p>
        </w:tc>
      </w:tr>
      <w:tr w14:paraId="6A1A0AA7">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87F979">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063BC0">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综合单价呈批审核单及电子版</w:t>
            </w:r>
          </w:p>
        </w:tc>
      </w:tr>
      <w:tr w14:paraId="0B37177A">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E4D7CE">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556357">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甲供材料证明</w:t>
            </w:r>
          </w:p>
        </w:tc>
      </w:tr>
      <w:tr w14:paraId="01F1BE09">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B267D8">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2C0E40">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p>
        </w:tc>
      </w:tr>
      <w:tr w14:paraId="3D6FEC37">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93200D">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2189DF">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工程地质勘察报告及水文资料</w:t>
            </w:r>
          </w:p>
        </w:tc>
      </w:tr>
      <w:tr w14:paraId="0EC6E82E">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087914">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88E4C3">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城建档案</w:t>
            </w:r>
          </w:p>
        </w:tc>
      </w:tr>
      <w:tr w14:paraId="0BF4BD91">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3DA784">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21343B">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工期逾期情况说明</w:t>
            </w:r>
          </w:p>
        </w:tc>
      </w:tr>
      <w:tr w14:paraId="3528ECCA">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DD89F6">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2DB86E">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合同条款修改说明</w:t>
            </w:r>
          </w:p>
        </w:tc>
      </w:tr>
      <w:tr w14:paraId="58BA1A93">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CD83EF">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361628">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隐蔽工程验收记录</w:t>
            </w:r>
          </w:p>
        </w:tc>
      </w:tr>
      <w:tr w14:paraId="4C9DE059">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E58BF7">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114EAA">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工程质量验收评定证书</w:t>
            </w:r>
          </w:p>
        </w:tc>
      </w:tr>
      <w:tr w14:paraId="03DB414A">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602FB3">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463C20">
            <w:pPr>
              <w:spacing w:before="0" w:after="0" w:line="26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涉及税金等调整的工程款支付明细</w:t>
            </w:r>
          </w:p>
        </w:tc>
      </w:tr>
      <w:tr w14:paraId="3CB337A4">
        <w:tblPrEx>
          <w:tblCellMar>
            <w:top w:w="0" w:type="dxa"/>
            <w:left w:w="108" w:type="dxa"/>
            <w:bottom w:w="0" w:type="dxa"/>
            <w:right w:w="108" w:type="dxa"/>
          </w:tblCellMar>
        </w:tblPrEx>
        <w:trPr>
          <w:trHeight w:val="454" w:hRule="atLeast"/>
          <w:jc w:val="center"/>
        </w:trPr>
        <w:tc>
          <w:tcPr>
            <w:tcW w:w="14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B011F1">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69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C0358F">
            <w:pPr>
              <w:snapToGrid/>
              <w:spacing w:before="0" w:after="0"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其它结算资料</w:t>
            </w:r>
          </w:p>
        </w:tc>
      </w:tr>
    </w:tbl>
    <w:p w14:paraId="2B2B1FB7">
      <w:pPr>
        <w:snapToGrid/>
        <w:spacing w:before="0" w:after="0" w:line="360" w:lineRule="auto"/>
        <w:ind w:firstLine="480" w:firstLineChars="200"/>
        <w:rPr>
          <w:rFonts w:hint="eastAsia" w:ascii="宋体" w:hAnsi="宋体" w:eastAsia="宋体" w:cs="宋体"/>
          <w:color w:val="auto"/>
          <w:sz w:val="24"/>
          <w:highlight w:val="none"/>
        </w:rPr>
      </w:pPr>
    </w:p>
    <w:p w14:paraId="225C27BB">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10、质保期服务管理要求</w:t>
      </w:r>
    </w:p>
    <w:p w14:paraId="7B5C0D81">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在质量保证期内，承包人须做好以下工作：</w:t>
      </w:r>
    </w:p>
    <w:p w14:paraId="7474ECF3">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 培训工作</w:t>
      </w:r>
    </w:p>
    <w:p w14:paraId="5F35F751">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10.1.1 竣工验收合格后3个月内，承包人须针对各系统特点及项目实际情况编制使用手册、培训手册以及培训计划，并组织专人（包括主要设备供货商）对业主管理人员的进行培训工作，培训内容包括系统的功能介绍、性能介绍、操作要求、维护要求等，直至业主管理人员能熟练掌握及正常使用系统。</w:t>
      </w:r>
    </w:p>
    <w:p w14:paraId="25D17456">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10.1.2 用户培训费在措施项目清单计价表中已开列，由投标自行填报，培训期间产生的所有费用已包含在该项费用中，发包人不在另行支付其他费用。</w:t>
      </w:r>
    </w:p>
    <w:p w14:paraId="6FAEDDE9">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 质量保证期和售后服务</w:t>
      </w:r>
    </w:p>
    <w:p w14:paraId="6E97C346">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10.2.1 在质量保证期内，承包人按保修协议约定免费提供设备的维修及保养服务。</w:t>
      </w:r>
    </w:p>
    <w:p w14:paraId="168E2772">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10.2.2 质保期内须免费提供设备的维修及保养服务，定期派工程师到现场巡查，并配合对各系统进行每年一次的年检且提供年检报告。</w:t>
      </w:r>
    </w:p>
    <w:p w14:paraId="4BB2C00B">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10.2.3 质保期内设备本身质量出现问题或由于设备本身质量原因造成的任何损伤或损坏，承包人应及时给予免费维修或免费更换，由此引起的施工费、人工费、材料费等其他一切费用由承包人负责。新更换的零部件的质保期则从更换之日起计。</w:t>
      </w:r>
    </w:p>
    <w:p w14:paraId="5A32035D">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10.2.4承包人在故障保修响应方面应做到：承包人须在接到业主通知的1小时内予以答复；在业主要求时，承包人的技术人员须在收到业主通知后3小时之内到现场进行修理，相关的维修必须连续进行，直至故障完全修复为止。若在24小时内不能排除故障，承包人应立即采取切实有效的补救措施（包括免费提供应急设备），全力防止损失的扩大。</w:t>
      </w:r>
    </w:p>
    <w:p w14:paraId="6A9277A7">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10.2.5从工程竣工验收合格正式运行之日起的质量保证期（含潜在缺陷质量保证期）内，由于设备材料因素造成的损坏，均由承包人免费维修、更换，由于人为（非承包人人员）和自然灾害造成的损坏，收取成本费用。</w:t>
      </w:r>
    </w:p>
    <w:p w14:paraId="7D4EE729">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10.2.6 在质量保证期结束前，承包人须与业主代表对合同项下设备进行全面的检查，对任何缺陷由承包人负责修理。在修理之后，承包人须将缺陷原因、修理的内容、完成修理及恢复正常的时间和日期等情况报告给业主。</w:t>
      </w:r>
    </w:p>
    <w:p w14:paraId="59EA7197">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10.2.7 承包人必提供满足质量保证期内正常运行的备品备件和易损、易耗件，并随时优惠提供易损件，优惠提供产品更新、改造服务。</w:t>
      </w:r>
    </w:p>
    <w:p w14:paraId="00298076">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10.2.8 在质量保证期内，以下主要设备提供原厂售后保修服务，若本项目的质量保证期比主要设备供应商规定的售后保修服务期长的，须相应延长主要设备的原厂售后保修服务期，所发生的相关费用由承包人承担，发包人不另行增加费用。</w:t>
      </w:r>
    </w:p>
    <w:p w14:paraId="3F10DD4C">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10.2.9 质保期满，由承包人提出退还质量保证金申请，按要求提交《工程质量保修责任期终止证书》，经监理单位、使用单位和发包人确认后按合同要求退还。</w:t>
      </w:r>
    </w:p>
    <w:p w14:paraId="6E42067F">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10.2.10 项目通过验收后，在使用过程中发现的较大质量隐患，发包人有权将合同质保期延长至隐患消除为止。</w:t>
      </w:r>
    </w:p>
    <w:p w14:paraId="642B807F">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11、调价机制</w:t>
      </w:r>
    </w:p>
    <w:p w14:paraId="38E57BDD">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人工费及材料价差的调整和结算方式</w:t>
      </w:r>
    </w:p>
    <w:p w14:paraId="2EE9A22C">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具体调价方法按合同条款约定执行。</w:t>
      </w:r>
    </w:p>
    <w:p w14:paraId="7624E6DD">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11.2承包人应认真阅读合同，合理预计报价风险，中标后将不以承包人未正确理解或未合理预计风险为由要求增加任何费用。</w:t>
      </w:r>
    </w:p>
    <w:p w14:paraId="42A872AC">
      <w:pPr>
        <w:pStyle w:val="3"/>
        <w:keepNext w:val="0"/>
        <w:keepLines w:val="0"/>
        <w:snapToGrid/>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四、施工管理人员组织管理要求</w:t>
      </w:r>
    </w:p>
    <w:p w14:paraId="3168AB53">
      <w:pPr>
        <w:snapToGrid/>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承包人进场即成立项目管理部负责工程管理工作。其中，施工管理人员配备要求见《施工管理主要人员配置要求》。</w:t>
      </w:r>
    </w:p>
    <w:p w14:paraId="128ACD9B">
      <w:pPr>
        <w:pStyle w:val="2"/>
        <w:ind w:firstLine="480"/>
        <w:rPr>
          <w:rFonts w:hint="eastAsia" w:hAnsi="宋体" w:cs="宋体"/>
          <w:highlight w:val="none"/>
        </w:rPr>
      </w:pPr>
    </w:p>
    <w:p w14:paraId="3C5D1F03">
      <w:pPr>
        <w:rPr>
          <w:rFonts w:hint="eastAsia" w:ascii="宋体" w:hAnsi="宋体" w:eastAsia="宋体" w:cs="宋体"/>
          <w:color w:val="auto"/>
          <w:sz w:val="24"/>
          <w:highlight w:val="none"/>
        </w:rPr>
      </w:pPr>
    </w:p>
    <w:p w14:paraId="2140CC84">
      <w:pPr>
        <w:pStyle w:val="2"/>
        <w:ind w:firstLine="480"/>
        <w:rPr>
          <w:rFonts w:hint="eastAsia" w:hAnsi="宋体" w:cs="宋体"/>
          <w:highlight w:val="none"/>
        </w:rPr>
      </w:pPr>
    </w:p>
    <w:p w14:paraId="16629105">
      <w:pPr>
        <w:rPr>
          <w:rFonts w:hint="eastAsia"/>
          <w:color w:val="auto"/>
          <w:highlight w:val="none"/>
        </w:rPr>
      </w:pPr>
    </w:p>
    <w:p w14:paraId="0C3EA6C7">
      <w:pPr>
        <w:snapToGrid/>
        <w:spacing w:before="0" w:after="0" w:line="360" w:lineRule="auto"/>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施工管理主要人员配置要求</w:t>
      </w:r>
    </w:p>
    <w:tbl>
      <w:tblPr>
        <w:tblStyle w:val="41"/>
        <w:tblW w:w="9195" w:type="dxa"/>
        <w:jc w:val="center"/>
        <w:tblLayout w:type="fixed"/>
        <w:tblCellMar>
          <w:top w:w="0" w:type="dxa"/>
          <w:left w:w="108" w:type="dxa"/>
          <w:bottom w:w="0" w:type="dxa"/>
          <w:right w:w="108" w:type="dxa"/>
        </w:tblCellMar>
      </w:tblPr>
      <w:tblGrid>
        <w:gridCol w:w="630"/>
        <w:gridCol w:w="1905"/>
        <w:gridCol w:w="645"/>
        <w:gridCol w:w="5100"/>
        <w:gridCol w:w="915"/>
      </w:tblGrid>
      <w:tr w14:paraId="6478D558">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8AD323">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A793BA">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7A3D83">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人数</w:t>
            </w:r>
          </w:p>
        </w:tc>
        <w:tc>
          <w:tcPr>
            <w:tcW w:w="51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E09F34">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基本任职条件</w:t>
            </w:r>
          </w:p>
        </w:tc>
        <w:tc>
          <w:tcPr>
            <w:tcW w:w="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BCCC25">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4B4CCDB">
        <w:tblPrEx>
          <w:tblCellMar>
            <w:top w:w="0" w:type="dxa"/>
            <w:left w:w="108" w:type="dxa"/>
            <w:bottom w:w="0" w:type="dxa"/>
            <w:right w:w="108" w:type="dxa"/>
          </w:tblCellMar>
        </w:tblPrEx>
        <w:trPr>
          <w:trHeight w:val="90"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73BBF8">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2E53F0">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指挥长</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65610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5E914B">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应由施工方现任单位董事长（或总经理）的行政职务领导担任。</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499468">
            <w:pPr>
              <w:spacing w:before="0" w:after="0" w:line="240" w:lineRule="auto"/>
              <w:jc w:val="center"/>
              <w:rPr>
                <w:rFonts w:hint="eastAsia" w:ascii="宋体" w:hAnsi="宋体" w:eastAsia="宋体" w:cs="宋体"/>
                <w:color w:val="auto"/>
                <w:sz w:val="21"/>
                <w:szCs w:val="21"/>
                <w:highlight w:val="none"/>
              </w:rPr>
            </w:pPr>
          </w:p>
        </w:tc>
      </w:tr>
      <w:tr w14:paraId="74478173">
        <w:tblPrEx>
          <w:tblCellMar>
            <w:top w:w="0" w:type="dxa"/>
            <w:left w:w="108" w:type="dxa"/>
            <w:bottom w:w="0" w:type="dxa"/>
            <w:right w:w="108" w:type="dxa"/>
          </w:tblCellMar>
        </w:tblPrEx>
        <w:trPr>
          <w:trHeight w:val="709"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0DC78A">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FA59FE">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项目负责人（兼施工负责人）</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C0745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D2F716">
            <w:pPr>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（按招标公告要求）</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89BF20">
            <w:pPr>
              <w:spacing w:before="0" w:after="0" w:line="240" w:lineRule="auto"/>
              <w:jc w:val="center"/>
              <w:rPr>
                <w:rFonts w:hint="eastAsia" w:ascii="宋体" w:hAnsi="宋体" w:eastAsia="宋体" w:cs="宋体"/>
                <w:color w:val="auto"/>
                <w:sz w:val="21"/>
                <w:szCs w:val="21"/>
                <w:highlight w:val="none"/>
              </w:rPr>
            </w:pPr>
          </w:p>
        </w:tc>
      </w:tr>
      <w:tr w14:paraId="302CA163">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173926">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67F84C">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施工技术负责人</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74F34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749C50">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须具备电气类相关专业高级工程师或以上职称，具有工作经验8年或以上。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889CB2">
            <w:pPr>
              <w:spacing w:before="0" w:after="0" w:line="240" w:lineRule="auto"/>
              <w:jc w:val="center"/>
              <w:rPr>
                <w:rFonts w:hint="eastAsia" w:ascii="宋体" w:hAnsi="宋体" w:eastAsia="宋体" w:cs="宋体"/>
                <w:color w:val="auto"/>
                <w:sz w:val="21"/>
                <w:szCs w:val="21"/>
                <w:highlight w:val="none"/>
              </w:rPr>
            </w:pPr>
          </w:p>
        </w:tc>
      </w:tr>
      <w:tr w14:paraId="391E6342">
        <w:tblPrEx>
          <w:tblCellMar>
            <w:top w:w="0" w:type="dxa"/>
            <w:left w:w="108" w:type="dxa"/>
            <w:bottom w:w="0" w:type="dxa"/>
            <w:right w:w="108" w:type="dxa"/>
          </w:tblCellMar>
        </w:tblPrEx>
        <w:trPr>
          <w:trHeight w:val="1389"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2F09E8">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5FB995">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安全负责人</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A2ABC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34043D">
            <w:pPr>
              <w:widowControl/>
              <w:rPr>
                <w:rFonts w:hint="eastAsia" w:ascii="宋体" w:hAnsi="宋体" w:eastAsia="宋体" w:cs="宋体"/>
                <w:color w:val="auto"/>
                <w:sz w:val="21"/>
                <w:szCs w:val="21"/>
                <w:highlight w:val="none"/>
                <w:shd w:val="clear" w:color="auto" w:fill="ED41FD"/>
              </w:rPr>
            </w:pPr>
            <w:r>
              <w:rPr>
                <w:rFonts w:hint="eastAsia" w:ascii="宋体" w:hAnsi="宋体" w:eastAsia="宋体"/>
                <w:color w:val="auto"/>
                <w:sz w:val="21"/>
                <w:szCs w:val="21"/>
                <w:highlight w:val="none"/>
              </w:rPr>
              <w:t>具有中级注册安全工程师和土木工程类中级或以上技术职称，具有在有效期内的安全生产考核合格证（C类）或建筑施工企业专职安全生产管理人员安全生产考核合格证书（C3）。具有安全生产管理经验5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671228">
            <w:pPr>
              <w:spacing w:before="0" w:after="0" w:line="240" w:lineRule="auto"/>
              <w:jc w:val="center"/>
              <w:rPr>
                <w:rFonts w:hint="eastAsia" w:ascii="宋体" w:hAnsi="宋体" w:eastAsia="宋体" w:cs="宋体"/>
                <w:color w:val="auto"/>
                <w:sz w:val="21"/>
                <w:szCs w:val="21"/>
                <w:highlight w:val="none"/>
              </w:rPr>
            </w:pPr>
          </w:p>
        </w:tc>
      </w:tr>
      <w:tr w14:paraId="0FA4CB07">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1585DA">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C6B5B">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商务经理</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70134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E887C9">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具备一级注册造价工程师执业资格（或注册造价工程师执业资格），具有工作经验5年或以上。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2B90D8">
            <w:pPr>
              <w:spacing w:before="0" w:after="0" w:line="240" w:lineRule="auto"/>
              <w:jc w:val="center"/>
              <w:rPr>
                <w:rFonts w:hint="eastAsia" w:ascii="宋体" w:hAnsi="宋体" w:eastAsia="宋体" w:cs="宋体"/>
                <w:color w:val="auto"/>
                <w:sz w:val="21"/>
                <w:szCs w:val="21"/>
                <w:highlight w:val="none"/>
              </w:rPr>
            </w:pPr>
          </w:p>
        </w:tc>
      </w:tr>
      <w:tr w14:paraId="7A2F4D3B">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FD43F0">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32429F">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造价工程师</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0F774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251DCE">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具备一级注册造价工程师执业资格（或注册造价工程师执业资格），具有工作经验5年或以上。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5E50E9">
            <w:pPr>
              <w:spacing w:before="0" w:after="0" w:line="240" w:lineRule="auto"/>
              <w:jc w:val="center"/>
              <w:rPr>
                <w:rFonts w:hint="eastAsia" w:ascii="宋体" w:hAnsi="宋体" w:eastAsia="宋体" w:cs="宋体"/>
                <w:color w:val="auto"/>
                <w:sz w:val="21"/>
                <w:szCs w:val="21"/>
                <w:highlight w:val="none"/>
              </w:rPr>
            </w:pPr>
          </w:p>
        </w:tc>
      </w:tr>
      <w:tr w14:paraId="49D90EEA">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CFC572">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524779">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质量负责人</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64096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E05CD0">
            <w:pPr>
              <w:widowControl/>
              <w:rPr>
                <w:rFonts w:hint="eastAsia" w:ascii="宋体" w:hAnsi="宋体" w:eastAsia="宋体" w:cs="宋体"/>
                <w:color w:val="auto"/>
                <w:sz w:val="21"/>
                <w:szCs w:val="21"/>
                <w:highlight w:val="none"/>
                <w:shd w:val="clear" w:color="auto" w:fill="ED41FD"/>
              </w:rPr>
            </w:pPr>
            <w:r>
              <w:rPr>
                <w:rFonts w:hint="eastAsia" w:ascii="宋体" w:hAnsi="宋体" w:eastAsia="宋体" w:cs="宋体"/>
                <w:color w:val="auto"/>
                <w:kern w:val="0"/>
                <w:sz w:val="21"/>
                <w:szCs w:val="21"/>
                <w:highlight w:val="none"/>
                <w:lang w:bidi="ar"/>
              </w:rPr>
              <w:t>具有电气类高级或以上技术职称，具有工作经验5年或以上。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68EB10">
            <w:pPr>
              <w:spacing w:before="0" w:after="0" w:line="240" w:lineRule="auto"/>
              <w:jc w:val="center"/>
              <w:rPr>
                <w:rFonts w:hint="eastAsia" w:ascii="宋体" w:hAnsi="宋体" w:eastAsia="宋体" w:cs="宋体"/>
                <w:color w:val="auto"/>
                <w:sz w:val="21"/>
                <w:szCs w:val="21"/>
                <w:highlight w:val="none"/>
              </w:rPr>
            </w:pPr>
          </w:p>
        </w:tc>
      </w:tr>
      <w:tr w14:paraId="64C5A673">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8F4A70">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AC08DF">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安全员</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06B80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CA8571">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具有在有效期内的安全生产考核合格证（C 类）或建筑施工企业专职安全生产管理人员安全生产考核合格证书。</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C248D1">
            <w:pPr>
              <w:spacing w:before="0" w:after="0" w:line="240" w:lineRule="auto"/>
              <w:jc w:val="center"/>
              <w:rPr>
                <w:rFonts w:hint="eastAsia" w:ascii="宋体" w:hAnsi="宋体" w:eastAsia="宋体" w:cs="宋体"/>
                <w:color w:val="auto"/>
                <w:sz w:val="21"/>
                <w:szCs w:val="21"/>
                <w:highlight w:val="none"/>
              </w:rPr>
            </w:pPr>
          </w:p>
        </w:tc>
      </w:tr>
      <w:tr w14:paraId="2D0B200A">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B673D6">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503C78">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电气工程师</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4136B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665495">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所学专业或职称为电气类相关专业，工程类中级或以上技术职称，具有工作经验8年或以上。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3D722A">
            <w:pPr>
              <w:spacing w:before="0" w:after="0" w:line="240" w:lineRule="auto"/>
              <w:jc w:val="center"/>
              <w:rPr>
                <w:rFonts w:hint="eastAsia" w:ascii="宋体" w:hAnsi="宋体" w:eastAsia="宋体" w:cs="宋体"/>
                <w:color w:val="auto"/>
                <w:sz w:val="21"/>
                <w:szCs w:val="21"/>
                <w:highlight w:val="none"/>
              </w:rPr>
            </w:pPr>
          </w:p>
        </w:tc>
      </w:tr>
      <w:tr w14:paraId="3B549656">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F491F5">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73FFBD">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计划管理工程师</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C5B59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C326D3">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工程类相关专业大专以上学历，具备工程类中级或以上技术职称，具有工作经验5年或以上。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0F6ECD">
            <w:pPr>
              <w:spacing w:before="0" w:after="0" w:line="240" w:lineRule="auto"/>
              <w:jc w:val="center"/>
              <w:rPr>
                <w:rFonts w:hint="eastAsia" w:ascii="宋体" w:hAnsi="宋体" w:eastAsia="宋体" w:cs="宋体"/>
                <w:color w:val="auto"/>
                <w:sz w:val="21"/>
                <w:szCs w:val="21"/>
                <w:highlight w:val="none"/>
              </w:rPr>
            </w:pPr>
          </w:p>
        </w:tc>
      </w:tr>
      <w:tr w14:paraId="673159D4">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BAC141">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DCFD1B">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材料管理工程师</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3C8F1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88BC04">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工程类相关专业大专以上学历，具备机电类中级或以上技术职称，具有工作经验5年或以上。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F85748">
            <w:pPr>
              <w:spacing w:before="0" w:after="0" w:line="240" w:lineRule="auto"/>
              <w:jc w:val="center"/>
              <w:rPr>
                <w:rFonts w:hint="eastAsia" w:ascii="宋体" w:hAnsi="宋体" w:eastAsia="宋体" w:cs="宋体"/>
                <w:color w:val="auto"/>
                <w:sz w:val="21"/>
                <w:szCs w:val="21"/>
                <w:highlight w:val="none"/>
              </w:rPr>
            </w:pPr>
          </w:p>
        </w:tc>
      </w:tr>
      <w:tr w14:paraId="254107DF">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0EC76B">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5B57BB">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施工员</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2202A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80ABA9">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机电类相关专业大专以上学历，具有施工员岗位证书或培训证。</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E47BBD">
            <w:pPr>
              <w:spacing w:before="0" w:after="0" w:line="240" w:lineRule="auto"/>
              <w:jc w:val="center"/>
              <w:rPr>
                <w:rFonts w:hint="eastAsia" w:ascii="宋体" w:hAnsi="宋体" w:eastAsia="宋体" w:cs="宋体"/>
                <w:color w:val="auto"/>
                <w:sz w:val="21"/>
                <w:szCs w:val="21"/>
                <w:highlight w:val="none"/>
              </w:rPr>
            </w:pPr>
          </w:p>
        </w:tc>
      </w:tr>
      <w:tr w14:paraId="6ED3CA4F">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356862">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698636">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HSE管理人员</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E39B5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B13892">
            <w:pPr>
              <w:widowControl/>
              <w:rPr>
                <w:rFonts w:hint="eastAsia" w:ascii="宋体" w:hAnsi="宋体" w:eastAsia="宋体" w:cs="宋体"/>
                <w:color w:val="auto"/>
                <w:sz w:val="21"/>
                <w:szCs w:val="21"/>
                <w:highlight w:val="none"/>
                <w:shd w:val="clear" w:color="auto" w:fill="ED41FD"/>
              </w:rPr>
            </w:pPr>
            <w:r>
              <w:rPr>
                <w:rFonts w:hint="eastAsia" w:ascii="宋体" w:hAnsi="宋体" w:eastAsia="宋体" w:cs="宋体"/>
                <w:color w:val="auto"/>
                <w:kern w:val="0"/>
                <w:sz w:val="21"/>
                <w:szCs w:val="21"/>
                <w:highlight w:val="none"/>
                <w:lang w:bidi="ar"/>
              </w:rPr>
              <w:t>机电类相关专业大专以上学历，具有施工员岗位证书或培训证。具有在有效期内的安全生产考核合格证（C类）具有HSE管理经验3年或以上。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549A3C">
            <w:pPr>
              <w:spacing w:before="0" w:after="0" w:line="240" w:lineRule="auto"/>
              <w:jc w:val="center"/>
              <w:rPr>
                <w:rFonts w:hint="eastAsia" w:ascii="宋体" w:hAnsi="宋体" w:eastAsia="宋体" w:cs="宋体"/>
                <w:color w:val="auto"/>
                <w:sz w:val="21"/>
                <w:szCs w:val="21"/>
                <w:highlight w:val="none"/>
              </w:rPr>
            </w:pPr>
          </w:p>
        </w:tc>
      </w:tr>
      <w:tr w14:paraId="37437E74">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452DDF">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8D7DA9">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质量员</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C92DD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7304F6">
            <w:pPr>
              <w:widowControl/>
              <w:rPr>
                <w:rFonts w:hint="eastAsia" w:ascii="宋体" w:hAnsi="宋体" w:eastAsia="宋体" w:cs="宋体"/>
                <w:color w:val="auto"/>
                <w:sz w:val="21"/>
                <w:szCs w:val="21"/>
                <w:highlight w:val="none"/>
                <w:shd w:val="clear" w:color="auto" w:fill="FFFF00"/>
              </w:rPr>
            </w:pPr>
            <w:r>
              <w:rPr>
                <w:rFonts w:hint="eastAsia" w:ascii="宋体" w:hAnsi="宋体" w:eastAsia="宋体" w:cs="宋体"/>
                <w:color w:val="auto"/>
                <w:kern w:val="0"/>
                <w:sz w:val="21"/>
                <w:szCs w:val="21"/>
                <w:highlight w:val="none"/>
                <w:lang w:bidi="ar"/>
              </w:rPr>
              <w:t>机电类相关专业大专以上学历和工程类中级职称，具有质量员岗位证书或培训证。具有质量管理经验3年或以上。</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F4E5B4">
            <w:pPr>
              <w:spacing w:before="0" w:after="0" w:line="240" w:lineRule="auto"/>
              <w:jc w:val="center"/>
              <w:rPr>
                <w:rFonts w:hint="eastAsia" w:ascii="宋体" w:hAnsi="宋体" w:eastAsia="宋体" w:cs="宋体"/>
                <w:color w:val="auto"/>
                <w:sz w:val="21"/>
                <w:szCs w:val="21"/>
                <w:highlight w:val="none"/>
              </w:rPr>
            </w:pPr>
          </w:p>
        </w:tc>
      </w:tr>
      <w:tr w14:paraId="589613F7">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625E9F">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21A941">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资料员</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A933D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2D320F">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机电类相关专业大专以上学历，具有资料员岗位证书或培训证。</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035733">
            <w:pPr>
              <w:spacing w:before="0" w:after="0" w:line="240" w:lineRule="auto"/>
              <w:jc w:val="center"/>
              <w:rPr>
                <w:rFonts w:hint="eastAsia" w:ascii="宋体" w:hAnsi="宋体" w:eastAsia="宋体" w:cs="宋体"/>
                <w:color w:val="auto"/>
                <w:sz w:val="21"/>
                <w:szCs w:val="21"/>
                <w:highlight w:val="none"/>
              </w:rPr>
            </w:pPr>
          </w:p>
        </w:tc>
      </w:tr>
      <w:tr w14:paraId="3E624BDB">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825920">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47688C">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材料员</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6F5B9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238343">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机电类相关专业大专以上学历，具有材料员岗位证书或培训证。</w:t>
            </w: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93F0F0">
            <w:pPr>
              <w:spacing w:before="0" w:after="0" w:line="240" w:lineRule="auto"/>
              <w:jc w:val="center"/>
              <w:rPr>
                <w:rFonts w:hint="eastAsia" w:ascii="宋体" w:hAnsi="宋体" w:eastAsia="宋体" w:cs="宋体"/>
                <w:color w:val="auto"/>
                <w:sz w:val="21"/>
                <w:szCs w:val="21"/>
                <w:highlight w:val="none"/>
              </w:rPr>
            </w:pPr>
          </w:p>
        </w:tc>
      </w:tr>
      <w:tr w14:paraId="4521EFAE">
        <w:tblPrEx>
          <w:tblCellMar>
            <w:top w:w="0" w:type="dxa"/>
            <w:left w:w="108" w:type="dxa"/>
            <w:bottom w:w="0" w:type="dxa"/>
            <w:right w:w="108" w:type="dxa"/>
          </w:tblCellMar>
        </w:tblPrEx>
        <w:trPr>
          <w:trHeight w:val="454" w:hRule="atLeast"/>
          <w:jc w:val="center"/>
        </w:trPr>
        <w:tc>
          <w:tcPr>
            <w:tcW w:w="6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040C15">
            <w:pPr>
              <w:spacing w:before="0" w:after="0" w:line="240" w:lineRule="auto"/>
              <w:jc w:val="center"/>
              <w:rPr>
                <w:rFonts w:hint="eastAsia" w:ascii="宋体" w:hAnsi="宋体" w:eastAsia="宋体" w:cs="宋体"/>
                <w:color w:val="auto"/>
                <w:sz w:val="21"/>
                <w:szCs w:val="21"/>
                <w:highlight w:val="none"/>
              </w:rPr>
            </w:pPr>
          </w:p>
        </w:tc>
        <w:tc>
          <w:tcPr>
            <w:tcW w:w="19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3709D1">
            <w:pPr>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6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67C5F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p>
        </w:tc>
        <w:tc>
          <w:tcPr>
            <w:tcW w:w="51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9BCB94">
            <w:pPr>
              <w:spacing w:before="0" w:after="0" w:line="240" w:lineRule="auto"/>
              <w:rPr>
                <w:rFonts w:hint="eastAsia" w:ascii="宋体" w:hAnsi="宋体" w:eastAsia="宋体" w:cs="宋体"/>
                <w:color w:val="auto"/>
                <w:sz w:val="21"/>
                <w:szCs w:val="21"/>
                <w:highlight w:val="none"/>
              </w:rPr>
            </w:pPr>
          </w:p>
        </w:tc>
        <w:tc>
          <w:tcPr>
            <w:tcW w:w="9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ADC989">
            <w:pPr>
              <w:spacing w:before="0" w:after="0" w:line="240" w:lineRule="auto"/>
              <w:jc w:val="center"/>
              <w:rPr>
                <w:rFonts w:hint="eastAsia" w:ascii="宋体" w:hAnsi="宋体" w:eastAsia="宋体" w:cs="宋体"/>
                <w:color w:val="auto"/>
                <w:sz w:val="21"/>
                <w:szCs w:val="21"/>
                <w:highlight w:val="none"/>
              </w:rPr>
            </w:pPr>
          </w:p>
        </w:tc>
      </w:tr>
    </w:tbl>
    <w:p w14:paraId="4D91E748">
      <w:pPr>
        <w:spacing w:before="0" w:after="0" w:line="240" w:lineRule="auto"/>
        <w:jc w:val="center"/>
        <w:rPr>
          <w:rFonts w:hint="eastAsia" w:ascii="宋体" w:hAnsi="宋体" w:eastAsia="宋体" w:cs="宋体"/>
          <w:color w:val="auto"/>
          <w:highlight w:val="none"/>
        </w:rPr>
      </w:pPr>
    </w:p>
    <w:p w14:paraId="29931C7A">
      <w:pPr>
        <w:spacing w:before="0" w:after="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注：（1）人员工作经验时间从毕业时间起计。</w:t>
      </w:r>
    </w:p>
    <w:p w14:paraId="523D5297">
      <w:pPr>
        <w:numPr>
          <w:ilvl w:val="0"/>
          <w:numId w:val="6"/>
        </w:numPr>
        <w:snapToGrid/>
        <w:spacing w:before="0"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w:t>
      </w:r>
    </w:p>
    <w:p w14:paraId="34B51987">
      <w:pPr>
        <w:numPr>
          <w:ilvl w:val="0"/>
          <w:numId w:val="6"/>
        </w:numPr>
        <w:snapToGrid/>
        <w:spacing w:before="0"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上表人员均要求为投标单位正式职工，即指在投标单位已购买发布招标公告前一个月或以上社保的在职人员，须同时提供社保证明。除特别约定外，各岗位人员不得相互兼职。</w:t>
      </w:r>
    </w:p>
    <w:p w14:paraId="6C46D99C">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2、人员进场管理</w:t>
      </w:r>
    </w:p>
    <w:p w14:paraId="71F92254">
      <w:pPr>
        <w:spacing w:before="0" w:after="0" w:line="360" w:lineRule="auto"/>
        <w:ind w:firstLine="424" w:firstLineChars="177"/>
        <w:rPr>
          <w:rFonts w:hint="eastAsia" w:ascii="宋体" w:hAnsi="宋体" w:eastAsia="宋体" w:cs="宋体"/>
          <w:color w:val="auto"/>
          <w:sz w:val="24"/>
          <w:highlight w:val="none"/>
          <w:shd w:val="clear" w:color="auto" w:fill="ED41FD"/>
        </w:rPr>
      </w:pPr>
      <w:r>
        <w:rPr>
          <w:rFonts w:hint="eastAsia" w:ascii="宋体" w:hAnsi="宋体" w:eastAsia="宋体" w:cs="宋体"/>
          <w:color w:val="auto"/>
          <w:sz w:val="24"/>
          <w:highlight w:val="none"/>
        </w:rPr>
        <w:t>除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安全、质量管理岗位系列人员须接受发包人面试、考核，符合发包人要求者方能正式上岗。特殊工种作业人员均应持有相应的资格证明，并报监理单位审核。</w:t>
      </w:r>
    </w:p>
    <w:p w14:paraId="61490C34">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3、人员变更管理</w:t>
      </w:r>
    </w:p>
    <w:p w14:paraId="646CE329">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承包人擅自更换主要施工管理人员，应按照合同条款约定承担违约责任。</w:t>
      </w:r>
    </w:p>
    <w:p w14:paraId="2AE91C53">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项目经理更换如存在下列情形之一的，将被拒绝1年内参与发包人后续工程投标:</w:t>
      </w:r>
    </w:p>
    <w:p w14:paraId="7D629AF1">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3.1 承包人委派的项目经理长期不到位（即连续三个月或以上达不到合同约定的出勤率）。</w:t>
      </w:r>
    </w:p>
    <w:p w14:paraId="01ACC48E">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3.2 承包人自行调换或未按照发包人要求及时更换项目经理的。</w:t>
      </w:r>
    </w:p>
    <w:p w14:paraId="053770B4">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经发包人同意撤换的项目经理，自撤换之日起半年内，该项目经理不得再作为发包人后续招标项目时拟委派项目管理机构的项目经理。</w:t>
      </w:r>
    </w:p>
    <w:p w14:paraId="29A52921">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4、人员撤换管理</w:t>
      </w:r>
    </w:p>
    <w:p w14:paraId="42283812">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合同条款的约定承担违约责任。</w:t>
      </w:r>
    </w:p>
    <w:p w14:paraId="4F683797">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5、人员请销假管理</w:t>
      </w:r>
    </w:p>
    <w:p w14:paraId="35AFC804">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按合同条款约定执行。</w:t>
      </w:r>
    </w:p>
    <w:p w14:paraId="4D61F901">
      <w:pPr>
        <w:spacing w:before="0" w:after="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highlight w:val="none"/>
        </w:rPr>
        <w:t>6、人员配合管理</w:t>
      </w:r>
    </w:p>
    <w:p w14:paraId="51A7C7DB">
      <w:pPr>
        <w:spacing w:before="0" w:after="0"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承包人须配备交通保障设施用于现场人员的协调管理、对外联系、报批报验等工作，相关费用应包含在投标费用中。</w:t>
      </w:r>
    </w:p>
    <w:p w14:paraId="0DA633E4">
      <w:pPr>
        <w:pStyle w:val="7"/>
        <w:keepNext w:val="0"/>
        <w:keepLines w:val="0"/>
        <w:widowControl/>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五、建筑总承包管理内容</w:t>
      </w:r>
    </w:p>
    <w:p w14:paraId="2ACEC6E2">
      <w:pPr>
        <w:snapToGrid/>
        <w:spacing w:before="0" w:after="0" w:line="360" w:lineRule="auto"/>
        <w:ind w:left="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1、总承包管理内容，主要包括但不限于以下工作内容：</w:t>
      </w:r>
    </w:p>
    <w:p w14:paraId="01E486AC">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1.1 负责项目总进度计划管理和总体协调；</w:t>
      </w:r>
    </w:p>
    <w:p w14:paraId="2542DD20">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1.2 负责施工总平面布置及维护管理；</w:t>
      </w:r>
    </w:p>
    <w:p w14:paraId="1D816C5D">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1.3 负责日常水电、通道和道路的管理、维护和保洁；</w:t>
      </w:r>
    </w:p>
    <w:p w14:paraId="2776EA17">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1.4 负责现场安全保卫（包括且不限于办公区、生活区、现场门禁、视频监控等）、社区周边关系（包括且不限于环保、环卫、城管、街道、安监、公安、交警等部门）协调等现场综合管理；</w:t>
      </w:r>
    </w:p>
    <w:p w14:paraId="200345DB">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1.5 负责项目竣工移交以前项目的安全文明施工、环境及职业健康管理及协调；</w:t>
      </w:r>
    </w:p>
    <w:p w14:paraId="2DA47606">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1.6 组织办理验收、移交、竣工结算、竣工资料和竣工备案及其它管理工作；</w:t>
      </w:r>
    </w:p>
    <w:p w14:paraId="07785885">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2、为保证施工单位在完成本项目主体结构施工后，仍然能够保质保量地履行施工总承包管理，总承包人承诺施工总承包配合服务的具体时间、人员和具体内容等。</w:t>
      </w:r>
    </w:p>
    <w:p w14:paraId="3B403E1B">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3、总承包单位中标后，立即成立专门的团队负责本项目的总承包管理。</w:t>
      </w:r>
    </w:p>
    <w:p w14:paraId="7F0159DF">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4、总承包将总承包管理内容进行梳理细化，根据施工进度情况和专业单位进场情况排出配合服务工作计划，报监理单位和发包人审批后实施。</w:t>
      </w:r>
    </w:p>
    <w:p w14:paraId="0E16F510">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5、总承包服务内容:</w:t>
      </w:r>
    </w:p>
    <w:p w14:paraId="5DB903FE">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5.1 向专业工程承包人提供施工用水、用电接驳点；</w:t>
      </w:r>
    </w:p>
    <w:p w14:paraId="6C10AF7F">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5.2 向专业工程承包人提供生产、生活设施搭建场地；</w:t>
      </w:r>
    </w:p>
    <w:p w14:paraId="0109FA86">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5.3 提供垂直运输设施、设备及管理服务；</w:t>
      </w:r>
    </w:p>
    <w:p w14:paraId="7598BA65">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5.4 提供脚手架满足各专业施工要求；</w:t>
      </w:r>
    </w:p>
    <w:p w14:paraId="2C954F58">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5.5 提供公共临时设施（包括且不限于应急发电机、施工临时消防设施、施工临时排水等）、公共安全防护和文明施工设施供专业单位使用，并负责管理及维护；</w:t>
      </w:r>
    </w:p>
    <w:p w14:paraId="0A4C85EC">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 xml:space="preserve">5.6 提供施工测量控制基准点，随楼层向其它专业承包单位提供施工控制轴线、标高； </w:t>
      </w:r>
    </w:p>
    <w:p w14:paraId="76899691">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5.7 配合办理专项验收备案等手续。</w:t>
      </w:r>
    </w:p>
    <w:p w14:paraId="042F6566">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5.8 第三方检测、监测配合服务。</w:t>
      </w:r>
    </w:p>
    <w:p w14:paraId="18243530">
      <w:pPr>
        <w:snapToGrid/>
        <w:spacing w:before="0" w:after="0" w:line="360" w:lineRule="auto"/>
        <w:ind w:firstLine="426"/>
        <w:jc w:val="both"/>
        <w:rPr>
          <w:rFonts w:hint="eastAsia" w:ascii="宋体" w:hAnsi="宋体" w:eastAsia="宋体" w:cs="宋体"/>
          <w:color w:val="auto"/>
          <w:highlight w:val="none"/>
        </w:rPr>
      </w:pPr>
      <w:r>
        <w:rPr>
          <w:rFonts w:hint="eastAsia" w:ascii="宋体" w:hAnsi="宋体" w:eastAsia="宋体" w:cs="宋体"/>
          <w:color w:val="auto"/>
          <w:spacing w:val="4"/>
          <w:sz w:val="24"/>
          <w:highlight w:val="none"/>
        </w:rPr>
        <w:t>5.9 合同约定的其他总承包管理服务内容。</w:t>
      </w:r>
    </w:p>
    <w:p w14:paraId="0A7DA236">
      <w:pPr>
        <w:pStyle w:val="7"/>
        <w:keepNext w:val="0"/>
        <w:keepLines w:val="0"/>
        <w:widowControl/>
        <w:snapToGrid/>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六、总体施工要求</w:t>
      </w:r>
    </w:p>
    <w:p w14:paraId="356F5350">
      <w:pPr>
        <w:spacing w:line="360" w:lineRule="auto"/>
        <w:ind w:firstLine="480" w:firstLineChars="200"/>
        <w:rPr>
          <w:rFonts w:hint="eastAsia" w:ascii="宋体" w:hAnsi="宋体" w:eastAsia="宋体" w:cs="宋体"/>
          <w:color w:val="auto"/>
          <w:sz w:val="24"/>
          <w:highlight w:val="none"/>
        </w:rPr>
      </w:pPr>
      <w:bookmarkStart w:id="157" w:name="_Toc3951"/>
      <w:r>
        <w:rPr>
          <w:rFonts w:hint="eastAsia" w:ascii="宋体" w:hAnsi="宋体" w:eastAsia="宋体" w:cs="宋体"/>
          <w:color w:val="auto"/>
          <w:sz w:val="24"/>
          <w:highlight w:val="none"/>
        </w:rPr>
        <w:t xml:space="preserve">1. </w:t>
      </w:r>
      <w:bookmarkEnd w:id="157"/>
      <w:bookmarkStart w:id="158" w:name="_Toc35083128"/>
      <w:bookmarkStart w:id="159" w:name="_Toc87991291"/>
      <w:bookmarkStart w:id="160" w:name="_Toc104979715"/>
      <w:bookmarkStart w:id="161" w:name="_Toc106729782"/>
      <w:r>
        <w:rPr>
          <w:rFonts w:hint="eastAsia" w:ascii="宋体" w:hAnsi="宋体" w:eastAsia="宋体" w:cs="宋体"/>
          <w:color w:val="auto"/>
          <w:sz w:val="24"/>
          <w:highlight w:val="none"/>
        </w:rPr>
        <w:t>拟投入本项目</w:t>
      </w:r>
      <w:bookmarkEnd w:id="158"/>
      <w:bookmarkEnd w:id="159"/>
      <w:r>
        <w:rPr>
          <w:rFonts w:hint="eastAsia" w:ascii="宋体" w:hAnsi="宋体" w:eastAsia="宋体" w:cs="宋体"/>
          <w:color w:val="auto"/>
          <w:sz w:val="24"/>
          <w:highlight w:val="none"/>
        </w:rPr>
        <w:t>主要人员</w:t>
      </w:r>
      <w:bookmarkEnd w:id="160"/>
      <w:bookmarkEnd w:id="161"/>
      <w:r>
        <w:rPr>
          <w:rFonts w:hint="eastAsia" w:ascii="宋体" w:hAnsi="宋体" w:eastAsia="宋体" w:cs="宋体"/>
          <w:color w:val="auto"/>
          <w:sz w:val="24"/>
          <w:highlight w:val="none"/>
        </w:rPr>
        <w:t>要求</w:t>
      </w:r>
    </w:p>
    <w:p w14:paraId="4A5CA2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投标所报的全部技术和管理人员均为承包人的员工；</w:t>
      </w:r>
    </w:p>
    <w:p w14:paraId="760128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1.2 </w:t>
      </w:r>
      <w:r>
        <w:rPr>
          <w:rFonts w:hint="eastAsia" w:ascii="宋体" w:hAnsi="宋体" w:eastAsia="宋体" w:cs="宋体"/>
          <w:color w:val="auto"/>
          <w:sz w:val="24"/>
          <w:szCs w:val="24"/>
          <w:highlight w:val="none"/>
        </w:rPr>
        <w:t>项目经理（按招标公告要求）、设计负责人（按招标公告要求）、专业设计人员、施工技术负责人（按招标文件要求）、专业负责人及相关专业人员的条件完全满足招标文件和工程现场的要求；</w:t>
      </w:r>
    </w:p>
    <w:p w14:paraId="7EF565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项目现场如出现质量、进度、安全等问题时，承包人分管领导必须按发包人通知要求常驻现场，直到问题解决为止。发包人或发包人的上级主管部门要求承包人分管领导出席现场会议的必须到场；</w:t>
      </w:r>
    </w:p>
    <w:p w14:paraId="40D9A0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在收到发包人进场通知的3天内全部到位，项目经理、项目总工、项目副经理、项目技术负责人、项目设计负责人等主要人员每月驻场天数不得少于20天，请假天数不得超过5天。</w:t>
      </w:r>
    </w:p>
    <w:p w14:paraId="258F30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主要人员每月驻场天数不应少于20天、请假天数不应超过5天，技术或管理人员需按投标承诺的人员和时间到位。</w:t>
      </w:r>
    </w:p>
    <w:p w14:paraId="69B6EC90">
      <w:pPr>
        <w:spacing w:line="360" w:lineRule="auto"/>
        <w:ind w:firstLine="480" w:firstLineChars="200"/>
        <w:rPr>
          <w:rFonts w:hint="eastAsia" w:ascii="宋体" w:hAnsi="宋体" w:eastAsia="宋体" w:cs="宋体"/>
          <w:color w:val="auto"/>
          <w:sz w:val="24"/>
          <w:szCs w:val="24"/>
          <w:highlight w:val="none"/>
        </w:rPr>
      </w:pPr>
      <w:bookmarkStart w:id="162" w:name="_Toc87991294"/>
      <w:bookmarkStart w:id="163" w:name="_Toc35083131"/>
      <w:bookmarkStart w:id="164" w:name="_Toc106729785"/>
      <w:bookmarkStart w:id="165" w:name="_Toc104979716"/>
      <w:r>
        <w:rPr>
          <w:rFonts w:hint="eastAsia" w:ascii="宋体" w:hAnsi="宋体" w:eastAsia="宋体" w:cs="宋体"/>
          <w:color w:val="auto"/>
          <w:sz w:val="24"/>
          <w:szCs w:val="24"/>
          <w:highlight w:val="none"/>
        </w:rPr>
        <w:t>2. 材料</w:t>
      </w:r>
      <w:bookmarkEnd w:id="162"/>
      <w:bookmarkEnd w:id="163"/>
      <w:r>
        <w:rPr>
          <w:rFonts w:hint="eastAsia" w:ascii="宋体" w:hAnsi="宋体" w:eastAsia="宋体" w:cs="宋体"/>
          <w:color w:val="auto"/>
          <w:sz w:val="24"/>
          <w:szCs w:val="24"/>
          <w:highlight w:val="none"/>
        </w:rPr>
        <w:t>设备投入要求</w:t>
      </w:r>
      <w:bookmarkEnd w:id="164"/>
      <w:bookmarkEnd w:id="165"/>
    </w:p>
    <w:p w14:paraId="3AE6E5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所有的材料设备完全符合招标文件规定的规格、质量和性能、检验标准和方法；如招标文件中没有提及使用标准，其性能应符合中华人民共和国行业标准、验收规范要求，并保证提供材料设备参数的真实性、有效性，所有的主要材料设备在国内有成功运用业绩，保证其在正确安装、正常使用和保养条件下，在其寿命周期内，不会因为任何潜在缺陷发生安全事故，若由于承包人所提供的材料设备的潜在缺陷导致安全事故，所造成发包人直接损失由承包人负责赔偿。</w:t>
      </w:r>
    </w:p>
    <w:p w14:paraId="1F6936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按不低于招标文件中的《主要设备材料推荐品牌表》和供电部门年度《电</w:t>
      </w:r>
      <w:r>
        <w:rPr>
          <w:rFonts w:hint="eastAsia" w:ascii="宋体" w:hAnsi="宋体" w:eastAsia="宋体" w:cs="宋体"/>
          <w:color w:val="auto"/>
          <w:sz w:val="24"/>
          <w:szCs w:val="24"/>
          <w:highlight w:val="none"/>
          <w:lang w:val="en-US" w:eastAsia="zh-CN"/>
        </w:rPr>
        <w:t>力</w:t>
      </w:r>
      <w:r>
        <w:rPr>
          <w:rFonts w:hint="eastAsia" w:ascii="宋体" w:hAnsi="宋体" w:eastAsia="宋体" w:cs="宋体"/>
          <w:color w:val="auto"/>
          <w:sz w:val="24"/>
          <w:szCs w:val="24"/>
          <w:highlight w:val="none"/>
        </w:rPr>
        <w:t>工程物资合格供应商名单》中的生产厂家和品牌，且在选定后经发包人审查同意方可进场。如发生材料设备货不对板、或以低品质材料设备冒充高品质材料设备、或以低技术档次的产品冒充高技术档次产品的情况，该材料设备不得在本工程使用，发包人有权按照对项目最有利原则要求承包人更换为满足设计要求且产品质量、技术性能不低于投标时所报品牌的产品，且价格不调整，承包人愿承担有关违约责任，同时保留发包人追究承包人法律责任的权利。</w:t>
      </w:r>
    </w:p>
    <w:p w14:paraId="15D430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如确实需要使用替代材料设备时，应经发包人认可并办理变更手续后才能使用，并保证所选用的替代材料设备技术档次不低于招标文件的技术要求，并能满足招标文件和设计文件所要求的性能及功能。由此增加的费用由承包人承担，减少的费用由发包人从合同价款中相应扣减。</w:t>
      </w:r>
    </w:p>
    <w:p w14:paraId="7AB0C3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充分了解工程严格的材料设备投入和工期要求及工程需要实施全面开工所需的设备投入要求。承包人保证在收到发包人通知后3天内及施工过程中，准备并供应充足的材料设备，按投标承诺的时间全部按时到位，完全满足施工进度要求，并保证不因任何材料设备因素阻碍工期而影响投标承诺的竣工日期。若因材料设备未按投标承诺的时间投入或发包人要求时间投入，在收到书面通知后，不挑剔、不争辩，也不要求出具证明，5天内整改并征得发包人批复同意，否则承包人需承担合同及工期承诺书的违约责任。</w:t>
      </w:r>
    </w:p>
    <w:p w14:paraId="26DDD1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从发包人发出开工令起2个月内完成永电材料设备的看样定板及签订供货协议，并完成深化图纸设计。</w:t>
      </w:r>
    </w:p>
    <w:p w14:paraId="1A8E33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主要设备材料推荐品牌表（详见合同）</w:t>
      </w:r>
    </w:p>
    <w:p w14:paraId="23A1E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工期要求</w:t>
      </w:r>
    </w:p>
    <w:p w14:paraId="719958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承包人保证尽一切力量确保投标承诺的竣工日期，并充分了解在以后施工过程中，本工程会存在比正常项目更多的阻碍工期的情况出现，但是保证严格按照招标文件的内容执行。</w:t>
      </w:r>
    </w:p>
    <w:p w14:paraId="60BB33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对于承包人原因造成的工期延误，工期一概不得顺延；对于非承包人原因造成的工期延误，一般节点工期相应顺延，但该项顺延以不对关键节点工期和总工期构成不利影响为限。关键节点工期一般不予调整，承包人要采取合理有效的赶工措施予以消化。</w:t>
      </w:r>
    </w:p>
    <w:p w14:paraId="6DC042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配合发包人工期计划安排，按投标工期及关键节点工期完成招标范围内的各项工作。</w:t>
      </w:r>
    </w:p>
    <w:p w14:paraId="21D017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若政府要求提前竣工，提前不超过100天的，承包人无条件响应政府的要求而调整工期，加大人材机投入，优化施工方案，以满足提前竣工要求。</w:t>
      </w:r>
    </w:p>
    <w:p w14:paraId="5FE05E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执行上述内容而需赶工的费用已综合考虑到投标总报价中，除非发包人同意，否则不再向发包人申请赶工费。</w:t>
      </w:r>
    </w:p>
    <w:p w14:paraId="1F549E59">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 施工交叉作业要求</w:t>
      </w:r>
    </w:p>
    <w:p w14:paraId="791FC2F2">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承包人施工过程中要调查现场，充分预计到各种因素影响，可能导致现场交叉作业，并按发包人要求，一旦有工作面能及时分批次组织人员、材料、设备等进行施工。</w:t>
      </w:r>
    </w:p>
    <w:p w14:paraId="035C075A">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与其他承包人交叉作业时，如发生有工作面，经发包人协调仍未施工的情况，发包人有权指定其他承包人完成该项工程，并按发包人要求移交场地。</w:t>
      </w:r>
    </w:p>
    <w:p w14:paraId="79713DA9">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 及时支付劳动者报酬要求</w:t>
      </w:r>
    </w:p>
    <w:p w14:paraId="36BC4627">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5.1 根据国家和当地劳动法规，需与本项目施工的所有劳动者（含农民工、下同）签订了劳动合同，并严格履行支付劳动报酬等合同义务。</w:t>
      </w:r>
    </w:p>
    <w:p w14:paraId="53D3FA82">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5.2 工程款应优先用于支付劳动者报酬。</w:t>
      </w:r>
    </w:p>
    <w:p w14:paraId="33A81E3E">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5.3 若在本项目上发生拖欠、克扣劳动者报酬行为的，或者因该项目劳动者报酬纠纷使得发包人可能涉及诉讼、仲裁、或其他不利影响时，发包人有权从承包人工程款中扣除相应款项，直接支付给相关的劳动者，并有权解除施工合同，承包人赔偿因此而给发包人造成的一切损失。</w:t>
      </w:r>
    </w:p>
    <w:p w14:paraId="707964BE">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 水电空转要求</w:t>
      </w:r>
    </w:p>
    <w:p w14:paraId="2FDEDD04">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6.1 前期的空置（损耗）费用由承包人自行承担；</w:t>
      </w:r>
    </w:p>
    <w:p w14:paraId="2D0119B4">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6.2 所产生的费用已在投标总价中综合考虑，不要求发包人增加。</w:t>
      </w:r>
    </w:p>
    <w:p w14:paraId="1007C33D">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 文明施工与环境保护</w:t>
      </w:r>
    </w:p>
    <w:p w14:paraId="71526EF8">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7.1 严格落实文明施工措施</w:t>
      </w:r>
    </w:p>
    <w:p w14:paraId="655685F0">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7.2 进入现场前提交施工期间的环境保护方案一式四份，经总监理工程师批准后实施。环境保护方案必须包括：施工现场所必须的照明灯光、护板、围护、栅栏、警告标志和值班人员名单，以及建筑垃圾、施工和生活污水、噪音、粉尘、泥浆的处理排放方案。在实施过程中所采用的材料、设备等应使总监理工程师和发包人满意。</w:t>
      </w:r>
    </w:p>
    <w:p w14:paraId="3D689ADD">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7.3 明确扬尘污染防治责任，并制定具体的施工扬尘污染防治实施方案，在施工工地公示扬尘污染防治措施、负责人、扬尘监督管理主管部门等信息。</w:t>
      </w:r>
    </w:p>
    <w:p w14:paraId="1F53E497">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7.4 采取有效防尘降尘措施，减少施工作业过程扬尘污染，并做好扬尘污染防治工作：</w:t>
      </w:r>
    </w:p>
    <w:p w14:paraId="1D3671B9">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（1）对施工现场实行封闭管理。城市范围内主要路段的施工工地应设置高度不小于2.5m的封闭围挡，一般路段的施工工地应设置高度不小于1.8m的封闭围挡。施工工地的封闭围挡应坚固、稳定、整洁、美观。</w:t>
      </w:r>
    </w:p>
    <w:p w14:paraId="54858035">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注重降尘作业。施工现场土方作业应采取防止扬尘措施，主要道路应定期清扫、洒水。拆除建筑物或构筑物时，应采用隔离、洒水等降噪、降尘措施，并应及时清理废弃物。施工进行铣刨、切割等作业时，应采取有效防扬尘措施；灰土和无机料应采用预拌进场，碾压过程中应洒水降尘。</w:t>
      </w:r>
    </w:p>
    <w:p w14:paraId="2BB9420D">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（3）清运建筑垃圾。土方和建筑垃圾的运输应采用封闭式运输车辆或采取覆盖措施。建筑物内施工垃圾的清运，应采用器具或管道运输，严禁随意抛掷。施工现场严禁焚烧各类废弃物。</w:t>
      </w:r>
    </w:p>
    <w:p w14:paraId="5D3EF5EF">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加强监测监控。鼓励施工工地安装在线监测和视频监控设备，并与当地有关主管部门联网。当环境空气质量指数达到中度及以上污染时，施工现场应增加洒水频次，加强覆盖措施，减少易造成大气污染的施工作业。</w:t>
      </w:r>
    </w:p>
    <w:p w14:paraId="0A21112F">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7.5若未能实现上述承诺，出现文明施工和环境保护落实不到位的情况，在收到书面通知后，不挑剔、不争辩，也不要求出具证明，2天内整改完成并征得发包人批复同意，否则我司愿承担罚款：每延迟1天自愿接受处罚1万元（人民币）。</w:t>
      </w:r>
    </w:p>
    <w:p w14:paraId="53B9B5AC">
      <w:pPr>
        <w:pStyle w:val="7"/>
        <w:keepNext w:val="0"/>
        <w:keepLines w:val="0"/>
        <w:widowControl/>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七、其他注意事项</w:t>
      </w:r>
    </w:p>
    <w:p w14:paraId="3ACC635B">
      <w:pPr>
        <w:widowControl/>
        <w:snapToGrid/>
        <w:spacing w:before="0" w:after="0" w:line="360" w:lineRule="auto"/>
        <w:ind w:firstLine="426"/>
        <w:jc w:val="both"/>
        <w:rPr>
          <w:rFonts w:hint="eastAsia" w:ascii="宋体" w:hAnsi="宋体" w:eastAsia="宋体"/>
          <w:color w:val="auto"/>
          <w:highlight w:val="none"/>
        </w:rPr>
      </w:pPr>
      <w:r>
        <w:rPr>
          <w:rFonts w:hint="eastAsia" w:ascii="宋体" w:hAnsi="宋体" w:eastAsia="宋体" w:cs="宋体"/>
          <w:color w:val="auto"/>
          <w:spacing w:val="4"/>
          <w:sz w:val="24"/>
          <w:highlight w:val="none"/>
        </w:rPr>
        <w:t>中标单位在合同实施过程中，如违约或有不良行为或不规范行为，或与招标人产生合同纠纷（仲裁或诉讼）的，招标人将上报建设行政主管部门，同时招标人有权在后续及其他施工招标项目中拒绝其投标。</w:t>
      </w:r>
      <w:bookmarkEnd w:id="7"/>
      <w:bookmarkEnd w:id="8"/>
      <w:bookmarkEnd w:id="9"/>
      <w:bookmarkEnd w:id="10"/>
      <w:bookmarkEnd w:id="11"/>
      <w:bookmarkEnd w:id="12"/>
      <w:bookmarkEnd w:id="13"/>
    </w:p>
    <w:bookmarkEnd w:id="166"/>
    <w:sectPr>
      <w:headerReference r:id="rId8" w:type="default"/>
      <w:footerReference r:id="rId9" w:type="default"/>
      <w:pgSz w:w="11905" w:h="16838"/>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D191">
    <w:pPr>
      <w:pStyle w:val="28"/>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E3030">
                          <w:pPr>
                            <w:pStyle w:val="28"/>
                            <w:rPr>
                              <w:rFonts w:hint="eastAsia"/>
                            </w:rPr>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v:fill on="f" focussize="0,0"/>
              <v:stroke on="f" weight="0.5pt"/>
              <v:imagedata o:title=""/>
              <o:lock v:ext="edit" aspectratio="f"/>
              <v:textbox inset="0mm,0mm,0mm,0mm" style="mso-fit-shape-to-text:t;">
                <w:txbxContent>
                  <w:p w14:paraId="22EE3030">
                    <w:pPr>
                      <w:pStyle w:val="28"/>
                      <w:rPr>
                        <w:rFonts w:hint="eastAsia"/>
                      </w:rPr>
                    </w:pPr>
                    <w:r>
                      <w:fldChar w:fldCharType="begin"/>
                    </w:r>
                    <w:r>
                      <w:instrText xml:space="preserve"> PAGE  \* MERGEFORMAT </w:instrText>
                    </w:r>
                    <w:r>
                      <w:fldChar w:fldCharType="separate"/>
                    </w:r>
                    <w:r>
                      <w:t>14</w:t>
                    </w:r>
                    <w:r>
                      <w:fldChar w:fldCharType="end"/>
                    </w:r>
                  </w:p>
                </w:txbxContent>
              </v:textbox>
            </v:shape>
          </w:pict>
        </mc:Fallback>
      </mc:AlternateContent>
    </w:r>
  </w:p>
  <w:p w14:paraId="7C4A7C48">
    <w:pPr>
      <w:pStyle w:val="2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15289">
    <w:pPr>
      <w:pStyle w:val="28"/>
      <w:jc w:val="center"/>
      <w:rPr>
        <w:rFonts w:hint="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F3989">
                          <w:pPr>
                            <w:pStyle w:val="28"/>
                            <w:rPr>
                              <w:rFonts w:hint="eastAsia"/>
                            </w:rPr>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vTgxAgAAY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MHmWhY3e&#10;Wh6hozzeLg8BcnYqR1F6JdCduMHsdX0a3kkc7j/3XdTj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p704MQIAAGMEAAAOAAAAAAAAAAEAIAAAAB8BAABkcnMvZTJvRG9jLnhtbFBLBQYA&#10;AAAABgAGAFkBAADCBQAAAAA=&#10;">
              <v:fill on="f" focussize="0,0"/>
              <v:stroke on="f" weight="0.5pt"/>
              <v:imagedata o:title=""/>
              <o:lock v:ext="edit" aspectratio="f"/>
              <v:textbox inset="0mm,0mm,0mm,0mm" style="mso-fit-shape-to-text:t;">
                <w:txbxContent>
                  <w:p w14:paraId="67CF3989">
                    <w:pPr>
                      <w:pStyle w:val="28"/>
                      <w:rPr>
                        <w:rFonts w:hint="eastAsia"/>
                      </w:rPr>
                    </w:pPr>
                    <w:r>
                      <w:fldChar w:fldCharType="begin"/>
                    </w:r>
                    <w:r>
                      <w:instrText xml:space="preserve"> PAGE  \* MERGEFORMAT </w:instrText>
                    </w:r>
                    <w:r>
                      <w:fldChar w:fldCharType="separate"/>
                    </w:r>
                    <w:r>
                      <w:t>22</w:t>
                    </w:r>
                    <w:r>
                      <w:fldChar w:fldCharType="end"/>
                    </w:r>
                  </w:p>
                </w:txbxContent>
              </v:textbox>
            </v:shape>
          </w:pict>
        </mc:Fallback>
      </mc:AlternateContent>
    </w:r>
  </w:p>
  <w:p w14:paraId="2C3C9268">
    <w:pPr>
      <w:pStyle w:val="2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4A99C">
    <w:pPr>
      <w:pStyle w:val="28"/>
      <w:jc w:val="center"/>
      <w:rPr>
        <w:rFonts w:hint="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446EF">
                          <w:pPr>
                            <w:pStyle w:val="28"/>
                            <w:rPr>
                              <w:rFonts w:hint="eastAsia"/>
                            </w:rPr>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wBL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peR3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HAEtDICAABjBAAADgAAAAAAAAABACAAAAAfAQAAZHJzL2Uyb0RvYy54bWxQSwUG&#10;AAAAAAYABgBZAQAAwwUAAAAA&#10;">
              <v:fill on="f" focussize="0,0"/>
              <v:stroke on="f" weight="0.5pt"/>
              <v:imagedata o:title=""/>
              <o:lock v:ext="edit" aspectratio="f"/>
              <v:textbox inset="0mm,0mm,0mm,0mm" style="mso-fit-shape-to-text:t;">
                <w:txbxContent>
                  <w:p w14:paraId="5DF446EF">
                    <w:pPr>
                      <w:pStyle w:val="28"/>
                      <w:rPr>
                        <w:rFonts w:hint="eastAsia"/>
                      </w:rPr>
                    </w:pPr>
                    <w:r>
                      <w:fldChar w:fldCharType="begin"/>
                    </w:r>
                    <w:r>
                      <w:instrText xml:space="preserve"> PAGE  \* MERGEFORMAT </w:instrText>
                    </w:r>
                    <w:r>
                      <w:fldChar w:fldCharType="separate"/>
                    </w:r>
                    <w:r>
                      <w:t>22</w:t>
                    </w:r>
                    <w:r>
                      <w:fldChar w:fldCharType="end"/>
                    </w:r>
                  </w:p>
                </w:txbxContent>
              </v:textbox>
            </v:shape>
          </w:pict>
        </mc:Fallback>
      </mc:AlternateContent>
    </w:r>
  </w:p>
  <w:p w14:paraId="2E38A231">
    <w:pPr>
      <w:pStyle w:val="28"/>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9310">
    <w:pPr>
      <w:pStyle w:val="2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B807">
    <w:pPr>
      <w:pStyle w:val="29"/>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74683"/>
    <w:multiLevelType w:val="singleLevel"/>
    <w:tmpl w:val="A7C74683"/>
    <w:lvl w:ilvl="0" w:tentative="0">
      <w:start w:val="1"/>
      <w:numFmt w:val="decimal"/>
      <w:lvlText w:val="(%1)"/>
      <w:lvlJc w:val="left"/>
      <w:pPr>
        <w:ind w:left="425" w:hanging="425"/>
      </w:pPr>
      <w:rPr>
        <w:rFonts w:hint="default"/>
      </w:rPr>
    </w:lvl>
  </w:abstractNum>
  <w:abstractNum w:abstractNumId="1">
    <w:nsid w:val="EF7F2D71"/>
    <w:multiLevelType w:val="singleLevel"/>
    <w:tmpl w:val="EF7F2D71"/>
    <w:lvl w:ilvl="0" w:tentative="0">
      <w:start w:val="2"/>
      <w:numFmt w:val="decimal"/>
      <w:suff w:val="nothing"/>
      <w:lvlText w:val="（%1）"/>
      <w:lvlJc w:val="left"/>
    </w:lvl>
  </w:abstractNum>
  <w:abstractNum w:abstractNumId="2">
    <w:nsid w:val="00000010"/>
    <w:multiLevelType w:val="multilevel"/>
    <w:tmpl w:val="00000010"/>
    <w:lvl w:ilvl="0" w:tentative="0">
      <w:start w:val="1"/>
      <w:numFmt w:val="chineseCountingThousand"/>
      <w:pStyle w:val="103"/>
      <w:lvlText w:val="第%1条"/>
      <w:lvlJc w:val="left"/>
      <w:pPr>
        <w:tabs>
          <w:tab w:val="left" w:pos="2565"/>
        </w:tabs>
        <w:ind w:left="1845" w:firstLine="0"/>
      </w:pPr>
      <w:rPr>
        <w:rFonts w:hint="eastAsia" w:eastAsia="黑体"/>
        <w:b/>
        <w:i w:val="0"/>
        <w:color w:val="auto"/>
        <w:sz w:val="24"/>
        <w:lang w:val="en-US"/>
      </w:rPr>
    </w:lvl>
    <w:lvl w:ilvl="1" w:tentative="0">
      <w:start w:val="1"/>
      <w:numFmt w:val="decimal"/>
      <w:lvlText w:val="%2、"/>
      <w:lvlJc w:val="left"/>
      <w:pPr>
        <w:tabs>
          <w:tab w:val="left" w:pos="1140"/>
        </w:tabs>
        <w:ind w:left="420" w:firstLine="0"/>
      </w:pPr>
      <w:rPr>
        <w:rFonts w:ascii="黑体" w:hAnsi="Tahoma" w:eastAsia="黑体"/>
        <w:b w:val="0"/>
        <w:i w:val="0"/>
        <w:sz w:val="24"/>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8295EB"/>
    <w:multiLevelType w:val="singleLevel"/>
    <w:tmpl w:val="078295EB"/>
    <w:lvl w:ilvl="0" w:tentative="0">
      <w:start w:val="1"/>
      <w:numFmt w:val="decimal"/>
      <w:lvlText w:val="(%1)"/>
      <w:lvlJc w:val="left"/>
      <w:pPr>
        <w:ind w:left="425" w:hanging="425"/>
      </w:pPr>
      <w:rPr>
        <w:rFonts w:hint="default"/>
      </w:rPr>
    </w:lvl>
  </w:abstractNum>
  <w:abstractNum w:abstractNumId="4">
    <w:nsid w:val="3BABDE40"/>
    <w:multiLevelType w:val="singleLevel"/>
    <w:tmpl w:val="3BABDE40"/>
    <w:lvl w:ilvl="0" w:tentative="0">
      <w:start w:val="1"/>
      <w:numFmt w:val="decimal"/>
      <w:lvlText w:val="(%1)"/>
      <w:lvlJc w:val="left"/>
      <w:pPr>
        <w:ind w:left="425" w:hanging="425"/>
      </w:pPr>
      <w:rPr>
        <w:rFonts w:hint="default"/>
      </w:rPr>
    </w:lvl>
  </w:abstractNum>
  <w:abstractNum w:abstractNumId="5">
    <w:nsid w:val="7FAB5CE3"/>
    <w:multiLevelType w:val="singleLevel"/>
    <w:tmpl w:val="7FAB5CE3"/>
    <w:lvl w:ilvl="0" w:tentative="0">
      <w:start w:val="5"/>
      <w:numFmt w:val="decimal"/>
      <w:suff w:val="nothing"/>
      <w:lvlText w:val="%1、"/>
      <w:lvlJc w:val="left"/>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19"/>
  <w:drawingGridVerticalSpacing w:val="156"/>
  <w:displayHorizontalDrawingGridEvery w:val="0"/>
  <w:displayVerticalDrawingGridEvery w:val="2"/>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 w:name="KSO_WPS_MARK_KEY" w:val="f87b6a4f-b6b4-4f6a-abc8-a47304e5d5ef"/>
  </w:docVars>
  <w:rsids>
    <w:rsidRoot w:val="00E3606B"/>
    <w:rsid w:val="00021538"/>
    <w:rsid w:val="00022DA8"/>
    <w:rsid w:val="00022EB4"/>
    <w:rsid w:val="00040006"/>
    <w:rsid w:val="00045F70"/>
    <w:rsid w:val="000500FE"/>
    <w:rsid w:val="00056283"/>
    <w:rsid w:val="00056A0B"/>
    <w:rsid w:val="00073ADB"/>
    <w:rsid w:val="0007470C"/>
    <w:rsid w:val="00080329"/>
    <w:rsid w:val="000804B4"/>
    <w:rsid w:val="00095323"/>
    <w:rsid w:val="000A0010"/>
    <w:rsid w:val="000B2044"/>
    <w:rsid w:val="000B4EDD"/>
    <w:rsid w:val="000C325A"/>
    <w:rsid w:val="000D3368"/>
    <w:rsid w:val="000D3CFD"/>
    <w:rsid w:val="000E3D33"/>
    <w:rsid w:val="000E4783"/>
    <w:rsid w:val="000E5E6B"/>
    <w:rsid w:val="000F6834"/>
    <w:rsid w:val="00100758"/>
    <w:rsid w:val="00124B79"/>
    <w:rsid w:val="00126619"/>
    <w:rsid w:val="00127FCF"/>
    <w:rsid w:val="00135A20"/>
    <w:rsid w:val="001505C3"/>
    <w:rsid w:val="00152778"/>
    <w:rsid w:val="00155824"/>
    <w:rsid w:val="00156DB3"/>
    <w:rsid w:val="00157B18"/>
    <w:rsid w:val="001617B9"/>
    <w:rsid w:val="0016308A"/>
    <w:rsid w:val="00163605"/>
    <w:rsid w:val="001700D2"/>
    <w:rsid w:val="00173180"/>
    <w:rsid w:val="00181424"/>
    <w:rsid w:val="001818D8"/>
    <w:rsid w:val="00191081"/>
    <w:rsid w:val="001935DB"/>
    <w:rsid w:val="00194F36"/>
    <w:rsid w:val="001B3479"/>
    <w:rsid w:val="001C1828"/>
    <w:rsid w:val="001C77FC"/>
    <w:rsid w:val="001E30DC"/>
    <w:rsid w:val="001E4D91"/>
    <w:rsid w:val="001E7731"/>
    <w:rsid w:val="001F06D4"/>
    <w:rsid w:val="002022ED"/>
    <w:rsid w:val="002055D0"/>
    <w:rsid w:val="0021475F"/>
    <w:rsid w:val="002225F1"/>
    <w:rsid w:val="00222BCF"/>
    <w:rsid w:val="00225FC8"/>
    <w:rsid w:val="002345AC"/>
    <w:rsid w:val="00235CB5"/>
    <w:rsid w:val="002400E7"/>
    <w:rsid w:val="00242CD1"/>
    <w:rsid w:val="002657F9"/>
    <w:rsid w:val="00281291"/>
    <w:rsid w:val="002828BC"/>
    <w:rsid w:val="002847E8"/>
    <w:rsid w:val="00284B35"/>
    <w:rsid w:val="002A2312"/>
    <w:rsid w:val="002C013F"/>
    <w:rsid w:val="002C0AC4"/>
    <w:rsid w:val="002C5BB2"/>
    <w:rsid w:val="002D52FE"/>
    <w:rsid w:val="002E566E"/>
    <w:rsid w:val="00304F19"/>
    <w:rsid w:val="00317C80"/>
    <w:rsid w:val="00330140"/>
    <w:rsid w:val="0033630C"/>
    <w:rsid w:val="0035694B"/>
    <w:rsid w:val="0036006D"/>
    <w:rsid w:val="0036569F"/>
    <w:rsid w:val="00383748"/>
    <w:rsid w:val="00383A9A"/>
    <w:rsid w:val="003A02B8"/>
    <w:rsid w:val="003A1854"/>
    <w:rsid w:val="003A3552"/>
    <w:rsid w:val="003A79CB"/>
    <w:rsid w:val="003D75D7"/>
    <w:rsid w:val="003E1C99"/>
    <w:rsid w:val="003E1F11"/>
    <w:rsid w:val="003F421B"/>
    <w:rsid w:val="00403E2E"/>
    <w:rsid w:val="00411330"/>
    <w:rsid w:val="00416D74"/>
    <w:rsid w:val="00421136"/>
    <w:rsid w:val="00425D71"/>
    <w:rsid w:val="00433A3D"/>
    <w:rsid w:val="00435DC8"/>
    <w:rsid w:val="004536FE"/>
    <w:rsid w:val="00463904"/>
    <w:rsid w:val="00471843"/>
    <w:rsid w:val="004847B6"/>
    <w:rsid w:val="00495209"/>
    <w:rsid w:val="004A12D6"/>
    <w:rsid w:val="004A30E0"/>
    <w:rsid w:val="004A4EBB"/>
    <w:rsid w:val="004B007E"/>
    <w:rsid w:val="004C1363"/>
    <w:rsid w:val="004C2A69"/>
    <w:rsid w:val="004C5E8B"/>
    <w:rsid w:val="004D2285"/>
    <w:rsid w:val="004E074F"/>
    <w:rsid w:val="005130A7"/>
    <w:rsid w:val="00513934"/>
    <w:rsid w:val="00513C89"/>
    <w:rsid w:val="00532342"/>
    <w:rsid w:val="00541A70"/>
    <w:rsid w:val="0054632D"/>
    <w:rsid w:val="00564435"/>
    <w:rsid w:val="00566020"/>
    <w:rsid w:val="00577A39"/>
    <w:rsid w:val="00585AE7"/>
    <w:rsid w:val="00587FB6"/>
    <w:rsid w:val="00591A48"/>
    <w:rsid w:val="005A418D"/>
    <w:rsid w:val="005A4C84"/>
    <w:rsid w:val="005B4B47"/>
    <w:rsid w:val="005B6A83"/>
    <w:rsid w:val="005C12F8"/>
    <w:rsid w:val="005C668A"/>
    <w:rsid w:val="005E6927"/>
    <w:rsid w:val="005E7668"/>
    <w:rsid w:val="005E7A5D"/>
    <w:rsid w:val="005F075B"/>
    <w:rsid w:val="005F08C8"/>
    <w:rsid w:val="00601B3B"/>
    <w:rsid w:val="0060366E"/>
    <w:rsid w:val="00604D0C"/>
    <w:rsid w:val="006110E6"/>
    <w:rsid w:val="0061324D"/>
    <w:rsid w:val="00621A7D"/>
    <w:rsid w:val="006226DE"/>
    <w:rsid w:val="00626BA3"/>
    <w:rsid w:val="006324C7"/>
    <w:rsid w:val="0063342D"/>
    <w:rsid w:val="00634151"/>
    <w:rsid w:val="00641732"/>
    <w:rsid w:val="00645A07"/>
    <w:rsid w:val="006478DE"/>
    <w:rsid w:val="006523BB"/>
    <w:rsid w:val="00657A06"/>
    <w:rsid w:val="00674AEB"/>
    <w:rsid w:val="0068074C"/>
    <w:rsid w:val="00685031"/>
    <w:rsid w:val="00695867"/>
    <w:rsid w:val="006A2B48"/>
    <w:rsid w:val="006A37D8"/>
    <w:rsid w:val="006A72B0"/>
    <w:rsid w:val="006B2FEF"/>
    <w:rsid w:val="006D6061"/>
    <w:rsid w:val="006D61A6"/>
    <w:rsid w:val="006F6AF0"/>
    <w:rsid w:val="00704091"/>
    <w:rsid w:val="00714760"/>
    <w:rsid w:val="00736E24"/>
    <w:rsid w:val="00743811"/>
    <w:rsid w:val="007500BA"/>
    <w:rsid w:val="00750810"/>
    <w:rsid w:val="0075242E"/>
    <w:rsid w:val="0075282D"/>
    <w:rsid w:val="0076003F"/>
    <w:rsid w:val="00765342"/>
    <w:rsid w:val="0077094E"/>
    <w:rsid w:val="00774B79"/>
    <w:rsid w:val="007A06A2"/>
    <w:rsid w:val="007C0B64"/>
    <w:rsid w:val="007C661C"/>
    <w:rsid w:val="007D35BF"/>
    <w:rsid w:val="007D6A37"/>
    <w:rsid w:val="007D7D70"/>
    <w:rsid w:val="007E2D62"/>
    <w:rsid w:val="007E7F9D"/>
    <w:rsid w:val="007F5791"/>
    <w:rsid w:val="007F5D55"/>
    <w:rsid w:val="008073A9"/>
    <w:rsid w:val="00821777"/>
    <w:rsid w:val="00821B89"/>
    <w:rsid w:val="008251F1"/>
    <w:rsid w:val="00841E97"/>
    <w:rsid w:val="00842586"/>
    <w:rsid w:val="00843357"/>
    <w:rsid w:val="00860CE6"/>
    <w:rsid w:val="0087082A"/>
    <w:rsid w:val="00873FFE"/>
    <w:rsid w:val="00883F54"/>
    <w:rsid w:val="00885D9C"/>
    <w:rsid w:val="008902E0"/>
    <w:rsid w:val="008B0DA7"/>
    <w:rsid w:val="008B1752"/>
    <w:rsid w:val="008B4798"/>
    <w:rsid w:val="008B7E74"/>
    <w:rsid w:val="008C2B8B"/>
    <w:rsid w:val="008C335B"/>
    <w:rsid w:val="008D332F"/>
    <w:rsid w:val="008E023D"/>
    <w:rsid w:val="008E3114"/>
    <w:rsid w:val="008E45FE"/>
    <w:rsid w:val="008E5D16"/>
    <w:rsid w:val="008E7EAE"/>
    <w:rsid w:val="008F2714"/>
    <w:rsid w:val="00904546"/>
    <w:rsid w:val="00923E95"/>
    <w:rsid w:val="00924B6E"/>
    <w:rsid w:val="0093368B"/>
    <w:rsid w:val="00935FA8"/>
    <w:rsid w:val="009365ED"/>
    <w:rsid w:val="009418A2"/>
    <w:rsid w:val="00942DD6"/>
    <w:rsid w:val="0094535B"/>
    <w:rsid w:val="009454F9"/>
    <w:rsid w:val="0096384E"/>
    <w:rsid w:val="00963D7D"/>
    <w:rsid w:val="0096739E"/>
    <w:rsid w:val="009765E0"/>
    <w:rsid w:val="009A144F"/>
    <w:rsid w:val="009A1FE4"/>
    <w:rsid w:val="009B3093"/>
    <w:rsid w:val="009C0C59"/>
    <w:rsid w:val="009C13F7"/>
    <w:rsid w:val="009C6003"/>
    <w:rsid w:val="009D5879"/>
    <w:rsid w:val="009D6BEA"/>
    <w:rsid w:val="009E2D8F"/>
    <w:rsid w:val="00A17D6F"/>
    <w:rsid w:val="00A21248"/>
    <w:rsid w:val="00A30300"/>
    <w:rsid w:val="00A331D6"/>
    <w:rsid w:val="00A34129"/>
    <w:rsid w:val="00A40871"/>
    <w:rsid w:val="00A43E89"/>
    <w:rsid w:val="00A569B9"/>
    <w:rsid w:val="00A63FEC"/>
    <w:rsid w:val="00A6518F"/>
    <w:rsid w:val="00A758BB"/>
    <w:rsid w:val="00A84940"/>
    <w:rsid w:val="00A94396"/>
    <w:rsid w:val="00AB004D"/>
    <w:rsid w:val="00AB0881"/>
    <w:rsid w:val="00AB2409"/>
    <w:rsid w:val="00AB43FC"/>
    <w:rsid w:val="00AD18A6"/>
    <w:rsid w:val="00AE3599"/>
    <w:rsid w:val="00AE70C3"/>
    <w:rsid w:val="00AF171C"/>
    <w:rsid w:val="00B04A1B"/>
    <w:rsid w:val="00B121CC"/>
    <w:rsid w:val="00B12F4A"/>
    <w:rsid w:val="00B247AA"/>
    <w:rsid w:val="00B4067B"/>
    <w:rsid w:val="00B47625"/>
    <w:rsid w:val="00B5206F"/>
    <w:rsid w:val="00B54F95"/>
    <w:rsid w:val="00B57C2A"/>
    <w:rsid w:val="00B615F8"/>
    <w:rsid w:val="00B74CD7"/>
    <w:rsid w:val="00B809D3"/>
    <w:rsid w:val="00B92FB4"/>
    <w:rsid w:val="00BA264C"/>
    <w:rsid w:val="00BA406A"/>
    <w:rsid w:val="00BC1E5E"/>
    <w:rsid w:val="00BC441C"/>
    <w:rsid w:val="00BE620D"/>
    <w:rsid w:val="00BE699B"/>
    <w:rsid w:val="00BE7767"/>
    <w:rsid w:val="00C00263"/>
    <w:rsid w:val="00C03165"/>
    <w:rsid w:val="00C11551"/>
    <w:rsid w:val="00C20143"/>
    <w:rsid w:val="00C24E18"/>
    <w:rsid w:val="00C27580"/>
    <w:rsid w:val="00C327FE"/>
    <w:rsid w:val="00C34760"/>
    <w:rsid w:val="00C4057D"/>
    <w:rsid w:val="00C43A7C"/>
    <w:rsid w:val="00C45671"/>
    <w:rsid w:val="00C56204"/>
    <w:rsid w:val="00C633AB"/>
    <w:rsid w:val="00C70F47"/>
    <w:rsid w:val="00C945D2"/>
    <w:rsid w:val="00CB16ED"/>
    <w:rsid w:val="00CB26DD"/>
    <w:rsid w:val="00CB669A"/>
    <w:rsid w:val="00CC0303"/>
    <w:rsid w:val="00CC12C8"/>
    <w:rsid w:val="00CC4D5A"/>
    <w:rsid w:val="00CD1680"/>
    <w:rsid w:val="00CE117F"/>
    <w:rsid w:val="00CE2208"/>
    <w:rsid w:val="00CF27F8"/>
    <w:rsid w:val="00CF4A8D"/>
    <w:rsid w:val="00D00517"/>
    <w:rsid w:val="00D10505"/>
    <w:rsid w:val="00D263F5"/>
    <w:rsid w:val="00D3030A"/>
    <w:rsid w:val="00D313E9"/>
    <w:rsid w:val="00D500F3"/>
    <w:rsid w:val="00D57081"/>
    <w:rsid w:val="00D5757D"/>
    <w:rsid w:val="00D749AD"/>
    <w:rsid w:val="00D76BEE"/>
    <w:rsid w:val="00D809E4"/>
    <w:rsid w:val="00D832C2"/>
    <w:rsid w:val="00D843FB"/>
    <w:rsid w:val="00D84A23"/>
    <w:rsid w:val="00D911AE"/>
    <w:rsid w:val="00D92FB2"/>
    <w:rsid w:val="00D9652E"/>
    <w:rsid w:val="00D96AE9"/>
    <w:rsid w:val="00D978C8"/>
    <w:rsid w:val="00DA03A0"/>
    <w:rsid w:val="00DA0F63"/>
    <w:rsid w:val="00DA3720"/>
    <w:rsid w:val="00DA536D"/>
    <w:rsid w:val="00DA5C3A"/>
    <w:rsid w:val="00DA683D"/>
    <w:rsid w:val="00DA6F40"/>
    <w:rsid w:val="00DB4F47"/>
    <w:rsid w:val="00DB504C"/>
    <w:rsid w:val="00DC6F46"/>
    <w:rsid w:val="00DD0C7E"/>
    <w:rsid w:val="00DD34A3"/>
    <w:rsid w:val="00DD7016"/>
    <w:rsid w:val="00DD7A8B"/>
    <w:rsid w:val="00DE2402"/>
    <w:rsid w:val="00DE339B"/>
    <w:rsid w:val="00DE6AB8"/>
    <w:rsid w:val="00DF286F"/>
    <w:rsid w:val="00DF585F"/>
    <w:rsid w:val="00E16C3B"/>
    <w:rsid w:val="00E23344"/>
    <w:rsid w:val="00E324D3"/>
    <w:rsid w:val="00E3606B"/>
    <w:rsid w:val="00E40F8F"/>
    <w:rsid w:val="00E4697F"/>
    <w:rsid w:val="00E521D8"/>
    <w:rsid w:val="00E54ACA"/>
    <w:rsid w:val="00E54B8A"/>
    <w:rsid w:val="00E577BA"/>
    <w:rsid w:val="00E8465C"/>
    <w:rsid w:val="00E95BE4"/>
    <w:rsid w:val="00EA3957"/>
    <w:rsid w:val="00EA6CEE"/>
    <w:rsid w:val="00EA7113"/>
    <w:rsid w:val="00EA789F"/>
    <w:rsid w:val="00EB358A"/>
    <w:rsid w:val="00ED368F"/>
    <w:rsid w:val="00EF77CE"/>
    <w:rsid w:val="00F00A6B"/>
    <w:rsid w:val="00F06A7E"/>
    <w:rsid w:val="00F23A03"/>
    <w:rsid w:val="00F30856"/>
    <w:rsid w:val="00F33EB8"/>
    <w:rsid w:val="00F400A8"/>
    <w:rsid w:val="00F401DE"/>
    <w:rsid w:val="00F53AE0"/>
    <w:rsid w:val="00F54EAB"/>
    <w:rsid w:val="00F556BC"/>
    <w:rsid w:val="00F56AFC"/>
    <w:rsid w:val="00F70D59"/>
    <w:rsid w:val="00F726C8"/>
    <w:rsid w:val="00F8682B"/>
    <w:rsid w:val="00F96CBA"/>
    <w:rsid w:val="00FA447B"/>
    <w:rsid w:val="00FC1229"/>
    <w:rsid w:val="00FD1FC5"/>
    <w:rsid w:val="00FE1D49"/>
    <w:rsid w:val="00FF1540"/>
    <w:rsid w:val="00FF3FA5"/>
    <w:rsid w:val="00FF4504"/>
    <w:rsid w:val="01AC1A69"/>
    <w:rsid w:val="02295C36"/>
    <w:rsid w:val="02516997"/>
    <w:rsid w:val="02661B78"/>
    <w:rsid w:val="02670616"/>
    <w:rsid w:val="029311FE"/>
    <w:rsid w:val="029439C7"/>
    <w:rsid w:val="02A81B3F"/>
    <w:rsid w:val="03103BAE"/>
    <w:rsid w:val="033F6241"/>
    <w:rsid w:val="03942A31"/>
    <w:rsid w:val="03F322A9"/>
    <w:rsid w:val="03F87308"/>
    <w:rsid w:val="03FE6732"/>
    <w:rsid w:val="048B3649"/>
    <w:rsid w:val="04B34FC6"/>
    <w:rsid w:val="04C609C8"/>
    <w:rsid w:val="04C9495C"/>
    <w:rsid w:val="05047743"/>
    <w:rsid w:val="05976809"/>
    <w:rsid w:val="05C135AC"/>
    <w:rsid w:val="05CA098C"/>
    <w:rsid w:val="05D8675E"/>
    <w:rsid w:val="05E972C7"/>
    <w:rsid w:val="0603173B"/>
    <w:rsid w:val="0609596A"/>
    <w:rsid w:val="06344057"/>
    <w:rsid w:val="065E775E"/>
    <w:rsid w:val="06A635F3"/>
    <w:rsid w:val="06A9032C"/>
    <w:rsid w:val="070457D8"/>
    <w:rsid w:val="071F0864"/>
    <w:rsid w:val="0758433E"/>
    <w:rsid w:val="07624AA0"/>
    <w:rsid w:val="077C659D"/>
    <w:rsid w:val="07BE5D63"/>
    <w:rsid w:val="084775F0"/>
    <w:rsid w:val="086E7883"/>
    <w:rsid w:val="08D444DB"/>
    <w:rsid w:val="08F05ECB"/>
    <w:rsid w:val="08F655F4"/>
    <w:rsid w:val="09970B85"/>
    <w:rsid w:val="099B1429"/>
    <w:rsid w:val="09BC6308"/>
    <w:rsid w:val="0A187F18"/>
    <w:rsid w:val="0A391C3C"/>
    <w:rsid w:val="0AD96F48"/>
    <w:rsid w:val="0ADF0A36"/>
    <w:rsid w:val="0B666171"/>
    <w:rsid w:val="0BB16A87"/>
    <w:rsid w:val="0C11061F"/>
    <w:rsid w:val="0C5600D7"/>
    <w:rsid w:val="0C9E222B"/>
    <w:rsid w:val="0CA21D1B"/>
    <w:rsid w:val="0CAF4438"/>
    <w:rsid w:val="0CB0345E"/>
    <w:rsid w:val="0CB87790"/>
    <w:rsid w:val="0CCC323C"/>
    <w:rsid w:val="0CDA2B57"/>
    <w:rsid w:val="0CDA7428"/>
    <w:rsid w:val="0CDC7EFD"/>
    <w:rsid w:val="0D742A02"/>
    <w:rsid w:val="0DAD3A9C"/>
    <w:rsid w:val="0DD814C3"/>
    <w:rsid w:val="0DDB589B"/>
    <w:rsid w:val="0DE3083D"/>
    <w:rsid w:val="0E255382"/>
    <w:rsid w:val="0E534C35"/>
    <w:rsid w:val="0E8B67DF"/>
    <w:rsid w:val="0ED71C56"/>
    <w:rsid w:val="0F14184A"/>
    <w:rsid w:val="0F1A7F5F"/>
    <w:rsid w:val="0F5E1F18"/>
    <w:rsid w:val="0F622E81"/>
    <w:rsid w:val="0F782114"/>
    <w:rsid w:val="0FA83403"/>
    <w:rsid w:val="0FAA35FB"/>
    <w:rsid w:val="0FB11199"/>
    <w:rsid w:val="0FDA07DE"/>
    <w:rsid w:val="0FE81AE1"/>
    <w:rsid w:val="0FEE34C9"/>
    <w:rsid w:val="0FF56606"/>
    <w:rsid w:val="0FFD3428"/>
    <w:rsid w:val="10020DC3"/>
    <w:rsid w:val="10577557"/>
    <w:rsid w:val="105F7F23"/>
    <w:rsid w:val="1060794F"/>
    <w:rsid w:val="10991A79"/>
    <w:rsid w:val="10A3105B"/>
    <w:rsid w:val="10C83E73"/>
    <w:rsid w:val="10F6199F"/>
    <w:rsid w:val="11067180"/>
    <w:rsid w:val="110765F0"/>
    <w:rsid w:val="115265C0"/>
    <w:rsid w:val="11546651"/>
    <w:rsid w:val="116D7F23"/>
    <w:rsid w:val="118E7673"/>
    <w:rsid w:val="11943BFC"/>
    <w:rsid w:val="11973CAE"/>
    <w:rsid w:val="11C75D80"/>
    <w:rsid w:val="12087AEF"/>
    <w:rsid w:val="1227056E"/>
    <w:rsid w:val="123F3E41"/>
    <w:rsid w:val="126043C1"/>
    <w:rsid w:val="12665599"/>
    <w:rsid w:val="126B0E01"/>
    <w:rsid w:val="128C34F7"/>
    <w:rsid w:val="128E0CE3"/>
    <w:rsid w:val="12ED1816"/>
    <w:rsid w:val="12EF5F14"/>
    <w:rsid w:val="12F6758B"/>
    <w:rsid w:val="13637D2A"/>
    <w:rsid w:val="13E501E2"/>
    <w:rsid w:val="144E63E0"/>
    <w:rsid w:val="145F04F1"/>
    <w:rsid w:val="148E2AD3"/>
    <w:rsid w:val="14963041"/>
    <w:rsid w:val="14CB229C"/>
    <w:rsid w:val="14D032C8"/>
    <w:rsid w:val="14D42C8D"/>
    <w:rsid w:val="152403E0"/>
    <w:rsid w:val="156C398F"/>
    <w:rsid w:val="156D6DDE"/>
    <w:rsid w:val="15A0686E"/>
    <w:rsid w:val="15EF1989"/>
    <w:rsid w:val="169F551D"/>
    <w:rsid w:val="16AE11E8"/>
    <w:rsid w:val="16BC60CF"/>
    <w:rsid w:val="16D50F3F"/>
    <w:rsid w:val="170434D7"/>
    <w:rsid w:val="17045380"/>
    <w:rsid w:val="17263548"/>
    <w:rsid w:val="178027F1"/>
    <w:rsid w:val="178F0AFA"/>
    <w:rsid w:val="17CE60BA"/>
    <w:rsid w:val="17EFD38D"/>
    <w:rsid w:val="181D0DEF"/>
    <w:rsid w:val="181F6915"/>
    <w:rsid w:val="18355E7E"/>
    <w:rsid w:val="189448FE"/>
    <w:rsid w:val="18B84F77"/>
    <w:rsid w:val="18D97E3B"/>
    <w:rsid w:val="18F5307E"/>
    <w:rsid w:val="191777B1"/>
    <w:rsid w:val="19490122"/>
    <w:rsid w:val="194D1260"/>
    <w:rsid w:val="194E3A44"/>
    <w:rsid w:val="19575C3B"/>
    <w:rsid w:val="19597C05"/>
    <w:rsid w:val="19870C69"/>
    <w:rsid w:val="1995C58D"/>
    <w:rsid w:val="19F138D9"/>
    <w:rsid w:val="19F85670"/>
    <w:rsid w:val="1ABC0630"/>
    <w:rsid w:val="1AD3614D"/>
    <w:rsid w:val="1ADB412D"/>
    <w:rsid w:val="1B1C4540"/>
    <w:rsid w:val="1B6E3F4F"/>
    <w:rsid w:val="1B7A5039"/>
    <w:rsid w:val="1BB325C6"/>
    <w:rsid w:val="1BC03F6C"/>
    <w:rsid w:val="1BC7354C"/>
    <w:rsid w:val="1C105CB0"/>
    <w:rsid w:val="1C6D1F48"/>
    <w:rsid w:val="1CA24DC3"/>
    <w:rsid w:val="1CB3587E"/>
    <w:rsid w:val="1CB47446"/>
    <w:rsid w:val="1CC77DA9"/>
    <w:rsid w:val="1CD6156D"/>
    <w:rsid w:val="1CDE3AE3"/>
    <w:rsid w:val="1CFA7DF8"/>
    <w:rsid w:val="1D0D3F8F"/>
    <w:rsid w:val="1D2B7B0B"/>
    <w:rsid w:val="1D474C36"/>
    <w:rsid w:val="1D670577"/>
    <w:rsid w:val="1D6A3F38"/>
    <w:rsid w:val="1DAB00C9"/>
    <w:rsid w:val="1DD42DD9"/>
    <w:rsid w:val="1DEF229B"/>
    <w:rsid w:val="1DFC3255"/>
    <w:rsid w:val="1E814A31"/>
    <w:rsid w:val="1EA96ECE"/>
    <w:rsid w:val="1ECE2E43"/>
    <w:rsid w:val="1F69532E"/>
    <w:rsid w:val="1FC658C9"/>
    <w:rsid w:val="1FE25C23"/>
    <w:rsid w:val="1FFB0FBF"/>
    <w:rsid w:val="1FFFCC70"/>
    <w:rsid w:val="20124FB2"/>
    <w:rsid w:val="20457135"/>
    <w:rsid w:val="20974600"/>
    <w:rsid w:val="209B0B03"/>
    <w:rsid w:val="20EC5803"/>
    <w:rsid w:val="21077353"/>
    <w:rsid w:val="211A5ECC"/>
    <w:rsid w:val="21224E39"/>
    <w:rsid w:val="213A031C"/>
    <w:rsid w:val="21666642"/>
    <w:rsid w:val="217A6BD0"/>
    <w:rsid w:val="217B0D8B"/>
    <w:rsid w:val="21A5067B"/>
    <w:rsid w:val="21AB746C"/>
    <w:rsid w:val="21DD67F8"/>
    <w:rsid w:val="22031B98"/>
    <w:rsid w:val="22222623"/>
    <w:rsid w:val="22FB2D4B"/>
    <w:rsid w:val="23152DEF"/>
    <w:rsid w:val="231908F9"/>
    <w:rsid w:val="23712C4B"/>
    <w:rsid w:val="2375388E"/>
    <w:rsid w:val="23943321"/>
    <w:rsid w:val="23B56380"/>
    <w:rsid w:val="23C87E61"/>
    <w:rsid w:val="241451CB"/>
    <w:rsid w:val="2419690F"/>
    <w:rsid w:val="244558F0"/>
    <w:rsid w:val="245F1650"/>
    <w:rsid w:val="24EF58C2"/>
    <w:rsid w:val="25062E30"/>
    <w:rsid w:val="251F561F"/>
    <w:rsid w:val="25551BC9"/>
    <w:rsid w:val="258B383C"/>
    <w:rsid w:val="25916979"/>
    <w:rsid w:val="25E55AE9"/>
    <w:rsid w:val="25FF38E2"/>
    <w:rsid w:val="262C161A"/>
    <w:rsid w:val="26D044DE"/>
    <w:rsid w:val="26D17B41"/>
    <w:rsid w:val="26FC5D51"/>
    <w:rsid w:val="26FD2518"/>
    <w:rsid w:val="27500F62"/>
    <w:rsid w:val="27653C19"/>
    <w:rsid w:val="27856F8C"/>
    <w:rsid w:val="27CE1C00"/>
    <w:rsid w:val="27F37DE4"/>
    <w:rsid w:val="28731C52"/>
    <w:rsid w:val="287859C9"/>
    <w:rsid w:val="28877DE9"/>
    <w:rsid w:val="28885E11"/>
    <w:rsid w:val="29122433"/>
    <w:rsid w:val="295C3415"/>
    <w:rsid w:val="298E4E21"/>
    <w:rsid w:val="29F0536A"/>
    <w:rsid w:val="29F85218"/>
    <w:rsid w:val="2A4318A7"/>
    <w:rsid w:val="2A562A7F"/>
    <w:rsid w:val="2A636B36"/>
    <w:rsid w:val="2A760392"/>
    <w:rsid w:val="2A9F38E6"/>
    <w:rsid w:val="2ABB5CB3"/>
    <w:rsid w:val="2AC375D4"/>
    <w:rsid w:val="2AF1537B"/>
    <w:rsid w:val="2B9B5E5B"/>
    <w:rsid w:val="2BF276F0"/>
    <w:rsid w:val="2C057779"/>
    <w:rsid w:val="2C1764C2"/>
    <w:rsid w:val="2C2053A7"/>
    <w:rsid w:val="2C532BDA"/>
    <w:rsid w:val="2CDB5D8E"/>
    <w:rsid w:val="2D0B67E9"/>
    <w:rsid w:val="2D12358F"/>
    <w:rsid w:val="2D371BB4"/>
    <w:rsid w:val="2D647CB4"/>
    <w:rsid w:val="2D7626DC"/>
    <w:rsid w:val="2D7828F8"/>
    <w:rsid w:val="2D9D7593"/>
    <w:rsid w:val="2E2012C3"/>
    <w:rsid w:val="2E61338C"/>
    <w:rsid w:val="2E8A2460"/>
    <w:rsid w:val="2E8F3097"/>
    <w:rsid w:val="2EAE400D"/>
    <w:rsid w:val="2EC17F9C"/>
    <w:rsid w:val="2EFF4953"/>
    <w:rsid w:val="2F20265F"/>
    <w:rsid w:val="2F2208FC"/>
    <w:rsid w:val="2F5614CA"/>
    <w:rsid w:val="2F766D39"/>
    <w:rsid w:val="2FCD0BB1"/>
    <w:rsid w:val="2FD63906"/>
    <w:rsid w:val="2FF05140"/>
    <w:rsid w:val="2FF124EE"/>
    <w:rsid w:val="301F52AD"/>
    <w:rsid w:val="302E3742"/>
    <w:rsid w:val="30403475"/>
    <w:rsid w:val="30542A7D"/>
    <w:rsid w:val="30893EE7"/>
    <w:rsid w:val="30950F2B"/>
    <w:rsid w:val="30A42BBA"/>
    <w:rsid w:val="30D81900"/>
    <w:rsid w:val="30F2201A"/>
    <w:rsid w:val="310F7CD1"/>
    <w:rsid w:val="313308E4"/>
    <w:rsid w:val="314243E7"/>
    <w:rsid w:val="320261C4"/>
    <w:rsid w:val="32244706"/>
    <w:rsid w:val="322B7D76"/>
    <w:rsid w:val="322E7A29"/>
    <w:rsid w:val="323E6274"/>
    <w:rsid w:val="324F44D1"/>
    <w:rsid w:val="3269799D"/>
    <w:rsid w:val="328C0BF4"/>
    <w:rsid w:val="333A7C99"/>
    <w:rsid w:val="33427232"/>
    <w:rsid w:val="334D791B"/>
    <w:rsid w:val="334E640C"/>
    <w:rsid w:val="33615BDC"/>
    <w:rsid w:val="33B05E45"/>
    <w:rsid w:val="33D60378"/>
    <w:rsid w:val="33EA3F37"/>
    <w:rsid w:val="340C1930"/>
    <w:rsid w:val="34680895"/>
    <w:rsid w:val="34BE410B"/>
    <w:rsid w:val="34D5533B"/>
    <w:rsid w:val="351312B3"/>
    <w:rsid w:val="35770CBA"/>
    <w:rsid w:val="35D501BC"/>
    <w:rsid w:val="36201CA5"/>
    <w:rsid w:val="36227D2F"/>
    <w:rsid w:val="3652172C"/>
    <w:rsid w:val="36984A37"/>
    <w:rsid w:val="36B50719"/>
    <w:rsid w:val="36B60D45"/>
    <w:rsid w:val="36BC355C"/>
    <w:rsid w:val="36CF95D8"/>
    <w:rsid w:val="36D63769"/>
    <w:rsid w:val="375B0589"/>
    <w:rsid w:val="376C68FE"/>
    <w:rsid w:val="37976071"/>
    <w:rsid w:val="379E094C"/>
    <w:rsid w:val="381D3A12"/>
    <w:rsid w:val="38530603"/>
    <w:rsid w:val="38A67D7E"/>
    <w:rsid w:val="38BB18EB"/>
    <w:rsid w:val="38EA21D0"/>
    <w:rsid w:val="392E030F"/>
    <w:rsid w:val="393B1BB5"/>
    <w:rsid w:val="394418E0"/>
    <w:rsid w:val="39581830"/>
    <w:rsid w:val="39661A0E"/>
    <w:rsid w:val="3968080E"/>
    <w:rsid w:val="397F00F3"/>
    <w:rsid w:val="39873EC3"/>
    <w:rsid w:val="39E554AA"/>
    <w:rsid w:val="3A281202"/>
    <w:rsid w:val="3A693304"/>
    <w:rsid w:val="3B313993"/>
    <w:rsid w:val="3B557FE6"/>
    <w:rsid w:val="3B7A5413"/>
    <w:rsid w:val="3B865CB0"/>
    <w:rsid w:val="3BBA7C64"/>
    <w:rsid w:val="3C1E54FF"/>
    <w:rsid w:val="3C312C00"/>
    <w:rsid w:val="3C3E10BB"/>
    <w:rsid w:val="3C4C4925"/>
    <w:rsid w:val="3C4D6CFE"/>
    <w:rsid w:val="3C8A6140"/>
    <w:rsid w:val="3CB64F15"/>
    <w:rsid w:val="3CFE624A"/>
    <w:rsid w:val="3D141416"/>
    <w:rsid w:val="3D362977"/>
    <w:rsid w:val="3D63267C"/>
    <w:rsid w:val="3D72372C"/>
    <w:rsid w:val="3D734E8A"/>
    <w:rsid w:val="3D736480"/>
    <w:rsid w:val="3DC35521"/>
    <w:rsid w:val="3DDC47DD"/>
    <w:rsid w:val="3E304B60"/>
    <w:rsid w:val="3E357291"/>
    <w:rsid w:val="3E5A7DF8"/>
    <w:rsid w:val="3E5D6D41"/>
    <w:rsid w:val="3E814046"/>
    <w:rsid w:val="3EC16FCC"/>
    <w:rsid w:val="3EC67F79"/>
    <w:rsid w:val="3EE34114"/>
    <w:rsid w:val="3EE9E4EB"/>
    <w:rsid w:val="3EFB240B"/>
    <w:rsid w:val="3F294894"/>
    <w:rsid w:val="3F746008"/>
    <w:rsid w:val="3FB926FD"/>
    <w:rsid w:val="3FBCC0F0"/>
    <w:rsid w:val="3FF12096"/>
    <w:rsid w:val="4015611D"/>
    <w:rsid w:val="401A339B"/>
    <w:rsid w:val="401F6CC0"/>
    <w:rsid w:val="403311B0"/>
    <w:rsid w:val="405D6A94"/>
    <w:rsid w:val="40D27AFD"/>
    <w:rsid w:val="41691C24"/>
    <w:rsid w:val="422B5D33"/>
    <w:rsid w:val="42405305"/>
    <w:rsid w:val="426621C4"/>
    <w:rsid w:val="427E08C7"/>
    <w:rsid w:val="43AD49E6"/>
    <w:rsid w:val="43D46C6D"/>
    <w:rsid w:val="43D917BF"/>
    <w:rsid w:val="43E4263E"/>
    <w:rsid w:val="43FB7987"/>
    <w:rsid w:val="441C376E"/>
    <w:rsid w:val="442D18F9"/>
    <w:rsid w:val="446B551E"/>
    <w:rsid w:val="44F16E01"/>
    <w:rsid w:val="45110C7F"/>
    <w:rsid w:val="452E47C2"/>
    <w:rsid w:val="45886D5E"/>
    <w:rsid w:val="45947F95"/>
    <w:rsid w:val="45BB4542"/>
    <w:rsid w:val="46540986"/>
    <w:rsid w:val="46896313"/>
    <w:rsid w:val="46A25336"/>
    <w:rsid w:val="46A73271"/>
    <w:rsid w:val="46AF5039"/>
    <w:rsid w:val="46C2478C"/>
    <w:rsid w:val="46F96600"/>
    <w:rsid w:val="47E309EA"/>
    <w:rsid w:val="480602B6"/>
    <w:rsid w:val="4896186D"/>
    <w:rsid w:val="48C60564"/>
    <w:rsid w:val="48D12A65"/>
    <w:rsid w:val="48ED1CCD"/>
    <w:rsid w:val="49064506"/>
    <w:rsid w:val="492C1D2E"/>
    <w:rsid w:val="492F7ED0"/>
    <w:rsid w:val="4955220D"/>
    <w:rsid w:val="49660D9D"/>
    <w:rsid w:val="496865DC"/>
    <w:rsid w:val="49D140CF"/>
    <w:rsid w:val="49F00709"/>
    <w:rsid w:val="4A0C147F"/>
    <w:rsid w:val="4A4C6847"/>
    <w:rsid w:val="4A802994"/>
    <w:rsid w:val="4AAF595E"/>
    <w:rsid w:val="4AB92C27"/>
    <w:rsid w:val="4AC5270B"/>
    <w:rsid w:val="4AF22833"/>
    <w:rsid w:val="4AF4451A"/>
    <w:rsid w:val="4B9A1D3E"/>
    <w:rsid w:val="4B9A5CD8"/>
    <w:rsid w:val="4BBE19C6"/>
    <w:rsid w:val="4BF7009E"/>
    <w:rsid w:val="4C596AD0"/>
    <w:rsid w:val="4C82133E"/>
    <w:rsid w:val="4CD67C42"/>
    <w:rsid w:val="4CF85F6B"/>
    <w:rsid w:val="4D27760E"/>
    <w:rsid w:val="4D2E66D8"/>
    <w:rsid w:val="4DB00DC5"/>
    <w:rsid w:val="4DF37D3C"/>
    <w:rsid w:val="4E2730CC"/>
    <w:rsid w:val="4E2D4F6F"/>
    <w:rsid w:val="4E3F7A75"/>
    <w:rsid w:val="4E6C395B"/>
    <w:rsid w:val="4EC54E1A"/>
    <w:rsid w:val="4EED3F2E"/>
    <w:rsid w:val="4EF7D356"/>
    <w:rsid w:val="4F0D2CAA"/>
    <w:rsid w:val="4F4026F2"/>
    <w:rsid w:val="4F4E3061"/>
    <w:rsid w:val="4F534D39"/>
    <w:rsid w:val="4F5A55CA"/>
    <w:rsid w:val="4F6F897F"/>
    <w:rsid w:val="4FA07362"/>
    <w:rsid w:val="4FEE356B"/>
    <w:rsid w:val="4FF173B3"/>
    <w:rsid w:val="4FFC2ABD"/>
    <w:rsid w:val="50113993"/>
    <w:rsid w:val="501E6294"/>
    <w:rsid w:val="503C7A65"/>
    <w:rsid w:val="506C70C1"/>
    <w:rsid w:val="506D7517"/>
    <w:rsid w:val="50AF18DD"/>
    <w:rsid w:val="50B213CE"/>
    <w:rsid w:val="50B27620"/>
    <w:rsid w:val="50E750E8"/>
    <w:rsid w:val="510F02A0"/>
    <w:rsid w:val="513639C0"/>
    <w:rsid w:val="51402E7D"/>
    <w:rsid w:val="51956D25"/>
    <w:rsid w:val="522001DE"/>
    <w:rsid w:val="52D57EE1"/>
    <w:rsid w:val="531319AA"/>
    <w:rsid w:val="53197521"/>
    <w:rsid w:val="53733096"/>
    <w:rsid w:val="53C21A98"/>
    <w:rsid w:val="53CC09F8"/>
    <w:rsid w:val="53CF1212"/>
    <w:rsid w:val="542B1822"/>
    <w:rsid w:val="544D7D8B"/>
    <w:rsid w:val="54C0055D"/>
    <w:rsid w:val="54D23DEC"/>
    <w:rsid w:val="54D27300"/>
    <w:rsid w:val="54D43CAD"/>
    <w:rsid w:val="54F621D1"/>
    <w:rsid w:val="55189E8C"/>
    <w:rsid w:val="552971E1"/>
    <w:rsid w:val="556C4895"/>
    <w:rsid w:val="55A75279"/>
    <w:rsid w:val="55D86F8A"/>
    <w:rsid w:val="55E02539"/>
    <w:rsid w:val="5621502B"/>
    <w:rsid w:val="5630526E"/>
    <w:rsid w:val="565810A1"/>
    <w:rsid w:val="569272B9"/>
    <w:rsid w:val="569933E4"/>
    <w:rsid w:val="56B8595F"/>
    <w:rsid w:val="56F6683A"/>
    <w:rsid w:val="570165EB"/>
    <w:rsid w:val="570DCFA5"/>
    <w:rsid w:val="575D6537"/>
    <w:rsid w:val="57F02618"/>
    <w:rsid w:val="58153B2A"/>
    <w:rsid w:val="583A29A5"/>
    <w:rsid w:val="58A2699C"/>
    <w:rsid w:val="58A81A34"/>
    <w:rsid w:val="58DB3C34"/>
    <w:rsid w:val="58FF2611"/>
    <w:rsid w:val="59205A6E"/>
    <w:rsid w:val="5928495F"/>
    <w:rsid w:val="593A5382"/>
    <w:rsid w:val="59597197"/>
    <w:rsid w:val="59D6648F"/>
    <w:rsid w:val="59D86349"/>
    <w:rsid w:val="5A1E5727"/>
    <w:rsid w:val="5A738F6A"/>
    <w:rsid w:val="5AE43C69"/>
    <w:rsid w:val="5B5C6B06"/>
    <w:rsid w:val="5B7E4A2B"/>
    <w:rsid w:val="5B9E298E"/>
    <w:rsid w:val="5C0C4E98"/>
    <w:rsid w:val="5C114B89"/>
    <w:rsid w:val="5C9F3FFC"/>
    <w:rsid w:val="5CC6692D"/>
    <w:rsid w:val="5CC97269"/>
    <w:rsid w:val="5CF50FC0"/>
    <w:rsid w:val="5D04446A"/>
    <w:rsid w:val="5D090C40"/>
    <w:rsid w:val="5D2D3AF7"/>
    <w:rsid w:val="5D79399F"/>
    <w:rsid w:val="5D8A795A"/>
    <w:rsid w:val="5DB1365C"/>
    <w:rsid w:val="5DE917FD"/>
    <w:rsid w:val="5E133A76"/>
    <w:rsid w:val="5E192A8C"/>
    <w:rsid w:val="5E8232F3"/>
    <w:rsid w:val="5EA47734"/>
    <w:rsid w:val="5EB34C8F"/>
    <w:rsid w:val="5ED6503F"/>
    <w:rsid w:val="5EDB3860"/>
    <w:rsid w:val="5EEF8038"/>
    <w:rsid w:val="5FB26B3A"/>
    <w:rsid w:val="60174289"/>
    <w:rsid w:val="603C0CB4"/>
    <w:rsid w:val="606A0B94"/>
    <w:rsid w:val="60795A64"/>
    <w:rsid w:val="60E2116F"/>
    <w:rsid w:val="613F0A5C"/>
    <w:rsid w:val="614F39EC"/>
    <w:rsid w:val="61637BA0"/>
    <w:rsid w:val="61835089"/>
    <w:rsid w:val="61D26580"/>
    <w:rsid w:val="61D5316E"/>
    <w:rsid w:val="61E15E5A"/>
    <w:rsid w:val="61E67129"/>
    <w:rsid w:val="61EF2482"/>
    <w:rsid w:val="61FA4982"/>
    <w:rsid w:val="62A957D9"/>
    <w:rsid w:val="62CD70A4"/>
    <w:rsid w:val="62DA7A71"/>
    <w:rsid w:val="632772B9"/>
    <w:rsid w:val="632E4E68"/>
    <w:rsid w:val="634E31D8"/>
    <w:rsid w:val="63626C83"/>
    <w:rsid w:val="63847969"/>
    <w:rsid w:val="63890B5A"/>
    <w:rsid w:val="638D614B"/>
    <w:rsid w:val="63A86D8C"/>
    <w:rsid w:val="63A94039"/>
    <w:rsid w:val="63AF74DC"/>
    <w:rsid w:val="63FC2C34"/>
    <w:rsid w:val="63FF1C76"/>
    <w:rsid w:val="64A37553"/>
    <w:rsid w:val="64DE058B"/>
    <w:rsid w:val="64F463FC"/>
    <w:rsid w:val="650A43FB"/>
    <w:rsid w:val="65735178"/>
    <w:rsid w:val="657B7F91"/>
    <w:rsid w:val="65B03CD6"/>
    <w:rsid w:val="65C0401D"/>
    <w:rsid w:val="65E144AD"/>
    <w:rsid w:val="666A1688"/>
    <w:rsid w:val="66754F1F"/>
    <w:rsid w:val="66897701"/>
    <w:rsid w:val="669C425A"/>
    <w:rsid w:val="66A67654"/>
    <w:rsid w:val="66CD28BF"/>
    <w:rsid w:val="66F35CB5"/>
    <w:rsid w:val="67187863"/>
    <w:rsid w:val="6727621A"/>
    <w:rsid w:val="672A245F"/>
    <w:rsid w:val="67650AF0"/>
    <w:rsid w:val="678A0557"/>
    <w:rsid w:val="67BB77DC"/>
    <w:rsid w:val="67BC362F"/>
    <w:rsid w:val="68025172"/>
    <w:rsid w:val="680B4215"/>
    <w:rsid w:val="683D68AF"/>
    <w:rsid w:val="68772494"/>
    <w:rsid w:val="6896496E"/>
    <w:rsid w:val="68A5389A"/>
    <w:rsid w:val="68F8049C"/>
    <w:rsid w:val="69286279"/>
    <w:rsid w:val="694D1AF9"/>
    <w:rsid w:val="696411DB"/>
    <w:rsid w:val="69695723"/>
    <w:rsid w:val="6A06384E"/>
    <w:rsid w:val="6A3048AE"/>
    <w:rsid w:val="6ABE6E95"/>
    <w:rsid w:val="6AC86EC5"/>
    <w:rsid w:val="6AD532CF"/>
    <w:rsid w:val="6AD870E9"/>
    <w:rsid w:val="6ADC731B"/>
    <w:rsid w:val="6B4759DA"/>
    <w:rsid w:val="6B5477F9"/>
    <w:rsid w:val="6B7E5284"/>
    <w:rsid w:val="6B8031C7"/>
    <w:rsid w:val="6BB059F2"/>
    <w:rsid w:val="6BCFDD70"/>
    <w:rsid w:val="6BFF6B71"/>
    <w:rsid w:val="6C3870FA"/>
    <w:rsid w:val="6C3A079D"/>
    <w:rsid w:val="6C42449D"/>
    <w:rsid w:val="6C4B3AAF"/>
    <w:rsid w:val="6C5055CD"/>
    <w:rsid w:val="6C5F63CA"/>
    <w:rsid w:val="6D6108A6"/>
    <w:rsid w:val="6D676CA0"/>
    <w:rsid w:val="6D7A70D0"/>
    <w:rsid w:val="6D8A50A2"/>
    <w:rsid w:val="6DD93FE6"/>
    <w:rsid w:val="6DF7F16A"/>
    <w:rsid w:val="6E10454B"/>
    <w:rsid w:val="6E170606"/>
    <w:rsid w:val="6E4F56EC"/>
    <w:rsid w:val="6E594CF3"/>
    <w:rsid w:val="6EBF7C57"/>
    <w:rsid w:val="6EBFC90A"/>
    <w:rsid w:val="6EFC21D2"/>
    <w:rsid w:val="6F070893"/>
    <w:rsid w:val="6F240921"/>
    <w:rsid w:val="6F505485"/>
    <w:rsid w:val="6F6F4C02"/>
    <w:rsid w:val="6F72DF55"/>
    <w:rsid w:val="6F966F72"/>
    <w:rsid w:val="6F9F08F5"/>
    <w:rsid w:val="6FC018AC"/>
    <w:rsid w:val="6FD809F9"/>
    <w:rsid w:val="6FD903E7"/>
    <w:rsid w:val="6FFDFC7F"/>
    <w:rsid w:val="6FFF73BF"/>
    <w:rsid w:val="6FFFEB01"/>
    <w:rsid w:val="700215D2"/>
    <w:rsid w:val="700222B2"/>
    <w:rsid w:val="70103110"/>
    <w:rsid w:val="70153D32"/>
    <w:rsid w:val="70441100"/>
    <w:rsid w:val="70A16363"/>
    <w:rsid w:val="70AD36ED"/>
    <w:rsid w:val="70C42D2B"/>
    <w:rsid w:val="70FFAABA"/>
    <w:rsid w:val="710A6CC4"/>
    <w:rsid w:val="713954C7"/>
    <w:rsid w:val="71664295"/>
    <w:rsid w:val="71C32FE3"/>
    <w:rsid w:val="72065E82"/>
    <w:rsid w:val="72146BC2"/>
    <w:rsid w:val="722D066E"/>
    <w:rsid w:val="72635250"/>
    <w:rsid w:val="72965F01"/>
    <w:rsid w:val="72CB65F3"/>
    <w:rsid w:val="72EE72CB"/>
    <w:rsid w:val="732C0596"/>
    <w:rsid w:val="734C0309"/>
    <w:rsid w:val="735C86FD"/>
    <w:rsid w:val="737BDAB5"/>
    <w:rsid w:val="73AD401E"/>
    <w:rsid w:val="73C2272E"/>
    <w:rsid w:val="745F4C6A"/>
    <w:rsid w:val="74886410"/>
    <w:rsid w:val="748D1686"/>
    <w:rsid w:val="7490285F"/>
    <w:rsid w:val="74C460BA"/>
    <w:rsid w:val="756D47FB"/>
    <w:rsid w:val="75D827AD"/>
    <w:rsid w:val="75ED3686"/>
    <w:rsid w:val="75FB71EF"/>
    <w:rsid w:val="76045978"/>
    <w:rsid w:val="762FA91D"/>
    <w:rsid w:val="76320737"/>
    <w:rsid w:val="766C1283"/>
    <w:rsid w:val="76764AC8"/>
    <w:rsid w:val="76BD6568"/>
    <w:rsid w:val="76BF8A9E"/>
    <w:rsid w:val="76C318FE"/>
    <w:rsid w:val="76DA5057"/>
    <w:rsid w:val="76F358AB"/>
    <w:rsid w:val="76FF2DC2"/>
    <w:rsid w:val="77043E82"/>
    <w:rsid w:val="772C62F3"/>
    <w:rsid w:val="77614232"/>
    <w:rsid w:val="77996139"/>
    <w:rsid w:val="77A70F27"/>
    <w:rsid w:val="77E13BD2"/>
    <w:rsid w:val="77ED0DBA"/>
    <w:rsid w:val="78120820"/>
    <w:rsid w:val="781D00C9"/>
    <w:rsid w:val="78300CA6"/>
    <w:rsid w:val="7842109B"/>
    <w:rsid w:val="784D4E3B"/>
    <w:rsid w:val="7859399F"/>
    <w:rsid w:val="786D1EFA"/>
    <w:rsid w:val="789708FF"/>
    <w:rsid w:val="78E21FA1"/>
    <w:rsid w:val="79037DA4"/>
    <w:rsid w:val="79426EE3"/>
    <w:rsid w:val="797236F7"/>
    <w:rsid w:val="798B0320"/>
    <w:rsid w:val="79D96780"/>
    <w:rsid w:val="79EB757B"/>
    <w:rsid w:val="7A20128A"/>
    <w:rsid w:val="7A2544C3"/>
    <w:rsid w:val="7A3C7DD6"/>
    <w:rsid w:val="7A8F4FCE"/>
    <w:rsid w:val="7ADEE961"/>
    <w:rsid w:val="7B095F0A"/>
    <w:rsid w:val="7B637EF6"/>
    <w:rsid w:val="7B647F81"/>
    <w:rsid w:val="7B674AEC"/>
    <w:rsid w:val="7B8626B2"/>
    <w:rsid w:val="7B8C49D1"/>
    <w:rsid w:val="7BA97FC7"/>
    <w:rsid w:val="7BAE6AB2"/>
    <w:rsid w:val="7BF165E3"/>
    <w:rsid w:val="7C0A4C0C"/>
    <w:rsid w:val="7C1B4341"/>
    <w:rsid w:val="7C2D5C29"/>
    <w:rsid w:val="7C336FB7"/>
    <w:rsid w:val="7C5739AD"/>
    <w:rsid w:val="7CAB57A7"/>
    <w:rsid w:val="7CF7612D"/>
    <w:rsid w:val="7D3350C5"/>
    <w:rsid w:val="7D3ACB20"/>
    <w:rsid w:val="7D71202A"/>
    <w:rsid w:val="7D7FC4C7"/>
    <w:rsid w:val="7D8E26F7"/>
    <w:rsid w:val="7D994D3E"/>
    <w:rsid w:val="7DA57939"/>
    <w:rsid w:val="7DC10D1E"/>
    <w:rsid w:val="7DC3531E"/>
    <w:rsid w:val="7DEC2C45"/>
    <w:rsid w:val="7DF478B8"/>
    <w:rsid w:val="7DF7BAB8"/>
    <w:rsid w:val="7DFF4FA7"/>
    <w:rsid w:val="7E250825"/>
    <w:rsid w:val="7E590F57"/>
    <w:rsid w:val="7E5C69D0"/>
    <w:rsid w:val="7E65648D"/>
    <w:rsid w:val="7E9300B5"/>
    <w:rsid w:val="7EB4618D"/>
    <w:rsid w:val="7EC67CEE"/>
    <w:rsid w:val="7EEE5280"/>
    <w:rsid w:val="7EF02F3D"/>
    <w:rsid w:val="7EFF5961"/>
    <w:rsid w:val="7F030AF9"/>
    <w:rsid w:val="7F4A3514"/>
    <w:rsid w:val="7F71407E"/>
    <w:rsid w:val="7F807128"/>
    <w:rsid w:val="7F9B559F"/>
    <w:rsid w:val="7F9FAC02"/>
    <w:rsid w:val="7FAB596E"/>
    <w:rsid w:val="7FBB354B"/>
    <w:rsid w:val="7FBD3267"/>
    <w:rsid w:val="7FC64B64"/>
    <w:rsid w:val="7FF73CBC"/>
    <w:rsid w:val="7FFA42A4"/>
    <w:rsid w:val="7FFE8FA9"/>
    <w:rsid w:val="7FFFA9EF"/>
    <w:rsid w:val="7FFFCB13"/>
    <w:rsid w:val="8FE5B3A6"/>
    <w:rsid w:val="90F62B3E"/>
    <w:rsid w:val="93DB919F"/>
    <w:rsid w:val="9FBBCA99"/>
    <w:rsid w:val="A11744CB"/>
    <w:rsid w:val="AE0DF912"/>
    <w:rsid w:val="AF77D57D"/>
    <w:rsid w:val="B25F6596"/>
    <w:rsid w:val="B6FF6316"/>
    <w:rsid w:val="B77A7456"/>
    <w:rsid w:val="BADF96DA"/>
    <w:rsid w:val="BEEE544E"/>
    <w:rsid w:val="BEF15F16"/>
    <w:rsid w:val="BFFB3C3E"/>
    <w:rsid w:val="CDDB9A08"/>
    <w:rsid w:val="D65FD3CA"/>
    <w:rsid w:val="DDF92333"/>
    <w:rsid w:val="DF7F9B6F"/>
    <w:rsid w:val="DFA2E27A"/>
    <w:rsid w:val="DFB2B041"/>
    <w:rsid w:val="E73F5619"/>
    <w:rsid w:val="EBAF0687"/>
    <w:rsid w:val="ED27E6F1"/>
    <w:rsid w:val="EDDF71FC"/>
    <w:rsid w:val="EEBFC108"/>
    <w:rsid w:val="EF6A4571"/>
    <w:rsid w:val="EFF6C50E"/>
    <w:rsid w:val="EFFC6C69"/>
    <w:rsid w:val="F3FDDE06"/>
    <w:rsid w:val="F59E9332"/>
    <w:rsid w:val="F6EA3633"/>
    <w:rsid w:val="F6F318DF"/>
    <w:rsid w:val="F7374FCE"/>
    <w:rsid w:val="F771382C"/>
    <w:rsid w:val="F7FF600A"/>
    <w:rsid w:val="F7FFC852"/>
    <w:rsid w:val="F9CE264D"/>
    <w:rsid w:val="FAB5BF94"/>
    <w:rsid w:val="FAB6598D"/>
    <w:rsid w:val="FAFF80D4"/>
    <w:rsid w:val="FBEFA1A0"/>
    <w:rsid w:val="FCFC86EB"/>
    <w:rsid w:val="FE724B75"/>
    <w:rsid w:val="FEA36B0C"/>
    <w:rsid w:val="FEFECFB9"/>
    <w:rsid w:val="FFACE39A"/>
    <w:rsid w:val="FFAF0FFB"/>
    <w:rsid w:val="FFBBA273"/>
    <w:rsid w:val="FFEB0ACC"/>
    <w:rsid w:val="FFEB87FE"/>
    <w:rsid w:val="FFF2CB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paragraph" w:styleId="3">
    <w:name w:val="heading 1"/>
    <w:basedOn w:val="1"/>
    <w:next w:val="4"/>
    <w:link w:val="50"/>
    <w:qFormat/>
    <w:uiPriority w:val="0"/>
    <w:pPr>
      <w:keepNext/>
      <w:keepLines/>
      <w:spacing w:before="0" w:after="0" w:line="408" w:lineRule="auto"/>
      <w:outlineLvl w:val="0"/>
    </w:pPr>
    <w:rPr>
      <w:rFonts w:eastAsia="仿宋_GB2312"/>
      <w:b/>
      <w:bCs/>
      <w:color w:val="1A1A1A"/>
      <w:sz w:val="28"/>
      <w:szCs w:val="36"/>
    </w:rPr>
  </w:style>
  <w:style w:type="paragraph" w:styleId="6">
    <w:name w:val="heading 2"/>
    <w:basedOn w:val="1"/>
    <w:next w:val="1"/>
    <w:link w:val="51"/>
    <w:unhideWhenUsed/>
    <w:qFormat/>
    <w:uiPriority w:val="0"/>
    <w:pPr>
      <w:keepNext/>
      <w:keepLines/>
      <w:spacing w:before="260" w:after="260" w:line="360" w:lineRule="auto"/>
      <w:outlineLvl w:val="1"/>
    </w:pPr>
    <w:rPr>
      <w:rFonts w:eastAsia="仿宋_GB2312" w:asciiTheme="majorHAnsi" w:hAnsiTheme="majorHAnsi" w:cstheme="majorBidi"/>
      <w:b/>
      <w:bCs/>
      <w:sz w:val="28"/>
      <w:szCs w:val="32"/>
    </w:rPr>
  </w:style>
  <w:style w:type="paragraph" w:styleId="7">
    <w:name w:val="heading 3"/>
    <w:basedOn w:val="1"/>
    <w:next w:val="1"/>
    <w:link w:val="52"/>
    <w:qFormat/>
    <w:uiPriority w:val="0"/>
    <w:pPr>
      <w:keepNext/>
      <w:keepLines/>
      <w:spacing w:before="0" w:after="0" w:line="408" w:lineRule="auto"/>
      <w:outlineLvl w:val="2"/>
    </w:pPr>
    <w:rPr>
      <w:b/>
      <w:bCs/>
      <w:color w:val="1A1A1A"/>
      <w:sz w:val="28"/>
      <w:szCs w:val="28"/>
    </w:rPr>
  </w:style>
  <w:style w:type="paragraph" w:styleId="8">
    <w:name w:val="heading 4"/>
    <w:basedOn w:val="1"/>
    <w:next w:val="1"/>
    <w:link w:val="53"/>
    <w:qFormat/>
    <w:uiPriority w:val="0"/>
    <w:pPr>
      <w:tabs>
        <w:tab w:val="left" w:pos="0"/>
      </w:tabs>
      <w:snapToGrid/>
      <w:spacing w:before="0" w:after="0" w:line="360" w:lineRule="auto"/>
      <w:ind w:left="426" w:hanging="426"/>
      <w:jc w:val="center"/>
      <w:outlineLvl w:val="3"/>
    </w:pPr>
    <w:rPr>
      <w:rFonts w:ascii="Arial" w:hAnsi="Arial" w:eastAsia="宋体" w:cs="Times New Roman"/>
      <w:b/>
      <w:color w:val="auto"/>
      <w:sz w:val="24"/>
      <w:szCs w:val="20"/>
    </w:rPr>
  </w:style>
  <w:style w:type="paragraph" w:styleId="9">
    <w:name w:val="heading 5"/>
    <w:basedOn w:val="1"/>
    <w:next w:val="1"/>
    <w:link w:val="54"/>
    <w:qFormat/>
    <w:uiPriority w:val="0"/>
    <w:pPr>
      <w:keepNext/>
      <w:keepLines/>
      <w:snapToGrid/>
      <w:spacing w:before="280" w:after="290" w:line="374" w:lineRule="auto"/>
      <w:jc w:val="both"/>
      <w:outlineLvl w:val="4"/>
    </w:pPr>
    <w:rPr>
      <w:rFonts w:ascii="Times New Roman" w:hAnsi="Times New Roman" w:eastAsia="宋体" w:cs="Times New Roman"/>
      <w:b/>
      <w:color w:val="auto"/>
      <w:sz w:val="28"/>
      <w:szCs w:val="20"/>
    </w:rPr>
  </w:style>
  <w:style w:type="paragraph" w:styleId="10">
    <w:name w:val="heading 6"/>
    <w:basedOn w:val="1"/>
    <w:next w:val="1"/>
    <w:link w:val="55"/>
    <w:qFormat/>
    <w:uiPriority w:val="0"/>
    <w:pPr>
      <w:keepNext/>
      <w:keepLines/>
      <w:tabs>
        <w:tab w:val="left" w:pos="1152"/>
      </w:tabs>
      <w:snapToGrid/>
      <w:spacing w:before="0" w:after="0" w:line="360" w:lineRule="auto"/>
      <w:jc w:val="center"/>
      <w:outlineLvl w:val="5"/>
    </w:pPr>
    <w:rPr>
      <w:rFonts w:ascii="Arial" w:hAnsi="Arial" w:eastAsia="黑体" w:cs="Times New Roman"/>
      <w:b/>
      <w:color w:val="auto"/>
      <w:sz w:val="24"/>
      <w:szCs w:val="20"/>
    </w:rPr>
  </w:style>
  <w:style w:type="paragraph" w:styleId="11">
    <w:name w:val="heading 7"/>
    <w:basedOn w:val="1"/>
    <w:next w:val="1"/>
    <w:link w:val="56"/>
    <w:qFormat/>
    <w:uiPriority w:val="9"/>
    <w:pPr>
      <w:keepNext/>
      <w:keepLines/>
      <w:tabs>
        <w:tab w:val="left" w:pos="1296"/>
      </w:tabs>
      <w:snapToGrid/>
      <w:spacing w:before="240" w:after="64" w:line="319" w:lineRule="auto"/>
      <w:ind w:left="1296" w:hanging="1296"/>
      <w:jc w:val="both"/>
      <w:outlineLvl w:val="6"/>
    </w:pPr>
    <w:rPr>
      <w:rFonts w:ascii="Times New Roman" w:hAnsi="Times New Roman" w:eastAsia="宋体" w:cs="Times New Roman"/>
      <w:b/>
      <w:color w:val="auto"/>
      <w:sz w:val="24"/>
      <w:szCs w:val="20"/>
    </w:rPr>
  </w:style>
  <w:style w:type="paragraph" w:styleId="12">
    <w:name w:val="heading 8"/>
    <w:basedOn w:val="1"/>
    <w:next w:val="1"/>
    <w:link w:val="57"/>
    <w:qFormat/>
    <w:uiPriority w:val="9"/>
    <w:pPr>
      <w:keepNext/>
      <w:keepLines/>
      <w:snapToGrid/>
      <w:spacing w:before="0" w:after="0" w:line="317" w:lineRule="auto"/>
      <w:jc w:val="both"/>
      <w:outlineLvl w:val="7"/>
    </w:pPr>
    <w:rPr>
      <w:rFonts w:ascii="Arial" w:hAnsi="Arial" w:eastAsia="黑体" w:cs="Times New Roman"/>
      <w:color w:val="auto"/>
      <w:sz w:val="24"/>
      <w:szCs w:val="21"/>
    </w:rPr>
  </w:style>
  <w:style w:type="paragraph" w:styleId="13">
    <w:name w:val="heading 9"/>
    <w:basedOn w:val="1"/>
    <w:next w:val="1"/>
    <w:link w:val="58"/>
    <w:qFormat/>
    <w:uiPriority w:val="0"/>
    <w:pPr>
      <w:keepNext/>
      <w:keepLines/>
      <w:tabs>
        <w:tab w:val="left" w:pos="1584"/>
      </w:tabs>
      <w:snapToGrid/>
      <w:spacing w:before="240" w:after="64" w:line="319" w:lineRule="auto"/>
      <w:ind w:left="1584" w:hanging="1584"/>
      <w:jc w:val="both"/>
      <w:outlineLvl w:val="8"/>
    </w:pPr>
    <w:rPr>
      <w:rFonts w:ascii="Arial" w:hAnsi="Arial" w:eastAsia="黑体" w:cs="Times New Roman"/>
      <w:color w:val="auto"/>
      <w:sz w:val="21"/>
      <w:szCs w:val="20"/>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2"/>
    <w:qFormat/>
    <w:uiPriority w:val="99"/>
    <w:pPr>
      <w:snapToGrid/>
      <w:spacing w:before="0" w:after="0" w:line="360" w:lineRule="auto"/>
      <w:ind w:firstLine="200" w:firstLineChars="200"/>
      <w:jc w:val="both"/>
    </w:pPr>
    <w:rPr>
      <w:rFonts w:ascii="宋体" w:hAnsi="Courier New" w:eastAsia="宋体" w:cs="Times New Roman"/>
      <w:color w:val="auto"/>
      <w:sz w:val="24"/>
      <w:szCs w:val="20"/>
    </w:rPr>
  </w:style>
  <w:style w:type="paragraph" w:styleId="4">
    <w:name w:val="Body Text First Indent"/>
    <w:basedOn w:val="5"/>
    <w:link w:val="77"/>
    <w:qFormat/>
    <w:uiPriority w:val="0"/>
    <w:pPr>
      <w:ind w:firstLine="420" w:firstLineChars="100"/>
    </w:pPr>
  </w:style>
  <w:style w:type="paragraph" w:styleId="5">
    <w:name w:val="Body Text"/>
    <w:basedOn w:val="1"/>
    <w:next w:val="1"/>
    <w:link w:val="70"/>
    <w:qFormat/>
    <w:uiPriority w:val="99"/>
    <w:pPr>
      <w:snapToGrid/>
      <w:spacing w:before="0" w:after="120" w:line="240" w:lineRule="auto"/>
      <w:jc w:val="both"/>
    </w:pPr>
    <w:rPr>
      <w:rFonts w:ascii="Times New Roman" w:hAnsi="Times New Roman" w:eastAsia="宋体" w:cs="Times New Roman"/>
      <w:color w:val="auto"/>
      <w:sz w:val="21"/>
      <w:szCs w:val="20"/>
    </w:rPr>
  </w:style>
  <w:style w:type="paragraph" w:styleId="14">
    <w:name w:val="toc 7"/>
    <w:basedOn w:val="1"/>
    <w:next w:val="1"/>
    <w:qFormat/>
    <w:uiPriority w:val="39"/>
    <w:pPr>
      <w:snapToGrid/>
      <w:spacing w:before="0" w:after="0" w:line="240" w:lineRule="auto"/>
      <w:ind w:left="1050"/>
    </w:pPr>
    <w:rPr>
      <w:rFonts w:ascii="Times New Roman" w:hAnsi="Times New Roman" w:eastAsia="宋体" w:cs="Times New Roman"/>
      <w:color w:val="auto"/>
      <w:sz w:val="20"/>
      <w:szCs w:val="20"/>
    </w:rPr>
  </w:style>
  <w:style w:type="paragraph" w:styleId="15">
    <w:name w:val="Normal Indent"/>
    <w:basedOn w:val="1"/>
    <w:qFormat/>
    <w:uiPriority w:val="0"/>
    <w:pPr>
      <w:ind w:firstLine="420"/>
    </w:pPr>
    <w:rPr>
      <w:szCs w:val="20"/>
    </w:rPr>
  </w:style>
  <w:style w:type="paragraph" w:styleId="16">
    <w:name w:val="caption"/>
    <w:next w:val="1"/>
    <w:qFormat/>
    <w:uiPriority w:val="0"/>
    <w:pPr>
      <w:jc w:val="center"/>
    </w:pPr>
    <w:rPr>
      <w:rFonts w:ascii="Times New Roman" w:hAnsi="Times New Roman" w:eastAsia="宋体" w:cs="Times New Roman"/>
      <w:b/>
      <w:kern w:val="2"/>
      <w:sz w:val="21"/>
      <w:lang w:val="en-US" w:eastAsia="zh-CN" w:bidi="ar-SA"/>
    </w:rPr>
  </w:style>
  <w:style w:type="paragraph" w:styleId="17">
    <w:name w:val="Document Map"/>
    <w:basedOn w:val="1"/>
    <w:link w:val="68"/>
    <w:qFormat/>
    <w:uiPriority w:val="0"/>
    <w:pPr>
      <w:shd w:val="clear" w:color="auto" w:fill="000080"/>
      <w:snapToGrid/>
      <w:spacing w:before="0" w:after="0" w:line="240" w:lineRule="auto"/>
      <w:jc w:val="both"/>
    </w:pPr>
    <w:rPr>
      <w:rFonts w:ascii="Times New Roman" w:hAnsi="Times New Roman" w:eastAsia="宋体" w:cs="Times New Roman"/>
      <w:color w:val="auto"/>
      <w:sz w:val="21"/>
      <w:szCs w:val="20"/>
    </w:rPr>
  </w:style>
  <w:style w:type="paragraph" w:styleId="18">
    <w:name w:val="annotation text"/>
    <w:basedOn w:val="1"/>
    <w:link w:val="60"/>
    <w:unhideWhenUsed/>
    <w:qFormat/>
    <w:uiPriority w:val="0"/>
  </w:style>
  <w:style w:type="paragraph" w:styleId="19">
    <w:name w:val="Body Text 3"/>
    <w:basedOn w:val="1"/>
    <w:link w:val="69"/>
    <w:qFormat/>
    <w:uiPriority w:val="0"/>
    <w:pPr>
      <w:snapToGrid/>
      <w:spacing w:before="0" w:after="0" w:line="240" w:lineRule="auto"/>
      <w:jc w:val="center"/>
    </w:pPr>
    <w:rPr>
      <w:rFonts w:ascii="Times New Roman" w:hAnsi="Times New Roman" w:eastAsia="宋体" w:cs="Times New Roman"/>
      <w:color w:val="auto"/>
      <w:sz w:val="24"/>
      <w:szCs w:val="20"/>
    </w:rPr>
  </w:style>
  <w:style w:type="paragraph" w:styleId="20">
    <w:name w:val="Body Text Indent"/>
    <w:basedOn w:val="1"/>
    <w:link w:val="71"/>
    <w:qFormat/>
    <w:uiPriority w:val="0"/>
    <w:pPr>
      <w:snapToGrid/>
      <w:spacing w:before="0" w:after="0" w:line="500" w:lineRule="exact"/>
      <w:ind w:firstLine="403" w:firstLineChars="168"/>
      <w:jc w:val="both"/>
    </w:pPr>
    <w:rPr>
      <w:rFonts w:ascii="宋体" w:hAnsi="宋体" w:eastAsia="宋体" w:cs="Times New Roman"/>
      <w:color w:val="000000"/>
      <w:sz w:val="24"/>
      <w:szCs w:val="20"/>
    </w:rPr>
  </w:style>
  <w:style w:type="paragraph" w:styleId="21">
    <w:name w:val="List 2"/>
    <w:basedOn w:val="1"/>
    <w:qFormat/>
    <w:uiPriority w:val="0"/>
    <w:pPr>
      <w:snapToGrid/>
      <w:spacing w:before="0" w:after="0" w:line="240" w:lineRule="auto"/>
      <w:ind w:left="100" w:leftChars="200" w:hanging="200" w:hangingChars="200"/>
      <w:jc w:val="both"/>
    </w:pPr>
    <w:rPr>
      <w:rFonts w:ascii="Times New Roman" w:hAnsi="Times New Roman" w:eastAsia="宋体" w:cs="Times New Roman"/>
      <w:color w:val="auto"/>
      <w:sz w:val="21"/>
      <w:szCs w:val="24"/>
    </w:rPr>
  </w:style>
  <w:style w:type="paragraph" w:styleId="22">
    <w:name w:val="toc 5"/>
    <w:basedOn w:val="1"/>
    <w:next w:val="1"/>
    <w:qFormat/>
    <w:uiPriority w:val="39"/>
    <w:pPr>
      <w:snapToGrid/>
      <w:spacing w:before="0" w:after="0" w:line="240" w:lineRule="auto"/>
      <w:ind w:left="630"/>
    </w:pPr>
    <w:rPr>
      <w:rFonts w:ascii="Times New Roman" w:hAnsi="Times New Roman" w:eastAsia="宋体" w:cs="Times New Roman"/>
      <w:color w:val="auto"/>
      <w:sz w:val="20"/>
      <w:szCs w:val="20"/>
    </w:rPr>
  </w:style>
  <w:style w:type="paragraph" w:styleId="23">
    <w:name w:val="toc 3"/>
    <w:basedOn w:val="1"/>
    <w:next w:val="1"/>
    <w:qFormat/>
    <w:uiPriority w:val="39"/>
    <w:pPr>
      <w:spacing w:before="0" w:after="0" w:line="360" w:lineRule="auto"/>
      <w:ind w:left="400" w:leftChars="400"/>
    </w:pPr>
    <w:rPr>
      <w:rFonts w:ascii="Times New Roman" w:hAnsi="Times New Roman" w:eastAsia="宋体" w:cs="Times New Roman"/>
      <w:color w:val="auto"/>
      <w:sz w:val="24"/>
      <w:szCs w:val="20"/>
    </w:rPr>
  </w:style>
  <w:style w:type="paragraph" w:styleId="24">
    <w:name w:val="toc 8"/>
    <w:basedOn w:val="1"/>
    <w:next w:val="1"/>
    <w:qFormat/>
    <w:uiPriority w:val="39"/>
    <w:pPr>
      <w:snapToGrid/>
      <w:spacing w:before="0" w:after="0" w:line="240" w:lineRule="auto"/>
      <w:ind w:left="1260"/>
    </w:pPr>
    <w:rPr>
      <w:rFonts w:ascii="Times New Roman" w:hAnsi="Times New Roman" w:eastAsia="宋体" w:cs="Times New Roman"/>
      <w:color w:val="auto"/>
      <w:sz w:val="20"/>
      <w:szCs w:val="20"/>
    </w:rPr>
  </w:style>
  <w:style w:type="paragraph" w:styleId="25">
    <w:name w:val="Date"/>
    <w:basedOn w:val="1"/>
    <w:next w:val="1"/>
    <w:link w:val="73"/>
    <w:semiHidden/>
    <w:unhideWhenUsed/>
    <w:qFormat/>
    <w:uiPriority w:val="99"/>
    <w:pPr>
      <w:snapToGrid/>
      <w:spacing w:before="0" w:after="0" w:line="240" w:lineRule="auto"/>
      <w:ind w:left="100" w:leftChars="2500"/>
      <w:jc w:val="both"/>
    </w:pPr>
    <w:rPr>
      <w:rFonts w:ascii="Times New Roman" w:hAnsi="Times New Roman" w:eastAsia="宋体" w:cs="Times New Roman"/>
      <w:color w:val="auto"/>
      <w:sz w:val="21"/>
      <w:szCs w:val="21"/>
    </w:rPr>
  </w:style>
  <w:style w:type="paragraph" w:styleId="26">
    <w:name w:val="Body Text Indent 2"/>
    <w:basedOn w:val="1"/>
    <w:link w:val="74"/>
    <w:qFormat/>
    <w:uiPriority w:val="0"/>
    <w:pPr>
      <w:snapToGrid/>
      <w:spacing w:before="0" w:after="0" w:line="500" w:lineRule="exact"/>
      <w:ind w:firstLine="480" w:firstLineChars="200"/>
      <w:jc w:val="both"/>
    </w:pPr>
    <w:rPr>
      <w:rFonts w:ascii="宋体" w:hAnsi="宋体" w:eastAsia="宋体" w:cs="Times New Roman"/>
      <w:color w:val="auto"/>
      <w:sz w:val="24"/>
      <w:szCs w:val="20"/>
    </w:rPr>
  </w:style>
  <w:style w:type="paragraph" w:styleId="27">
    <w:name w:val="Balloon Text"/>
    <w:basedOn w:val="1"/>
    <w:link w:val="66"/>
    <w:unhideWhenUsed/>
    <w:qFormat/>
    <w:uiPriority w:val="0"/>
    <w:pPr>
      <w:spacing w:before="0" w:after="0" w:line="240" w:lineRule="auto"/>
    </w:pPr>
    <w:rPr>
      <w:sz w:val="18"/>
      <w:szCs w:val="18"/>
    </w:rPr>
  </w:style>
  <w:style w:type="paragraph" w:styleId="28">
    <w:name w:val="footer"/>
    <w:basedOn w:val="1"/>
    <w:link w:val="65"/>
    <w:unhideWhenUsed/>
    <w:qFormat/>
    <w:uiPriority w:val="99"/>
    <w:pPr>
      <w:tabs>
        <w:tab w:val="center" w:pos="4153"/>
        <w:tab w:val="right" w:pos="8306"/>
      </w:tabs>
      <w:spacing w:line="240" w:lineRule="auto"/>
    </w:pPr>
    <w:rPr>
      <w:sz w:val="18"/>
      <w:szCs w:val="18"/>
    </w:rPr>
  </w:style>
  <w:style w:type="paragraph" w:styleId="29">
    <w:name w:val="header"/>
    <w:basedOn w:val="1"/>
    <w:link w:val="64"/>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30">
    <w:name w:val="toc 1"/>
    <w:basedOn w:val="1"/>
    <w:next w:val="1"/>
    <w:unhideWhenUsed/>
    <w:qFormat/>
    <w:uiPriority w:val="39"/>
    <w:pPr>
      <w:widowControl/>
      <w:snapToGrid/>
      <w:spacing w:before="0" w:after="100" w:line="259" w:lineRule="auto"/>
    </w:pPr>
    <w:rPr>
      <w:rFonts w:cs="Times New Roman"/>
      <w:color w:val="auto"/>
      <w:kern w:val="0"/>
    </w:rPr>
  </w:style>
  <w:style w:type="paragraph" w:styleId="31">
    <w:name w:val="toc 4"/>
    <w:basedOn w:val="1"/>
    <w:next w:val="1"/>
    <w:qFormat/>
    <w:uiPriority w:val="39"/>
    <w:pPr>
      <w:snapToGrid/>
      <w:spacing w:before="0" w:after="0" w:line="240" w:lineRule="auto"/>
      <w:ind w:left="420"/>
    </w:pPr>
    <w:rPr>
      <w:rFonts w:ascii="Times New Roman" w:hAnsi="Times New Roman" w:eastAsia="宋体" w:cs="Times New Roman"/>
      <w:color w:val="auto"/>
      <w:sz w:val="20"/>
      <w:szCs w:val="20"/>
    </w:rPr>
  </w:style>
  <w:style w:type="paragraph" w:styleId="32">
    <w:name w:val="footnote text"/>
    <w:basedOn w:val="1"/>
    <w:link w:val="75"/>
    <w:qFormat/>
    <w:uiPriority w:val="0"/>
    <w:pPr>
      <w:spacing w:before="0" w:after="0" w:line="240" w:lineRule="auto"/>
    </w:pPr>
    <w:rPr>
      <w:rFonts w:ascii="Times New Roman" w:hAnsi="Times New Roman" w:eastAsia="宋体" w:cs="Times New Roman"/>
      <w:color w:val="auto"/>
      <w:sz w:val="18"/>
      <w:szCs w:val="20"/>
    </w:rPr>
  </w:style>
  <w:style w:type="paragraph" w:styleId="33">
    <w:name w:val="toc 6"/>
    <w:basedOn w:val="1"/>
    <w:next w:val="1"/>
    <w:qFormat/>
    <w:uiPriority w:val="39"/>
    <w:pPr>
      <w:snapToGrid/>
      <w:spacing w:before="0" w:after="0" w:line="240" w:lineRule="auto"/>
      <w:ind w:left="840"/>
    </w:pPr>
    <w:rPr>
      <w:rFonts w:ascii="Times New Roman" w:hAnsi="Times New Roman" w:eastAsia="宋体" w:cs="Times New Roman"/>
      <w:color w:val="auto"/>
      <w:sz w:val="20"/>
      <w:szCs w:val="20"/>
    </w:rPr>
  </w:style>
  <w:style w:type="paragraph" w:styleId="34">
    <w:name w:val="toc 2"/>
    <w:basedOn w:val="1"/>
    <w:next w:val="1"/>
    <w:unhideWhenUsed/>
    <w:qFormat/>
    <w:uiPriority w:val="39"/>
    <w:pPr>
      <w:widowControl/>
      <w:snapToGrid/>
      <w:spacing w:before="0" w:after="100" w:line="259" w:lineRule="auto"/>
      <w:ind w:left="220"/>
    </w:pPr>
    <w:rPr>
      <w:rFonts w:cs="Times New Roman"/>
      <w:color w:val="auto"/>
      <w:kern w:val="0"/>
    </w:rPr>
  </w:style>
  <w:style w:type="paragraph" w:styleId="35">
    <w:name w:val="toc 9"/>
    <w:basedOn w:val="1"/>
    <w:next w:val="1"/>
    <w:qFormat/>
    <w:uiPriority w:val="39"/>
    <w:pPr>
      <w:snapToGrid/>
      <w:spacing w:before="0" w:after="0" w:line="240" w:lineRule="auto"/>
      <w:ind w:left="1470"/>
    </w:pPr>
    <w:rPr>
      <w:rFonts w:ascii="Times New Roman" w:hAnsi="Times New Roman" w:eastAsia="宋体" w:cs="Times New Roman"/>
      <w:color w:val="auto"/>
      <w:sz w:val="20"/>
      <w:szCs w:val="20"/>
    </w:rPr>
  </w:style>
  <w:style w:type="paragraph" w:styleId="36">
    <w:name w:val="Body Text 2"/>
    <w:basedOn w:val="1"/>
    <w:link w:val="76"/>
    <w:qFormat/>
    <w:uiPriority w:val="0"/>
    <w:pPr>
      <w:snapToGrid/>
      <w:spacing w:before="0" w:after="0" w:line="240" w:lineRule="auto"/>
      <w:jc w:val="both"/>
    </w:pPr>
    <w:rPr>
      <w:rFonts w:ascii="Times New Roman" w:hAnsi="Times New Roman" w:eastAsia="宋体" w:cs="Times New Roman"/>
      <w:color w:val="auto"/>
      <w:sz w:val="24"/>
      <w:szCs w:val="20"/>
    </w:rPr>
  </w:style>
  <w:style w:type="paragraph" w:styleId="37">
    <w:name w:val="Normal (Web)"/>
    <w:basedOn w:val="1"/>
    <w:unhideWhenUsed/>
    <w:qFormat/>
    <w:uiPriority w:val="0"/>
    <w:pPr>
      <w:snapToGrid/>
      <w:spacing w:before="0" w:beforeAutospacing="1" w:after="0" w:afterAutospacing="1" w:line="240" w:lineRule="auto"/>
    </w:pPr>
    <w:rPr>
      <w:rFonts w:ascii="Times New Roman" w:hAnsi="Times New Roman" w:eastAsia="宋体" w:cs="Times New Roman"/>
      <w:color w:val="auto"/>
      <w:kern w:val="0"/>
      <w:sz w:val="24"/>
      <w:szCs w:val="21"/>
    </w:rPr>
  </w:style>
  <w:style w:type="paragraph" w:styleId="38">
    <w:name w:val="Title"/>
    <w:basedOn w:val="1"/>
    <w:next w:val="1"/>
    <w:link w:val="150"/>
    <w:qFormat/>
    <w:uiPriority w:val="9"/>
    <w:pPr>
      <w:keepNext/>
      <w:keepLines/>
      <w:spacing w:before="0" w:after="0" w:line="408" w:lineRule="auto"/>
      <w:jc w:val="center"/>
      <w:outlineLvl w:val="0"/>
    </w:pPr>
    <w:rPr>
      <w:b/>
      <w:bCs/>
      <w:color w:val="1A1A1A"/>
      <w:sz w:val="48"/>
      <w:szCs w:val="48"/>
    </w:rPr>
  </w:style>
  <w:style w:type="paragraph" w:styleId="39">
    <w:name w:val="annotation subject"/>
    <w:basedOn w:val="18"/>
    <w:next w:val="18"/>
    <w:link w:val="67"/>
    <w:semiHidden/>
    <w:unhideWhenUsed/>
    <w:qFormat/>
    <w:uiPriority w:val="0"/>
    <w:rPr>
      <w:b/>
      <w:bCs/>
    </w:rPr>
  </w:style>
  <w:style w:type="paragraph" w:styleId="40">
    <w:name w:val="Body Text First Indent 2"/>
    <w:basedOn w:val="20"/>
    <w:link w:val="151"/>
    <w:qFormat/>
    <w:uiPriority w:val="0"/>
    <w:pPr>
      <w:spacing w:after="120"/>
      <w:ind w:left="420" w:leftChars="200" w:firstLine="420"/>
    </w:pPr>
    <w:rPr>
      <w:rFonts w:ascii="Times New Roman"/>
      <w:kern w:val="0"/>
      <w:sz w:val="20"/>
      <w:szCs w:val="24"/>
    </w:rPr>
  </w:style>
  <w:style w:type="table" w:styleId="42">
    <w:name w:val="Table Grid"/>
    <w:basedOn w:val="41"/>
    <w:qFormat/>
    <w:uiPriority w:val="5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44">
    <w:name w:val="page number"/>
    <w:basedOn w:val="43"/>
    <w:qFormat/>
    <w:uiPriority w:val="0"/>
  </w:style>
  <w:style w:type="character" w:styleId="45">
    <w:name w:val="FollowedHyperlink"/>
    <w:basedOn w:val="43"/>
    <w:unhideWhenUsed/>
    <w:qFormat/>
    <w:uiPriority w:val="0"/>
    <w:rPr>
      <w:color w:val="954F72" w:themeColor="followedHyperlink"/>
      <w:u w:val="single"/>
      <w14:textFill>
        <w14:solidFill>
          <w14:schemeClr w14:val="folHlink"/>
        </w14:solidFill>
      </w14:textFill>
    </w:rPr>
  </w:style>
  <w:style w:type="character" w:styleId="46">
    <w:name w:val="Emphasis"/>
    <w:basedOn w:val="43"/>
    <w:qFormat/>
    <w:uiPriority w:val="0"/>
    <w:rPr>
      <w:i/>
      <w:iCs/>
    </w:rPr>
  </w:style>
  <w:style w:type="character" w:styleId="47">
    <w:name w:val="Hyperlink"/>
    <w:qFormat/>
    <w:uiPriority w:val="99"/>
    <w:rPr>
      <w:rFonts w:ascii="Calibri" w:hAnsi="Calibri" w:eastAsia="宋体" w:cs="Times New Roman"/>
      <w:color w:val="0000FF"/>
      <w:u w:val="single"/>
    </w:rPr>
  </w:style>
  <w:style w:type="character" w:styleId="48">
    <w:name w:val="annotation reference"/>
    <w:basedOn w:val="43"/>
    <w:unhideWhenUsed/>
    <w:qFormat/>
    <w:uiPriority w:val="0"/>
    <w:rPr>
      <w:sz w:val="21"/>
      <w:szCs w:val="21"/>
    </w:rPr>
  </w:style>
  <w:style w:type="character" w:styleId="49">
    <w:name w:val="footnote reference"/>
    <w:basedOn w:val="43"/>
    <w:qFormat/>
    <w:uiPriority w:val="0"/>
    <w:rPr>
      <w:vertAlign w:val="superscript"/>
    </w:rPr>
  </w:style>
  <w:style w:type="character" w:customStyle="1" w:styleId="50">
    <w:name w:val="标题 1 字符"/>
    <w:basedOn w:val="43"/>
    <w:link w:val="3"/>
    <w:qFormat/>
    <w:uiPriority w:val="0"/>
    <w:rPr>
      <w:rFonts w:eastAsia="仿宋_GB2312"/>
      <w:b/>
      <w:bCs/>
      <w:color w:val="1A1A1A"/>
      <w:kern w:val="2"/>
      <w:sz w:val="28"/>
      <w:szCs w:val="36"/>
    </w:rPr>
  </w:style>
  <w:style w:type="character" w:customStyle="1" w:styleId="51">
    <w:name w:val="标题 2 字符"/>
    <w:basedOn w:val="43"/>
    <w:link w:val="6"/>
    <w:qFormat/>
    <w:uiPriority w:val="0"/>
    <w:rPr>
      <w:rFonts w:eastAsia="仿宋_GB2312" w:asciiTheme="majorHAnsi" w:hAnsiTheme="majorHAnsi" w:cstheme="majorBidi"/>
      <w:b/>
      <w:bCs/>
      <w:sz w:val="28"/>
      <w:szCs w:val="32"/>
    </w:rPr>
  </w:style>
  <w:style w:type="character" w:customStyle="1" w:styleId="52">
    <w:name w:val="标题 3 字符"/>
    <w:link w:val="7"/>
    <w:qFormat/>
    <w:uiPriority w:val="0"/>
    <w:rPr>
      <w:b/>
      <w:bCs/>
      <w:color w:val="1A1A1A"/>
      <w:sz w:val="28"/>
      <w:szCs w:val="28"/>
    </w:rPr>
  </w:style>
  <w:style w:type="character" w:customStyle="1" w:styleId="53">
    <w:name w:val="标题 4 字符"/>
    <w:basedOn w:val="43"/>
    <w:link w:val="8"/>
    <w:qFormat/>
    <w:uiPriority w:val="0"/>
    <w:rPr>
      <w:rFonts w:ascii="Arial" w:hAnsi="Arial" w:eastAsia="宋体" w:cs="Times New Roman"/>
      <w:b/>
      <w:kern w:val="2"/>
      <w:sz w:val="24"/>
    </w:rPr>
  </w:style>
  <w:style w:type="character" w:customStyle="1" w:styleId="54">
    <w:name w:val="标题 5 字符"/>
    <w:basedOn w:val="43"/>
    <w:link w:val="9"/>
    <w:qFormat/>
    <w:uiPriority w:val="0"/>
    <w:rPr>
      <w:rFonts w:ascii="Times New Roman" w:hAnsi="Times New Roman" w:eastAsia="宋体" w:cs="Times New Roman"/>
      <w:b/>
      <w:kern w:val="2"/>
      <w:sz w:val="28"/>
    </w:rPr>
  </w:style>
  <w:style w:type="character" w:customStyle="1" w:styleId="55">
    <w:name w:val="标题 6 字符"/>
    <w:basedOn w:val="43"/>
    <w:link w:val="10"/>
    <w:qFormat/>
    <w:uiPriority w:val="0"/>
    <w:rPr>
      <w:rFonts w:ascii="Arial" w:hAnsi="Arial" w:eastAsia="黑体" w:cs="Times New Roman"/>
      <w:b/>
      <w:kern w:val="2"/>
      <w:sz w:val="24"/>
    </w:rPr>
  </w:style>
  <w:style w:type="character" w:customStyle="1" w:styleId="56">
    <w:name w:val="标题 7 字符"/>
    <w:basedOn w:val="43"/>
    <w:link w:val="11"/>
    <w:qFormat/>
    <w:uiPriority w:val="9"/>
    <w:rPr>
      <w:rFonts w:ascii="Times New Roman" w:hAnsi="Times New Roman" w:eastAsia="宋体" w:cs="Times New Roman"/>
      <w:b/>
      <w:kern w:val="2"/>
      <w:sz w:val="24"/>
    </w:rPr>
  </w:style>
  <w:style w:type="character" w:customStyle="1" w:styleId="57">
    <w:name w:val="标题 8 字符"/>
    <w:basedOn w:val="43"/>
    <w:link w:val="12"/>
    <w:qFormat/>
    <w:uiPriority w:val="9"/>
    <w:rPr>
      <w:rFonts w:ascii="Arial" w:hAnsi="Arial" w:eastAsia="黑体" w:cs="Times New Roman"/>
      <w:kern w:val="2"/>
      <w:sz w:val="24"/>
      <w:szCs w:val="21"/>
    </w:rPr>
  </w:style>
  <w:style w:type="character" w:customStyle="1" w:styleId="58">
    <w:name w:val="标题 9 字符"/>
    <w:basedOn w:val="43"/>
    <w:link w:val="13"/>
    <w:qFormat/>
    <w:uiPriority w:val="0"/>
    <w:rPr>
      <w:rFonts w:ascii="Arial" w:hAnsi="Arial" w:eastAsia="黑体" w:cs="Times New Roman"/>
      <w:kern w:val="2"/>
      <w:sz w:val="21"/>
    </w:rPr>
  </w:style>
  <w:style w:type="paragraph" w:customStyle="1" w:styleId="59">
    <w:name w:val="样式 宋体 行距: 1.5 倍行距"/>
    <w:basedOn w:val="1"/>
    <w:qFormat/>
    <w:uiPriority w:val="0"/>
    <w:pPr>
      <w:jc w:val="center"/>
    </w:pPr>
    <w:rPr>
      <w:rFonts w:ascii="Times New Roman" w:hAnsi="Times New Roman"/>
      <w:b/>
      <w:szCs w:val="20"/>
    </w:rPr>
  </w:style>
  <w:style w:type="character" w:customStyle="1" w:styleId="60">
    <w:name w:val="批注文字 字符1"/>
    <w:basedOn w:val="43"/>
    <w:link w:val="18"/>
    <w:qFormat/>
    <w:uiPriority w:val="0"/>
  </w:style>
  <w:style w:type="paragraph" w:styleId="61">
    <w:name w:val="List Paragraph"/>
    <w:basedOn w:val="1"/>
    <w:qFormat/>
    <w:uiPriority w:val="34"/>
    <w:pPr>
      <w:ind w:firstLine="420" w:firstLineChars="200"/>
    </w:pPr>
  </w:style>
  <w:style w:type="paragraph" w:customStyle="1" w:styleId="62">
    <w:name w:val="TOC 标题1"/>
    <w:basedOn w:val="3"/>
    <w:next w:val="1"/>
    <w:unhideWhenUsed/>
    <w:qFormat/>
    <w:uiPriority w:val="39"/>
    <w:pPr>
      <w:widowControl/>
      <w:snapToGrid/>
      <w:spacing w:before="24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styleId="63">
    <w:name w:val="No Spacing"/>
    <w:qFormat/>
    <w:uiPriority w:val="1"/>
    <w:pPr>
      <w:widowControl w:val="0"/>
      <w:snapToGrid w:val="0"/>
    </w:pPr>
    <w:rPr>
      <w:rFonts w:asciiTheme="minorHAnsi" w:hAnsiTheme="minorHAnsi" w:eastAsiaTheme="minorEastAsia" w:cstheme="minorBidi"/>
      <w:color w:val="333333"/>
      <w:kern w:val="2"/>
      <w:sz w:val="22"/>
      <w:szCs w:val="22"/>
      <w:lang w:val="en-US" w:eastAsia="zh-CN" w:bidi="ar-SA"/>
    </w:rPr>
  </w:style>
  <w:style w:type="character" w:customStyle="1" w:styleId="64">
    <w:name w:val="页眉 字符"/>
    <w:basedOn w:val="43"/>
    <w:link w:val="29"/>
    <w:qFormat/>
    <w:uiPriority w:val="99"/>
    <w:rPr>
      <w:color w:val="333333"/>
      <w:kern w:val="2"/>
      <w:sz w:val="18"/>
      <w:szCs w:val="18"/>
    </w:rPr>
  </w:style>
  <w:style w:type="character" w:customStyle="1" w:styleId="65">
    <w:name w:val="页脚 字符"/>
    <w:basedOn w:val="43"/>
    <w:link w:val="28"/>
    <w:qFormat/>
    <w:uiPriority w:val="99"/>
    <w:rPr>
      <w:color w:val="333333"/>
      <w:kern w:val="2"/>
      <w:sz w:val="18"/>
      <w:szCs w:val="18"/>
    </w:rPr>
  </w:style>
  <w:style w:type="character" w:customStyle="1" w:styleId="66">
    <w:name w:val="批注框文本 字符"/>
    <w:basedOn w:val="43"/>
    <w:link w:val="27"/>
    <w:qFormat/>
    <w:uiPriority w:val="0"/>
    <w:rPr>
      <w:color w:val="333333"/>
      <w:kern w:val="2"/>
      <w:sz w:val="18"/>
      <w:szCs w:val="18"/>
    </w:rPr>
  </w:style>
  <w:style w:type="character" w:customStyle="1" w:styleId="67">
    <w:name w:val="批注主题 字符"/>
    <w:basedOn w:val="60"/>
    <w:link w:val="39"/>
    <w:semiHidden/>
    <w:qFormat/>
    <w:uiPriority w:val="0"/>
    <w:rPr>
      <w:b/>
      <w:bCs/>
      <w:color w:val="333333"/>
      <w:kern w:val="2"/>
      <w:sz w:val="22"/>
      <w:szCs w:val="22"/>
    </w:rPr>
  </w:style>
  <w:style w:type="character" w:customStyle="1" w:styleId="68">
    <w:name w:val="文档结构图 字符"/>
    <w:basedOn w:val="43"/>
    <w:link w:val="17"/>
    <w:qFormat/>
    <w:uiPriority w:val="0"/>
    <w:rPr>
      <w:rFonts w:ascii="Times New Roman" w:hAnsi="Times New Roman" w:eastAsia="宋体" w:cs="Times New Roman"/>
      <w:kern w:val="2"/>
      <w:sz w:val="21"/>
      <w:shd w:val="clear" w:color="auto" w:fill="000080"/>
    </w:rPr>
  </w:style>
  <w:style w:type="character" w:customStyle="1" w:styleId="69">
    <w:name w:val="正文文本 3 字符"/>
    <w:basedOn w:val="43"/>
    <w:link w:val="19"/>
    <w:qFormat/>
    <w:uiPriority w:val="0"/>
    <w:rPr>
      <w:rFonts w:ascii="Times New Roman" w:hAnsi="Times New Roman" w:eastAsia="宋体" w:cs="Times New Roman"/>
      <w:kern w:val="2"/>
      <w:sz w:val="24"/>
    </w:rPr>
  </w:style>
  <w:style w:type="character" w:customStyle="1" w:styleId="70">
    <w:name w:val="正文文本 字符"/>
    <w:basedOn w:val="43"/>
    <w:link w:val="5"/>
    <w:qFormat/>
    <w:uiPriority w:val="99"/>
    <w:rPr>
      <w:rFonts w:ascii="Times New Roman" w:hAnsi="Times New Roman" w:eastAsia="宋体" w:cs="Times New Roman"/>
      <w:kern w:val="2"/>
      <w:sz w:val="21"/>
    </w:rPr>
  </w:style>
  <w:style w:type="character" w:customStyle="1" w:styleId="71">
    <w:name w:val="正文文本缩进 字符"/>
    <w:basedOn w:val="43"/>
    <w:link w:val="20"/>
    <w:qFormat/>
    <w:uiPriority w:val="0"/>
    <w:rPr>
      <w:rFonts w:ascii="宋体" w:hAnsi="宋体" w:eastAsia="宋体" w:cs="Times New Roman"/>
      <w:color w:val="000000"/>
      <w:kern w:val="2"/>
      <w:sz w:val="24"/>
    </w:rPr>
  </w:style>
  <w:style w:type="character" w:customStyle="1" w:styleId="72">
    <w:name w:val="纯文本 字符"/>
    <w:basedOn w:val="43"/>
    <w:link w:val="2"/>
    <w:qFormat/>
    <w:uiPriority w:val="99"/>
    <w:rPr>
      <w:rFonts w:ascii="宋体" w:hAnsi="Courier New" w:eastAsia="宋体" w:cs="Times New Roman"/>
      <w:kern w:val="2"/>
      <w:sz w:val="24"/>
    </w:rPr>
  </w:style>
  <w:style w:type="character" w:customStyle="1" w:styleId="73">
    <w:name w:val="日期 字符"/>
    <w:basedOn w:val="43"/>
    <w:link w:val="25"/>
    <w:semiHidden/>
    <w:qFormat/>
    <w:uiPriority w:val="99"/>
    <w:rPr>
      <w:rFonts w:ascii="Times New Roman" w:hAnsi="Times New Roman" w:eastAsia="宋体" w:cs="Times New Roman"/>
      <w:kern w:val="2"/>
      <w:sz w:val="21"/>
      <w:szCs w:val="21"/>
    </w:rPr>
  </w:style>
  <w:style w:type="character" w:customStyle="1" w:styleId="74">
    <w:name w:val="正文文本缩进 2 字符"/>
    <w:basedOn w:val="43"/>
    <w:link w:val="26"/>
    <w:qFormat/>
    <w:uiPriority w:val="0"/>
    <w:rPr>
      <w:rFonts w:ascii="宋体" w:hAnsi="宋体" w:eastAsia="宋体" w:cs="Times New Roman"/>
      <w:kern w:val="2"/>
      <w:sz w:val="24"/>
    </w:rPr>
  </w:style>
  <w:style w:type="character" w:customStyle="1" w:styleId="75">
    <w:name w:val="脚注文本 字符"/>
    <w:basedOn w:val="43"/>
    <w:link w:val="32"/>
    <w:qFormat/>
    <w:uiPriority w:val="0"/>
    <w:rPr>
      <w:rFonts w:ascii="Times New Roman" w:hAnsi="Times New Roman" w:eastAsia="宋体" w:cs="Times New Roman"/>
      <w:kern w:val="2"/>
      <w:sz w:val="18"/>
    </w:rPr>
  </w:style>
  <w:style w:type="character" w:customStyle="1" w:styleId="76">
    <w:name w:val="正文文本 2 字符"/>
    <w:basedOn w:val="43"/>
    <w:link w:val="36"/>
    <w:qFormat/>
    <w:uiPriority w:val="0"/>
    <w:rPr>
      <w:rFonts w:ascii="Times New Roman" w:hAnsi="Times New Roman" w:eastAsia="宋体" w:cs="Times New Roman"/>
      <w:kern w:val="2"/>
      <w:sz w:val="24"/>
    </w:rPr>
  </w:style>
  <w:style w:type="character" w:customStyle="1" w:styleId="77">
    <w:name w:val="正文文本首行缩进 字符"/>
    <w:basedOn w:val="70"/>
    <w:link w:val="4"/>
    <w:qFormat/>
    <w:uiPriority w:val="0"/>
    <w:rPr>
      <w:rFonts w:ascii="Times New Roman" w:hAnsi="Times New Roman" w:eastAsia="宋体" w:cs="Times New Roman"/>
      <w:kern w:val="2"/>
      <w:sz w:val="21"/>
    </w:rPr>
  </w:style>
  <w:style w:type="paragraph" w:customStyle="1" w:styleId="78">
    <w:name w:val="List Paragraph1"/>
    <w:basedOn w:val="1"/>
    <w:qFormat/>
    <w:uiPriority w:val="0"/>
    <w:pPr>
      <w:snapToGrid/>
      <w:spacing w:before="0" w:after="0" w:line="240" w:lineRule="auto"/>
      <w:ind w:firstLine="420" w:firstLineChars="200"/>
      <w:jc w:val="both"/>
    </w:pPr>
    <w:rPr>
      <w:rFonts w:ascii="Times New Roman" w:hAnsi="Times New Roman" w:eastAsia="宋体" w:cs="Times New Roman"/>
      <w:color w:val="auto"/>
      <w:sz w:val="21"/>
      <w:szCs w:val="21"/>
    </w:rPr>
  </w:style>
  <w:style w:type="character" w:customStyle="1" w:styleId="79">
    <w:name w:val="15"/>
    <w:basedOn w:val="43"/>
    <w:qFormat/>
    <w:uiPriority w:val="0"/>
    <w:rPr>
      <w:rFonts w:hint="default" w:ascii="Times New Roman" w:hAnsi="Times New Roman" w:eastAsia="宋体" w:cs="Times New Roman"/>
      <w:kern w:val="2"/>
      <w:sz w:val="28"/>
      <w:szCs w:val="28"/>
    </w:rPr>
  </w:style>
  <w:style w:type="character" w:customStyle="1" w:styleId="80">
    <w:name w:val="16"/>
    <w:basedOn w:val="43"/>
    <w:qFormat/>
    <w:uiPriority w:val="0"/>
    <w:rPr>
      <w:rFonts w:hint="default" w:ascii="Times New Roman" w:hAnsi="Times New Roman" w:cs="Times New Roman"/>
      <w:color w:val="0563C1"/>
      <w:u w:val="single"/>
    </w:rPr>
  </w:style>
  <w:style w:type="paragraph" w:customStyle="1" w:styleId="81">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82">
    <w:name w:val="列表段落1"/>
    <w:basedOn w:val="1"/>
    <w:qFormat/>
    <w:uiPriority w:val="0"/>
    <w:pPr>
      <w:snapToGrid/>
      <w:spacing w:before="0" w:after="0" w:line="240" w:lineRule="auto"/>
      <w:ind w:firstLine="420" w:firstLineChars="200"/>
      <w:jc w:val="both"/>
    </w:pPr>
    <w:rPr>
      <w:rFonts w:ascii="Times New Roman" w:hAnsi="Times New Roman" w:eastAsia="宋体" w:cs="Times New Roman"/>
      <w:color w:val="auto"/>
      <w:sz w:val="21"/>
      <w:szCs w:val="21"/>
    </w:rPr>
  </w:style>
  <w:style w:type="paragraph" w:customStyle="1" w:styleId="83">
    <w:name w:val="列出段落1"/>
    <w:basedOn w:val="1"/>
    <w:qFormat/>
    <w:uiPriority w:val="34"/>
    <w:pPr>
      <w:snapToGrid/>
      <w:spacing w:before="100" w:beforeAutospacing="1" w:after="100" w:afterAutospacing="1" w:line="240" w:lineRule="auto"/>
      <w:ind w:left="425" w:hanging="425"/>
      <w:jc w:val="both"/>
    </w:pPr>
    <w:rPr>
      <w:rFonts w:ascii="Times New Roman" w:hAnsi="Times New Roman" w:eastAsia="宋体" w:cs="Times New Roman"/>
      <w:color w:val="auto"/>
      <w:sz w:val="21"/>
      <w:szCs w:val="21"/>
    </w:rPr>
  </w:style>
  <w:style w:type="paragraph" w:customStyle="1" w:styleId="84">
    <w:name w:val="WPSOffice手动目录 1"/>
    <w:qFormat/>
    <w:uiPriority w:val="0"/>
    <w:rPr>
      <w:rFonts w:asciiTheme="minorHAnsi" w:hAnsiTheme="minorHAnsi" w:eastAsiaTheme="minorEastAsia" w:cstheme="minorBidi"/>
      <w:lang w:val="en-US" w:eastAsia="zh-CN" w:bidi="ar-SA"/>
    </w:rPr>
  </w:style>
  <w:style w:type="paragraph" w:customStyle="1" w:styleId="85">
    <w:name w:val="正文11"/>
    <w:qFormat/>
    <w:uiPriority w:val="0"/>
    <w:pPr>
      <w:widowControl w:val="0"/>
      <w:spacing w:line="360" w:lineRule="auto"/>
      <w:ind w:firstLine="200" w:firstLineChars="200"/>
    </w:pPr>
    <w:rPr>
      <w:rFonts w:asciiTheme="minorHAnsi" w:hAnsiTheme="minorHAnsi" w:eastAsiaTheme="minorEastAsia" w:cstheme="minorBidi"/>
      <w:sz w:val="24"/>
      <w:lang w:val="en-US" w:eastAsia="zh-CN" w:bidi="ar-SA"/>
    </w:rPr>
  </w:style>
  <w:style w:type="paragraph" w:customStyle="1" w:styleId="86">
    <w:name w:val="列出段落3"/>
    <w:basedOn w:val="1"/>
    <w:qFormat/>
    <w:uiPriority w:val="0"/>
    <w:pPr>
      <w:snapToGrid/>
      <w:spacing w:before="0" w:after="0" w:line="240" w:lineRule="auto"/>
      <w:ind w:firstLine="420" w:firstLineChars="200"/>
      <w:jc w:val="both"/>
    </w:pPr>
    <w:rPr>
      <w:rFonts w:ascii="Times New Roman" w:hAnsi="Times New Roman" w:eastAsia="宋体" w:cs="Times New Roman"/>
      <w:color w:val="auto"/>
      <w:sz w:val="21"/>
      <w:szCs w:val="21"/>
    </w:rPr>
  </w:style>
  <w:style w:type="paragraph" w:customStyle="1" w:styleId="87">
    <w:name w:val="列出段落2"/>
    <w:basedOn w:val="1"/>
    <w:qFormat/>
    <w:uiPriority w:val="0"/>
    <w:pPr>
      <w:snapToGrid/>
      <w:spacing w:before="0" w:after="0" w:line="240" w:lineRule="auto"/>
      <w:ind w:firstLine="420" w:firstLineChars="200"/>
      <w:jc w:val="both"/>
    </w:pPr>
    <w:rPr>
      <w:rFonts w:ascii="Times New Roman" w:hAnsi="Times New Roman" w:eastAsia="宋体" w:cs="Times New Roman"/>
      <w:color w:val="auto"/>
      <w:sz w:val="21"/>
      <w:szCs w:val="21"/>
    </w:rPr>
  </w:style>
  <w:style w:type="paragraph" w:customStyle="1" w:styleId="88">
    <w:name w:val="样式1"/>
    <w:basedOn w:val="1"/>
    <w:qFormat/>
    <w:uiPriority w:val="0"/>
    <w:pPr>
      <w:snapToGrid/>
      <w:spacing w:before="0" w:after="0" w:line="360" w:lineRule="auto"/>
      <w:jc w:val="both"/>
    </w:pPr>
    <w:rPr>
      <w:rFonts w:ascii="宋体" w:hAnsi="宋体" w:eastAsia="宋体" w:cs="宋体"/>
      <w:color w:val="000000"/>
      <w:sz w:val="21"/>
      <w:szCs w:val="21"/>
    </w:rPr>
  </w:style>
  <w:style w:type="paragraph" w:customStyle="1" w:styleId="89">
    <w:name w:val="表名称"/>
    <w:qFormat/>
    <w:uiPriority w:val="0"/>
    <w:pPr>
      <w:spacing w:before="120" w:after="120"/>
      <w:jc w:val="center"/>
    </w:pPr>
    <w:rPr>
      <w:rFonts w:ascii="Times New Roman" w:hAnsi="Times New Roman" w:eastAsia="宋体" w:cs="Times New Roman"/>
      <w:sz w:val="21"/>
      <w:szCs w:val="21"/>
      <w:lang w:val="en-US" w:eastAsia="zh-CN" w:bidi="ar-SA"/>
    </w:rPr>
  </w:style>
  <w:style w:type="character" w:customStyle="1" w:styleId="90">
    <w:name w:val="Char Char Char2"/>
    <w:qFormat/>
    <w:uiPriority w:val="0"/>
    <w:rPr>
      <w:rFonts w:eastAsia="宋体"/>
      <w:kern w:val="2"/>
      <w:sz w:val="28"/>
      <w:szCs w:val="24"/>
      <w:lang w:val="en-US" w:eastAsia="zh-CN" w:bidi="ar-SA"/>
    </w:rPr>
  </w:style>
  <w:style w:type="character" w:customStyle="1" w:styleId="91">
    <w:name w:val="font01"/>
    <w:basedOn w:val="43"/>
    <w:qFormat/>
    <w:uiPriority w:val="0"/>
    <w:rPr>
      <w:rFonts w:hint="eastAsia" w:ascii="宋体" w:hAnsi="宋体" w:eastAsia="宋体" w:cs="宋体"/>
      <w:color w:val="000000"/>
      <w:sz w:val="18"/>
      <w:szCs w:val="18"/>
      <w:u w:val="none"/>
    </w:rPr>
  </w:style>
  <w:style w:type="character" w:customStyle="1" w:styleId="92">
    <w:name w:val="font11"/>
    <w:basedOn w:val="43"/>
    <w:qFormat/>
    <w:uiPriority w:val="0"/>
    <w:rPr>
      <w:rFonts w:hint="eastAsia" w:ascii="宋体" w:hAnsi="宋体" w:eastAsia="宋体" w:cs="宋体"/>
      <w:color w:val="000000"/>
      <w:sz w:val="18"/>
      <w:szCs w:val="18"/>
      <w:u w:val="none"/>
    </w:rPr>
  </w:style>
  <w:style w:type="character" w:customStyle="1" w:styleId="93">
    <w:name w:val="font21"/>
    <w:basedOn w:val="43"/>
    <w:qFormat/>
    <w:uiPriority w:val="0"/>
    <w:rPr>
      <w:rFonts w:hint="eastAsia" w:ascii="宋体" w:hAnsi="宋体" w:eastAsia="宋体" w:cs="宋体"/>
      <w:color w:val="000000"/>
      <w:sz w:val="18"/>
      <w:szCs w:val="18"/>
      <w:u w:val="none"/>
    </w:rPr>
  </w:style>
  <w:style w:type="paragraph" w:customStyle="1" w:styleId="94">
    <w:name w:val="大标题"/>
    <w:basedOn w:val="1"/>
    <w:qFormat/>
    <w:uiPriority w:val="0"/>
    <w:pPr>
      <w:snapToGrid/>
      <w:spacing w:beforeLines="50" w:after="0" w:line="240" w:lineRule="auto"/>
      <w:ind w:firstLine="482"/>
      <w:jc w:val="center"/>
    </w:pPr>
    <w:rPr>
      <w:rFonts w:ascii="Arial" w:hAnsi="Arial" w:eastAsia="黑体" w:cs="宋体"/>
      <w:b/>
      <w:bCs/>
      <w:color w:val="auto"/>
      <w:sz w:val="36"/>
      <w:szCs w:val="36"/>
    </w:rPr>
  </w:style>
  <w:style w:type="paragraph" w:customStyle="1" w:styleId="95">
    <w:name w:val="1-图"/>
    <w:qFormat/>
    <w:uiPriority w:val="34"/>
    <w:pPr>
      <w:spacing w:before="100" w:beforeAutospacing="1" w:after="100" w:afterAutospacing="1"/>
      <w:ind w:left="425" w:hanging="425"/>
    </w:pPr>
    <w:rPr>
      <w:rFonts w:ascii="Times New Roman" w:hAnsi="Times New Roman" w:eastAsia="宋体" w:cs="Times New Roman"/>
      <w:kern w:val="2"/>
      <w:sz w:val="21"/>
      <w:szCs w:val="21"/>
      <w:lang w:val="en-US" w:eastAsia="zh-CN" w:bidi="ar-SA"/>
    </w:rPr>
  </w:style>
  <w:style w:type="paragraph" w:customStyle="1" w:styleId="96">
    <w:name w:val="1-正文"/>
    <w:basedOn w:val="95"/>
    <w:qFormat/>
    <w:uiPriority w:val="0"/>
    <w:pPr>
      <w:spacing w:before="0" w:beforeAutospacing="0" w:after="0" w:afterAutospacing="0" w:line="360" w:lineRule="auto"/>
      <w:ind w:left="0" w:firstLine="420" w:firstLineChars="200"/>
    </w:pPr>
  </w:style>
  <w:style w:type="paragraph" w:customStyle="1" w:styleId="97">
    <w:name w:val="1-表内容"/>
    <w:qFormat/>
    <w:uiPriority w:val="0"/>
    <w:pPr>
      <w:jc w:val="center"/>
    </w:pPr>
    <w:rPr>
      <w:rFonts w:ascii="Times New Roman" w:hAnsi="Times New Roman" w:eastAsia="宋体" w:cs="Times New Roman"/>
      <w:color w:val="000000"/>
      <w:sz w:val="21"/>
      <w:szCs w:val="24"/>
      <w:lang w:val="en-US" w:eastAsia="zh-CN" w:bidi="ar-SA"/>
    </w:rPr>
  </w:style>
  <w:style w:type="paragraph" w:customStyle="1" w:styleId="98">
    <w:name w:val="表格"/>
    <w:qFormat/>
    <w:uiPriority w:val="0"/>
    <w:pPr>
      <w:jc w:val="center"/>
    </w:pPr>
    <w:rPr>
      <w:rFonts w:ascii="等线" w:hAnsi="等线" w:eastAsia="黑体" w:cs="Times New Roman"/>
      <w:kern w:val="2"/>
      <w:sz w:val="21"/>
      <w:szCs w:val="24"/>
      <w:lang w:val="en-US" w:eastAsia="zh-CN" w:bidi="ar-SA"/>
    </w:rPr>
  </w:style>
  <w:style w:type="character" w:customStyle="1" w:styleId="99">
    <w:name w:val="font12"/>
    <w:basedOn w:val="43"/>
    <w:qFormat/>
    <w:uiPriority w:val="0"/>
    <w:rPr>
      <w:rFonts w:hint="default" w:ascii="Times New Roman" w:hAnsi="Times New Roman" w:cs="Times New Roman"/>
      <w:color w:val="000000"/>
      <w:sz w:val="18"/>
      <w:szCs w:val="18"/>
      <w:u w:val="none"/>
    </w:rPr>
  </w:style>
  <w:style w:type="character" w:customStyle="1" w:styleId="100">
    <w:name w:val="批注文字 字符"/>
    <w:basedOn w:val="43"/>
    <w:qFormat/>
    <w:uiPriority w:val="0"/>
    <w:rPr>
      <w:rFonts w:ascii="Times New Roman" w:hAnsi="Times New Roman"/>
      <w:kern w:val="2"/>
      <w:sz w:val="21"/>
    </w:rPr>
  </w:style>
  <w:style w:type="paragraph" w:customStyle="1" w:styleId="101">
    <w:name w:val="Char"/>
    <w:basedOn w:val="1"/>
    <w:qFormat/>
    <w:uiPriority w:val="0"/>
    <w:pPr>
      <w:snapToGrid/>
      <w:spacing w:before="0" w:after="0" w:line="240" w:lineRule="auto"/>
      <w:jc w:val="both"/>
    </w:pPr>
    <w:rPr>
      <w:rFonts w:ascii="Times New Roman" w:hAnsi="Times New Roman" w:eastAsia="宋体" w:cs="Times New Roman"/>
      <w:color w:val="auto"/>
      <w:sz w:val="30"/>
      <w:szCs w:val="24"/>
    </w:rPr>
  </w:style>
  <w:style w:type="paragraph" w:customStyle="1" w:styleId="102">
    <w:name w:val="标题 40"/>
    <w:basedOn w:val="8"/>
    <w:qFormat/>
    <w:uiPriority w:val="0"/>
    <w:rPr>
      <w:rFonts w:ascii="宋体" w:hAnsi="宋体"/>
    </w:rPr>
  </w:style>
  <w:style w:type="paragraph" w:customStyle="1" w:styleId="103">
    <w:name w:val="条文1"/>
    <w:basedOn w:val="1"/>
    <w:qFormat/>
    <w:uiPriority w:val="0"/>
    <w:pPr>
      <w:numPr>
        <w:ilvl w:val="0"/>
        <w:numId w:val="1"/>
      </w:numPr>
      <w:snapToGrid/>
      <w:spacing w:before="0" w:after="0" w:line="360" w:lineRule="auto"/>
      <w:jc w:val="both"/>
    </w:pPr>
    <w:rPr>
      <w:rFonts w:ascii="MS UI Gothic" w:hAnsi="MS UI Gothic" w:eastAsia="宋体" w:cs="Times New Roman"/>
      <w:color w:val="auto"/>
      <w:kern w:val="44"/>
      <w:sz w:val="24"/>
      <w:szCs w:val="20"/>
    </w:rPr>
  </w:style>
  <w:style w:type="paragraph" w:customStyle="1" w:styleId="104">
    <w:name w:val="样式 标题 2 + 宋体"/>
    <w:basedOn w:val="6"/>
    <w:qFormat/>
    <w:uiPriority w:val="0"/>
    <w:pPr>
      <w:tabs>
        <w:tab w:val="left" w:pos="0"/>
      </w:tabs>
      <w:snapToGrid/>
      <w:spacing w:beforeLines="50" w:beforeAutospacing="1" w:after="100" w:afterAutospacing="1"/>
      <w:jc w:val="both"/>
    </w:pPr>
    <w:rPr>
      <w:rFonts w:ascii="宋体" w:hAnsi="宋体" w:eastAsia="宋体" w:cs="Times New Roman"/>
      <w:bCs w:val="0"/>
      <w:color w:val="auto"/>
      <w:szCs w:val="20"/>
    </w:rPr>
  </w:style>
  <w:style w:type="paragraph" w:customStyle="1" w:styleId="105">
    <w:name w:val="标题4"/>
    <w:basedOn w:val="8"/>
    <w:qFormat/>
    <w:uiPriority w:val="0"/>
    <w:rPr>
      <w:rFonts w:ascii="宋体" w:hAnsi="宋体"/>
    </w:rPr>
  </w:style>
  <w:style w:type="paragraph" w:customStyle="1" w:styleId="106">
    <w:name w:val="2"/>
    <w:basedOn w:val="1"/>
    <w:next w:val="107"/>
    <w:qFormat/>
    <w:uiPriority w:val="0"/>
    <w:pPr>
      <w:snapToGrid/>
      <w:spacing w:before="0" w:after="0" w:line="240" w:lineRule="auto"/>
      <w:jc w:val="both"/>
    </w:pPr>
    <w:rPr>
      <w:rFonts w:ascii="Times New Roman" w:hAnsi="Courier New" w:eastAsia="宋体" w:cs="Times New Roman"/>
      <w:color w:val="auto"/>
      <w:sz w:val="21"/>
      <w:szCs w:val="20"/>
    </w:rPr>
  </w:style>
  <w:style w:type="paragraph" w:customStyle="1" w:styleId="107">
    <w:name w:val="纯文本1"/>
    <w:basedOn w:val="1"/>
    <w:qFormat/>
    <w:uiPriority w:val="0"/>
    <w:pPr>
      <w:snapToGrid/>
      <w:spacing w:before="0" w:after="0" w:line="360" w:lineRule="auto"/>
      <w:jc w:val="both"/>
    </w:pPr>
    <w:rPr>
      <w:rFonts w:ascii="宋体" w:hAnsi="Courier New" w:eastAsia="宋体" w:cs="Times New Roman"/>
      <w:color w:val="auto"/>
      <w:sz w:val="24"/>
      <w:szCs w:val="20"/>
    </w:rPr>
  </w:style>
  <w:style w:type="paragraph" w:customStyle="1" w:styleId="108">
    <w:name w:val="标题5"/>
    <w:basedOn w:val="9"/>
    <w:qFormat/>
    <w:uiPriority w:val="0"/>
    <w:pPr>
      <w:spacing w:line="360" w:lineRule="auto"/>
    </w:pPr>
  </w:style>
  <w:style w:type="paragraph" w:customStyle="1" w:styleId="109">
    <w:name w:val="默认段落字体 Para Char"/>
    <w:basedOn w:val="1"/>
    <w:qFormat/>
    <w:uiPriority w:val="0"/>
    <w:pPr>
      <w:snapToGrid/>
      <w:spacing w:before="0" w:after="0" w:line="240" w:lineRule="auto"/>
      <w:jc w:val="both"/>
    </w:pPr>
    <w:rPr>
      <w:rFonts w:ascii="Times New Roman" w:hAnsi="Times New Roman" w:eastAsia="宋体" w:cs="Times New Roman"/>
      <w:color w:val="auto"/>
      <w:sz w:val="21"/>
      <w:szCs w:val="20"/>
    </w:rPr>
  </w:style>
  <w:style w:type="paragraph" w:customStyle="1" w:styleId="110">
    <w:name w:val="Char1"/>
    <w:basedOn w:val="1"/>
    <w:qFormat/>
    <w:uiPriority w:val="0"/>
    <w:pPr>
      <w:snapToGrid/>
      <w:spacing w:before="0" w:after="0" w:line="240" w:lineRule="auto"/>
      <w:jc w:val="both"/>
    </w:pPr>
    <w:rPr>
      <w:rFonts w:ascii="Times New Roman" w:hAnsi="Times New Roman" w:eastAsia="宋体" w:cs="Times New Roman"/>
      <w:color w:val="auto"/>
      <w:sz w:val="30"/>
      <w:szCs w:val="24"/>
    </w:rPr>
  </w:style>
  <w:style w:type="paragraph" w:customStyle="1" w:styleId="111">
    <w:name w:val="Char Char Char Char Char Char1 Char"/>
    <w:basedOn w:val="1"/>
    <w:qFormat/>
    <w:uiPriority w:val="0"/>
    <w:pPr>
      <w:widowControl/>
      <w:snapToGrid/>
      <w:spacing w:before="0" w:after="160" w:line="240" w:lineRule="exact"/>
    </w:pPr>
    <w:rPr>
      <w:rFonts w:ascii="Verdana" w:hAnsi="Verdana" w:eastAsia="仿宋_GB2312" w:cs="Times New Roman"/>
      <w:color w:val="auto"/>
      <w:kern w:val="0"/>
      <w:sz w:val="24"/>
      <w:szCs w:val="20"/>
      <w:lang w:eastAsia="en-US"/>
    </w:rPr>
  </w:style>
  <w:style w:type="character" w:customStyle="1" w:styleId="112">
    <w:name w:val="lefter2"/>
    <w:basedOn w:val="43"/>
    <w:qFormat/>
    <w:uiPriority w:val="0"/>
  </w:style>
  <w:style w:type="paragraph" w:customStyle="1" w:styleId="113">
    <w:name w:val="CM1"/>
    <w:basedOn w:val="1"/>
    <w:next w:val="1"/>
    <w:qFormat/>
    <w:uiPriority w:val="99"/>
    <w:pPr>
      <w:autoSpaceDE w:val="0"/>
      <w:autoSpaceDN w:val="0"/>
      <w:adjustRightInd w:val="0"/>
      <w:snapToGrid/>
      <w:spacing w:before="0" w:after="0" w:line="240" w:lineRule="auto"/>
    </w:pPr>
    <w:rPr>
      <w:rFonts w:ascii="宋体" w:eastAsia="宋体"/>
      <w:color w:val="auto"/>
      <w:kern w:val="0"/>
      <w:sz w:val="24"/>
      <w:szCs w:val="24"/>
    </w:rPr>
  </w:style>
  <w:style w:type="paragraph" w:customStyle="1" w:styleId="114">
    <w:name w:val="CM59"/>
    <w:basedOn w:val="1"/>
    <w:next w:val="1"/>
    <w:qFormat/>
    <w:uiPriority w:val="99"/>
    <w:pPr>
      <w:autoSpaceDE w:val="0"/>
      <w:autoSpaceDN w:val="0"/>
      <w:adjustRightInd w:val="0"/>
      <w:snapToGrid/>
      <w:spacing w:before="0" w:after="0" w:line="240" w:lineRule="auto"/>
    </w:pPr>
    <w:rPr>
      <w:rFonts w:ascii="宋体" w:eastAsia="宋体"/>
      <w:color w:val="auto"/>
      <w:kern w:val="0"/>
      <w:sz w:val="24"/>
      <w:szCs w:val="24"/>
    </w:rPr>
  </w:style>
  <w:style w:type="paragraph" w:customStyle="1" w:styleId="115">
    <w:name w:val="CM2"/>
    <w:basedOn w:val="1"/>
    <w:next w:val="1"/>
    <w:qFormat/>
    <w:uiPriority w:val="99"/>
    <w:pPr>
      <w:autoSpaceDE w:val="0"/>
      <w:autoSpaceDN w:val="0"/>
      <w:adjustRightInd w:val="0"/>
      <w:snapToGrid/>
      <w:spacing w:before="0" w:after="0" w:line="320" w:lineRule="atLeast"/>
    </w:pPr>
    <w:rPr>
      <w:rFonts w:ascii="宋体" w:eastAsia="宋体"/>
      <w:color w:val="auto"/>
      <w:kern w:val="0"/>
      <w:sz w:val="24"/>
      <w:szCs w:val="24"/>
    </w:rPr>
  </w:style>
  <w:style w:type="paragraph" w:customStyle="1" w:styleId="116">
    <w:name w:val="CM62"/>
    <w:basedOn w:val="81"/>
    <w:next w:val="81"/>
    <w:qFormat/>
    <w:uiPriority w:val="99"/>
    <w:rPr>
      <w:rFonts w:hint="default" w:hAnsiTheme="minorHAnsi" w:cstheme="minorBidi"/>
      <w:color w:val="auto"/>
      <w:szCs w:val="24"/>
    </w:rPr>
  </w:style>
  <w:style w:type="paragraph" w:customStyle="1" w:styleId="117">
    <w:name w:val="CM63"/>
    <w:basedOn w:val="81"/>
    <w:next w:val="81"/>
    <w:qFormat/>
    <w:uiPriority w:val="99"/>
    <w:rPr>
      <w:rFonts w:hint="default" w:hAnsiTheme="minorHAnsi" w:cstheme="minorBidi"/>
      <w:color w:val="auto"/>
      <w:szCs w:val="24"/>
    </w:rPr>
  </w:style>
  <w:style w:type="paragraph" w:customStyle="1" w:styleId="118">
    <w:name w:val="CM12"/>
    <w:basedOn w:val="81"/>
    <w:next w:val="81"/>
    <w:qFormat/>
    <w:uiPriority w:val="99"/>
    <w:pPr>
      <w:spacing w:line="318" w:lineRule="atLeast"/>
    </w:pPr>
    <w:rPr>
      <w:rFonts w:hint="default" w:hAnsiTheme="minorHAnsi" w:cstheme="minorBidi"/>
      <w:color w:val="auto"/>
      <w:szCs w:val="24"/>
    </w:rPr>
  </w:style>
  <w:style w:type="paragraph" w:customStyle="1" w:styleId="119">
    <w:name w:val="CM11"/>
    <w:basedOn w:val="81"/>
    <w:next w:val="81"/>
    <w:qFormat/>
    <w:uiPriority w:val="99"/>
    <w:pPr>
      <w:spacing w:line="320" w:lineRule="atLeast"/>
    </w:pPr>
    <w:rPr>
      <w:rFonts w:hint="default" w:hAnsiTheme="minorHAnsi" w:cstheme="minorBidi"/>
      <w:color w:val="auto"/>
      <w:szCs w:val="24"/>
    </w:rPr>
  </w:style>
  <w:style w:type="paragraph" w:customStyle="1" w:styleId="120">
    <w:name w:val="CM20"/>
    <w:basedOn w:val="81"/>
    <w:next w:val="81"/>
    <w:qFormat/>
    <w:uiPriority w:val="99"/>
    <w:pPr>
      <w:spacing w:line="318" w:lineRule="atLeast"/>
    </w:pPr>
    <w:rPr>
      <w:rFonts w:hint="default" w:hAnsiTheme="minorHAnsi" w:cstheme="minorBidi"/>
      <w:color w:val="auto"/>
      <w:szCs w:val="24"/>
    </w:rPr>
  </w:style>
  <w:style w:type="paragraph" w:customStyle="1" w:styleId="121">
    <w:name w:val="CM3"/>
    <w:basedOn w:val="81"/>
    <w:next w:val="81"/>
    <w:qFormat/>
    <w:uiPriority w:val="99"/>
    <w:pPr>
      <w:spacing w:line="318" w:lineRule="atLeast"/>
    </w:pPr>
    <w:rPr>
      <w:rFonts w:hint="default" w:hAnsiTheme="minorHAnsi" w:cstheme="minorBidi"/>
      <w:color w:val="auto"/>
      <w:szCs w:val="24"/>
    </w:rPr>
  </w:style>
  <w:style w:type="paragraph" w:customStyle="1" w:styleId="122">
    <w:name w:val="CM21"/>
    <w:basedOn w:val="81"/>
    <w:next w:val="81"/>
    <w:qFormat/>
    <w:uiPriority w:val="99"/>
    <w:pPr>
      <w:spacing w:line="320" w:lineRule="atLeast"/>
    </w:pPr>
    <w:rPr>
      <w:rFonts w:hint="default" w:hAnsiTheme="minorHAnsi" w:cstheme="minorBidi"/>
      <w:color w:val="auto"/>
      <w:szCs w:val="24"/>
    </w:rPr>
  </w:style>
  <w:style w:type="paragraph" w:customStyle="1" w:styleId="123">
    <w:name w:val="CM22"/>
    <w:basedOn w:val="81"/>
    <w:next w:val="81"/>
    <w:qFormat/>
    <w:uiPriority w:val="99"/>
    <w:pPr>
      <w:spacing w:line="318" w:lineRule="atLeast"/>
    </w:pPr>
    <w:rPr>
      <w:rFonts w:hint="default" w:hAnsiTheme="minorHAnsi" w:cstheme="minorBidi"/>
      <w:color w:val="auto"/>
      <w:szCs w:val="24"/>
    </w:rPr>
  </w:style>
  <w:style w:type="paragraph" w:customStyle="1" w:styleId="124">
    <w:name w:val="CM65"/>
    <w:basedOn w:val="81"/>
    <w:next w:val="81"/>
    <w:qFormat/>
    <w:uiPriority w:val="99"/>
    <w:rPr>
      <w:rFonts w:hint="default" w:hAnsiTheme="minorHAnsi" w:cstheme="minorBidi"/>
      <w:color w:val="auto"/>
      <w:szCs w:val="24"/>
    </w:rPr>
  </w:style>
  <w:style w:type="paragraph" w:customStyle="1" w:styleId="125">
    <w:name w:val="CM19"/>
    <w:basedOn w:val="81"/>
    <w:next w:val="81"/>
    <w:qFormat/>
    <w:uiPriority w:val="99"/>
    <w:pPr>
      <w:spacing w:line="318" w:lineRule="atLeast"/>
    </w:pPr>
    <w:rPr>
      <w:rFonts w:hint="default" w:hAnsiTheme="minorHAnsi" w:cstheme="minorBidi"/>
      <w:color w:val="auto"/>
      <w:szCs w:val="24"/>
    </w:rPr>
  </w:style>
  <w:style w:type="paragraph" w:customStyle="1" w:styleId="126">
    <w:name w:val="CM26"/>
    <w:basedOn w:val="81"/>
    <w:next w:val="81"/>
    <w:qFormat/>
    <w:uiPriority w:val="99"/>
    <w:pPr>
      <w:spacing w:line="316" w:lineRule="atLeast"/>
    </w:pPr>
    <w:rPr>
      <w:rFonts w:hint="default" w:hAnsiTheme="minorHAnsi" w:cstheme="minorBidi"/>
      <w:color w:val="auto"/>
      <w:szCs w:val="24"/>
    </w:rPr>
  </w:style>
  <w:style w:type="paragraph" w:customStyle="1" w:styleId="127">
    <w:name w:val="CM27"/>
    <w:basedOn w:val="81"/>
    <w:next w:val="81"/>
    <w:qFormat/>
    <w:uiPriority w:val="99"/>
    <w:pPr>
      <w:spacing w:line="320" w:lineRule="atLeast"/>
    </w:pPr>
    <w:rPr>
      <w:rFonts w:hint="default" w:hAnsiTheme="minorHAnsi" w:cstheme="minorBidi"/>
      <w:color w:val="auto"/>
      <w:szCs w:val="24"/>
    </w:rPr>
  </w:style>
  <w:style w:type="paragraph" w:customStyle="1" w:styleId="128">
    <w:name w:val="CM16"/>
    <w:basedOn w:val="81"/>
    <w:next w:val="81"/>
    <w:qFormat/>
    <w:uiPriority w:val="99"/>
    <w:pPr>
      <w:spacing w:line="316" w:lineRule="atLeast"/>
    </w:pPr>
    <w:rPr>
      <w:rFonts w:hint="default" w:hAnsiTheme="minorHAnsi" w:cstheme="minorBidi"/>
      <w:color w:val="auto"/>
      <w:szCs w:val="24"/>
    </w:rPr>
  </w:style>
  <w:style w:type="paragraph" w:customStyle="1" w:styleId="129">
    <w:name w:val="CM60"/>
    <w:basedOn w:val="81"/>
    <w:next w:val="81"/>
    <w:qFormat/>
    <w:uiPriority w:val="99"/>
    <w:rPr>
      <w:rFonts w:hint="default" w:hAnsiTheme="minorHAnsi" w:cstheme="minorBidi"/>
      <w:color w:val="auto"/>
      <w:szCs w:val="24"/>
    </w:rPr>
  </w:style>
  <w:style w:type="paragraph" w:customStyle="1" w:styleId="130">
    <w:name w:val="CM10"/>
    <w:basedOn w:val="81"/>
    <w:next w:val="81"/>
    <w:qFormat/>
    <w:uiPriority w:val="99"/>
    <w:pPr>
      <w:spacing w:line="320" w:lineRule="atLeast"/>
    </w:pPr>
    <w:rPr>
      <w:rFonts w:hint="default" w:hAnsiTheme="minorHAnsi" w:cstheme="minorBidi"/>
      <w:color w:val="auto"/>
      <w:szCs w:val="24"/>
    </w:rPr>
  </w:style>
  <w:style w:type="paragraph" w:customStyle="1" w:styleId="131">
    <w:name w:val="CM13"/>
    <w:basedOn w:val="81"/>
    <w:next w:val="81"/>
    <w:qFormat/>
    <w:uiPriority w:val="99"/>
    <w:pPr>
      <w:spacing w:line="320" w:lineRule="atLeast"/>
    </w:pPr>
    <w:rPr>
      <w:rFonts w:hint="default" w:hAnsiTheme="minorHAnsi" w:cstheme="minorBidi"/>
      <w:color w:val="auto"/>
      <w:szCs w:val="24"/>
    </w:rPr>
  </w:style>
  <w:style w:type="paragraph" w:customStyle="1" w:styleId="132">
    <w:name w:val="CM64"/>
    <w:basedOn w:val="81"/>
    <w:next w:val="81"/>
    <w:qFormat/>
    <w:uiPriority w:val="99"/>
    <w:rPr>
      <w:rFonts w:hint="default" w:hAnsiTheme="minorHAnsi" w:cstheme="minorBidi"/>
      <w:color w:val="auto"/>
      <w:szCs w:val="24"/>
    </w:rPr>
  </w:style>
  <w:style w:type="paragraph" w:customStyle="1" w:styleId="133">
    <w:name w:val="CM31"/>
    <w:basedOn w:val="81"/>
    <w:next w:val="81"/>
    <w:qFormat/>
    <w:uiPriority w:val="99"/>
    <w:pPr>
      <w:spacing w:line="318" w:lineRule="atLeast"/>
    </w:pPr>
    <w:rPr>
      <w:rFonts w:hint="default" w:hAnsiTheme="minorHAnsi" w:cstheme="minorBidi"/>
      <w:color w:val="auto"/>
      <w:szCs w:val="24"/>
    </w:rPr>
  </w:style>
  <w:style w:type="paragraph" w:customStyle="1" w:styleId="134">
    <w:name w:val="CM30"/>
    <w:basedOn w:val="81"/>
    <w:next w:val="81"/>
    <w:qFormat/>
    <w:uiPriority w:val="99"/>
    <w:pPr>
      <w:spacing w:line="320" w:lineRule="atLeast"/>
    </w:pPr>
    <w:rPr>
      <w:rFonts w:hint="default" w:hAnsiTheme="minorHAnsi" w:cstheme="minorBidi"/>
      <w:color w:val="auto"/>
      <w:szCs w:val="24"/>
    </w:rPr>
  </w:style>
  <w:style w:type="paragraph" w:customStyle="1" w:styleId="135">
    <w:name w:val="CM32"/>
    <w:basedOn w:val="81"/>
    <w:next w:val="81"/>
    <w:qFormat/>
    <w:uiPriority w:val="99"/>
    <w:pPr>
      <w:spacing w:line="320" w:lineRule="atLeast"/>
    </w:pPr>
    <w:rPr>
      <w:rFonts w:hint="default" w:hAnsiTheme="minorHAnsi" w:cstheme="minorBidi"/>
      <w:color w:val="auto"/>
      <w:szCs w:val="24"/>
    </w:rPr>
  </w:style>
  <w:style w:type="paragraph" w:customStyle="1" w:styleId="136">
    <w:name w:val="CM41"/>
    <w:basedOn w:val="81"/>
    <w:next w:val="81"/>
    <w:qFormat/>
    <w:uiPriority w:val="99"/>
    <w:pPr>
      <w:spacing w:line="313" w:lineRule="atLeast"/>
    </w:pPr>
    <w:rPr>
      <w:rFonts w:hint="default" w:hAnsiTheme="minorHAnsi" w:cstheme="minorBidi"/>
      <w:color w:val="auto"/>
      <w:szCs w:val="24"/>
    </w:rPr>
  </w:style>
  <w:style w:type="paragraph" w:customStyle="1" w:styleId="137">
    <w:name w:val="CM42"/>
    <w:basedOn w:val="81"/>
    <w:next w:val="81"/>
    <w:qFormat/>
    <w:uiPriority w:val="99"/>
    <w:pPr>
      <w:spacing w:line="316" w:lineRule="atLeast"/>
    </w:pPr>
    <w:rPr>
      <w:rFonts w:hint="default" w:hAnsiTheme="minorHAnsi" w:cstheme="minorBidi"/>
      <w:color w:val="auto"/>
      <w:szCs w:val="24"/>
    </w:rPr>
  </w:style>
  <w:style w:type="paragraph" w:customStyle="1" w:styleId="138">
    <w:name w:val="CM43"/>
    <w:basedOn w:val="81"/>
    <w:next w:val="81"/>
    <w:qFormat/>
    <w:uiPriority w:val="99"/>
    <w:pPr>
      <w:spacing w:line="313" w:lineRule="atLeast"/>
    </w:pPr>
    <w:rPr>
      <w:rFonts w:hint="default" w:hAnsiTheme="minorHAnsi" w:cstheme="minorBidi"/>
      <w:color w:val="auto"/>
      <w:szCs w:val="24"/>
    </w:rPr>
  </w:style>
  <w:style w:type="paragraph" w:customStyle="1" w:styleId="139">
    <w:name w:val="CM44"/>
    <w:basedOn w:val="81"/>
    <w:next w:val="81"/>
    <w:qFormat/>
    <w:uiPriority w:val="99"/>
    <w:pPr>
      <w:spacing w:line="313" w:lineRule="atLeast"/>
    </w:pPr>
    <w:rPr>
      <w:rFonts w:hint="default" w:hAnsiTheme="minorHAnsi" w:cstheme="minorBidi"/>
      <w:color w:val="auto"/>
      <w:szCs w:val="24"/>
    </w:rPr>
  </w:style>
  <w:style w:type="paragraph" w:customStyle="1" w:styleId="140">
    <w:name w:val="CM39"/>
    <w:basedOn w:val="81"/>
    <w:next w:val="81"/>
    <w:qFormat/>
    <w:uiPriority w:val="99"/>
    <w:pPr>
      <w:spacing w:line="316" w:lineRule="atLeast"/>
    </w:pPr>
    <w:rPr>
      <w:rFonts w:hint="default" w:hAnsiTheme="minorHAnsi" w:cstheme="minorBidi"/>
      <w:color w:val="auto"/>
      <w:szCs w:val="24"/>
    </w:rPr>
  </w:style>
  <w:style w:type="paragraph" w:customStyle="1" w:styleId="141">
    <w:name w:val="CM61"/>
    <w:basedOn w:val="81"/>
    <w:next w:val="81"/>
    <w:qFormat/>
    <w:uiPriority w:val="99"/>
    <w:rPr>
      <w:rFonts w:hint="default" w:hAnsiTheme="minorHAnsi" w:cstheme="minorBidi"/>
      <w:color w:val="auto"/>
      <w:szCs w:val="24"/>
    </w:rPr>
  </w:style>
  <w:style w:type="paragraph" w:customStyle="1" w:styleId="142">
    <w:name w:val="CM29"/>
    <w:basedOn w:val="81"/>
    <w:next w:val="81"/>
    <w:qFormat/>
    <w:uiPriority w:val="99"/>
    <w:pPr>
      <w:spacing w:line="318" w:lineRule="atLeast"/>
    </w:pPr>
    <w:rPr>
      <w:rFonts w:hint="default" w:hAnsiTheme="minorHAnsi" w:cstheme="minorBidi"/>
      <w:color w:val="auto"/>
      <w:szCs w:val="24"/>
    </w:rPr>
  </w:style>
  <w:style w:type="paragraph" w:customStyle="1" w:styleId="143">
    <w:name w:val="CM4"/>
    <w:basedOn w:val="81"/>
    <w:next w:val="81"/>
    <w:qFormat/>
    <w:uiPriority w:val="99"/>
    <w:pPr>
      <w:spacing w:line="318" w:lineRule="atLeast"/>
    </w:pPr>
    <w:rPr>
      <w:rFonts w:hint="default" w:hAnsiTheme="minorHAnsi" w:cstheme="minorBidi"/>
      <w:color w:val="auto"/>
      <w:szCs w:val="24"/>
    </w:rPr>
  </w:style>
  <w:style w:type="paragraph" w:customStyle="1" w:styleId="144">
    <w:name w:val="投标正文"/>
    <w:basedOn w:val="1"/>
    <w:link w:val="145"/>
    <w:qFormat/>
    <w:uiPriority w:val="0"/>
    <w:pPr>
      <w:snapToGrid/>
      <w:spacing w:before="0" w:after="0" w:line="360" w:lineRule="auto"/>
      <w:ind w:firstLine="200" w:firstLineChars="200"/>
      <w:jc w:val="both"/>
    </w:pPr>
    <w:rPr>
      <w:rFonts w:ascii="Times New Roman" w:hAnsi="Times New Roman" w:eastAsia="宋体" w:cs="Times New Roman"/>
      <w:color w:val="auto"/>
      <w:sz w:val="24"/>
      <w:szCs w:val="24"/>
    </w:rPr>
  </w:style>
  <w:style w:type="character" w:customStyle="1" w:styleId="145">
    <w:name w:val="投标正文 Char"/>
    <w:basedOn w:val="43"/>
    <w:link w:val="144"/>
    <w:qFormat/>
    <w:uiPriority w:val="0"/>
    <w:rPr>
      <w:rFonts w:ascii="Times New Roman" w:hAnsi="Times New Roman" w:eastAsia="宋体" w:cs="Times New Roman"/>
      <w:kern w:val="2"/>
      <w:sz w:val="24"/>
      <w:szCs w:val="24"/>
    </w:rPr>
  </w:style>
  <w:style w:type="paragraph" w:customStyle="1" w:styleId="146">
    <w:name w:val="Normal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Table Paragraph"/>
    <w:basedOn w:val="1"/>
    <w:qFormat/>
    <w:uiPriority w:val="1"/>
    <w:pPr>
      <w:autoSpaceDE w:val="0"/>
      <w:autoSpaceDN w:val="0"/>
      <w:snapToGrid/>
      <w:spacing w:before="16" w:after="0" w:line="240" w:lineRule="auto"/>
      <w:ind w:left="95"/>
      <w:jc w:val="center"/>
    </w:pPr>
    <w:rPr>
      <w:rFonts w:ascii="仿宋_GB2312" w:hAnsi="仿宋_GB2312" w:eastAsia="仿宋_GB2312" w:cs="仿宋_GB2312"/>
      <w:color w:val="auto"/>
      <w:kern w:val="0"/>
      <w:lang w:eastAsia="en-US"/>
    </w:rPr>
  </w:style>
  <w:style w:type="paragraph" w:customStyle="1" w:styleId="148">
    <w:name w:val="A正文"/>
    <w:basedOn w:val="1"/>
    <w:link w:val="149"/>
    <w:qFormat/>
    <w:uiPriority w:val="0"/>
    <w:pPr>
      <w:snapToGrid/>
      <w:spacing w:before="0" w:after="0" w:line="360" w:lineRule="auto"/>
      <w:ind w:firstLine="200" w:firstLineChars="200"/>
      <w:jc w:val="both"/>
    </w:pPr>
    <w:rPr>
      <w:rFonts w:ascii="Times New Roman" w:hAnsi="Times New Roman" w:eastAsia="宋体" w:cs="Times New Roman"/>
      <w:color w:val="auto"/>
      <w:sz w:val="24"/>
      <w:szCs w:val="24"/>
      <w:lang w:val="zh-CN"/>
    </w:rPr>
  </w:style>
  <w:style w:type="character" w:customStyle="1" w:styleId="149">
    <w:name w:val="A正文 Char Char"/>
    <w:link w:val="148"/>
    <w:qFormat/>
    <w:uiPriority w:val="0"/>
    <w:rPr>
      <w:rFonts w:ascii="Times New Roman" w:hAnsi="Times New Roman" w:eastAsia="宋体" w:cs="Times New Roman"/>
      <w:kern w:val="2"/>
      <w:sz w:val="24"/>
      <w:szCs w:val="24"/>
      <w:lang w:val="zh-CN"/>
    </w:rPr>
  </w:style>
  <w:style w:type="character" w:customStyle="1" w:styleId="150">
    <w:name w:val="标题 字符"/>
    <w:basedOn w:val="43"/>
    <w:link w:val="38"/>
    <w:qFormat/>
    <w:uiPriority w:val="9"/>
    <w:rPr>
      <w:b/>
      <w:bCs/>
      <w:color w:val="1A1A1A"/>
      <w:kern w:val="2"/>
      <w:sz w:val="48"/>
      <w:szCs w:val="48"/>
    </w:rPr>
  </w:style>
  <w:style w:type="character" w:customStyle="1" w:styleId="151">
    <w:name w:val="正文文本首行缩进 2 字符"/>
    <w:basedOn w:val="71"/>
    <w:link w:val="40"/>
    <w:qFormat/>
    <w:uiPriority w:val="0"/>
    <w:rPr>
      <w:rFonts w:ascii="Times New Roman" w:hAnsi="宋体" w:eastAsia="宋体" w:cs="Times New Roman"/>
      <w:color w:val="000000"/>
      <w:kern w:val="2"/>
      <w:sz w:val="24"/>
      <w:szCs w:val="24"/>
    </w:rPr>
  </w:style>
  <w:style w:type="table" w:customStyle="1" w:styleId="152">
    <w:name w:val="网格型1"/>
    <w:basedOn w:val="41"/>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修订1"/>
    <w:hidden/>
    <w:semiHidden/>
    <w:qFormat/>
    <w:uiPriority w:val="99"/>
    <w:rPr>
      <w:rFonts w:asciiTheme="minorHAnsi" w:hAnsiTheme="minorHAnsi" w:eastAsiaTheme="minorEastAsia" w:cstheme="minorBidi"/>
      <w:color w:val="333333"/>
      <w:kern w:val="2"/>
      <w:sz w:val="22"/>
      <w:szCs w:val="22"/>
      <w:lang w:val="en-US" w:eastAsia="zh-CN" w:bidi="ar-SA"/>
    </w:rPr>
  </w:style>
  <w:style w:type="paragraph" w:customStyle="1" w:styleId="154">
    <w:name w:val="修订2"/>
    <w:hidden/>
    <w:semiHidden/>
    <w:qFormat/>
    <w:uiPriority w:val="99"/>
    <w:rPr>
      <w:rFonts w:asciiTheme="minorHAnsi" w:hAnsiTheme="minorHAnsi" w:eastAsiaTheme="minorEastAsia" w:cstheme="minorBidi"/>
      <w:color w:val="333333"/>
      <w:kern w:val="2"/>
      <w:sz w:val="22"/>
      <w:szCs w:val="22"/>
      <w:lang w:val="en-US" w:eastAsia="zh-CN" w:bidi="ar-SA"/>
    </w:rPr>
  </w:style>
  <w:style w:type="paragraph" w:customStyle="1" w:styleId="155">
    <w:name w:val="修订3"/>
    <w:hidden/>
    <w:semiHidden/>
    <w:qFormat/>
    <w:uiPriority w:val="99"/>
    <w:rPr>
      <w:rFonts w:asciiTheme="minorHAnsi" w:hAnsiTheme="minorHAnsi" w:eastAsiaTheme="minorEastAsia" w:cstheme="minorBidi"/>
      <w:color w:val="333333"/>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4589</Words>
  <Characters>5117</Characters>
  <Lines>249</Lines>
  <Paragraphs>70</Paragraphs>
  <TotalTime>3</TotalTime>
  <ScaleCrop>false</ScaleCrop>
  <LinksUpToDate>false</LinksUpToDate>
  <CharactersWithSpaces>5213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2024-05-17T02:52:00Z</dcterms:created>
  <dc:creator>Administrator.DESKTOP-3UOE1TA</dc:creator>
  <cp:lastModifiedBy>房锦坤</cp:lastModifiedBy>
  <cp:lastPrinted>2022-06-08T14:48:00Z</cp:lastPrinted>
  <dcterms:modified xsi:type="dcterms:W3CDTF">2024-12-11T10:20:31Z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3AB55FD9FFAF487698D6FC9F09C64F69_13</vt:lpwstr>
  </property>
</Properties>
</file>