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C54BD1">
      <w:pPr>
        <w:pStyle w:val="3"/>
      </w:pPr>
      <w:bookmarkStart w:id="0" w:name="_Hlk110876045"/>
      <w:r>
        <w:rPr>
          <w:rFonts w:hint="eastAsia"/>
        </w:rPr>
        <w:t>附件四、</w:t>
      </w:r>
    </w:p>
    <w:p w14:paraId="71FA9998">
      <w:pPr>
        <w:pStyle w:val="3"/>
        <w:jc w:val="center"/>
      </w:pPr>
      <w:r>
        <w:rPr>
          <w:rFonts w:hint="eastAsia"/>
        </w:rPr>
        <w:t>广州白云国际机场三期扩建工程</w:t>
      </w:r>
      <w:r>
        <w:rPr>
          <w:rFonts w:hint="eastAsia" w:hAnsi="宋体" w:cs="宋体"/>
          <w:kern w:val="0"/>
          <w:szCs w:val="32"/>
        </w:rPr>
        <w:t>T3航站楼装修</w:t>
      </w:r>
    </w:p>
    <w:p w14:paraId="35E3420C">
      <w:pPr>
        <w:pStyle w:val="3"/>
        <w:jc w:val="center"/>
      </w:pPr>
      <w:r>
        <w:rPr>
          <w:rFonts w:hint="eastAsia"/>
        </w:rPr>
        <w:t>施工BIM应用要求</w:t>
      </w:r>
    </w:p>
    <w:p w14:paraId="6A699A80">
      <w:pPr>
        <w:pStyle w:val="4"/>
        <w:ind w:firstLine="643"/>
      </w:pPr>
    </w:p>
    <w:p w14:paraId="70592006">
      <w:pPr>
        <w:pStyle w:val="4"/>
        <w:ind w:firstLine="643"/>
      </w:pPr>
      <w:r>
        <w:rPr>
          <w:rFonts w:hint="eastAsia"/>
        </w:rPr>
        <w:t>1.施工组织设计过程中BIM应用要求</w:t>
      </w:r>
    </w:p>
    <w:p w14:paraId="262E8C3A">
      <w:pPr>
        <w:ind w:firstLine="560"/>
        <w:rPr>
          <w:szCs w:val="21"/>
        </w:rPr>
      </w:pPr>
      <w:r>
        <w:rPr>
          <w:rFonts w:hint="eastAsia"/>
          <w:szCs w:val="21"/>
        </w:rPr>
        <w:t>承包人在施工组织设计过程中应在施工总平面布置、施工工艺模拟和优化、施工方案模拟等方面应用BIM技术。</w:t>
      </w:r>
    </w:p>
    <w:p w14:paraId="62C66542">
      <w:pPr>
        <w:pStyle w:val="2"/>
        <w:ind w:firstLine="602"/>
      </w:pPr>
      <w:r>
        <w:rPr>
          <w:rFonts w:hint="eastAsia"/>
        </w:rPr>
        <w:t>1.1施工总平面布置</w:t>
      </w:r>
    </w:p>
    <w:p w14:paraId="70278D29">
      <w:pPr>
        <w:ind w:firstLine="560"/>
      </w:pPr>
      <w:r>
        <w:rPr>
          <w:rFonts w:hint="eastAsia"/>
          <w:szCs w:val="21"/>
        </w:rPr>
        <w:t>承包人应配合施工总包进行</w:t>
      </w:r>
      <w:r>
        <w:rPr>
          <w:szCs w:val="21"/>
        </w:rPr>
        <w:t>施工总平面</w:t>
      </w:r>
      <w:r>
        <w:rPr>
          <w:rFonts w:hint="eastAsia"/>
          <w:szCs w:val="21"/>
        </w:rPr>
        <w:t>管理，BIM</w:t>
      </w:r>
      <w:r>
        <w:rPr>
          <w:szCs w:val="21"/>
        </w:rPr>
        <w:t>模型</w:t>
      </w:r>
      <w:r>
        <w:rPr>
          <w:rFonts w:hint="eastAsia"/>
          <w:szCs w:val="21"/>
        </w:rPr>
        <w:t>并基于BIM模型进行施工总平面布置模拟、静态碰撞分析及动态交通分析，提高施工现场的安全性与合理性。</w:t>
      </w:r>
    </w:p>
    <w:p w14:paraId="39EF61C4">
      <w:pPr>
        <w:pStyle w:val="2"/>
        <w:ind w:firstLine="602"/>
      </w:pPr>
      <w:r>
        <w:rPr>
          <w:rFonts w:hint="eastAsia"/>
        </w:rPr>
        <w:t>1.2施工工艺模拟和优化</w:t>
      </w:r>
    </w:p>
    <w:p w14:paraId="2F866FAD">
      <w:pPr>
        <w:ind w:firstLine="560"/>
        <w:rPr>
          <w:szCs w:val="21"/>
        </w:rPr>
      </w:pPr>
      <w:r>
        <w:rPr>
          <w:rFonts w:hint="eastAsia"/>
          <w:szCs w:val="21"/>
        </w:rPr>
        <w:t>承包人应基于施工深化模型和施工组织方案创建施工工艺模型，对建筑施工中的室</w:t>
      </w:r>
      <w:r>
        <w:rPr>
          <w:rFonts w:hint="eastAsia"/>
          <w:szCs w:val="21"/>
          <w:u w:val="single"/>
        </w:rPr>
        <w:t>内构造、</w:t>
      </w:r>
      <w:r>
        <w:rPr>
          <w:rFonts w:hint="eastAsia"/>
          <w:szCs w:val="21"/>
        </w:rPr>
        <w:t>地板、吊顶、墙饰面、梁柱饰面、天花饰面、楼梯饰面、指示标志、家具、设备等施工工艺进行模拟，进行可视化展示、施工交底。</w:t>
      </w:r>
    </w:p>
    <w:p w14:paraId="176131CF">
      <w:pPr>
        <w:pStyle w:val="2"/>
        <w:ind w:firstLine="602"/>
      </w:pPr>
      <w:r>
        <w:rPr>
          <w:rFonts w:hint="eastAsia"/>
        </w:rPr>
        <w:t>1.3施工方案模拟</w:t>
      </w:r>
    </w:p>
    <w:p w14:paraId="06C08095">
      <w:pPr>
        <w:ind w:firstLine="560"/>
        <w:rPr>
          <w:szCs w:val="21"/>
        </w:rPr>
      </w:pPr>
      <w:r>
        <w:rPr>
          <w:rFonts w:hint="eastAsia"/>
          <w:szCs w:val="21"/>
        </w:rPr>
        <w:t>承包人应</w:t>
      </w:r>
      <w:r>
        <w:rPr>
          <w:szCs w:val="21"/>
        </w:rPr>
        <w:t>将施工深化模型导入</w:t>
      </w:r>
      <w:r>
        <w:rPr>
          <w:rFonts w:hint="eastAsia"/>
          <w:szCs w:val="21"/>
        </w:rPr>
        <w:t>市场主流</w:t>
      </w:r>
      <w:r>
        <w:rPr>
          <w:szCs w:val="21"/>
        </w:rPr>
        <w:t>BIM施工模拟软件平台</w:t>
      </w:r>
      <w:r>
        <w:rPr>
          <w:rFonts w:hint="eastAsia"/>
          <w:szCs w:val="21"/>
        </w:rPr>
        <w:t>，</w:t>
      </w:r>
      <w:r>
        <w:rPr>
          <w:szCs w:val="21"/>
        </w:rPr>
        <w:t>并结合施工工序和初步的施工方案</w:t>
      </w:r>
      <w:r>
        <w:rPr>
          <w:rFonts w:hint="eastAsia"/>
          <w:szCs w:val="21"/>
        </w:rPr>
        <w:t>，</w:t>
      </w:r>
      <w:r>
        <w:rPr>
          <w:szCs w:val="21"/>
        </w:rPr>
        <w:t>将模型中的构件和时间</w:t>
      </w:r>
      <w:r>
        <w:rPr>
          <w:rFonts w:hint="eastAsia"/>
          <w:szCs w:val="21"/>
        </w:rPr>
        <w:t>相</w:t>
      </w:r>
      <w:r>
        <w:rPr>
          <w:szCs w:val="21"/>
        </w:rPr>
        <w:t>关联</w:t>
      </w:r>
      <w:r>
        <w:rPr>
          <w:rFonts w:hint="eastAsia"/>
          <w:szCs w:val="21"/>
        </w:rPr>
        <w:t>，形成</w:t>
      </w:r>
      <w:r>
        <w:rPr>
          <w:szCs w:val="21"/>
        </w:rPr>
        <w:t>施工模拟文件</w:t>
      </w:r>
      <w:r>
        <w:rPr>
          <w:rFonts w:hint="eastAsia"/>
          <w:szCs w:val="21"/>
        </w:rPr>
        <w:t>。根据模拟中发现的问题修改施工方案后再次进行施工模拟，如此通过PDCA循环的模式不断推敲和修改施工方案，最终完成符合工程实际的施工方案，并指导施工。</w:t>
      </w:r>
    </w:p>
    <w:p w14:paraId="22119851">
      <w:pPr>
        <w:pStyle w:val="4"/>
        <w:ind w:firstLine="643"/>
      </w:pPr>
      <w:r>
        <w:rPr>
          <w:rFonts w:hint="eastAsia"/>
        </w:rPr>
        <w:t>2.深化设计过程中BIM应用要求</w:t>
      </w:r>
    </w:p>
    <w:p w14:paraId="180D1A25">
      <w:pPr>
        <w:ind w:firstLine="560"/>
      </w:pPr>
      <w:r>
        <w:rPr>
          <w:rFonts w:hint="eastAsia"/>
        </w:rPr>
        <w:t>承包人应根据施工图设计成果（含设计说明）、国家、行业、地方标准规范、项目级技术标准和具体施工工艺特点对施工阶段的现浇混凝土结构、钢结构工程、砌体结构、市政工程等BIM模型进行深化设计。</w:t>
      </w:r>
    </w:p>
    <w:p w14:paraId="1AB0D6D9">
      <w:pPr>
        <w:pStyle w:val="2"/>
        <w:ind w:firstLine="602"/>
        <w:rPr>
          <w:szCs w:val="22"/>
        </w:rPr>
      </w:pPr>
      <w:r>
        <w:rPr>
          <w:rFonts w:hint="eastAsia"/>
          <w:szCs w:val="22"/>
        </w:rPr>
        <w:t>2.1装饰工程深化设计</w:t>
      </w:r>
    </w:p>
    <w:p w14:paraId="0D2EFC88">
      <w:pPr>
        <w:ind w:firstLine="560"/>
      </w:pPr>
      <w:r>
        <w:rPr>
          <w:rFonts w:hint="eastAsia"/>
        </w:rPr>
        <w:t>装饰深化设计模型内容包括但不限于表2.1所示。</w:t>
      </w:r>
    </w:p>
    <w:tbl>
      <w:tblPr>
        <w:tblStyle w:val="14"/>
        <w:tblW w:w="79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85"/>
        <w:gridCol w:w="6053"/>
      </w:tblGrid>
      <w:tr w14:paraId="1160C3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5E9A9BA3">
            <w:pPr>
              <w:pStyle w:val="19"/>
            </w:pPr>
            <w:r>
              <w:rPr>
                <w:rFonts w:hint="eastAsia"/>
              </w:rPr>
              <w:t>模型元素类型</w:t>
            </w:r>
          </w:p>
        </w:tc>
        <w:tc>
          <w:tcPr>
            <w:tcW w:w="6053" w:type="dxa"/>
            <w:tcBorders>
              <w:tl2br w:val="nil"/>
              <w:tr2bl w:val="nil"/>
            </w:tcBorders>
            <w:vAlign w:val="center"/>
          </w:tcPr>
          <w:p w14:paraId="6C5198D3">
            <w:pPr>
              <w:pStyle w:val="19"/>
            </w:pPr>
            <w:r>
              <w:rPr>
                <w:rFonts w:hint="eastAsia"/>
              </w:rPr>
              <w:t>模型元素及信息</w:t>
            </w:r>
          </w:p>
        </w:tc>
      </w:tr>
      <w:tr w14:paraId="5E94FC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484B01E5">
            <w:pPr>
              <w:pStyle w:val="19"/>
            </w:pPr>
            <w:r>
              <w:rPr>
                <w:rFonts w:hint="eastAsia"/>
              </w:rPr>
              <w:t>上游模型</w:t>
            </w:r>
          </w:p>
        </w:tc>
        <w:tc>
          <w:tcPr>
            <w:tcW w:w="6053" w:type="dxa"/>
            <w:tcBorders>
              <w:tl2br w:val="nil"/>
              <w:tr2bl w:val="nil"/>
            </w:tcBorders>
            <w:vAlign w:val="center"/>
          </w:tcPr>
          <w:p w14:paraId="00949140">
            <w:pPr>
              <w:pStyle w:val="19"/>
            </w:pPr>
            <w:r>
              <w:rPr>
                <w:rFonts w:hint="eastAsia"/>
              </w:rPr>
              <w:t>施工图设计模型元素及信息</w:t>
            </w:r>
          </w:p>
        </w:tc>
      </w:tr>
      <w:tr w14:paraId="5251DB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14AE23B6">
            <w:pPr>
              <w:pStyle w:val="19"/>
            </w:pPr>
            <w:r>
              <w:rPr>
                <w:rFonts w:hint="eastAsia"/>
              </w:rPr>
              <w:t>室内构造</w:t>
            </w:r>
          </w:p>
        </w:tc>
        <w:tc>
          <w:tcPr>
            <w:tcW w:w="6053" w:type="dxa"/>
            <w:tcBorders>
              <w:tl2br w:val="nil"/>
              <w:tr2bl w:val="nil"/>
            </w:tcBorders>
            <w:vAlign w:val="center"/>
          </w:tcPr>
          <w:p w14:paraId="779CB828">
            <w:pPr>
              <w:pStyle w:val="19"/>
            </w:pPr>
            <w:r>
              <w:rPr>
                <w:rFonts w:hint="eastAsia"/>
              </w:rPr>
              <w:t>基层/面层/嵌板、支撑构件/龙骨、其他构造层、装饰物、安装构件、密封材料等。几何信息包括：位置和几何尺寸。非几何信息包括：类型、材料信息等。</w:t>
            </w:r>
          </w:p>
        </w:tc>
      </w:tr>
      <w:tr w14:paraId="7D0904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296B3340">
            <w:pPr>
              <w:pStyle w:val="19"/>
            </w:pPr>
            <w:r>
              <w:rPr>
                <w:rFonts w:hint="eastAsia"/>
              </w:rPr>
              <w:t>装饰设备/灯具</w:t>
            </w:r>
          </w:p>
        </w:tc>
        <w:tc>
          <w:tcPr>
            <w:tcW w:w="6053" w:type="dxa"/>
            <w:tcBorders>
              <w:tl2br w:val="nil"/>
              <w:tr2bl w:val="nil"/>
            </w:tcBorders>
            <w:vAlign w:val="center"/>
          </w:tcPr>
          <w:p w14:paraId="1099F2EC">
            <w:pPr>
              <w:pStyle w:val="19"/>
            </w:pPr>
            <w:r>
              <w:rPr>
                <w:rFonts w:hint="eastAsia"/>
              </w:rPr>
              <w:t>设备、安装构件、设备接口及配件、指示标志等。几何信息包括：位置和几何尺寸。非几何信息包括：类型、材料信息等。</w:t>
            </w:r>
          </w:p>
        </w:tc>
      </w:tr>
      <w:tr w14:paraId="0DDF0E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5E0FC77A">
            <w:pPr>
              <w:pStyle w:val="19"/>
            </w:pPr>
            <w:r>
              <w:rPr>
                <w:rFonts w:hint="eastAsia"/>
              </w:rPr>
              <w:t>家具</w:t>
            </w:r>
          </w:p>
        </w:tc>
        <w:tc>
          <w:tcPr>
            <w:tcW w:w="6053" w:type="dxa"/>
            <w:tcBorders>
              <w:tl2br w:val="nil"/>
              <w:tr2bl w:val="nil"/>
            </w:tcBorders>
            <w:vAlign w:val="center"/>
          </w:tcPr>
          <w:p w14:paraId="1E646E10">
            <w:pPr>
              <w:pStyle w:val="19"/>
            </w:pPr>
            <w:r>
              <w:rPr>
                <w:rFonts w:hint="eastAsia"/>
              </w:rPr>
              <w:t>家具、安装构件等。几何信息包括：位置和几何尺寸。非几何信息包括：类型、材料等信息。</w:t>
            </w:r>
          </w:p>
        </w:tc>
      </w:tr>
      <w:tr w14:paraId="402842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41297DC1">
            <w:pPr>
              <w:pStyle w:val="19"/>
            </w:pPr>
            <w:r>
              <w:rPr>
                <w:rFonts w:hint="eastAsia"/>
              </w:rPr>
              <w:t>节点</w:t>
            </w:r>
          </w:p>
        </w:tc>
        <w:tc>
          <w:tcPr>
            <w:tcW w:w="6053" w:type="dxa"/>
            <w:tcBorders>
              <w:tl2br w:val="nil"/>
              <w:tr2bl w:val="nil"/>
            </w:tcBorders>
            <w:vAlign w:val="center"/>
          </w:tcPr>
          <w:p w14:paraId="6FCA27D5">
            <w:pPr>
              <w:pStyle w:val="19"/>
            </w:pPr>
            <w:r>
              <w:rPr>
                <w:rFonts w:hint="eastAsia"/>
              </w:rPr>
              <w:t>节点的型钢、预埋件、钢架转换层等。几何信息包括：位置、几何尺寸及排布。非几何信息包括：节点编号、节点区材料信息、型钢信息、节点区预埋信息等。</w:t>
            </w:r>
          </w:p>
        </w:tc>
      </w:tr>
    </w:tbl>
    <w:p w14:paraId="639BE2F9">
      <w:pPr>
        <w:ind w:firstLine="602"/>
        <w:rPr>
          <w:rFonts w:ascii="Times New Roman" w:hAnsi="Times New Roman"/>
          <w:b/>
          <w:bCs/>
          <w:sz w:val="30"/>
        </w:rPr>
      </w:pPr>
      <w:r>
        <w:rPr>
          <w:rFonts w:hint="eastAsia" w:ascii="Times New Roman" w:hAnsi="Times New Roman"/>
          <w:b/>
          <w:bCs/>
          <w:sz w:val="30"/>
        </w:rPr>
        <w:t>2.2机电末端装饰开孔</w:t>
      </w:r>
    </w:p>
    <w:p w14:paraId="6E5F4DBC">
      <w:pPr>
        <w:pStyle w:val="2"/>
        <w:ind w:firstLine="560"/>
        <w:rPr>
          <w:rFonts w:asciiTheme="minorHAnsi" w:hAnsiTheme="minorHAnsi"/>
          <w:b w:val="0"/>
          <w:bCs w:val="0"/>
          <w:sz w:val="28"/>
          <w:szCs w:val="22"/>
        </w:rPr>
      </w:pPr>
      <w:r>
        <w:rPr>
          <w:rFonts w:hint="eastAsia" w:asciiTheme="minorHAnsi" w:hAnsiTheme="minorHAnsi"/>
          <w:b w:val="0"/>
          <w:bCs w:val="0"/>
          <w:sz w:val="28"/>
          <w:szCs w:val="22"/>
        </w:rPr>
        <w:t>承包人应基于深化图纸开展机电末端点位开孔工作，其中与机电专业连接的功能性末端点位应与机电安装单位充分沟通，预先发现点位冲突、施工不便区域，及时反馈设计单位与机电安装单位，确保与机电管线顺利连接；不与机电专业连接的装饰性末端点位则由承包人自行深化。</w:t>
      </w:r>
    </w:p>
    <w:p w14:paraId="0B6966C6">
      <w:pPr>
        <w:pStyle w:val="2"/>
        <w:ind w:firstLine="602"/>
      </w:pPr>
      <w:r>
        <w:rPr>
          <w:rFonts w:hint="eastAsia"/>
        </w:rPr>
        <w:t>2.1现浇混凝土结构深化设计</w:t>
      </w:r>
    </w:p>
    <w:p w14:paraId="65986AA2">
      <w:pPr>
        <w:ind w:firstLine="560"/>
      </w:pPr>
      <w:bookmarkStart w:id="1" w:name="_Para_k4rymxdv_000112"/>
      <w:bookmarkEnd w:id="1"/>
      <w:bookmarkStart w:id="2" w:name="_Para_k4rymxdv_000113"/>
      <w:bookmarkEnd w:id="2"/>
      <w:r>
        <w:rPr>
          <w:rFonts w:hint="eastAsia"/>
        </w:rPr>
        <w:t>现浇混凝土结构深化设计模型内容包括但不限于表2</w:t>
      </w:r>
      <w:r>
        <w:t>-1</w:t>
      </w:r>
      <w:r>
        <w:rPr>
          <w:rFonts w:hint="eastAsia"/>
        </w:rPr>
        <w:t>所示。</w:t>
      </w:r>
    </w:p>
    <w:p w14:paraId="233FA53D">
      <w:pPr>
        <w:ind w:firstLine="560"/>
      </w:pPr>
      <w:bookmarkStart w:id="3" w:name="_Para_k4rymxdv_000114"/>
      <w:bookmarkEnd w:id="3"/>
      <w:r>
        <w:rPr>
          <w:rFonts w:hint="eastAsia"/>
        </w:rPr>
        <w:t>表2</w:t>
      </w:r>
      <w:r>
        <w:t xml:space="preserve">-1 </w:t>
      </w:r>
      <w:r>
        <w:rPr>
          <w:rFonts w:hint="eastAsia"/>
        </w:rPr>
        <w:t>现浇混凝土结构深化设计模型元素及信息</w:t>
      </w:r>
    </w:p>
    <w:tbl>
      <w:tblPr>
        <w:tblStyle w:val="14"/>
        <w:tblW w:w="79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85"/>
        <w:gridCol w:w="6053"/>
      </w:tblGrid>
      <w:tr w14:paraId="118B57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5BB2ED93">
            <w:pPr>
              <w:pStyle w:val="19"/>
            </w:pPr>
            <w:bookmarkStart w:id="4" w:name="_Para_k4rymxdv_c_000385"/>
            <w:bookmarkEnd w:id="4"/>
            <w:r>
              <w:rPr>
                <w:rFonts w:hint="eastAsia"/>
              </w:rPr>
              <w:t>模型元素类型</w:t>
            </w:r>
          </w:p>
        </w:tc>
        <w:tc>
          <w:tcPr>
            <w:tcW w:w="6053" w:type="dxa"/>
            <w:tcBorders>
              <w:tl2br w:val="nil"/>
              <w:tr2bl w:val="nil"/>
            </w:tcBorders>
            <w:vAlign w:val="center"/>
          </w:tcPr>
          <w:p w14:paraId="7A510720">
            <w:pPr>
              <w:pStyle w:val="19"/>
            </w:pPr>
            <w:r>
              <w:rPr>
                <w:rFonts w:hint="eastAsia"/>
              </w:rPr>
              <w:t>模型元素及信息</w:t>
            </w:r>
          </w:p>
        </w:tc>
      </w:tr>
      <w:tr w14:paraId="187D14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29B9F2E6">
            <w:pPr>
              <w:pStyle w:val="19"/>
            </w:pPr>
            <w:bookmarkStart w:id="5" w:name="_Para_k4rymxdv_c_000386"/>
            <w:bookmarkEnd w:id="5"/>
            <w:r>
              <w:rPr>
                <w:rFonts w:hint="eastAsia"/>
              </w:rPr>
              <w:t>上游模型</w:t>
            </w:r>
          </w:p>
        </w:tc>
        <w:tc>
          <w:tcPr>
            <w:tcW w:w="6053" w:type="dxa"/>
            <w:tcBorders>
              <w:tl2br w:val="nil"/>
              <w:tr2bl w:val="nil"/>
            </w:tcBorders>
            <w:vAlign w:val="center"/>
          </w:tcPr>
          <w:p w14:paraId="5DA8316D">
            <w:pPr>
              <w:pStyle w:val="19"/>
            </w:pPr>
            <w:r>
              <w:rPr>
                <w:rFonts w:hint="eastAsia"/>
              </w:rPr>
              <w:t>施工图设计模型元素及信息</w:t>
            </w:r>
          </w:p>
        </w:tc>
      </w:tr>
      <w:tr w14:paraId="6C228B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118ABCB8">
            <w:pPr>
              <w:pStyle w:val="19"/>
            </w:pPr>
            <w:bookmarkStart w:id="6" w:name="_Para_k4rymxdv_c_000387"/>
            <w:bookmarkEnd w:id="6"/>
            <w:r>
              <w:rPr>
                <w:rFonts w:hint="eastAsia"/>
              </w:rPr>
              <w:t>二次结构</w:t>
            </w:r>
          </w:p>
        </w:tc>
        <w:tc>
          <w:tcPr>
            <w:tcW w:w="6053" w:type="dxa"/>
            <w:tcBorders>
              <w:tl2br w:val="nil"/>
              <w:tr2bl w:val="nil"/>
            </w:tcBorders>
            <w:vAlign w:val="center"/>
          </w:tcPr>
          <w:p w14:paraId="1276A19C">
            <w:pPr>
              <w:pStyle w:val="19"/>
            </w:pPr>
            <w:r>
              <w:rPr>
                <w:rFonts w:hint="eastAsia"/>
              </w:rPr>
              <w:t>构造柱、过梁、止水反梁、填充墙、隔墙等。几何信息包括：位置和几何尺寸。非几何信息包括：类型、材料信息等。</w:t>
            </w:r>
          </w:p>
        </w:tc>
      </w:tr>
      <w:tr w14:paraId="536F40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043E5AF5">
            <w:pPr>
              <w:pStyle w:val="19"/>
            </w:pPr>
            <w:bookmarkStart w:id="7" w:name="_Para_k4rymxdv_c_000388"/>
            <w:bookmarkEnd w:id="7"/>
            <w:r>
              <w:rPr>
                <w:rFonts w:hint="eastAsia"/>
              </w:rPr>
              <w:t>预理件及预留孔洞</w:t>
            </w:r>
          </w:p>
        </w:tc>
        <w:tc>
          <w:tcPr>
            <w:tcW w:w="6053" w:type="dxa"/>
            <w:tcBorders>
              <w:tl2br w:val="nil"/>
              <w:tr2bl w:val="nil"/>
            </w:tcBorders>
            <w:vAlign w:val="center"/>
          </w:tcPr>
          <w:p w14:paraId="673410A4">
            <w:pPr>
              <w:pStyle w:val="19"/>
            </w:pPr>
            <w:r>
              <w:rPr>
                <w:rFonts w:hint="eastAsia"/>
              </w:rPr>
              <w:t>预埋件、预理管、预埋螺栓等，以及预留孔洞。几何信息包括：位置和几何尺寸。非几何信息包括：类型、材料等信息。</w:t>
            </w:r>
          </w:p>
        </w:tc>
      </w:tr>
      <w:tr w14:paraId="16F01F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6E155DB9">
            <w:pPr>
              <w:pStyle w:val="19"/>
            </w:pPr>
            <w:bookmarkStart w:id="8" w:name="_Para_k4rymxdv_c_000389"/>
            <w:bookmarkEnd w:id="8"/>
            <w:r>
              <w:rPr>
                <w:rFonts w:hint="eastAsia"/>
              </w:rPr>
              <w:t>节点</w:t>
            </w:r>
          </w:p>
        </w:tc>
        <w:tc>
          <w:tcPr>
            <w:tcW w:w="6053" w:type="dxa"/>
            <w:tcBorders>
              <w:tl2br w:val="nil"/>
              <w:tr2bl w:val="nil"/>
            </w:tcBorders>
            <w:vAlign w:val="center"/>
          </w:tcPr>
          <w:p w14:paraId="44B961F7">
            <w:pPr>
              <w:pStyle w:val="19"/>
            </w:pPr>
            <w:r>
              <w:rPr>
                <w:rFonts w:hint="eastAsia"/>
              </w:rPr>
              <w:t>节点的混凝土，以及型钢、预埋件等。几何信息包括：位置、几何尺寸及排布。非几何信息包括：节点编号、节点区材料信息、型钢信息、节点区预埋信息等。</w:t>
            </w:r>
          </w:p>
        </w:tc>
      </w:tr>
    </w:tbl>
    <w:p w14:paraId="15071B67">
      <w:pPr>
        <w:pStyle w:val="2"/>
        <w:ind w:firstLine="602"/>
      </w:pPr>
      <w:bookmarkStart w:id="9" w:name="_Para_k4rymxdv_000115"/>
      <w:bookmarkEnd w:id="9"/>
      <w:bookmarkStart w:id="10" w:name="_Para_k4rymxdv_c_000390"/>
      <w:bookmarkEnd w:id="10"/>
      <w:r>
        <w:rPr>
          <w:rFonts w:hint="eastAsia"/>
        </w:rPr>
        <w:t>2.2钢结构工程深化设计</w:t>
      </w:r>
    </w:p>
    <w:p w14:paraId="4CB2FBA2">
      <w:pPr>
        <w:ind w:firstLine="560"/>
      </w:pPr>
      <w:bookmarkStart w:id="11" w:name="_Para_k4rymxdv_000119"/>
      <w:bookmarkEnd w:id="11"/>
      <w:bookmarkStart w:id="12" w:name="_Para_k4rymxdv_000116"/>
      <w:bookmarkEnd w:id="12"/>
      <w:r>
        <w:rPr>
          <w:rFonts w:hint="eastAsia"/>
        </w:rPr>
        <w:t>钢结构深化设计模型内容包括但不限于表2</w:t>
      </w:r>
      <w:r>
        <w:t>-</w:t>
      </w:r>
      <w:r>
        <w:rPr>
          <w:rFonts w:hint="eastAsia"/>
        </w:rPr>
        <w:t>2所示。</w:t>
      </w:r>
    </w:p>
    <w:p w14:paraId="096C5F0E">
      <w:pPr>
        <w:ind w:firstLine="560"/>
      </w:pPr>
      <w:bookmarkStart w:id="13" w:name="_Para_k4rymxdv_000120"/>
      <w:bookmarkEnd w:id="13"/>
      <w:r>
        <w:rPr>
          <w:rFonts w:hint="eastAsia"/>
        </w:rPr>
        <w:t>表2</w:t>
      </w:r>
      <w:r>
        <w:t xml:space="preserve">-2 </w:t>
      </w:r>
      <w:r>
        <w:rPr>
          <w:rFonts w:hint="eastAsia"/>
        </w:rPr>
        <w:t>钢结构深化设计模型元素及信息</w:t>
      </w:r>
    </w:p>
    <w:tbl>
      <w:tblPr>
        <w:tblStyle w:val="14"/>
        <w:tblW w:w="79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35"/>
        <w:gridCol w:w="6103"/>
      </w:tblGrid>
      <w:tr w14:paraId="428C4B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35" w:type="dxa"/>
            <w:tcBorders>
              <w:top w:val="single" w:color="auto" w:sz="12" w:space="0"/>
              <w:left w:val="single" w:color="auto" w:sz="12" w:space="0"/>
              <w:bottom w:val="single" w:color="auto" w:sz="4" w:space="0"/>
              <w:right w:val="single" w:color="auto" w:sz="4" w:space="0"/>
            </w:tcBorders>
            <w:vAlign w:val="center"/>
          </w:tcPr>
          <w:p w14:paraId="1D875077">
            <w:pPr>
              <w:pStyle w:val="19"/>
            </w:pPr>
            <w:bookmarkStart w:id="14" w:name="_Para_k4rymxdv_c_000391"/>
            <w:bookmarkEnd w:id="14"/>
            <w:r>
              <w:rPr>
                <w:rFonts w:hint="eastAsia"/>
              </w:rPr>
              <w:t>模型元素类型</w:t>
            </w:r>
          </w:p>
        </w:tc>
        <w:tc>
          <w:tcPr>
            <w:tcW w:w="6103" w:type="dxa"/>
            <w:tcBorders>
              <w:top w:val="single" w:color="auto" w:sz="12" w:space="0"/>
              <w:left w:val="single" w:color="auto" w:sz="4" w:space="0"/>
              <w:bottom w:val="single" w:color="auto" w:sz="4" w:space="0"/>
              <w:right w:val="single" w:color="auto" w:sz="12" w:space="0"/>
            </w:tcBorders>
            <w:vAlign w:val="center"/>
          </w:tcPr>
          <w:p w14:paraId="6B26976E">
            <w:pPr>
              <w:pStyle w:val="19"/>
            </w:pPr>
            <w:r>
              <w:rPr>
                <w:rFonts w:hint="eastAsia"/>
              </w:rPr>
              <w:t>模型元素及信息</w:t>
            </w:r>
          </w:p>
        </w:tc>
      </w:tr>
      <w:tr w14:paraId="08FFEA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35" w:type="dxa"/>
            <w:tcBorders>
              <w:top w:val="single" w:color="auto" w:sz="4" w:space="0"/>
              <w:left w:val="single" w:color="auto" w:sz="12" w:space="0"/>
              <w:bottom w:val="single" w:color="auto" w:sz="4" w:space="0"/>
              <w:right w:val="single" w:color="auto" w:sz="4" w:space="0"/>
            </w:tcBorders>
            <w:vAlign w:val="center"/>
          </w:tcPr>
          <w:p w14:paraId="1B3E0BEC">
            <w:pPr>
              <w:pStyle w:val="19"/>
            </w:pPr>
            <w:bookmarkStart w:id="15" w:name="_Para_k4rymxdv_c_000392"/>
            <w:bookmarkEnd w:id="15"/>
            <w:r>
              <w:rPr>
                <w:rFonts w:hint="eastAsia"/>
              </w:rPr>
              <w:t>上游模型</w:t>
            </w:r>
          </w:p>
        </w:tc>
        <w:tc>
          <w:tcPr>
            <w:tcW w:w="6103" w:type="dxa"/>
            <w:tcBorders>
              <w:top w:val="single" w:color="auto" w:sz="4" w:space="0"/>
              <w:left w:val="single" w:color="auto" w:sz="4" w:space="0"/>
              <w:bottom w:val="single" w:color="auto" w:sz="4" w:space="0"/>
              <w:right w:val="single" w:color="auto" w:sz="12" w:space="0"/>
            </w:tcBorders>
            <w:vAlign w:val="center"/>
          </w:tcPr>
          <w:p w14:paraId="365C2B8F">
            <w:pPr>
              <w:pStyle w:val="19"/>
            </w:pPr>
            <w:r>
              <w:rPr>
                <w:rFonts w:hint="eastAsia"/>
              </w:rPr>
              <w:t>钢结构施工图设计模型元素及信息</w:t>
            </w:r>
          </w:p>
        </w:tc>
      </w:tr>
      <w:tr w14:paraId="36B486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35" w:type="dxa"/>
            <w:tcBorders>
              <w:top w:val="single" w:color="auto" w:sz="4" w:space="0"/>
              <w:left w:val="single" w:color="auto" w:sz="12" w:space="0"/>
              <w:bottom w:val="single" w:color="auto" w:sz="4" w:space="0"/>
              <w:right w:val="single" w:color="auto" w:sz="4" w:space="0"/>
            </w:tcBorders>
            <w:vAlign w:val="center"/>
          </w:tcPr>
          <w:p w14:paraId="5CC41F5D">
            <w:pPr>
              <w:pStyle w:val="19"/>
            </w:pPr>
            <w:bookmarkStart w:id="16" w:name="_Para_k4rymxdv_c_000393"/>
            <w:bookmarkEnd w:id="16"/>
            <w:r>
              <w:rPr>
                <w:rFonts w:hint="eastAsia"/>
              </w:rPr>
              <w:t>节点</w:t>
            </w:r>
          </w:p>
        </w:tc>
        <w:tc>
          <w:tcPr>
            <w:tcW w:w="6103" w:type="dxa"/>
            <w:tcBorders>
              <w:top w:val="single" w:color="auto" w:sz="4" w:space="0"/>
              <w:left w:val="single" w:color="auto" w:sz="4" w:space="0"/>
              <w:bottom w:val="single" w:color="auto" w:sz="4" w:space="0"/>
              <w:right w:val="single" w:color="auto" w:sz="12" w:space="0"/>
            </w:tcBorders>
            <w:vAlign w:val="center"/>
          </w:tcPr>
          <w:p w14:paraId="6AF416AA">
            <w:pPr>
              <w:pStyle w:val="19"/>
            </w:pPr>
            <w:r>
              <w:rPr>
                <w:rFonts w:hint="eastAsia"/>
              </w:rPr>
              <w:t>几何信息包括：</w:t>
            </w:r>
          </w:p>
          <w:p w14:paraId="31165678">
            <w:pPr>
              <w:pStyle w:val="19"/>
            </w:pPr>
            <w:r>
              <w:rPr>
                <w:rFonts w:hint="eastAsia"/>
              </w:rPr>
              <w:t>（</w:t>
            </w:r>
            <w:r>
              <w:t>1</w:t>
            </w:r>
            <w:r>
              <w:rPr>
                <w:rFonts w:hint="eastAsia"/>
              </w:rPr>
              <w:t>）钢结构连接节点位置，连接板及加劲板的位置和尺寸；</w:t>
            </w:r>
          </w:p>
          <w:p w14:paraId="410003D9">
            <w:pPr>
              <w:pStyle w:val="19"/>
            </w:pPr>
            <w:r>
              <w:rPr>
                <w:rFonts w:hint="eastAsia"/>
              </w:rPr>
              <w:t>（2）现场分段连接节点位置，连接板及加劲板的位置和尺寸；</w:t>
            </w:r>
          </w:p>
          <w:p w14:paraId="38A075E6">
            <w:pPr>
              <w:pStyle w:val="19"/>
            </w:pPr>
            <w:r>
              <w:rPr>
                <w:rFonts w:hint="eastAsia"/>
              </w:rPr>
              <w:t>（</w:t>
            </w:r>
            <w:r>
              <w:t>3</w:t>
            </w:r>
            <w:r>
              <w:rPr>
                <w:rFonts w:hint="eastAsia"/>
              </w:rPr>
              <w:t>）螺栓和焊缝位置。</w:t>
            </w:r>
          </w:p>
          <w:p w14:paraId="7ED7B8C4">
            <w:pPr>
              <w:pStyle w:val="19"/>
            </w:pPr>
            <w:r>
              <w:rPr>
                <w:rFonts w:hint="eastAsia"/>
              </w:rPr>
              <w:t>非几何信息包括：</w:t>
            </w:r>
          </w:p>
          <w:p w14:paraId="34D82A98">
            <w:pPr>
              <w:pStyle w:val="19"/>
            </w:pPr>
            <w:r>
              <w:rPr>
                <w:rFonts w:hint="eastAsia"/>
              </w:rPr>
              <w:t>（</w:t>
            </w:r>
            <w:r>
              <w:t>1</w:t>
            </w:r>
            <w:r>
              <w:rPr>
                <w:rFonts w:hint="eastAsia"/>
              </w:rPr>
              <w:t>）钢构件及零件的材料属性；</w:t>
            </w:r>
          </w:p>
          <w:p w14:paraId="63E6D891">
            <w:pPr>
              <w:pStyle w:val="19"/>
            </w:pPr>
            <w:r>
              <w:rPr>
                <w:rFonts w:hint="eastAsia"/>
              </w:rPr>
              <w:t>（</w:t>
            </w:r>
            <w:r>
              <w:t>2</w:t>
            </w:r>
            <w:r>
              <w:rPr>
                <w:rFonts w:hint="eastAsia"/>
              </w:rPr>
              <w:t>）钢结构表面处理方法；</w:t>
            </w:r>
          </w:p>
          <w:p w14:paraId="2A0F1A3A">
            <w:pPr>
              <w:pStyle w:val="19"/>
            </w:pPr>
            <w:r>
              <w:rPr>
                <w:rFonts w:hint="eastAsia"/>
              </w:rPr>
              <w:t>（</w:t>
            </w:r>
            <w:r>
              <w:t>3</w:t>
            </w:r>
            <w:r>
              <w:rPr>
                <w:rFonts w:hint="eastAsia"/>
              </w:rPr>
              <w:t>）钢构件的编号信息；</w:t>
            </w:r>
          </w:p>
          <w:p w14:paraId="206DFDF6">
            <w:pPr>
              <w:pStyle w:val="19"/>
            </w:pPr>
            <w:r>
              <w:rPr>
                <w:rFonts w:hint="eastAsia"/>
              </w:rPr>
              <w:t>（</w:t>
            </w:r>
            <w:r>
              <w:t>4</w:t>
            </w:r>
            <w:r>
              <w:rPr>
                <w:rFonts w:hint="eastAsia"/>
              </w:rPr>
              <w:t>）螺栓规格。</w:t>
            </w:r>
          </w:p>
        </w:tc>
      </w:tr>
      <w:tr w14:paraId="2DDFDD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35" w:type="dxa"/>
            <w:tcBorders>
              <w:top w:val="single" w:color="auto" w:sz="4" w:space="0"/>
              <w:left w:val="single" w:color="auto" w:sz="12" w:space="0"/>
              <w:bottom w:val="single" w:color="auto" w:sz="12" w:space="0"/>
              <w:right w:val="single" w:color="auto" w:sz="4" w:space="0"/>
            </w:tcBorders>
            <w:vAlign w:val="center"/>
          </w:tcPr>
          <w:p w14:paraId="4698EF49">
            <w:pPr>
              <w:pStyle w:val="19"/>
            </w:pPr>
            <w:bookmarkStart w:id="17" w:name="_Para_k4rymxdv_c_000394"/>
            <w:bookmarkEnd w:id="17"/>
            <w:r>
              <w:rPr>
                <w:rFonts w:hint="eastAsia"/>
              </w:rPr>
              <w:t>预理件及预留孔洞</w:t>
            </w:r>
          </w:p>
        </w:tc>
        <w:tc>
          <w:tcPr>
            <w:tcW w:w="6103" w:type="dxa"/>
            <w:tcBorders>
              <w:top w:val="single" w:color="auto" w:sz="4" w:space="0"/>
              <w:left w:val="single" w:color="auto" w:sz="4" w:space="0"/>
              <w:bottom w:val="single" w:color="auto" w:sz="12" w:space="0"/>
              <w:right w:val="single" w:color="auto" w:sz="12" w:space="0"/>
            </w:tcBorders>
            <w:vAlign w:val="center"/>
          </w:tcPr>
          <w:p w14:paraId="742096FD">
            <w:pPr>
              <w:pStyle w:val="19"/>
            </w:pPr>
            <w:r>
              <w:rPr>
                <w:rFonts w:hint="eastAsia"/>
              </w:rPr>
              <w:t>几何信息包括：位置和几何尺寸。</w:t>
            </w:r>
          </w:p>
          <w:p w14:paraId="214D4F17">
            <w:pPr>
              <w:pStyle w:val="19"/>
            </w:pPr>
            <w:r>
              <w:rPr>
                <w:rFonts w:hint="eastAsia"/>
              </w:rPr>
              <w:t>非几何信息包括：类型、材料信息。</w:t>
            </w:r>
          </w:p>
        </w:tc>
      </w:tr>
    </w:tbl>
    <w:p w14:paraId="00406D09">
      <w:pPr>
        <w:pStyle w:val="2"/>
        <w:ind w:firstLine="602"/>
      </w:pPr>
      <w:bookmarkStart w:id="18" w:name="_Para_k4rymxdv_000121"/>
      <w:bookmarkEnd w:id="18"/>
      <w:r>
        <w:rPr>
          <w:rFonts w:hint="eastAsia"/>
        </w:rPr>
        <w:t>2.3张拉膜雨棚工程深化设计</w:t>
      </w:r>
    </w:p>
    <w:p w14:paraId="42A3B255">
      <w:pPr>
        <w:ind w:firstLine="560"/>
      </w:pPr>
      <w:r>
        <w:rPr>
          <w:rFonts w:hint="eastAsia"/>
        </w:rPr>
        <w:t>张拉膜雨棚工程深化设计模型内容包括但不限于表2</w:t>
      </w:r>
      <w:r>
        <w:t>-</w:t>
      </w:r>
      <w:r>
        <w:rPr>
          <w:rFonts w:hint="eastAsia"/>
        </w:rPr>
        <w:t>3所示</w:t>
      </w:r>
    </w:p>
    <w:p w14:paraId="1CFD4C56">
      <w:pPr>
        <w:ind w:firstLine="560"/>
      </w:pPr>
      <w:r>
        <w:rPr>
          <w:rFonts w:hint="eastAsia"/>
        </w:rPr>
        <w:t>表2</w:t>
      </w:r>
      <w:r>
        <w:t>-</w:t>
      </w:r>
      <w:r>
        <w:rPr>
          <w:rFonts w:hint="eastAsia"/>
        </w:rPr>
        <w:t>3</w:t>
      </w:r>
      <w:r>
        <w:t xml:space="preserve"> </w:t>
      </w:r>
      <w:r>
        <w:rPr>
          <w:rFonts w:hint="eastAsia"/>
        </w:rPr>
        <w:t>张拉膜雨棚工程深化设计元素及信息</w:t>
      </w:r>
    </w:p>
    <w:tbl>
      <w:tblPr>
        <w:tblStyle w:val="14"/>
        <w:tblW w:w="79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85"/>
        <w:gridCol w:w="6053"/>
      </w:tblGrid>
      <w:tr w14:paraId="6D5B39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3C663EDB">
            <w:pPr>
              <w:pStyle w:val="19"/>
            </w:pPr>
            <w:r>
              <w:rPr>
                <w:rFonts w:hint="eastAsia"/>
              </w:rPr>
              <w:t>模型元素类型</w:t>
            </w:r>
          </w:p>
        </w:tc>
        <w:tc>
          <w:tcPr>
            <w:tcW w:w="6053" w:type="dxa"/>
            <w:tcBorders>
              <w:tl2br w:val="nil"/>
              <w:tr2bl w:val="nil"/>
            </w:tcBorders>
            <w:vAlign w:val="center"/>
          </w:tcPr>
          <w:p w14:paraId="39863991">
            <w:pPr>
              <w:pStyle w:val="19"/>
            </w:pPr>
            <w:r>
              <w:rPr>
                <w:rFonts w:hint="eastAsia"/>
              </w:rPr>
              <w:t>模型元素及信息</w:t>
            </w:r>
          </w:p>
        </w:tc>
      </w:tr>
      <w:tr w14:paraId="57041F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5FBEBA0A">
            <w:pPr>
              <w:pStyle w:val="19"/>
            </w:pPr>
            <w:r>
              <w:rPr>
                <w:rFonts w:hint="eastAsia"/>
              </w:rPr>
              <w:t>上游模型</w:t>
            </w:r>
          </w:p>
        </w:tc>
        <w:tc>
          <w:tcPr>
            <w:tcW w:w="6053" w:type="dxa"/>
            <w:tcBorders>
              <w:tl2br w:val="nil"/>
              <w:tr2bl w:val="nil"/>
            </w:tcBorders>
            <w:vAlign w:val="center"/>
          </w:tcPr>
          <w:p w14:paraId="32F408D8">
            <w:pPr>
              <w:pStyle w:val="19"/>
            </w:pPr>
            <w:r>
              <w:rPr>
                <w:rFonts w:hint="eastAsia"/>
              </w:rPr>
              <w:t>施工图设计模型元素及信息</w:t>
            </w:r>
          </w:p>
        </w:tc>
      </w:tr>
      <w:tr w14:paraId="071F04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5449E904">
            <w:pPr>
              <w:pStyle w:val="19"/>
            </w:pPr>
            <w:r>
              <w:rPr>
                <w:rFonts w:hint="eastAsia"/>
              </w:rPr>
              <w:t>钢结构分项</w:t>
            </w:r>
          </w:p>
        </w:tc>
        <w:tc>
          <w:tcPr>
            <w:tcW w:w="6053" w:type="dxa"/>
            <w:tcBorders>
              <w:tl2br w:val="nil"/>
              <w:tr2bl w:val="nil"/>
            </w:tcBorders>
            <w:vAlign w:val="center"/>
          </w:tcPr>
          <w:p w14:paraId="327D2C73">
            <w:pPr>
              <w:pStyle w:val="19"/>
            </w:pPr>
            <w:r>
              <w:rPr>
                <w:rFonts w:hint="eastAsia"/>
              </w:rPr>
              <w:t>钢柱、钢梁、撑杆、拉杆、拉索、钢结构连接节点、索连接节点，索锚头、钢结构支座节点，预埋件、预埋螺栓、预留孔洞、预留电气位置等；几何信息：位置、平面几何尺寸、空间定位尺寸等。非几何信息包括：钢结构规格型号、螺栓、索、锚头规格、连接辅材规格等。</w:t>
            </w:r>
          </w:p>
        </w:tc>
      </w:tr>
      <w:tr w14:paraId="5B1D9F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4BEE4359">
            <w:pPr>
              <w:pStyle w:val="19"/>
            </w:pPr>
            <w:r>
              <w:rPr>
                <w:rFonts w:hint="eastAsia"/>
              </w:rPr>
              <w:t>膜材分项</w:t>
            </w:r>
          </w:p>
        </w:tc>
        <w:tc>
          <w:tcPr>
            <w:tcW w:w="6053" w:type="dxa"/>
            <w:tcBorders>
              <w:tl2br w:val="nil"/>
              <w:tr2bl w:val="nil"/>
            </w:tcBorders>
            <w:vAlign w:val="center"/>
          </w:tcPr>
          <w:p w14:paraId="0E9A939D">
            <w:pPr>
              <w:pStyle w:val="19"/>
            </w:pPr>
            <w:r>
              <w:rPr>
                <w:rFonts w:hint="eastAsia"/>
              </w:rPr>
              <w:t>膜材。几何信息：膜成形后的外观曲面形状，起始点与控制点。非几何信息：膜材类型，表面颜色。</w:t>
            </w:r>
          </w:p>
        </w:tc>
      </w:tr>
      <w:tr w14:paraId="20AB04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1A70D446">
            <w:pPr>
              <w:pStyle w:val="19"/>
            </w:pPr>
            <w:r>
              <w:rPr>
                <w:rFonts w:hint="eastAsia"/>
              </w:rPr>
              <w:t>排水分项</w:t>
            </w:r>
          </w:p>
        </w:tc>
        <w:tc>
          <w:tcPr>
            <w:tcW w:w="6053" w:type="dxa"/>
            <w:tcBorders>
              <w:tl2br w:val="nil"/>
              <w:tr2bl w:val="nil"/>
            </w:tcBorders>
            <w:vAlign w:val="center"/>
          </w:tcPr>
          <w:p w14:paraId="758C411E">
            <w:pPr>
              <w:pStyle w:val="19"/>
            </w:pPr>
            <w:r>
              <w:rPr>
                <w:rFonts w:hint="eastAsia"/>
              </w:rPr>
              <w:t>集水井、不锈钢虹吸雨水斗和排水管道布置。几何信息：排水位置、规格、排水去向。非几何信息：排水系统材质、技术要求等信息。</w:t>
            </w:r>
          </w:p>
        </w:tc>
      </w:tr>
    </w:tbl>
    <w:p w14:paraId="5BE6CB48">
      <w:pPr>
        <w:pStyle w:val="2"/>
        <w:ind w:firstLine="602"/>
      </w:pPr>
      <w:r>
        <w:rPr>
          <w:rFonts w:hint="eastAsia"/>
        </w:rPr>
        <w:t>2.4基础及砌体结构深化设计</w:t>
      </w:r>
    </w:p>
    <w:p w14:paraId="4011750E">
      <w:pPr>
        <w:ind w:firstLine="560"/>
      </w:pPr>
      <w:r>
        <w:rPr>
          <w:rFonts w:hint="eastAsia"/>
        </w:rPr>
        <w:t>基础及砌体结构深化设计模型内容包括但不限于表2-4</w:t>
      </w:r>
    </w:p>
    <w:p w14:paraId="78C46323">
      <w:pPr>
        <w:ind w:firstLine="560"/>
      </w:pPr>
      <w:r>
        <w:rPr>
          <w:rFonts w:hint="eastAsia"/>
        </w:rPr>
        <w:t>表2.4基础及砌体结构深化设计模型元素及信息</w:t>
      </w:r>
    </w:p>
    <w:tbl>
      <w:tblPr>
        <w:tblStyle w:val="14"/>
        <w:tblW w:w="79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85"/>
        <w:gridCol w:w="6053"/>
      </w:tblGrid>
      <w:tr w14:paraId="722B39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211C39BE">
            <w:pPr>
              <w:pStyle w:val="19"/>
            </w:pPr>
            <w:r>
              <w:rPr>
                <w:rFonts w:hint="eastAsia"/>
              </w:rPr>
              <w:t>模型元素类型</w:t>
            </w:r>
          </w:p>
        </w:tc>
        <w:tc>
          <w:tcPr>
            <w:tcW w:w="6053" w:type="dxa"/>
            <w:tcBorders>
              <w:tl2br w:val="nil"/>
              <w:tr2bl w:val="nil"/>
            </w:tcBorders>
            <w:vAlign w:val="center"/>
          </w:tcPr>
          <w:p w14:paraId="52DFE399">
            <w:pPr>
              <w:pStyle w:val="19"/>
            </w:pPr>
            <w:r>
              <w:rPr>
                <w:rFonts w:hint="eastAsia"/>
              </w:rPr>
              <w:t>模型元素及信息</w:t>
            </w:r>
          </w:p>
        </w:tc>
      </w:tr>
      <w:tr w14:paraId="067056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7F4BAF4F">
            <w:pPr>
              <w:pStyle w:val="19"/>
            </w:pPr>
            <w:r>
              <w:rPr>
                <w:rFonts w:hint="eastAsia"/>
              </w:rPr>
              <w:t>上游模型</w:t>
            </w:r>
          </w:p>
        </w:tc>
        <w:tc>
          <w:tcPr>
            <w:tcW w:w="6053" w:type="dxa"/>
            <w:tcBorders>
              <w:tl2br w:val="nil"/>
              <w:tr2bl w:val="nil"/>
            </w:tcBorders>
            <w:vAlign w:val="center"/>
          </w:tcPr>
          <w:p w14:paraId="159168DB">
            <w:pPr>
              <w:pStyle w:val="19"/>
            </w:pPr>
            <w:r>
              <w:rPr>
                <w:rFonts w:hint="eastAsia"/>
              </w:rPr>
              <w:t>施工图设计模型元素及信息</w:t>
            </w:r>
          </w:p>
        </w:tc>
      </w:tr>
      <w:tr w14:paraId="3C883E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1EB253A6">
            <w:pPr>
              <w:pStyle w:val="19"/>
            </w:pPr>
            <w:r>
              <w:rPr>
                <w:rFonts w:hint="eastAsia"/>
              </w:rPr>
              <w:t>基础底板</w:t>
            </w:r>
          </w:p>
        </w:tc>
        <w:tc>
          <w:tcPr>
            <w:tcW w:w="6053" w:type="dxa"/>
            <w:tcBorders>
              <w:tl2br w:val="nil"/>
              <w:tr2bl w:val="nil"/>
            </w:tcBorders>
            <w:vAlign w:val="center"/>
          </w:tcPr>
          <w:p w14:paraId="3A3FCC2A">
            <w:pPr>
              <w:pStyle w:val="19"/>
            </w:pPr>
            <w:r>
              <w:rPr>
                <w:rFonts w:hint="eastAsia"/>
              </w:rPr>
              <w:t>基础底板、集水井放坡，变高差构造加腋等。。几何信息包括：位置、几何尺寸及排布。非几何信息包括：编号、类型、抗渗等级、材料信息等。</w:t>
            </w:r>
          </w:p>
        </w:tc>
      </w:tr>
      <w:tr w14:paraId="514571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51CBD28A">
            <w:pPr>
              <w:pStyle w:val="19"/>
            </w:pPr>
            <w:r>
              <w:rPr>
                <w:rFonts w:hint="eastAsia"/>
              </w:rPr>
              <w:t>砖胎膜</w:t>
            </w:r>
          </w:p>
        </w:tc>
        <w:tc>
          <w:tcPr>
            <w:tcW w:w="6053" w:type="dxa"/>
            <w:tcBorders>
              <w:tl2br w:val="nil"/>
              <w:tr2bl w:val="nil"/>
            </w:tcBorders>
            <w:vAlign w:val="center"/>
          </w:tcPr>
          <w:p w14:paraId="1358D08D">
            <w:pPr>
              <w:pStyle w:val="19"/>
            </w:pPr>
            <w:r>
              <w:rPr>
                <w:rFonts w:hint="eastAsia"/>
              </w:rPr>
              <w:t>砖胎膜。几何信息包括：位置和几何尺寸及排布。非几何信息包括：类型、材料等信息。</w:t>
            </w:r>
          </w:p>
        </w:tc>
      </w:tr>
      <w:tr w14:paraId="3E02EE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85" w:type="dxa"/>
            <w:tcBorders>
              <w:tl2br w:val="nil"/>
              <w:tr2bl w:val="nil"/>
            </w:tcBorders>
            <w:vAlign w:val="center"/>
          </w:tcPr>
          <w:p w14:paraId="70236274">
            <w:pPr>
              <w:pStyle w:val="19"/>
            </w:pPr>
            <w:r>
              <w:rPr>
                <w:rFonts w:hint="eastAsia"/>
              </w:rPr>
              <w:t>砌体</w:t>
            </w:r>
          </w:p>
        </w:tc>
        <w:tc>
          <w:tcPr>
            <w:tcW w:w="6053" w:type="dxa"/>
            <w:tcBorders>
              <w:tl2br w:val="nil"/>
              <w:tr2bl w:val="nil"/>
            </w:tcBorders>
            <w:vAlign w:val="center"/>
          </w:tcPr>
          <w:p w14:paraId="1884E99D">
            <w:pPr>
              <w:pStyle w:val="19"/>
            </w:pPr>
            <w:r>
              <w:rPr>
                <w:rFonts w:hint="eastAsia"/>
              </w:rPr>
              <w:t>砌体。几何信息包括：位置和几何尺寸及排布。非几何信息包括：类型、材料等信息。</w:t>
            </w:r>
          </w:p>
        </w:tc>
      </w:tr>
    </w:tbl>
    <w:p w14:paraId="11731D2D">
      <w:pPr>
        <w:pStyle w:val="2"/>
        <w:ind w:firstLine="602"/>
      </w:pPr>
      <w:r>
        <w:rPr>
          <w:rFonts w:hint="eastAsia"/>
        </w:rPr>
        <w:t>2.5市政工程深化设计</w:t>
      </w:r>
    </w:p>
    <w:p w14:paraId="08330086">
      <w:pPr>
        <w:ind w:firstLine="560"/>
      </w:pPr>
      <w:bookmarkStart w:id="19" w:name="_Para_k4rymxdv_000131"/>
      <w:bookmarkEnd w:id="19"/>
      <w:bookmarkStart w:id="20" w:name="_Para_k4rymxdv_000127"/>
      <w:bookmarkEnd w:id="20"/>
      <w:bookmarkStart w:id="21" w:name="_Para_k4rymxdv_000133"/>
      <w:bookmarkEnd w:id="21"/>
      <w:bookmarkStart w:id="22" w:name="_Para_k4rymxdv_000132"/>
      <w:bookmarkEnd w:id="22"/>
      <w:r>
        <w:rPr>
          <w:rFonts w:hint="eastAsia"/>
        </w:rPr>
        <w:t>市政工程深化设计模型内容包括但不限于表2-5</w:t>
      </w:r>
    </w:p>
    <w:p w14:paraId="27A7B87F">
      <w:pPr>
        <w:ind w:firstLine="560"/>
      </w:pPr>
      <w:bookmarkStart w:id="23" w:name="_Para_k4rymxdv_000134"/>
      <w:bookmarkEnd w:id="23"/>
      <w:r>
        <w:rPr>
          <w:rFonts w:hint="eastAsia"/>
        </w:rPr>
        <w:t>表2-5市政工程深化设计模型元素及信息</w:t>
      </w:r>
    </w:p>
    <w:tbl>
      <w:tblPr>
        <w:tblStyle w:val="14"/>
        <w:tblW w:w="79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94"/>
        <w:gridCol w:w="6244"/>
      </w:tblGrid>
      <w:tr w14:paraId="587DEA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94" w:type="dxa"/>
            <w:tcBorders>
              <w:top w:val="single" w:color="auto" w:sz="12" w:space="0"/>
              <w:left w:val="single" w:color="auto" w:sz="12" w:space="0"/>
              <w:bottom w:val="single" w:color="auto" w:sz="4" w:space="0"/>
              <w:right w:val="single" w:color="auto" w:sz="4" w:space="0"/>
            </w:tcBorders>
            <w:vAlign w:val="center"/>
          </w:tcPr>
          <w:p w14:paraId="685DB33B">
            <w:pPr>
              <w:pStyle w:val="19"/>
            </w:pPr>
            <w:bookmarkStart w:id="24" w:name="_Para_k4rymxdv_c_000405"/>
            <w:bookmarkEnd w:id="24"/>
            <w:r>
              <w:rPr>
                <w:rFonts w:hint="eastAsia"/>
              </w:rPr>
              <w:t>模型元素类型</w:t>
            </w:r>
          </w:p>
        </w:tc>
        <w:tc>
          <w:tcPr>
            <w:tcW w:w="6244" w:type="dxa"/>
            <w:tcBorders>
              <w:top w:val="single" w:color="auto" w:sz="12" w:space="0"/>
              <w:left w:val="single" w:color="auto" w:sz="4" w:space="0"/>
              <w:bottom w:val="single" w:color="auto" w:sz="4" w:space="0"/>
              <w:right w:val="single" w:color="auto" w:sz="12" w:space="0"/>
            </w:tcBorders>
            <w:vAlign w:val="center"/>
          </w:tcPr>
          <w:p w14:paraId="6DB1C921">
            <w:pPr>
              <w:pStyle w:val="19"/>
            </w:pPr>
            <w:r>
              <w:rPr>
                <w:rFonts w:hint="eastAsia"/>
              </w:rPr>
              <w:t>模型元素及信息</w:t>
            </w:r>
          </w:p>
        </w:tc>
      </w:tr>
      <w:tr w14:paraId="2CF39D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94" w:type="dxa"/>
            <w:tcBorders>
              <w:top w:val="single" w:color="auto" w:sz="4" w:space="0"/>
              <w:left w:val="single" w:color="auto" w:sz="12" w:space="0"/>
              <w:bottom w:val="single" w:color="auto" w:sz="4" w:space="0"/>
              <w:right w:val="single" w:color="auto" w:sz="4" w:space="0"/>
            </w:tcBorders>
            <w:vAlign w:val="center"/>
          </w:tcPr>
          <w:p w14:paraId="7186FB4E">
            <w:pPr>
              <w:pStyle w:val="19"/>
            </w:pPr>
            <w:bookmarkStart w:id="25" w:name="_Para_k4rymxdv_c_000406"/>
            <w:bookmarkEnd w:id="25"/>
            <w:r>
              <w:rPr>
                <w:rFonts w:hint="eastAsia"/>
              </w:rPr>
              <w:t>上游模型</w:t>
            </w:r>
          </w:p>
        </w:tc>
        <w:tc>
          <w:tcPr>
            <w:tcW w:w="6244" w:type="dxa"/>
            <w:tcBorders>
              <w:top w:val="single" w:color="auto" w:sz="4" w:space="0"/>
              <w:left w:val="single" w:color="auto" w:sz="4" w:space="0"/>
              <w:bottom w:val="single" w:color="auto" w:sz="4" w:space="0"/>
              <w:right w:val="single" w:color="auto" w:sz="12" w:space="0"/>
            </w:tcBorders>
            <w:vAlign w:val="center"/>
          </w:tcPr>
          <w:p w14:paraId="6263E275">
            <w:pPr>
              <w:pStyle w:val="19"/>
            </w:pPr>
            <w:r>
              <w:rPr>
                <w:rFonts w:hint="eastAsia"/>
              </w:rPr>
              <w:t>施工图设计模型元素及信息</w:t>
            </w:r>
          </w:p>
        </w:tc>
      </w:tr>
      <w:tr w14:paraId="5227C4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94" w:type="dxa"/>
            <w:tcBorders>
              <w:top w:val="single" w:color="auto" w:sz="4" w:space="0"/>
              <w:left w:val="single" w:color="auto" w:sz="12" w:space="0"/>
              <w:bottom w:val="single" w:color="auto" w:sz="4" w:space="0"/>
              <w:right w:val="single" w:color="auto" w:sz="4" w:space="0"/>
            </w:tcBorders>
            <w:vAlign w:val="center"/>
          </w:tcPr>
          <w:p w14:paraId="18FDD3B5">
            <w:pPr>
              <w:pStyle w:val="19"/>
            </w:pPr>
            <w:bookmarkStart w:id="26" w:name="_Para_k4rymxdv_c_000407"/>
            <w:bookmarkEnd w:id="26"/>
            <w:r>
              <w:rPr>
                <w:rFonts w:hint="eastAsia"/>
              </w:rPr>
              <w:t>桥梁</w:t>
            </w:r>
          </w:p>
        </w:tc>
        <w:tc>
          <w:tcPr>
            <w:tcW w:w="6244" w:type="dxa"/>
            <w:tcBorders>
              <w:top w:val="single" w:color="auto" w:sz="4" w:space="0"/>
              <w:left w:val="single" w:color="auto" w:sz="4" w:space="0"/>
              <w:bottom w:val="single" w:color="auto" w:sz="4" w:space="0"/>
              <w:right w:val="single" w:color="auto" w:sz="12" w:space="0"/>
            </w:tcBorders>
            <w:vAlign w:val="center"/>
          </w:tcPr>
          <w:p w14:paraId="5CAF74FC">
            <w:pPr>
              <w:pStyle w:val="19"/>
            </w:pPr>
            <w:r>
              <w:rPr>
                <w:rFonts w:hint="eastAsia"/>
              </w:rPr>
              <w:t>支座、通风孔、泄水孔、防护栏预埋件等。几何信息包括：位置和几何尺寸。非几何信息包括：材料等信息。</w:t>
            </w:r>
          </w:p>
        </w:tc>
      </w:tr>
      <w:tr w14:paraId="02A9F2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94" w:type="dxa"/>
            <w:tcBorders>
              <w:top w:val="single" w:color="auto" w:sz="4" w:space="0"/>
              <w:left w:val="single" w:color="auto" w:sz="12" w:space="0"/>
              <w:bottom w:val="single" w:color="auto" w:sz="4" w:space="0"/>
              <w:right w:val="single" w:color="auto" w:sz="4" w:space="0"/>
            </w:tcBorders>
            <w:vAlign w:val="center"/>
          </w:tcPr>
          <w:p w14:paraId="5A9D1FDA">
            <w:pPr>
              <w:pStyle w:val="19"/>
            </w:pPr>
            <w:bookmarkStart w:id="27" w:name="_Para_k4rymxdv_c_000408"/>
            <w:bookmarkEnd w:id="27"/>
            <w:r>
              <w:rPr>
                <w:rFonts w:hint="eastAsia"/>
              </w:rPr>
              <w:t>道路</w:t>
            </w:r>
          </w:p>
        </w:tc>
        <w:tc>
          <w:tcPr>
            <w:tcW w:w="6244" w:type="dxa"/>
            <w:tcBorders>
              <w:top w:val="single" w:color="auto" w:sz="4" w:space="0"/>
              <w:left w:val="single" w:color="auto" w:sz="4" w:space="0"/>
              <w:bottom w:val="single" w:color="auto" w:sz="4" w:space="0"/>
              <w:right w:val="single" w:color="auto" w:sz="12" w:space="0"/>
            </w:tcBorders>
            <w:vAlign w:val="center"/>
          </w:tcPr>
          <w:p w14:paraId="58DBC88F">
            <w:pPr>
              <w:pStyle w:val="19"/>
            </w:pPr>
            <w:r>
              <w:rPr>
                <w:rFonts w:hint="eastAsia"/>
              </w:rPr>
              <w:t>坡道。几何信息包括：位置和几何尺寸。非几何信息包括：材料等信息。</w:t>
            </w:r>
          </w:p>
        </w:tc>
      </w:tr>
      <w:tr w14:paraId="254437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94" w:type="dxa"/>
            <w:tcBorders>
              <w:top w:val="single" w:color="auto" w:sz="4" w:space="0"/>
              <w:left w:val="single" w:color="auto" w:sz="12" w:space="0"/>
              <w:bottom w:val="single" w:color="auto" w:sz="4" w:space="0"/>
              <w:right w:val="single" w:color="auto" w:sz="4" w:space="0"/>
            </w:tcBorders>
            <w:vAlign w:val="center"/>
          </w:tcPr>
          <w:p w14:paraId="4CB7262D">
            <w:pPr>
              <w:pStyle w:val="19"/>
            </w:pPr>
            <w:r>
              <w:rPr>
                <w:rFonts w:hint="eastAsia"/>
              </w:rPr>
              <w:t>隧道</w:t>
            </w:r>
          </w:p>
        </w:tc>
        <w:tc>
          <w:tcPr>
            <w:tcW w:w="6244" w:type="dxa"/>
            <w:tcBorders>
              <w:top w:val="single" w:color="auto" w:sz="4" w:space="0"/>
              <w:left w:val="single" w:color="auto" w:sz="4" w:space="0"/>
              <w:bottom w:val="single" w:color="auto" w:sz="4" w:space="0"/>
              <w:right w:val="single" w:color="auto" w:sz="12" w:space="0"/>
            </w:tcBorders>
            <w:vAlign w:val="center"/>
          </w:tcPr>
          <w:p w14:paraId="29405D33">
            <w:pPr>
              <w:pStyle w:val="19"/>
            </w:pPr>
            <w:r>
              <w:rPr>
                <w:rFonts w:hint="eastAsia"/>
              </w:rPr>
              <w:t>洞口边坡、洞门环套拱、管棚、超前小导管、钢拱架等。几何信息包括：位置和几何尺寸。非几何信息包括：开挖方式、支护形式、搭接长度、外观质量、材料等信息。</w:t>
            </w:r>
          </w:p>
        </w:tc>
      </w:tr>
      <w:tr w14:paraId="6E2445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94" w:type="dxa"/>
            <w:tcBorders>
              <w:top w:val="single" w:color="auto" w:sz="4" w:space="0"/>
              <w:left w:val="single" w:color="auto" w:sz="12" w:space="0"/>
              <w:bottom w:val="single" w:color="auto" w:sz="4" w:space="0"/>
              <w:right w:val="single" w:color="auto" w:sz="4" w:space="0"/>
            </w:tcBorders>
            <w:vAlign w:val="center"/>
          </w:tcPr>
          <w:p w14:paraId="45170DFB">
            <w:pPr>
              <w:pStyle w:val="19"/>
            </w:pPr>
            <w:bookmarkStart w:id="28" w:name="_Para_k4rymxdv_c_000409"/>
            <w:bookmarkEnd w:id="28"/>
            <w:r>
              <w:rPr>
                <w:rFonts w:hint="eastAsia"/>
              </w:rPr>
              <w:t>管廊</w:t>
            </w:r>
          </w:p>
        </w:tc>
        <w:tc>
          <w:tcPr>
            <w:tcW w:w="6244" w:type="dxa"/>
            <w:tcBorders>
              <w:top w:val="single" w:color="auto" w:sz="4" w:space="0"/>
              <w:left w:val="single" w:color="auto" w:sz="4" w:space="0"/>
              <w:bottom w:val="single" w:color="auto" w:sz="4" w:space="0"/>
              <w:right w:val="single" w:color="auto" w:sz="12" w:space="0"/>
            </w:tcBorders>
            <w:vAlign w:val="center"/>
          </w:tcPr>
          <w:p w14:paraId="20801EA4">
            <w:pPr>
              <w:pStyle w:val="19"/>
            </w:pPr>
            <w:r>
              <w:rPr>
                <w:rFonts w:hint="eastAsia"/>
              </w:rPr>
              <w:t>预留预埋件、伸缩缝、管道支架、综合管线、照明灯具、排水设备及管道等。几何信息包括：位置和几何尺寸。非几何信息包括：材料等信息。</w:t>
            </w:r>
          </w:p>
        </w:tc>
      </w:tr>
      <w:tr w14:paraId="4E4D9F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94" w:type="dxa"/>
            <w:tcBorders>
              <w:top w:val="single" w:color="auto" w:sz="4" w:space="0"/>
              <w:left w:val="single" w:color="auto" w:sz="12" w:space="0"/>
              <w:bottom w:val="single" w:color="auto" w:sz="4" w:space="0"/>
              <w:right w:val="single" w:color="auto" w:sz="4" w:space="0"/>
            </w:tcBorders>
            <w:vAlign w:val="center"/>
          </w:tcPr>
          <w:p w14:paraId="0098B8F5">
            <w:pPr>
              <w:pStyle w:val="19"/>
            </w:pPr>
            <w:bookmarkStart w:id="29" w:name="_Para_k4rymxdv_c_000410"/>
            <w:bookmarkEnd w:id="29"/>
            <w:r>
              <w:rPr>
                <w:rFonts w:hint="eastAsia"/>
              </w:rPr>
              <w:t>市政管网</w:t>
            </w:r>
          </w:p>
        </w:tc>
        <w:tc>
          <w:tcPr>
            <w:tcW w:w="6244" w:type="dxa"/>
            <w:tcBorders>
              <w:top w:val="single" w:color="auto" w:sz="4" w:space="0"/>
              <w:left w:val="single" w:color="auto" w:sz="4" w:space="0"/>
              <w:bottom w:val="single" w:color="auto" w:sz="4" w:space="0"/>
              <w:right w:val="single" w:color="auto" w:sz="12" w:space="0"/>
            </w:tcBorders>
            <w:vAlign w:val="center"/>
          </w:tcPr>
          <w:p w14:paraId="7DFC2CBF">
            <w:pPr>
              <w:pStyle w:val="19"/>
            </w:pPr>
            <w:r>
              <w:rPr>
                <w:rFonts w:hint="eastAsia"/>
              </w:rPr>
              <w:t>井内机电连接。几何信息包括：位置和几何尺寸。非几何信息包括：材料等信息。</w:t>
            </w:r>
          </w:p>
        </w:tc>
      </w:tr>
      <w:tr w14:paraId="236249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94" w:type="dxa"/>
            <w:tcBorders>
              <w:top w:val="single" w:color="auto" w:sz="4" w:space="0"/>
              <w:left w:val="single" w:color="auto" w:sz="12" w:space="0"/>
              <w:bottom w:val="single" w:color="auto" w:sz="12" w:space="0"/>
              <w:right w:val="single" w:color="auto" w:sz="4" w:space="0"/>
            </w:tcBorders>
            <w:vAlign w:val="center"/>
          </w:tcPr>
          <w:p w14:paraId="12FAA5B3">
            <w:pPr>
              <w:pStyle w:val="19"/>
            </w:pPr>
            <w:r>
              <w:rPr>
                <w:rFonts w:hint="eastAsia"/>
              </w:rPr>
              <w:t>路灯</w:t>
            </w:r>
          </w:p>
        </w:tc>
        <w:tc>
          <w:tcPr>
            <w:tcW w:w="6244" w:type="dxa"/>
            <w:tcBorders>
              <w:top w:val="single" w:color="auto" w:sz="4" w:space="0"/>
              <w:left w:val="single" w:color="auto" w:sz="4" w:space="0"/>
              <w:bottom w:val="single" w:color="auto" w:sz="12" w:space="0"/>
              <w:right w:val="single" w:color="auto" w:sz="12" w:space="0"/>
            </w:tcBorders>
            <w:vAlign w:val="center"/>
          </w:tcPr>
          <w:p w14:paraId="34B37149">
            <w:pPr>
              <w:pStyle w:val="19"/>
            </w:pPr>
            <w:r>
              <w:rPr>
                <w:rFonts w:hint="eastAsia"/>
              </w:rPr>
              <w:t>基础、灯具及其控制。几何信息包括：位置和几何尺寸。非几何信息包括：材料等信息。</w:t>
            </w:r>
          </w:p>
        </w:tc>
      </w:tr>
    </w:tbl>
    <w:p w14:paraId="0CA0584B">
      <w:pPr>
        <w:pStyle w:val="2"/>
        <w:ind w:firstLine="602"/>
      </w:pPr>
      <w:bookmarkStart w:id="30" w:name="_Para_k4rymxdv_000111"/>
      <w:bookmarkEnd w:id="30"/>
      <w:r>
        <w:rPr>
          <w:rFonts w:hint="eastAsia"/>
        </w:rPr>
        <w:t>2.3净高控制</w:t>
      </w:r>
    </w:p>
    <w:p w14:paraId="74CAA231">
      <w:pPr>
        <w:ind w:firstLine="560"/>
        <w:rPr>
          <w:szCs w:val="21"/>
        </w:rPr>
      </w:pPr>
      <w:r>
        <w:rPr>
          <w:rFonts w:hint="eastAsia"/>
          <w:szCs w:val="21"/>
        </w:rPr>
        <w:t>承包人应对建筑物净高进行分析和复核，通过管路的综合排布优化和碰撞检查等手段优化建筑物的所有房间、过道和地下室等的净高，并向总承包单位或发包人提交净高控制报告。在不发生碰撞的基础上，调整各专业的管线排布模型，最大化提升净空高度以节约空间。</w:t>
      </w:r>
    </w:p>
    <w:p w14:paraId="32C18D19">
      <w:pPr>
        <w:pStyle w:val="2"/>
        <w:ind w:firstLine="602"/>
      </w:pPr>
      <w:r>
        <w:rPr>
          <w:rFonts w:hint="eastAsia"/>
        </w:rPr>
        <w:t>2.4深化设计模型构件编码</w:t>
      </w:r>
    </w:p>
    <w:p w14:paraId="548E0DCF">
      <w:pPr>
        <w:ind w:firstLine="560"/>
        <w:rPr>
          <w:szCs w:val="21"/>
        </w:rPr>
      </w:pPr>
      <w:r>
        <w:rPr>
          <w:rFonts w:hint="eastAsia"/>
          <w:szCs w:val="21"/>
        </w:rPr>
        <w:t>承包人根据实施约束性文件要求对深化设计模型的构件进行分类编码，具体要求详附件二《</w:t>
      </w:r>
      <w:r>
        <w:rPr>
          <w:rFonts w:hint="eastAsia"/>
        </w:rPr>
        <w:t>广州白云国际机场三期扩建工程BIM实施技术标准</w:t>
      </w:r>
      <w:r>
        <w:rPr>
          <w:rFonts w:hint="eastAsia"/>
          <w:szCs w:val="21"/>
        </w:rPr>
        <w:t>》</w:t>
      </w:r>
    </w:p>
    <w:p w14:paraId="68B498EF">
      <w:pPr>
        <w:pStyle w:val="4"/>
        <w:ind w:firstLine="643"/>
      </w:pPr>
      <w:r>
        <w:rPr>
          <w:rFonts w:hint="eastAsia"/>
        </w:rPr>
        <w:t>3.按模施工</w:t>
      </w:r>
    </w:p>
    <w:p w14:paraId="735C07C0">
      <w:pPr>
        <w:ind w:firstLine="560"/>
      </w:pPr>
      <w:r>
        <w:rPr>
          <w:rFonts w:hint="eastAsia"/>
        </w:rPr>
        <w:t>承包人应依据确认后的深化设计模型及其衍生文件指导现场施工，确保工程实体与模型一致，包括但不限于以下内容：</w:t>
      </w:r>
    </w:p>
    <w:p w14:paraId="2CA2456A">
      <w:pPr>
        <w:pStyle w:val="2"/>
        <w:ind w:firstLine="602"/>
      </w:pPr>
      <w:r>
        <w:rPr>
          <w:rFonts w:hint="eastAsia"/>
        </w:rPr>
        <w:t>3.1深化设计出图</w:t>
      </w:r>
    </w:p>
    <w:p w14:paraId="684DC64D">
      <w:pPr>
        <w:ind w:firstLine="560"/>
        <w:rPr>
          <w:szCs w:val="21"/>
        </w:rPr>
      </w:pPr>
      <w:r>
        <w:rPr>
          <w:rFonts w:hint="eastAsia"/>
          <w:szCs w:val="21"/>
        </w:rPr>
        <w:t>承包人应用深化设计模型并结合现场需求生成深化设计二维图纸（深化图与模型应具备关联性），须保证深化设计模型与深化设计二维图纸的一致性。</w:t>
      </w:r>
    </w:p>
    <w:p w14:paraId="0ABD6D2A">
      <w:pPr>
        <w:pStyle w:val="2"/>
        <w:ind w:firstLine="602"/>
        <w:rPr>
          <w:szCs w:val="21"/>
        </w:rPr>
      </w:pPr>
      <w:r>
        <w:rPr>
          <w:rFonts w:hint="eastAsia"/>
          <w:szCs w:val="21"/>
        </w:rPr>
        <w:t>3.2深化设计图纸确认</w:t>
      </w:r>
    </w:p>
    <w:p w14:paraId="20119B08">
      <w:pPr>
        <w:ind w:firstLine="560"/>
      </w:pPr>
      <w:r>
        <w:rPr>
          <w:rFonts w:hint="eastAsia"/>
          <w:szCs w:val="21"/>
        </w:rPr>
        <w:t>承包人依据深化设计模型生成的深化设计二维图纸应由设计单位确认后方可用于指导现场施工。</w:t>
      </w:r>
    </w:p>
    <w:p w14:paraId="5E755347">
      <w:pPr>
        <w:pStyle w:val="2"/>
        <w:ind w:firstLine="602"/>
      </w:pPr>
      <w:r>
        <w:rPr>
          <w:rFonts w:hint="eastAsia"/>
        </w:rPr>
        <w:t>3.3三维可视化施工交底</w:t>
      </w:r>
    </w:p>
    <w:p w14:paraId="5608AEAC">
      <w:pPr>
        <w:ind w:firstLine="560"/>
      </w:pPr>
      <w:r>
        <w:rPr>
          <w:rFonts w:hint="eastAsia"/>
          <w:szCs w:val="21"/>
        </w:rPr>
        <w:t>承包人施工过程中应运用BIM技术进行三维可视化技术交底，提高施工技术人员的交底效率及准确率，降低施工中出现问题的概率。</w:t>
      </w:r>
    </w:p>
    <w:p w14:paraId="2621DB32">
      <w:pPr>
        <w:pStyle w:val="4"/>
        <w:ind w:firstLine="643"/>
      </w:pPr>
      <w:r>
        <w:rPr>
          <w:rFonts w:hint="eastAsia"/>
        </w:rPr>
        <w:t>4.进度管理过程中BIM应用要求</w:t>
      </w:r>
    </w:p>
    <w:p w14:paraId="7BE2D76A">
      <w:pPr>
        <w:ind w:firstLine="560"/>
      </w:pPr>
      <w:r>
        <w:rPr>
          <w:rFonts w:hint="eastAsia"/>
          <w:szCs w:val="21"/>
        </w:rPr>
        <w:t>承包人应</w:t>
      </w:r>
      <w:r>
        <w:rPr>
          <w:rFonts w:hint="eastAsia"/>
        </w:rPr>
        <w:t>积极参与配合业主单位对于进度管理的相关要求</w:t>
      </w:r>
      <w:r>
        <w:rPr>
          <w:rFonts w:hint="eastAsia"/>
          <w:szCs w:val="21"/>
        </w:rPr>
        <w:t>。</w:t>
      </w:r>
    </w:p>
    <w:p w14:paraId="486EFDEF">
      <w:pPr>
        <w:ind w:firstLine="560"/>
      </w:pPr>
      <w:r>
        <w:rPr>
          <w:rFonts w:hint="eastAsia"/>
        </w:rPr>
        <w:t>（1）承包人应在智能建造协同管理平台上进行进度管理和模拟工作，相关模拟应</w:t>
      </w:r>
      <w:r>
        <w:t>将BIM与施工进度计划相链接，将空间信息与时间信息整合在一个可视的4D(3D+Time)模型中，然后直观、精确地反映整个建筑的施工过程。4D施工进度模拟</w:t>
      </w:r>
      <w:r>
        <w:rPr>
          <w:rFonts w:hint="eastAsia"/>
        </w:rPr>
        <w:t>应</w:t>
      </w:r>
      <w:r>
        <w:t>在项目建造过程中合理制定施工计划、以动态的形式精确掌握施工进度，优化使用施工资源以及科学地进行场地布置，对整个工程的施工进度、资源和质量进行统一管理和控制，达到缩短工期、降低成本、提高质量的目的。</w:t>
      </w:r>
    </w:p>
    <w:p w14:paraId="6510A08D">
      <w:pPr>
        <w:ind w:firstLine="560"/>
      </w:pPr>
      <w:r>
        <w:rPr>
          <w:rFonts w:hint="eastAsia"/>
        </w:rPr>
        <w:t>（2）承包人应在智能建造协同管理平台上</w:t>
      </w:r>
      <w:r>
        <w:t>通过采集现场关键生产要素，查找进度迟滞原因，对未来7-14天工程进度进行模型化分析，查找进度迟滞原因，并及时向建设方提供分析报告。</w:t>
      </w:r>
    </w:p>
    <w:p w14:paraId="49EC1C2F">
      <w:pPr>
        <w:ind w:firstLine="560"/>
      </w:pPr>
      <w:r>
        <w:rPr>
          <w:rFonts w:hint="eastAsia"/>
        </w:rPr>
        <w:t>（3）承包人</w:t>
      </w:r>
      <w:r>
        <w:t>应每月进行一次全专业BIM模型进度模拟，查找交叉施工、人员配置、施工功效、机械配置、生产材料配置等影响进度的问题，并生成报告。</w:t>
      </w:r>
    </w:p>
    <w:p w14:paraId="0202248C">
      <w:pPr>
        <w:pStyle w:val="4"/>
        <w:ind w:firstLine="643"/>
      </w:pPr>
      <w:r>
        <w:rPr>
          <w:rFonts w:hint="eastAsia"/>
        </w:rPr>
        <w:t>5.质量管理过程中BIM应用要求</w:t>
      </w:r>
    </w:p>
    <w:p w14:paraId="2740D0CC">
      <w:pPr>
        <w:ind w:firstLine="560"/>
        <w:rPr>
          <w:szCs w:val="21"/>
        </w:rPr>
      </w:pPr>
      <w:r>
        <w:rPr>
          <w:rFonts w:hint="eastAsia"/>
          <w:szCs w:val="21"/>
        </w:rPr>
        <w:t>承包人应</w:t>
      </w:r>
      <w:r>
        <w:rPr>
          <w:rFonts w:hint="eastAsia"/>
        </w:rPr>
        <w:t>积极参与配合业主单位对于安全管理的相关要求</w:t>
      </w:r>
      <w:r>
        <w:rPr>
          <w:rFonts w:hint="eastAsia"/>
          <w:szCs w:val="21"/>
        </w:rPr>
        <w:t>。</w:t>
      </w:r>
    </w:p>
    <w:p w14:paraId="7C96F5F4">
      <w:pPr>
        <w:ind w:firstLine="560"/>
        <w:rPr>
          <w:szCs w:val="21"/>
        </w:rPr>
      </w:pPr>
      <w:r>
        <w:rPr>
          <w:rFonts w:hint="eastAsia"/>
          <w:szCs w:val="21"/>
        </w:rPr>
        <w:t>承包人应根据质量验评要求基于模型进行检验批的划分，并基于发包人提供的质量验评系统，开展质量验评管理工作。</w:t>
      </w:r>
      <w:bookmarkStart w:id="31" w:name="_Para_k4rymxdv_000165"/>
      <w:bookmarkEnd w:id="31"/>
    </w:p>
    <w:p w14:paraId="46668C4C">
      <w:pPr>
        <w:ind w:firstLine="560"/>
        <w:rPr>
          <w:szCs w:val="21"/>
        </w:rPr>
      </w:pPr>
      <w:r>
        <w:rPr>
          <w:rFonts w:hint="eastAsia"/>
          <w:szCs w:val="21"/>
        </w:rPr>
        <w:t>在智能建造协同管理平台上完成质量验评工作才能进行工程计量。发包人、监理对工程量计量（工程量清单项中由模型输出和衍生计算部分）的判定基于模型，未经验评或没有模型数据支撑的工程量不得计量和支付。</w:t>
      </w:r>
    </w:p>
    <w:p w14:paraId="672126C9">
      <w:pPr>
        <w:ind w:firstLine="560"/>
        <w:rPr>
          <w:szCs w:val="21"/>
        </w:rPr>
      </w:pPr>
      <w:bookmarkStart w:id="32" w:name="_Para_k4rymxdv_000166"/>
      <w:bookmarkEnd w:id="32"/>
      <w:r>
        <w:rPr>
          <w:rFonts w:hint="eastAsia"/>
          <w:szCs w:val="21"/>
        </w:rPr>
        <w:t>承包人须应用模型进行工程项目施工质量管理中的质量验收、质量问题处理、质量问题分析等。</w:t>
      </w:r>
    </w:p>
    <w:p w14:paraId="7DD9CB6D">
      <w:pPr>
        <w:ind w:firstLine="560"/>
        <w:rPr>
          <w:szCs w:val="21"/>
        </w:rPr>
      </w:pPr>
      <w:bookmarkStart w:id="33" w:name="_Para_k4rymxdv_000167"/>
      <w:bookmarkEnd w:id="33"/>
      <w:r>
        <w:rPr>
          <w:rFonts w:hint="eastAsia"/>
          <w:szCs w:val="21"/>
        </w:rPr>
        <w:t>（1）承包人在质量验收时，应将质量验收信息附加或关联到相关模型上；</w:t>
      </w:r>
    </w:p>
    <w:p w14:paraId="275E0FB5">
      <w:pPr>
        <w:ind w:firstLine="560"/>
        <w:rPr>
          <w:szCs w:val="21"/>
        </w:rPr>
      </w:pPr>
      <w:bookmarkStart w:id="34" w:name="_Para_k4rymxdv_000168"/>
      <w:bookmarkEnd w:id="34"/>
      <w:r>
        <w:rPr>
          <w:rFonts w:hint="eastAsia"/>
          <w:szCs w:val="21"/>
        </w:rPr>
        <w:t>（2）承包人在质量问题处理时，应将质量问题处理信息附加或关联到相关模型上；</w:t>
      </w:r>
    </w:p>
    <w:p w14:paraId="5E8D5703">
      <w:pPr>
        <w:ind w:firstLine="560"/>
        <w:rPr>
          <w:szCs w:val="21"/>
        </w:rPr>
      </w:pPr>
      <w:bookmarkStart w:id="35" w:name="_Para_k4rymxdv_000169"/>
      <w:bookmarkEnd w:id="35"/>
      <w:r>
        <w:rPr>
          <w:rFonts w:hint="eastAsia"/>
          <w:szCs w:val="21"/>
        </w:rPr>
        <w:t>（3）承包人在质量问题分析时，应利用模型按部位、时间、施工人员等对质量信息和问题进行汇总和展示。</w:t>
      </w:r>
    </w:p>
    <w:p w14:paraId="6F4FFA22">
      <w:pPr>
        <w:pStyle w:val="4"/>
        <w:ind w:firstLine="643"/>
      </w:pPr>
      <w:r>
        <w:rPr>
          <w:rFonts w:hint="eastAsia"/>
        </w:rPr>
        <w:t>6.安全管理过程中BIM应用要求</w:t>
      </w:r>
    </w:p>
    <w:p w14:paraId="6A3BE7B4">
      <w:pPr>
        <w:ind w:firstLine="560"/>
        <w:rPr>
          <w:szCs w:val="21"/>
        </w:rPr>
      </w:pPr>
      <w:r>
        <w:rPr>
          <w:rFonts w:hint="eastAsia"/>
          <w:szCs w:val="21"/>
        </w:rPr>
        <w:t>承包人应</w:t>
      </w:r>
      <w:r>
        <w:rPr>
          <w:rFonts w:hint="eastAsia"/>
        </w:rPr>
        <w:t>积极参与配合业主单位对于安全管理的相关要求</w:t>
      </w:r>
      <w:r>
        <w:rPr>
          <w:rFonts w:hint="eastAsia"/>
          <w:szCs w:val="21"/>
        </w:rPr>
        <w:t>。</w:t>
      </w:r>
    </w:p>
    <w:p w14:paraId="1734E040">
      <w:pPr>
        <w:ind w:firstLine="560"/>
        <w:rPr>
          <w:szCs w:val="21"/>
        </w:rPr>
      </w:pPr>
      <w:r>
        <w:rPr>
          <w:rFonts w:hint="eastAsia"/>
          <w:szCs w:val="21"/>
        </w:rPr>
        <w:t>承包人在安全管理中，应基于深化设计模型，在智能建造协同管理平台上附加或关联安全生产／防护设施、安全检查、风险源、事故信息，并基于模型进行安全技术措施计划的编制、安全隐患和事故的处理、安全问题的分析。</w:t>
      </w:r>
    </w:p>
    <w:p w14:paraId="628BB464">
      <w:pPr>
        <w:ind w:firstLine="560"/>
        <w:rPr>
          <w:szCs w:val="21"/>
        </w:rPr>
      </w:pPr>
      <w:bookmarkStart w:id="36" w:name="_Para_k4rymxdv_000179"/>
      <w:bookmarkEnd w:id="36"/>
      <w:r>
        <w:rPr>
          <w:rFonts w:hint="eastAsia"/>
          <w:szCs w:val="21"/>
        </w:rPr>
        <w:t>（</w:t>
      </w:r>
      <w:r>
        <w:rPr>
          <w:szCs w:val="21"/>
        </w:rPr>
        <w:t>1</w:t>
      </w:r>
      <w:r>
        <w:rPr>
          <w:rFonts w:hint="eastAsia"/>
          <w:szCs w:val="21"/>
        </w:rPr>
        <w:t>）承包人在确定安全技术措施计划时，应使用模型辅助识别风险源，进行安全技术交底，并将安全交底记录附加或关联到相关模型中；</w:t>
      </w:r>
    </w:p>
    <w:p w14:paraId="24944290">
      <w:pPr>
        <w:ind w:firstLine="560"/>
        <w:rPr>
          <w:szCs w:val="21"/>
        </w:rPr>
      </w:pPr>
      <w:bookmarkStart w:id="37" w:name="_Para_k4rymxdv_000180"/>
      <w:bookmarkEnd w:id="37"/>
      <w:r>
        <w:rPr>
          <w:rFonts w:hint="eastAsia"/>
          <w:szCs w:val="21"/>
        </w:rPr>
        <w:t>（</w:t>
      </w:r>
      <w:r>
        <w:rPr>
          <w:szCs w:val="21"/>
        </w:rPr>
        <w:t>2</w:t>
      </w:r>
      <w:r>
        <w:rPr>
          <w:rFonts w:hint="eastAsia"/>
          <w:szCs w:val="21"/>
        </w:rPr>
        <w:t>）承包人在处理安全隐患和事故时，应使用模型制定相应的整改措施，并将安全隐患整改信息附加或关联到相关模型元素中；当安全事故发生时，宜将事故调查报告及处理决定附加或关联到相关模型元素中；</w:t>
      </w:r>
    </w:p>
    <w:p w14:paraId="66CA46CE">
      <w:pPr>
        <w:ind w:firstLine="560"/>
        <w:rPr>
          <w:szCs w:val="21"/>
        </w:rPr>
      </w:pPr>
      <w:bookmarkStart w:id="38" w:name="_Para_k4rymxdv_000181"/>
      <w:bookmarkEnd w:id="38"/>
      <w:r>
        <w:rPr>
          <w:rFonts w:hint="eastAsia"/>
          <w:szCs w:val="21"/>
        </w:rPr>
        <w:t>（</w:t>
      </w:r>
      <w:r>
        <w:rPr>
          <w:szCs w:val="21"/>
        </w:rPr>
        <w:t>3</w:t>
      </w:r>
      <w:r>
        <w:rPr>
          <w:rFonts w:hint="eastAsia"/>
          <w:szCs w:val="21"/>
        </w:rPr>
        <w:t>）承包人在分析安全问题时，应利用模型按部位、时间等对安全信息和问题进行汇总和展示。</w:t>
      </w:r>
    </w:p>
    <w:p w14:paraId="790B4B63">
      <w:pPr>
        <w:pStyle w:val="4"/>
        <w:ind w:firstLine="643"/>
      </w:pPr>
      <w:r>
        <w:rPr>
          <w:rFonts w:hint="eastAsia"/>
        </w:rPr>
        <w:t>7.模型计量BIM应用要求</w:t>
      </w:r>
    </w:p>
    <w:p w14:paraId="41580D26">
      <w:pPr>
        <w:ind w:firstLine="560"/>
        <w:rPr>
          <w:szCs w:val="21"/>
        </w:rPr>
      </w:pPr>
      <w:r>
        <w:rPr>
          <w:rFonts w:hint="eastAsia"/>
          <w:szCs w:val="21"/>
        </w:rPr>
        <w:t>承包人应根据本章附件一《广州白云国际机场三期扩建工程BIM实施技术标准》及附件二《算量BIM模型建模规范》等相关要求完成施工深化BIM模型，并通过招标人、BIM咨询方、设计方、监理方、造价咨询方等单位的联合审查通过后，按模施工，现场实物完成检验合格后进行模型计量并在智能建造协同管理平台上进行支付流程审批。</w:t>
      </w:r>
    </w:p>
    <w:p w14:paraId="69FD5221">
      <w:pPr>
        <w:ind w:firstLine="560"/>
        <w:rPr>
          <w:szCs w:val="21"/>
        </w:rPr>
      </w:pPr>
      <w:r>
        <w:rPr>
          <w:rFonts w:hint="eastAsia"/>
          <w:szCs w:val="21"/>
        </w:rPr>
        <w:t>（1）模型计量内容包括但不限于门窗表、建筑细部做法面积、二次结构、结构承重构件的体积，各系统管线的长度、面积，各类工程设备、配件数量等主控材料，具备从模型中提取工程量的构件应从模型中计算工程量。</w:t>
      </w:r>
    </w:p>
    <w:p w14:paraId="3644A856">
      <w:pPr>
        <w:ind w:firstLine="560"/>
        <w:rPr>
          <w:szCs w:val="21"/>
        </w:rPr>
      </w:pPr>
      <w:r>
        <w:rPr>
          <w:rFonts w:hint="eastAsia"/>
          <w:szCs w:val="21"/>
        </w:rPr>
        <w:t>（2）承包人根据施工图设计成果（含设计说明）、实施约束性文件和具体施工工艺特点对施工图设计模型进行补充、细化、拆分和优化等，并对施工图设计模型的未建模部分、精度深度不够部分等问题（承包人进场后提供）进行完善，形成施工深化BIM模型，对未超出设计文件内容要求、施工规范要求的部分，根据国家标准《建设工程工程量清单计价规范》（GB50500-2013）、《房屋建筑与装饰工程工程量计算规范》（GB50854-2013）、《通用安装工程工程量计算规范》（GB50856-2013）、《市政工程工程量计算规范》（GB50857-2013）、《园林绿化工程工程量计算规范》（GB50858-2013）、《构筑物工程工程量计算规范》（GB50860-2013）、《城市轨道交通工程工程量计算规范》（GB50861-2013）、《爆破工程工程量计算规范》（GB50862-2013）、《民航专业工程工程量清单计价规范》（MH5028-2014）等，符合应予以计量的工程量，按招标工程量清单约定计量规则进行计量。</w:t>
      </w:r>
    </w:p>
    <w:p w14:paraId="02FAB7BF">
      <w:pPr>
        <w:ind w:firstLine="560"/>
        <w:rPr>
          <w:szCs w:val="21"/>
        </w:rPr>
      </w:pPr>
      <w:r>
        <w:rPr>
          <w:rFonts w:hint="eastAsia"/>
          <w:szCs w:val="21"/>
        </w:rPr>
        <w:t>（3）承包人为施工组织、生产加工、施工工艺等需要，对施工图设计模型进行补充、细化、拆分和优化等，所增加的工作内容，如对原设计文件内容并未形成设计变更的，所增加的工程量不予计量。</w:t>
      </w:r>
    </w:p>
    <w:p w14:paraId="6767DF52">
      <w:pPr>
        <w:ind w:firstLine="560"/>
        <w:rPr>
          <w:szCs w:val="21"/>
        </w:rPr>
      </w:pPr>
      <w:r>
        <w:rPr>
          <w:rFonts w:hint="eastAsia"/>
          <w:szCs w:val="21"/>
        </w:rPr>
        <w:t>（4）项目参建方提出的设计变更内容，经研究如确需进行变更的，须按发包人设计变更管理流程完成审批，再对对应的施工深化BIM模型进行修改，符合应予以计量的工程量，按招标清单约定计量规则进行计量。施工深化BIM模型工程量（不含承包人深化设计引起增加的工程量）超过合同清单工程量的，按《广东省机场管理集团有限公司工程建设指挥部合同管理规定》、《广东省机场管理集团有限公司工程建设指挥部工程造价管理规定（试行)》办理合同变更后方可支付。</w:t>
      </w:r>
    </w:p>
    <w:p w14:paraId="16EF2AD4">
      <w:pPr>
        <w:ind w:firstLine="560"/>
        <w:rPr>
          <w:szCs w:val="21"/>
        </w:rPr>
      </w:pPr>
      <w:r>
        <w:rPr>
          <w:rFonts w:hint="eastAsia"/>
          <w:szCs w:val="21"/>
        </w:rPr>
        <w:t>（5）结算以招标施工图设计模型为基础，叠加签证、设计变更形成BIM结算模型，参考施工深化BIM模型，结合施工图等相关设计成果文件，采用造价算量软件和BIM模型计量复核差异，根据招标工程量清单约定计量规则作为结算工程量的依据。</w:t>
      </w:r>
    </w:p>
    <w:p w14:paraId="704ACFEB">
      <w:pPr>
        <w:ind w:firstLine="560"/>
        <w:rPr>
          <w:szCs w:val="21"/>
        </w:rPr>
      </w:pPr>
      <w:r>
        <w:rPr>
          <w:rFonts w:hint="eastAsia"/>
          <w:szCs w:val="21"/>
        </w:rPr>
        <w:t>（6）承包人在施工深化BIM模型中增加超出设计文件要求、施工规范要求以外的内容，并提出对超出部分的计量申请，发包人将不予认可，承包人必须接受。</w:t>
      </w:r>
    </w:p>
    <w:p w14:paraId="01176076">
      <w:pPr>
        <w:ind w:firstLine="560"/>
      </w:pPr>
      <w:r>
        <w:rPr>
          <w:rFonts w:hint="eastAsia"/>
          <w:szCs w:val="21"/>
        </w:rPr>
        <w:t>（7）模型计量除另有约定外，应以完成构件质量验评为前提，再进行模型工程量计量并执行支付流程。</w:t>
      </w:r>
    </w:p>
    <w:p w14:paraId="78DC4C88">
      <w:pPr>
        <w:pStyle w:val="4"/>
        <w:ind w:firstLine="643"/>
      </w:pPr>
      <w:r>
        <w:rPr>
          <w:rFonts w:hint="eastAsia"/>
        </w:rPr>
        <w:t>8.竣工交付过程中BIM要求</w:t>
      </w:r>
    </w:p>
    <w:p w14:paraId="3670EA0E">
      <w:pPr>
        <w:ind w:firstLine="560"/>
      </w:pPr>
      <w:r>
        <w:rPr>
          <w:rFonts w:hint="eastAsia"/>
        </w:rPr>
        <w:t>承包人在BIM实施过程中关于成果验收、交付物内容、交付过程以及交付物管理的要求详附件</w:t>
      </w:r>
      <w:r>
        <w:rPr>
          <w:rFonts w:hint="eastAsia"/>
          <w:lang w:val="en-US" w:eastAsia="zh-CN"/>
        </w:rPr>
        <w:t>二</w:t>
      </w:r>
      <w:bookmarkStart w:id="39" w:name="_GoBack"/>
      <w:bookmarkEnd w:id="39"/>
      <w:r>
        <w:rPr>
          <w:rFonts w:hint="eastAsia"/>
        </w:rPr>
        <w:t>《广州白云国际机场三期扩建工程BIM实施技术标准》相关内容。</w:t>
      </w:r>
      <w:bookmarkEnd w:id="0"/>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2193A">
    <w:pPr>
      <w:pStyle w:val="11"/>
      <w:ind w:firstLine="5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07AB0">
    <w:pPr>
      <w:pStyle w:val="11"/>
      <w:ind w:firstLine="5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40029">
    <w:pPr>
      <w:pStyle w:val="11"/>
      <w:ind w:firstLine="5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19B631">
    <w:pPr>
      <w:pStyle w:val="12"/>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A0619">
    <w:pPr>
      <w:pStyle w:val="12"/>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01822">
    <w:pPr>
      <w:pStyle w:val="12"/>
      <w:ind w:firstLine="5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0Y2YzNmY3MzUxYzRmN2Q3MmJjMDdhOWIyNTBmZjcifQ=="/>
  </w:docVars>
  <w:rsids>
    <w:rsidRoot w:val="005A7627"/>
    <w:rsid w:val="0002526F"/>
    <w:rsid w:val="00044B41"/>
    <w:rsid w:val="000A1ADB"/>
    <w:rsid w:val="000D1477"/>
    <w:rsid w:val="000E31B1"/>
    <w:rsid w:val="000E573C"/>
    <w:rsid w:val="00105910"/>
    <w:rsid w:val="00111A7D"/>
    <w:rsid w:val="00126D1D"/>
    <w:rsid w:val="0014062D"/>
    <w:rsid w:val="001F104A"/>
    <w:rsid w:val="002062AA"/>
    <w:rsid w:val="0021529B"/>
    <w:rsid w:val="002157CF"/>
    <w:rsid w:val="00221114"/>
    <w:rsid w:val="00241048"/>
    <w:rsid w:val="00251470"/>
    <w:rsid w:val="00254D2E"/>
    <w:rsid w:val="00277DE0"/>
    <w:rsid w:val="002865C6"/>
    <w:rsid w:val="002D7362"/>
    <w:rsid w:val="002E0076"/>
    <w:rsid w:val="002E4940"/>
    <w:rsid w:val="00336297"/>
    <w:rsid w:val="00372A17"/>
    <w:rsid w:val="00377CA9"/>
    <w:rsid w:val="003A724B"/>
    <w:rsid w:val="003A7913"/>
    <w:rsid w:val="003B7464"/>
    <w:rsid w:val="003D487A"/>
    <w:rsid w:val="00421202"/>
    <w:rsid w:val="00427B38"/>
    <w:rsid w:val="00432B64"/>
    <w:rsid w:val="00466FF1"/>
    <w:rsid w:val="00496AC8"/>
    <w:rsid w:val="004A33D0"/>
    <w:rsid w:val="004B48FF"/>
    <w:rsid w:val="004C0C44"/>
    <w:rsid w:val="004C545B"/>
    <w:rsid w:val="004F43EB"/>
    <w:rsid w:val="00502E20"/>
    <w:rsid w:val="00515F5B"/>
    <w:rsid w:val="00560C18"/>
    <w:rsid w:val="00574265"/>
    <w:rsid w:val="00595CD2"/>
    <w:rsid w:val="005A7627"/>
    <w:rsid w:val="005C7406"/>
    <w:rsid w:val="005D7E87"/>
    <w:rsid w:val="0062276D"/>
    <w:rsid w:val="006375C5"/>
    <w:rsid w:val="00663FFA"/>
    <w:rsid w:val="006A4D79"/>
    <w:rsid w:val="006D06CE"/>
    <w:rsid w:val="007345E7"/>
    <w:rsid w:val="0073580F"/>
    <w:rsid w:val="00823E72"/>
    <w:rsid w:val="00842474"/>
    <w:rsid w:val="00853807"/>
    <w:rsid w:val="00854193"/>
    <w:rsid w:val="008B0D6A"/>
    <w:rsid w:val="008D6A8A"/>
    <w:rsid w:val="008F3F75"/>
    <w:rsid w:val="00941918"/>
    <w:rsid w:val="00955A23"/>
    <w:rsid w:val="00960A7D"/>
    <w:rsid w:val="00971500"/>
    <w:rsid w:val="00980C44"/>
    <w:rsid w:val="0099797F"/>
    <w:rsid w:val="009B0E9B"/>
    <w:rsid w:val="009C36E4"/>
    <w:rsid w:val="009D07F6"/>
    <w:rsid w:val="009E7999"/>
    <w:rsid w:val="009F6612"/>
    <w:rsid w:val="00A11E88"/>
    <w:rsid w:val="00A673B7"/>
    <w:rsid w:val="00A966B3"/>
    <w:rsid w:val="00AA420F"/>
    <w:rsid w:val="00AB59F0"/>
    <w:rsid w:val="00AE0DC0"/>
    <w:rsid w:val="00B00501"/>
    <w:rsid w:val="00B27050"/>
    <w:rsid w:val="00B32947"/>
    <w:rsid w:val="00B44063"/>
    <w:rsid w:val="00B54154"/>
    <w:rsid w:val="00B726EA"/>
    <w:rsid w:val="00B977B7"/>
    <w:rsid w:val="00BD2656"/>
    <w:rsid w:val="00BD47C2"/>
    <w:rsid w:val="00BF5253"/>
    <w:rsid w:val="00C0626C"/>
    <w:rsid w:val="00C131F5"/>
    <w:rsid w:val="00C17642"/>
    <w:rsid w:val="00C20447"/>
    <w:rsid w:val="00C6609A"/>
    <w:rsid w:val="00C73B4D"/>
    <w:rsid w:val="00C93C8B"/>
    <w:rsid w:val="00CA1B15"/>
    <w:rsid w:val="00CA5E21"/>
    <w:rsid w:val="00CA7114"/>
    <w:rsid w:val="00CC155D"/>
    <w:rsid w:val="00CC1ECD"/>
    <w:rsid w:val="00D275F1"/>
    <w:rsid w:val="00D52EB2"/>
    <w:rsid w:val="00D57F94"/>
    <w:rsid w:val="00D86E8D"/>
    <w:rsid w:val="00DB0BF0"/>
    <w:rsid w:val="00DB5F20"/>
    <w:rsid w:val="00DC162F"/>
    <w:rsid w:val="00DF3A8B"/>
    <w:rsid w:val="00DF734C"/>
    <w:rsid w:val="00E0336F"/>
    <w:rsid w:val="00E04908"/>
    <w:rsid w:val="00E12D9E"/>
    <w:rsid w:val="00E14A07"/>
    <w:rsid w:val="00E20102"/>
    <w:rsid w:val="00E82951"/>
    <w:rsid w:val="00EB66B2"/>
    <w:rsid w:val="00EC1601"/>
    <w:rsid w:val="00EC5489"/>
    <w:rsid w:val="00ED23A5"/>
    <w:rsid w:val="00ED2CFC"/>
    <w:rsid w:val="00ED7E03"/>
    <w:rsid w:val="00EE16EA"/>
    <w:rsid w:val="00EF3875"/>
    <w:rsid w:val="00F00ADA"/>
    <w:rsid w:val="00F20432"/>
    <w:rsid w:val="00F24778"/>
    <w:rsid w:val="00F4417D"/>
    <w:rsid w:val="00F63AA7"/>
    <w:rsid w:val="00F63D14"/>
    <w:rsid w:val="00F67D92"/>
    <w:rsid w:val="00F80D68"/>
    <w:rsid w:val="00FA7DCA"/>
    <w:rsid w:val="00FB6A3D"/>
    <w:rsid w:val="00FD126E"/>
    <w:rsid w:val="045A15B4"/>
    <w:rsid w:val="067E4035"/>
    <w:rsid w:val="091C4A6B"/>
    <w:rsid w:val="0C974DA7"/>
    <w:rsid w:val="0F7A2122"/>
    <w:rsid w:val="10C049CE"/>
    <w:rsid w:val="11924297"/>
    <w:rsid w:val="13496601"/>
    <w:rsid w:val="13C251CA"/>
    <w:rsid w:val="1A760D44"/>
    <w:rsid w:val="22003D9C"/>
    <w:rsid w:val="2BC909A4"/>
    <w:rsid w:val="343B41B6"/>
    <w:rsid w:val="348A42B4"/>
    <w:rsid w:val="3C876C78"/>
    <w:rsid w:val="3EAD22FF"/>
    <w:rsid w:val="3F75206D"/>
    <w:rsid w:val="438717F2"/>
    <w:rsid w:val="44AC2ED1"/>
    <w:rsid w:val="49B92F03"/>
    <w:rsid w:val="4A074A9B"/>
    <w:rsid w:val="4ABE4B31"/>
    <w:rsid w:val="4E2669EA"/>
    <w:rsid w:val="58ED199C"/>
    <w:rsid w:val="5D6A086A"/>
    <w:rsid w:val="5E2D7B1F"/>
    <w:rsid w:val="68DD2387"/>
    <w:rsid w:val="6EC76270"/>
    <w:rsid w:val="6F0B549D"/>
    <w:rsid w:val="738B375B"/>
    <w:rsid w:val="79454B6C"/>
    <w:rsid w:val="7B455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200" w:firstLineChars="200"/>
      <w:jc w:val="both"/>
    </w:pPr>
    <w:rPr>
      <w:rFonts w:eastAsia="宋体" w:asciiTheme="minorHAnsi" w:hAnsiTheme="minorHAnsi" w:cstheme="minorBidi"/>
      <w:kern w:val="2"/>
      <w:sz w:val="28"/>
      <w:szCs w:val="22"/>
      <w:lang w:val="en-US" w:eastAsia="zh-CN" w:bidi="ar-SA"/>
    </w:rPr>
  </w:style>
  <w:style w:type="paragraph" w:styleId="3">
    <w:name w:val="heading 1"/>
    <w:basedOn w:val="4"/>
    <w:next w:val="1"/>
    <w:autoRedefine/>
    <w:qFormat/>
    <w:uiPriority w:val="9"/>
    <w:pPr>
      <w:ind w:firstLine="0" w:firstLineChars="0"/>
      <w:outlineLvl w:val="0"/>
    </w:pPr>
    <w:rPr>
      <w:rFonts w:ascii="Times New Roman" w:hAnsi="Times New Roman" w:eastAsiaTheme="majorEastAsia"/>
      <w:szCs w:val="28"/>
    </w:rPr>
  </w:style>
  <w:style w:type="paragraph" w:styleId="4">
    <w:name w:val="heading 2"/>
    <w:basedOn w:val="1"/>
    <w:next w:val="1"/>
    <w:unhideWhenUsed/>
    <w:qFormat/>
    <w:uiPriority w:val="9"/>
    <w:pPr>
      <w:keepNext/>
      <w:keepLines/>
      <w:outlineLvl w:val="1"/>
    </w:pPr>
    <w:rPr>
      <w:rFonts w:eastAsiaTheme="minorEastAsia" w:cstheme="majorBidi"/>
      <w:b/>
      <w:bCs/>
      <w:sz w:val="32"/>
      <w:szCs w:val="26"/>
    </w:rPr>
  </w:style>
  <w:style w:type="paragraph" w:styleId="2">
    <w:name w:val="heading 3"/>
    <w:basedOn w:val="1"/>
    <w:next w:val="1"/>
    <w:link w:val="33"/>
    <w:autoRedefine/>
    <w:unhideWhenUsed/>
    <w:qFormat/>
    <w:uiPriority w:val="9"/>
    <w:pPr>
      <w:keepNext/>
      <w:keepLines/>
      <w:jc w:val="left"/>
      <w:outlineLvl w:val="2"/>
    </w:pPr>
    <w:rPr>
      <w:rFonts w:ascii="Times New Roman" w:hAnsi="Times New Roman"/>
      <w:b/>
      <w:bCs/>
      <w:sz w:val="30"/>
      <w:szCs w:val="32"/>
    </w:rPr>
  </w:style>
  <w:style w:type="paragraph" w:styleId="5">
    <w:name w:val="heading 4"/>
    <w:basedOn w:val="1"/>
    <w:next w:val="1"/>
    <w:link w:val="26"/>
    <w:autoRedefine/>
    <w:unhideWhenUsed/>
    <w:qFormat/>
    <w:uiPriority w:val="0"/>
    <w:pPr>
      <w:keepNext/>
      <w:keepLines/>
      <w:spacing w:before="280" w:after="290"/>
      <w:ind w:firstLine="400" w:firstLineChars="400"/>
      <w:outlineLvl w:val="3"/>
    </w:pPr>
    <w:rPr>
      <w:rFonts w:asciiTheme="majorHAnsi" w:hAnsiTheme="majorHAnsi" w:eastAsiaTheme="majorEastAsia" w:cstheme="majorBidi"/>
      <w:b/>
      <w:bCs/>
      <w:szCs w:val="28"/>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29"/>
    <w:autoRedefine/>
    <w:unhideWhenUsed/>
    <w:qFormat/>
    <w:uiPriority w:val="99"/>
    <w:pPr>
      <w:ind w:firstLine="0" w:firstLineChars="0"/>
      <w:jc w:val="left"/>
    </w:pPr>
    <w:rPr>
      <w:sz w:val="21"/>
    </w:rPr>
  </w:style>
  <w:style w:type="paragraph" w:styleId="7">
    <w:name w:val="Body Text"/>
    <w:basedOn w:val="1"/>
    <w:next w:val="8"/>
    <w:link w:val="27"/>
    <w:qFormat/>
    <w:uiPriority w:val="1"/>
    <w:pPr>
      <w:autoSpaceDE w:val="0"/>
      <w:autoSpaceDN w:val="0"/>
      <w:spacing w:line="300" w:lineRule="auto"/>
      <w:jc w:val="left"/>
    </w:pPr>
    <w:rPr>
      <w:rFonts w:ascii="宋体" w:hAnsi="宋体" w:cs="宋体"/>
      <w:kern w:val="0"/>
      <w:szCs w:val="24"/>
      <w:lang w:val="zh-CN" w:bidi="zh-CN"/>
    </w:rPr>
  </w:style>
  <w:style w:type="paragraph" w:styleId="8">
    <w:name w:val="Title"/>
    <w:basedOn w:val="1"/>
    <w:next w:val="1"/>
    <w:autoRedefine/>
    <w:qFormat/>
    <w:uiPriority w:val="0"/>
    <w:pPr>
      <w:spacing w:before="240" w:after="60"/>
      <w:jc w:val="center"/>
      <w:outlineLvl w:val="0"/>
    </w:pPr>
    <w:rPr>
      <w:rFonts w:ascii="Calibri Light" w:hAnsi="Calibri Light" w:cs="宋体"/>
      <w:b/>
      <w:bCs/>
      <w:szCs w:val="32"/>
    </w:rPr>
  </w:style>
  <w:style w:type="paragraph" w:styleId="9">
    <w:name w:val="Plain Text"/>
    <w:basedOn w:val="1"/>
    <w:link w:val="30"/>
    <w:qFormat/>
    <w:uiPriority w:val="0"/>
    <w:pPr>
      <w:spacing w:line="240" w:lineRule="auto"/>
      <w:ind w:firstLine="0" w:firstLineChars="0"/>
    </w:pPr>
    <w:rPr>
      <w:rFonts w:hAnsi="Courier New" w:cs="Times New Roman"/>
      <w:sz w:val="20"/>
    </w:rPr>
  </w:style>
  <w:style w:type="paragraph" w:styleId="10">
    <w:name w:val="Balloon Text"/>
    <w:basedOn w:val="1"/>
    <w:link w:val="25"/>
    <w:autoRedefine/>
    <w:qFormat/>
    <w:uiPriority w:val="0"/>
    <w:rPr>
      <w:sz w:val="18"/>
      <w:szCs w:val="18"/>
    </w:rPr>
  </w:style>
  <w:style w:type="paragraph" w:styleId="11">
    <w:name w:val="footer"/>
    <w:basedOn w:val="1"/>
    <w:unhideWhenUsed/>
    <w:qFormat/>
    <w:uiPriority w:val="99"/>
    <w:pPr>
      <w:tabs>
        <w:tab w:val="center" w:pos="4320"/>
        <w:tab w:val="right" w:pos="8640"/>
      </w:tabs>
    </w:pPr>
  </w:style>
  <w:style w:type="paragraph" w:styleId="12">
    <w:name w:val="header"/>
    <w:basedOn w:val="1"/>
    <w:autoRedefine/>
    <w:unhideWhenUsed/>
    <w:qFormat/>
    <w:uiPriority w:val="99"/>
    <w:pPr>
      <w:tabs>
        <w:tab w:val="center" w:pos="4320"/>
        <w:tab w:val="right" w:pos="8640"/>
      </w:tabs>
    </w:pPr>
  </w:style>
  <w:style w:type="paragraph" w:styleId="13">
    <w:name w:val="annotation subject"/>
    <w:basedOn w:val="6"/>
    <w:next w:val="6"/>
    <w:link w:val="31"/>
    <w:qFormat/>
    <w:uiPriority w:val="0"/>
    <w:pPr>
      <w:ind w:firstLine="200" w:firstLineChars="200"/>
    </w:pPr>
    <w:rPr>
      <w:b/>
      <w:bCs/>
      <w:sz w:val="28"/>
    </w:rPr>
  </w:style>
  <w:style w:type="table" w:styleId="15">
    <w:name w:val="Table Grid"/>
    <w:basedOn w:val="14"/>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autoRedefine/>
    <w:qFormat/>
    <w:uiPriority w:val="22"/>
    <w:rPr>
      <w:b/>
      <w:bCs/>
    </w:rPr>
  </w:style>
  <w:style w:type="character" w:styleId="18">
    <w:name w:val="annotation reference"/>
    <w:basedOn w:val="16"/>
    <w:autoRedefine/>
    <w:qFormat/>
    <w:uiPriority w:val="0"/>
    <w:rPr>
      <w:sz w:val="21"/>
      <w:szCs w:val="21"/>
    </w:rPr>
  </w:style>
  <w:style w:type="paragraph" w:customStyle="1" w:styleId="19">
    <w:name w:val="表格"/>
    <w:basedOn w:val="1"/>
    <w:link w:val="24"/>
    <w:qFormat/>
    <w:uiPriority w:val="1"/>
    <w:pPr>
      <w:widowControl/>
      <w:ind w:firstLine="0" w:firstLineChars="0"/>
      <w:jc w:val="center"/>
    </w:pPr>
    <w:rPr>
      <w:rFonts w:ascii="宋体" w:hAnsi="宋体" w:cs="宋体"/>
      <w:color w:val="000000"/>
      <w:kern w:val="0"/>
      <w:sz w:val="24"/>
      <w:szCs w:val="24"/>
    </w:rPr>
  </w:style>
  <w:style w:type="paragraph" w:styleId="20">
    <w:name w:val="List Paragraph"/>
    <w:basedOn w:val="1"/>
    <w:autoRedefine/>
    <w:qFormat/>
    <w:uiPriority w:val="99"/>
    <w:pPr>
      <w:ind w:firstLine="420"/>
    </w:pPr>
  </w:style>
  <w:style w:type="character" w:customStyle="1" w:styleId="21">
    <w:name w:val="font31"/>
    <w:basedOn w:val="16"/>
    <w:autoRedefine/>
    <w:qFormat/>
    <w:uiPriority w:val="0"/>
    <w:rPr>
      <w:rFonts w:hint="default" w:ascii="Calibri" w:hAnsi="Calibri" w:cs="Calibri"/>
      <w:color w:val="000000"/>
      <w:sz w:val="21"/>
      <w:szCs w:val="21"/>
      <w:u w:val="none"/>
    </w:rPr>
  </w:style>
  <w:style w:type="character" w:customStyle="1" w:styleId="22">
    <w:name w:val="font01"/>
    <w:basedOn w:val="16"/>
    <w:autoRedefine/>
    <w:qFormat/>
    <w:uiPriority w:val="0"/>
    <w:rPr>
      <w:rFonts w:hint="eastAsia" w:ascii="宋体" w:hAnsi="宋体" w:eastAsia="宋体"/>
      <w:color w:val="000000"/>
      <w:sz w:val="21"/>
      <w:szCs w:val="21"/>
      <w:u w:val="none"/>
    </w:rPr>
  </w:style>
  <w:style w:type="character" w:customStyle="1" w:styleId="23">
    <w:name w:val="font41"/>
    <w:basedOn w:val="16"/>
    <w:qFormat/>
    <w:uiPriority w:val="0"/>
    <w:rPr>
      <w:rFonts w:hint="default" w:ascii="Calibri" w:hAnsi="Calibri" w:cs="Calibri"/>
      <w:color w:val="000000"/>
      <w:sz w:val="21"/>
      <w:szCs w:val="21"/>
      <w:u w:val="none"/>
      <w:vertAlign w:val="superscript"/>
    </w:rPr>
  </w:style>
  <w:style w:type="character" w:customStyle="1" w:styleId="24">
    <w:name w:val="表格 字符"/>
    <w:basedOn w:val="16"/>
    <w:link w:val="19"/>
    <w:qFormat/>
    <w:uiPriority w:val="0"/>
    <w:rPr>
      <w:rFonts w:ascii="宋体" w:hAnsi="宋体" w:eastAsia="宋体" w:cs="宋体"/>
      <w:color w:val="000000"/>
      <w:sz w:val="24"/>
      <w:szCs w:val="24"/>
    </w:rPr>
  </w:style>
  <w:style w:type="character" w:customStyle="1" w:styleId="25">
    <w:name w:val="批注框文本 字符"/>
    <w:basedOn w:val="16"/>
    <w:link w:val="10"/>
    <w:qFormat/>
    <w:uiPriority w:val="0"/>
    <w:rPr>
      <w:rFonts w:eastAsia="宋体"/>
      <w:kern w:val="2"/>
      <w:sz w:val="18"/>
      <w:szCs w:val="18"/>
    </w:rPr>
  </w:style>
  <w:style w:type="character" w:customStyle="1" w:styleId="26">
    <w:name w:val="标题 4 字符"/>
    <w:basedOn w:val="16"/>
    <w:link w:val="5"/>
    <w:qFormat/>
    <w:uiPriority w:val="0"/>
    <w:rPr>
      <w:rFonts w:asciiTheme="majorHAnsi" w:hAnsiTheme="majorHAnsi" w:eastAsiaTheme="majorEastAsia" w:cstheme="majorBidi"/>
      <w:b/>
      <w:bCs/>
      <w:kern w:val="2"/>
      <w:sz w:val="28"/>
      <w:szCs w:val="28"/>
    </w:rPr>
  </w:style>
  <w:style w:type="character" w:customStyle="1" w:styleId="27">
    <w:name w:val="正文文本 字符"/>
    <w:basedOn w:val="16"/>
    <w:link w:val="7"/>
    <w:qFormat/>
    <w:uiPriority w:val="1"/>
    <w:rPr>
      <w:rFonts w:ascii="宋体" w:hAnsi="宋体" w:eastAsia="宋体" w:cs="宋体"/>
      <w:sz w:val="28"/>
      <w:szCs w:val="24"/>
      <w:lang w:val="zh-CN" w:bidi="zh-CN"/>
    </w:rPr>
  </w:style>
  <w:style w:type="character" w:customStyle="1" w:styleId="28">
    <w:name w:val="表格 Char"/>
    <w:qFormat/>
    <w:uiPriority w:val="1"/>
    <w:rPr>
      <w:rFonts w:ascii="宋体" w:hAnsi="宋体" w:cs="宋体"/>
      <w:sz w:val="21"/>
      <w:szCs w:val="22"/>
      <w:lang w:val="zh-CN" w:bidi="zh-CN"/>
    </w:rPr>
  </w:style>
  <w:style w:type="character" w:customStyle="1" w:styleId="29">
    <w:name w:val="批注文字 字符"/>
    <w:basedOn w:val="16"/>
    <w:link w:val="6"/>
    <w:autoRedefine/>
    <w:qFormat/>
    <w:uiPriority w:val="99"/>
    <w:rPr>
      <w:rFonts w:eastAsia="宋体"/>
      <w:kern w:val="2"/>
      <w:sz w:val="21"/>
      <w:szCs w:val="22"/>
    </w:rPr>
  </w:style>
  <w:style w:type="character" w:customStyle="1" w:styleId="30">
    <w:name w:val="纯文本 字符"/>
    <w:basedOn w:val="16"/>
    <w:link w:val="9"/>
    <w:autoRedefine/>
    <w:qFormat/>
    <w:uiPriority w:val="0"/>
    <w:rPr>
      <w:rFonts w:hAnsi="Courier New" w:eastAsia="宋体" w:cs="Times New Roman"/>
      <w:kern w:val="2"/>
      <w:szCs w:val="22"/>
    </w:rPr>
  </w:style>
  <w:style w:type="character" w:customStyle="1" w:styleId="31">
    <w:name w:val="批注主题 字符"/>
    <w:basedOn w:val="29"/>
    <w:link w:val="13"/>
    <w:autoRedefine/>
    <w:qFormat/>
    <w:uiPriority w:val="0"/>
    <w:rPr>
      <w:rFonts w:eastAsia="宋体"/>
      <w:b/>
      <w:bCs/>
      <w:kern w:val="2"/>
      <w:sz w:val="28"/>
      <w:szCs w:val="22"/>
    </w:rPr>
  </w:style>
  <w:style w:type="paragraph" w:customStyle="1" w:styleId="32">
    <w:name w:val="修订1"/>
    <w:hidden/>
    <w:semiHidden/>
    <w:uiPriority w:val="99"/>
    <w:rPr>
      <w:rFonts w:eastAsia="宋体" w:asciiTheme="minorHAnsi" w:hAnsiTheme="minorHAnsi" w:cstheme="minorBidi"/>
      <w:kern w:val="2"/>
      <w:sz w:val="28"/>
      <w:szCs w:val="22"/>
      <w:lang w:val="en-US" w:eastAsia="zh-CN" w:bidi="ar-SA"/>
    </w:rPr>
  </w:style>
  <w:style w:type="character" w:customStyle="1" w:styleId="33">
    <w:name w:val="标题 3 字符"/>
    <w:basedOn w:val="16"/>
    <w:link w:val="2"/>
    <w:qFormat/>
    <w:uiPriority w:val="9"/>
    <w:rPr>
      <w:rFonts w:ascii="Times New Roman" w:hAnsi="Times New Roman" w:eastAsia="宋体"/>
      <w:b/>
      <w:bCs/>
      <w:kern w:val="2"/>
      <w:sz w:val="30"/>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11</Pages>
  <Words>5136</Words>
  <Characters>5372</Characters>
  <Lines>39</Lines>
  <Paragraphs>11</Paragraphs>
  <TotalTime>5</TotalTime>
  <ScaleCrop>false</ScaleCrop>
  <LinksUpToDate>false</LinksUpToDate>
  <CharactersWithSpaces>5375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2022-08-08T12:43:00Z</dcterms:created>
  <dc:creator>建筑综合设计院</dc:creator>
  <cp:lastModifiedBy>马磊</cp:lastModifiedBy>
  <dcterms:modified xsi:type="dcterms:W3CDTF">2024-10-22T10:11:55Z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0D3FED3F9D344953A8593F1E3D21B440</vt:lpwstr>
  </property>
</Properties>
</file>