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spacing w:line="440" w:lineRule="exact"/>
        <w:jc w:val="center"/>
        <w:rPr>
          <w:color w:val="auto"/>
          <w:highlight w:val="none"/>
        </w:rPr>
      </w:pPr>
      <w:r>
        <w:rPr>
          <w:rFonts w:eastAsia="黑体"/>
          <w:b/>
          <w:bCs/>
          <w:color w:val="auto"/>
          <w:highlight w:val="none"/>
        </w:rPr>
        <w:t>附录1   资格审查条件（资质最低条件）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8522" w:type="dxa"/>
            <w:noWrap w:val="0"/>
            <w:vAlign w:val="center"/>
          </w:tcPr>
          <w:p>
            <w:pPr>
              <w:spacing w:line="360" w:lineRule="auto"/>
              <w:ind w:firstLine="420" w:firstLineChars="200"/>
              <w:rPr>
                <w:rFonts w:ascii="Times New Roman" w:hAnsi="Times New Roman"/>
                <w:color w:val="auto"/>
                <w:sz w:val="21"/>
                <w:szCs w:val="21"/>
                <w:highlight w:val="none"/>
              </w:rPr>
            </w:pPr>
            <w:r>
              <w:rPr>
                <w:rFonts w:ascii="Times New Roman"/>
                <w:color w:val="auto"/>
                <w:sz w:val="21"/>
                <w:szCs w:val="21"/>
                <w:highlight w:val="none"/>
              </w:rPr>
              <w:t>同时具备：</w:t>
            </w:r>
          </w:p>
          <w:p>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ascii="Times New Roman"/>
                <w:color w:val="auto"/>
                <w:sz w:val="21"/>
                <w:szCs w:val="21"/>
                <w:highlight w:val="none"/>
              </w:rPr>
              <w:t>、具有在中华人民共和国境内工商管理部门注册的有效的独立企业法人营业执照。</w:t>
            </w:r>
          </w:p>
          <w:p>
            <w:pPr>
              <w:spacing w:line="360" w:lineRule="auto"/>
              <w:ind w:firstLine="480"/>
              <w:rPr>
                <w:rFonts w:ascii="Times New Roman" w:hAnsi="Times New Roman"/>
                <w:color w:val="auto"/>
                <w:sz w:val="21"/>
                <w:szCs w:val="21"/>
                <w:highlight w:val="none"/>
              </w:rPr>
            </w:pPr>
          </w:p>
          <w:p>
            <w:pPr>
              <w:spacing w:line="400" w:lineRule="exact"/>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2</w:t>
            </w:r>
            <w:r>
              <w:rPr>
                <w:rFonts w:ascii="Times New Roman"/>
                <w:color w:val="auto"/>
                <w:kern w:val="0"/>
                <w:sz w:val="21"/>
                <w:szCs w:val="21"/>
                <w:highlight w:val="none"/>
              </w:rPr>
              <w:t>、</w:t>
            </w:r>
            <w:r>
              <w:rPr>
                <w:color w:val="auto"/>
                <w:sz w:val="21"/>
                <w:szCs w:val="21"/>
                <w:highlight w:val="none"/>
              </w:rPr>
              <w:t>具备建设主管部门颁发的工程设计综合资质（甲级）资质证书</w:t>
            </w:r>
            <w:r>
              <w:rPr>
                <w:rFonts w:hint="eastAsia"/>
                <w:color w:val="auto"/>
                <w:sz w:val="21"/>
                <w:szCs w:val="21"/>
                <w:highlight w:val="none"/>
              </w:rPr>
              <w:t>，</w:t>
            </w:r>
            <w:r>
              <w:rPr>
                <w:color w:val="auto"/>
                <w:sz w:val="21"/>
                <w:szCs w:val="21"/>
                <w:highlight w:val="none"/>
              </w:rPr>
              <w:t>或</w:t>
            </w:r>
            <w:r>
              <w:rPr>
                <w:rFonts w:hint="eastAsia"/>
                <w:color w:val="auto"/>
                <w:sz w:val="21"/>
                <w:szCs w:val="21"/>
                <w:highlight w:val="none"/>
              </w:rPr>
              <w:t>同时具备</w:t>
            </w:r>
            <w:r>
              <w:rPr>
                <w:color w:val="auto"/>
                <w:sz w:val="21"/>
                <w:szCs w:val="21"/>
                <w:highlight w:val="none"/>
              </w:rPr>
              <w:t>公路行业设计甲级资质证书</w:t>
            </w:r>
            <w:r>
              <w:rPr>
                <w:rFonts w:hint="eastAsia"/>
                <w:color w:val="auto"/>
                <w:sz w:val="21"/>
                <w:szCs w:val="21"/>
                <w:highlight w:val="none"/>
              </w:rPr>
              <w:t>（或具备</w:t>
            </w:r>
            <w:r>
              <w:rPr>
                <w:color w:val="auto"/>
                <w:sz w:val="21"/>
                <w:szCs w:val="21"/>
                <w:highlight w:val="none"/>
              </w:rPr>
              <w:t>公路行业（公路）专业设计甲级</w:t>
            </w:r>
            <w:r>
              <w:rPr>
                <w:rFonts w:hint="eastAsia"/>
                <w:color w:val="auto"/>
                <w:sz w:val="21"/>
                <w:szCs w:val="21"/>
                <w:highlight w:val="none"/>
              </w:rPr>
              <w:t>资质）和市政行业设计甲级资质证书（或市政行业（燃气工程、轨道交通工程除外）设计甲级或市政行业（道路工程）专业设计甲级</w:t>
            </w:r>
            <w:r>
              <w:rPr>
                <w:rFonts w:hint="eastAsia" w:ascii="Times New Roman"/>
                <w:color w:val="auto"/>
                <w:kern w:val="0"/>
                <w:sz w:val="21"/>
                <w:szCs w:val="21"/>
                <w:highlight w:val="none"/>
              </w:rPr>
              <w:t>）</w:t>
            </w:r>
          </w:p>
          <w:p>
            <w:pPr>
              <w:spacing w:line="360" w:lineRule="auto"/>
              <w:ind w:firstLine="480"/>
              <w:rPr>
                <w:rFonts w:ascii="Times New Roman" w:hAnsi="Times New Roman"/>
                <w:color w:val="auto"/>
                <w:sz w:val="21"/>
                <w:szCs w:val="21"/>
                <w:highlight w:val="none"/>
              </w:rPr>
            </w:pPr>
          </w:p>
          <w:p>
            <w:pPr>
              <w:snapToGrid w:val="0"/>
              <w:spacing w:line="420" w:lineRule="exact"/>
              <w:ind w:firstLine="420" w:firstLineChars="200"/>
              <w:rPr>
                <w:rFonts w:ascii="Times New Roman" w:hAnsi="Times New Roman"/>
                <w:b/>
                <w:color w:val="auto"/>
                <w:sz w:val="21"/>
                <w:szCs w:val="21"/>
                <w:highlight w:val="none"/>
              </w:rPr>
            </w:pPr>
            <w:r>
              <w:rPr>
                <w:rFonts w:ascii="Times New Roman" w:hAnsi="Times New Roman"/>
                <w:color w:val="auto"/>
                <w:sz w:val="21"/>
                <w:szCs w:val="21"/>
                <w:highlight w:val="none"/>
              </w:rPr>
              <w:t>3</w:t>
            </w:r>
            <w:r>
              <w:rPr>
                <w:rFonts w:ascii="Times New Roman"/>
                <w:color w:val="auto"/>
                <w:sz w:val="21"/>
                <w:szCs w:val="21"/>
                <w:highlight w:val="none"/>
              </w:rPr>
              <w:t>、具备建设主管部门颁发的工程勘察综合类资质（甲级）证书或同时具备工程勘察专业类（工程测量）乙级（或以上）资质证书及工程勘察专业类（岩土工程）甲级资质证书或同时具备工程勘察专业类（工程测量）乙级（或以上）资质证书及工程勘察专业类（岩土工程（勘察））甲级资质证书。</w:t>
            </w:r>
          </w:p>
          <w:p>
            <w:pPr>
              <w:spacing w:line="312" w:lineRule="auto"/>
              <w:rPr>
                <w:rFonts w:ascii="Times New Roman" w:hAnsi="Times New Roman"/>
                <w:color w:val="auto"/>
                <w:sz w:val="21"/>
                <w:szCs w:val="21"/>
                <w:highlight w:val="none"/>
              </w:rPr>
            </w:pPr>
          </w:p>
        </w:tc>
      </w:tr>
    </w:tbl>
    <w:p>
      <w:pPr>
        <w:topLinePunct/>
        <w:spacing w:line="240" w:lineRule="auto"/>
        <w:rPr>
          <w:color w:val="auto"/>
          <w:sz w:val="18"/>
          <w:szCs w:val="18"/>
          <w:highlight w:val="none"/>
        </w:rPr>
      </w:pPr>
      <w:r>
        <w:rPr>
          <w:color w:val="auto"/>
          <w:sz w:val="18"/>
          <w:szCs w:val="18"/>
          <w:highlight w:val="none"/>
        </w:rPr>
        <w:t>注：</w:t>
      </w:r>
    </w:p>
    <w:p>
      <w:pPr>
        <w:topLinePunct/>
        <w:adjustRightInd/>
        <w:spacing w:line="240" w:lineRule="auto"/>
        <w:jc w:val="both"/>
        <w:textAlignment w:val="auto"/>
        <w:rPr>
          <w:color w:val="auto"/>
          <w:sz w:val="18"/>
          <w:szCs w:val="18"/>
          <w:highlight w:val="none"/>
        </w:rPr>
      </w:pPr>
      <w:r>
        <w:rPr>
          <w:color w:val="auto"/>
          <w:sz w:val="18"/>
          <w:szCs w:val="18"/>
          <w:highlight w:val="none"/>
        </w:rPr>
        <w:t>1.招标人将按照交通运输部《全国公路建设市场信用信息管理系统》网站中“公路工程设计资质企业名录”（以上简称“名录”）进行审核。对于未列入“名录”或投标人名称、资质信息与“名录”查询结果不符的，将不能通过资格审查</w:t>
      </w:r>
      <w:r>
        <w:rPr>
          <w:rFonts w:hint="eastAsia"/>
          <w:color w:val="auto"/>
          <w:sz w:val="18"/>
          <w:szCs w:val="18"/>
          <w:highlight w:val="none"/>
        </w:rPr>
        <w:t>（市政资质不需要在名录中）</w:t>
      </w:r>
      <w:r>
        <w:rPr>
          <w:color w:val="auto"/>
          <w:sz w:val="18"/>
          <w:szCs w:val="18"/>
          <w:highlight w:val="none"/>
        </w:rPr>
        <w:t>。</w:t>
      </w:r>
    </w:p>
    <w:p>
      <w:pPr>
        <w:pStyle w:val="6"/>
        <w:wordWrap w:val="0"/>
        <w:topLinePunct/>
        <w:adjustRightInd/>
        <w:spacing w:line="480" w:lineRule="exact"/>
        <w:ind w:firstLine="0" w:firstLineChars="0"/>
        <w:jc w:val="center"/>
        <w:rPr>
          <w:rFonts w:ascii="Times New Roman" w:hAnsi="Times New Roman"/>
          <w:color w:val="auto"/>
          <w:sz w:val="18"/>
          <w:szCs w:val="18"/>
          <w:highlight w:val="none"/>
        </w:rPr>
        <w:sectPr>
          <w:footnotePr>
            <w:numFmt w:val="decimalEnclosedCircleChinese"/>
            <w:numRestart w:val="eachPage"/>
          </w:footnotePr>
          <w:pgSz w:w="11900" w:h="16840"/>
          <w:pgMar w:top="1440" w:right="1797" w:bottom="1440" w:left="1797" w:header="851" w:footer="992" w:gutter="0"/>
          <w:cols w:space="720" w:num="1"/>
          <w:docGrid w:linePitch="326" w:charSpace="0"/>
        </w:sectPr>
      </w:pPr>
    </w:p>
    <w:p>
      <w:pPr>
        <w:pStyle w:val="6"/>
        <w:topLinePunct/>
        <w:adjustRightInd/>
        <w:spacing w:line="240" w:lineRule="auto"/>
        <w:ind w:firstLine="0" w:firstLineChars="0"/>
        <w:jc w:val="center"/>
        <w:rPr>
          <w:rFonts w:ascii="Times New Roman" w:hAnsi="Times New Roman"/>
          <w:color w:val="auto"/>
          <w:sz w:val="18"/>
          <w:szCs w:val="18"/>
          <w:highlight w:val="none"/>
        </w:rPr>
      </w:pPr>
      <w:r>
        <w:rPr>
          <w:rFonts w:ascii="Times New Roman" w:hAnsi="Times New Roman" w:eastAsia="黑体"/>
          <w:b/>
          <w:bCs/>
          <w:color w:val="auto"/>
          <w:highlight w:val="none"/>
        </w:rPr>
        <w:t>附录2   资格审查条件（业绩最低条件）</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89" w:hRule="atLeast"/>
          <w:tblHeader/>
          <w:jc w:val="center"/>
        </w:trPr>
        <w:tc>
          <w:tcPr>
            <w:tcW w:w="8522" w:type="dxa"/>
            <w:tcBorders>
              <w:top w:val="outset" w:color="auto" w:sz="6" w:space="0"/>
              <w:left w:val="outset" w:color="auto" w:sz="6" w:space="0"/>
              <w:bottom w:val="outset" w:color="auto" w:sz="6" w:space="0"/>
              <w:right w:val="single" w:color="auto" w:sz="4" w:space="0"/>
            </w:tcBorders>
            <w:noWrap w:val="0"/>
            <w:vAlign w:val="center"/>
          </w:tcPr>
          <w:p>
            <w:pPr>
              <w:topLinePunct/>
              <w:spacing w:line="240" w:lineRule="auto"/>
              <w:jc w:val="center"/>
              <w:rPr>
                <w:rFonts w:ascii="Times New Roman" w:hAnsi="Times New Roman"/>
                <w:b/>
                <w:color w:val="auto"/>
                <w:sz w:val="21"/>
                <w:szCs w:val="21"/>
                <w:highlight w:val="none"/>
              </w:rPr>
            </w:pPr>
            <w:r>
              <w:rPr>
                <w:rFonts w:ascii="Times New Roman"/>
                <w:b/>
                <w:color w:val="auto"/>
                <w:sz w:val="21"/>
                <w:szCs w:val="21"/>
                <w:highlight w:val="none"/>
              </w:rPr>
              <w:t>业绩要求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0" w:hRule="atLeast"/>
          <w:jc w:val="center"/>
        </w:trPr>
        <w:tc>
          <w:tcPr>
            <w:tcW w:w="8522" w:type="dxa"/>
            <w:tcBorders>
              <w:top w:val="single" w:color="auto" w:sz="4" w:space="0"/>
              <w:left w:val="outset" w:color="auto" w:sz="6" w:space="0"/>
              <w:bottom w:val="single" w:color="auto" w:sz="4" w:space="0"/>
              <w:right w:val="single" w:color="auto" w:sz="4" w:space="0"/>
            </w:tcBorders>
            <w:noWrap w:val="0"/>
            <w:vAlign w:val="center"/>
          </w:tcPr>
          <w:p>
            <w:pPr>
              <w:spacing w:line="360" w:lineRule="auto"/>
              <w:ind w:firstLine="420" w:firstLineChars="200"/>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近五年累计完成长度不少于</w:t>
            </w:r>
            <w:r>
              <w:rPr>
                <w:rFonts w:hint="default" w:ascii="Times New Roman" w:hAnsi="Times New Roman"/>
                <w:color w:val="auto"/>
                <w:sz w:val="21"/>
                <w:szCs w:val="21"/>
                <w:highlight w:val="none"/>
              </w:rPr>
              <w:t>1</w:t>
            </w:r>
            <w:r>
              <w:rPr>
                <w:rFonts w:hint="eastAsia" w:ascii="Times New Roman" w:hAnsi="Times New Roman"/>
                <w:color w:val="auto"/>
                <w:sz w:val="21"/>
                <w:szCs w:val="21"/>
                <w:highlight w:val="none"/>
                <w:lang w:val="en-US" w:eastAsia="zh-Hans"/>
              </w:rPr>
              <w:t>.</w:t>
            </w:r>
            <w:r>
              <w:rPr>
                <w:rFonts w:hint="default" w:ascii="Times New Roman" w:hAnsi="Times New Roman"/>
                <w:color w:val="auto"/>
                <w:sz w:val="21"/>
                <w:szCs w:val="21"/>
                <w:highlight w:val="none"/>
                <w:lang w:eastAsia="zh-Hans"/>
              </w:rPr>
              <w:t>5</w:t>
            </w:r>
            <w:r>
              <w:rPr>
                <w:rFonts w:hint="eastAsia" w:ascii="Times New Roman" w:hAnsi="Times New Roman"/>
                <w:color w:val="auto"/>
                <w:sz w:val="21"/>
                <w:szCs w:val="21"/>
                <w:highlight w:val="none"/>
              </w:rPr>
              <w:t>公里的一级（或以上）公路新、改（扩）等项目的勘察设计工作。</w:t>
            </w:r>
          </w:p>
        </w:tc>
      </w:tr>
    </w:tbl>
    <w:p>
      <w:pPr>
        <w:spacing w:line="288" w:lineRule="auto"/>
        <w:rPr>
          <w:color w:val="auto"/>
          <w:sz w:val="18"/>
          <w:szCs w:val="18"/>
          <w:highlight w:val="none"/>
        </w:rPr>
      </w:pPr>
      <w:r>
        <w:rPr>
          <w:rFonts w:hAnsi="宋体"/>
          <w:color w:val="auto"/>
          <w:sz w:val="18"/>
          <w:szCs w:val="18"/>
          <w:highlight w:val="none"/>
        </w:rPr>
        <w:t>注：</w:t>
      </w:r>
    </w:p>
    <w:p>
      <w:pPr>
        <w:topLinePunct/>
        <w:adjustRightInd/>
        <w:spacing w:line="288" w:lineRule="auto"/>
        <w:jc w:val="both"/>
        <w:textAlignment w:val="auto"/>
        <w:rPr>
          <w:color w:val="auto"/>
          <w:sz w:val="18"/>
          <w:szCs w:val="18"/>
          <w:highlight w:val="none"/>
        </w:rPr>
      </w:pPr>
      <w:r>
        <w:rPr>
          <w:color w:val="auto"/>
          <w:sz w:val="18"/>
          <w:szCs w:val="18"/>
          <w:highlight w:val="none"/>
        </w:rPr>
        <w:t>1、若投标人提供的业绩证明为联合体业绩，则按交通运输部“全国公路建设市场信用信息管理系统”业绩信息的网页截图）体现其完成的工作量认定，无法界定其完成的工作量，此业绩不予认定。</w:t>
      </w:r>
    </w:p>
    <w:p>
      <w:pPr>
        <w:topLinePunct/>
        <w:adjustRightInd/>
        <w:spacing w:line="288" w:lineRule="auto"/>
        <w:jc w:val="both"/>
        <w:textAlignment w:val="auto"/>
        <w:rPr>
          <w:color w:val="auto"/>
          <w:sz w:val="18"/>
          <w:szCs w:val="18"/>
          <w:highlight w:val="none"/>
        </w:rPr>
      </w:pPr>
      <w:r>
        <w:rPr>
          <w:color w:val="auto"/>
          <w:sz w:val="18"/>
          <w:szCs w:val="18"/>
          <w:highlight w:val="none"/>
        </w:rPr>
        <w:t>2、若为联合体投标，投标人业绩的资格审查条件和加分条件（如有）的认定原则如下：</w:t>
      </w:r>
    </w:p>
    <w:p>
      <w:pPr>
        <w:topLinePunct/>
        <w:adjustRightInd/>
        <w:spacing w:line="288" w:lineRule="auto"/>
        <w:jc w:val="both"/>
        <w:textAlignment w:val="auto"/>
        <w:rPr>
          <w:color w:val="auto"/>
          <w:sz w:val="18"/>
          <w:szCs w:val="18"/>
          <w:highlight w:val="none"/>
          <w:u w:val="single"/>
        </w:rPr>
      </w:pPr>
      <w:r>
        <w:rPr>
          <w:color w:val="auto"/>
          <w:sz w:val="18"/>
          <w:szCs w:val="18"/>
          <w:highlight w:val="none"/>
          <w:u w:val="single"/>
        </w:rPr>
        <w:t>以牵头人的业绩计算</w:t>
      </w:r>
    </w:p>
    <w:p>
      <w:pPr>
        <w:topLinePunct/>
        <w:adjustRightInd/>
        <w:spacing w:line="288" w:lineRule="auto"/>
        <w:jc w:val="both"/>
        <w:textAlignment w:val="auto"/>
        <w:rPr>
          <w:color w:val="auto"/>
          <w:sz w:val="18"/>
          <w:szCs w:val="18"/>
          <w:highlight w:val="none"/>
        </w:rPr>
      </w:pPr>
      <w:r>
        <w:rPr>
          <w:color w:val="auto"/>
          <w:sz w:val="18"/>
          <w:szCs w:val="18"/>
          <w:highlight w:val="none"/>
        </w:rPr>
        <w:t>3、完成是指完成施工图设计；业绩认定时间以施工图批复时间为准。</w:t>
      </w:r>
    </w:p>
    <w:p>
      <w:pPr>
        <w:topLinePunct/>
        <w:adjustRightInd/>
        <w:jc w:val="center"/>
        <w:rPr>
          <w:rFonts w:eastAsia="黑体"/>
          <w:b/>
          <w:bCs/>
          <w:color w:val="auto"/>
          <w:sz w:val="27"/>
          <w:szCs w:val="27"/>
          <w:highlight w:val="none"/>
        </w:rPr>
      </w:pPr>
    </w:p>
    <w:p>
      <w:pPr>
        <w:topLinePunct/>
        <w:adjustRightInd/>
        <w:jc w:val="center"/>
        <w:rPr>
          <w:rFonts w:eastAsia="黑体"/>
          <w:b/>
          <w:bCs/>
          <w:color w:val="auto"/>
          <w:sz w:val="27"/>
          <w:szCs w:val="27"/>
          <w:highlight w:val="none"/>
        </w:rPr>
      </w:pPr>
      <w:r>
        <w:rPr>
          <w:rFonts w:eastAsia="黑体"/>
          <w:b/>
          <w:bCs/>
          <w:color w:val="auto"/>
          <w:sz w:val="27"/>
          <w:szCs w:val="27"/>
          <w:highlight w:val="none"/>
        </w:rPr>
        <w:t>附录3  资格审查条件（信誉最低条件）</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atLeast"/>
          <w:jc w:val="center"/>
        </w:trPr>
        <w:tc>
          <w:tcPr>
            <w:tcW w:w="8528" w:type="dxa"/>
            <w:tcBorders>
              <w:bottom w:val="single" w:color="auto" w:sz="4" w:space="0"/>
            </w:tcBorders>
            <w:noWrap w:val="0"/>
            <w:vAlign w:val="center"/>
          </w:tcPr>
          <w:p>
            <w:pPr>
              <w:wordWrap w:val="0"/>
              <w:topLinePunct/>
              <w:spacing w:line="360" w:lineRule="auto"/>
              <w:jc w:val="center"/>
              <w:rPr>
                <w:rFonts w:ascii="Times New Roman" w:hAnsi="Times New Roman"/>
                <w:b/>
                <w:color w:val="auto"/>
                <w:highlight w:val="none"/>
              </w:rPr>
            </w:pPr>
            <w:r>
              <w:rPr>
                <w:rFonts w:ascii="Times New Roman"/>
                <w:b/>
                <w:color w:val="auto"/>
                <w:highlight w:val="none"/>
              </w:rPr>
              <w:t>信</w:t>
            </w:r>
            <w:r>
              <w:rPr>
                <w:rFonts w:ascii="Times New Roman" w:hAnsi="Times New Roman"/>
                <w:b/>
                <w:color w:val="auto"/>
                <w:highlight w:val="none"/>
              </w:rPr>
              <w:t xml:space="preserve"> </w:t>
            </w:r>
            <w:r>
              <w:rPr>
                <w:rFonts w:ascii="Times New Roman"/>
                <w:b/>
                <w:color w:val="auto"/>
                <w:highlight w:val="none"/>
              </w:rPr>
              <w:t>誉</w:t>
            </w:r>
            <w:r>
              <w:rPr>
                <w:rFonts w:ascii="Times New Roman" w:hAnsi="Times New Roman"/>
                <w:b/>
                <w:color w:val="auto"/>
                <w:highlight w:val="none"/>
              </w:rPr>
              <w:t xml:space="preserve"> </w:t>
            </w:r>
            <w:r>
              <w:rPr>
                <w:rFonts w:ascii="Times New Roman"/>
                <w:b/>
                <w:color w:val="auto"/>
                <w:highlight w:val="none"/>
              </w:rPr>
              <w:t>要</w:t>
            </w:r>
            <w:r>
              <w:rPr>
                <w:rFonts w:ascii="Times New Roman" w:hAnsi="Times New Roman"/>
                <w:b/>
                <w:color w:val="auto"/>
                <w:highlight w:val="none"/>
              </w:rPr>
              <w:t xml:space="preserve"> </w:t>
            </w:r>
            <w:r>
              <w:rPr>
                <w:rFonts w:ascii="Times New Roman"/>
                <w:b/>
                <w:color w:val="auto"/>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3" w:hRule="atLeast"/>
          <w:jc w:val="center"/>
        </w:trPr>
        <w:tc>
          <w:tcPr>
            <w:tcW w:w="8528" w:type="dxa"/>
            <w:tcBorders>
              <w:top w:val="single" w:color="auto" w:sz="4" w:space="0"/>
            </w:tcBorders>
            <w:noWrap w:val="0"/>
            <w:vAlign w:val="center"/>
          </w:tcPr>
          <w:p>
            <w:pPr>
              <w:spacing w:line="360" w:lineRule="auto"/>
              <w:ind w:firstLine="420" w:firstLineChars="200"/>
              <w:rPr>
                <w:color w:val="auto"/>
                <w:sz w:val="21"/>
                <w:szCs w:val="21"/>
                <w:highlight w:val="none"/>
              </w:rPr>
            </w:pPr>
            <w:r>
              <w:rPr>
                <w:color w:val="auto"/>
                <w:sz w:val="21"/>
                <w:szCs w:val="21"/>
                <w:highlight w:val="none"/>
              </w:rPr>
              <w:t>1、在最新年度广东省公路工程从业单位（设计单位）信用评价（含无最新年度而上一年度有信用评价）中，信用等级未被评为D级；</w:t>
            </w:r>
          </w:p>
          <w:p>
            <w:pPr>
              <w:spacing w:line="360" w:lineRule="auto"/>
              <w:ind w:firstLine="420" w:firstLineChars="200"/>
              <w:rPr>
                <w:rFonts w:ascii="Times New Roman" w:hAnsi="Times New Roman"/>
                <w:color w:val="auto"/>
                <w:sz w:val="21"/>
                <w:szCs w:val="21"/>
                <w:highlight w:val="none"/>
              </w:rPr>
            </w:pPr>
            <w:r>
              <w:rPr>
                <w:color w:val="auto"/>
                <w:sz w:val="21"/>
                <w:szCs w:val="21"/>
                <w:highlight w:val="none"/>
              </w:rPr>
              <w:t>初次进入广东省的投标人，在最新年度全国公路从业单位（勘察设计单位）信用评价结果中未被评为D级。</w:t>
            </w:r>
          </w:p>
        </w:tc>
      </w:tr>
    </w:tbl>
    <w:p>
      <w:pPr>
        <w:spacing w:line="288" w:lineRule="auto"/>
        <w:rPr>
          <w:color w:val="auto"/>
          <w:sz w:val="18"/>
          <w:szCs w:val="18"/>
          <w:highlight w:val="none"/>
        </w:rPr>
      </w:pPr>
      <w:r>
        <w:rPr>
          <w:rFonts w:hAnsi="宋体"/>
          <w:color w:val="auto"/>
          <w:sz w:val="18"/>
          <w:szCs w:val="18"/>
          <w:highlight w:val="none"/>
        </w:rPr>
        <w:t>注：</w:t>
      </w:r>
    </w:p>
    <w:p>
      <w:pPr>
        <w:spacing w:line="288" w:lineRule="auto"/>
        <w:rPr>
          <w:color w:val="auto"/>
          <w:sz w:val="18"/>
          <w:szCs w:val="18"/>
          <w:highlight w:val="none"/>
        </w:rPr>
      </w:pPr>
      <w:r>
        <w:rPr>
          <w:color w:val="auto"/>
          <w:sz w:val="18"/>
          <w:szCs w:val="18"/>
          <w:highlight w:val="none"/>
        </w:rPr>
        <w:t>1.</w:t>
      </w:r>
      <w:r>
        <w:rPr>
          <w:rFonts w:hAnsi="宋体"/>
          <w:color w:val="auto"/>
          <w:sz w:val="18"/>
          <w:szCs w:val="18"/>
          <w:highlight w:val="none"/>
        </w:rPr>
        <w:t>以联合体形式参加投标的，上述信用等级的要求以联合体中信用等级较低的为准。</w:t>
      </w:r>
    </w:p>
    <w:p>
      <w:pPr>
        <w:spacing w:line="288" w:lineRule="auto"/>
        <w:rPr>
          <w:color w:val="auto"/>
          <w:highlight w:val="none"/>
        </w:rPr>
      </w:pPr>
      <w:r>
        <w:rPr>
          <w:color w:val="auto"/>
          <w:sz w:val="18"/>
          <w:szCs w:val="18"/>
          <w:highlight w:val="none"/>
        </w:rPr>
        <w:t>2.</w:t>
      </w:r>
      <w:r>
        <w:rPr>
          <w:rFonts w:hAnsi="宋体"/>
          <w:color w:val="auto"/>
          <w:sz w:val="18"/>
          <w:szCs w:val="18"/>
          <w:highlight w:val="none"/>
        </w:rPr>
        <w:t>信用等级的确定原则遵循投标人须知前附表</w:t>
      </w:r>
      <w:r>
        <w:rPr>
          <w:color w:val="auto"/>
          <w:sz w:val="18"/>
          <w:szCs w:val="18"/>
          <w:highlight w:val="none"/>
        </w:rPr>
        <w:t>10.2</w:t>
      </w:r>
      <w:r>
        <w:rPr>
          <w:rFonts w:hAnsi="宋体"/>
          <w:color w:val="auto"/>
          <w:sz w:val="18"/>
          <w:szCs w:val="18"/>
          <w:highlight w:val="none"/>
        </w:rPr>
        <w:t>款的规定。</w:t>
      </w:r>
    </w:p>
    <w:p>
      <w:pPr>
        <w:pStyle w:val="5"/>
        <w:wordWrap w:val="0"/>
        <w:topLinePunct/>
        <w:adjustRightInd/>
        <w:spacing w:line="480" w:lineRule="exact"/>
        <w:jc w:val="center"/>
        <w:rPr>
          <w:rFonts w:ascii="Times New Roman" w:hAnsi="Times New Roman" w:eastAsia="黑体"/>
          <w:color w:val="auto"/>
          <w:sz w:val="36"/>
          <w:szCs w:val="36"/>
          <w:highlight w:val="none"/>
        </w:rPr>
      </w:pPr>
    </w:p>
    <w:p>
      <w:pPr>
        <w:pStyle w:val="6"/>
        <w:wordWrap w:val="0"/>
        <w:topLinePunct/>
        <w:adjustRightInd/>
        <w:spacing w:line="480" w:lineRule="exact"/>
        <w:ind w:firstLine="0" w:firstLineChars="0"/>
        <w:jc w:val="center"/>
        <w:rPr>
          <w:rFonts w:ascii="Times New Roman" w:hAnsi="Times New Roman" w:eastAsia="黑体"/>
          <w:b/>
          <w:bCs/>
          <w:color w:val="auto"/>
          <w:highlight w:val="none"/>
        </w:rPr>
      </w:pPr>
      <w:r>
        <w:rPr>
          <w:rFonts w:ascii="Times New Roman" w:hAnsi="Times New Roman" w:eastAsia="黑体"/>
          <w:b/>
          <w:bCs/>
          <w:color w:val="auto"/>
          <w:highlight w:val="none"/>
        </w:rPr>
        <w:t>附录4  资格审查条件（项目负责人最低要求）</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51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2376" w:type="dxa"/>
            <w:noWrap w:val="0"/>
            <w:vAlign w:val="center"/>
          </w:tcPr>
          <w:p>
            <w:pPr>
              <w:wordWrap w:val="0"/>
              <w:topLinePunct/>
              <w:spacing w:line="360" w:lineRule="auto"/>
              <w:jc w:val="center"/>
              <w:rPr>
                <w:rFonts w:ascii="Times New Roman" w:hAnsi="Times New Roman"/>
                <w:b/>
                <w:color w:val="auto"/>
                <w:szCs w:val="21"/>
                <w:highlight w:val="none"/>
              </w:rPr>
            </w:pPr>
            <w:r>
              <w:rPr>
                <w:rFonts w:ascii="Times New Roman" w:hAnsi="宋体"/>
                <w:b/>
                <w:color w:val="auto"/>
                <w:szCs w:val="21"/>
                <w:highlight w:val="none"/>
              </w:rPr>
              <w:t>人员</w:t>
            </w:r>
          </w:p>
        </w:tc>
        <w:tc>
          <w:tcPr>
            <w:tcW w:w="993" w:type="dxa"/>
            <w:noWrap w:val="0"/>
            <w:vAlign w:val="center"/>
          </w:tcPr>
          <w:p>
            <w:pPr>
              <w:wordWrap w:val="0"/>
              <w:topLinePunct/>
              <w:spacing w:line="360" w:lineRule="auto"/>
              <w:jc w:val="center"/>
              <w:rPr>
                <w:rFonts w:ascii="Times New Roman" w:hAnsi="Times New Roman"/>
                <w:b/>
                <w:color w:val="auto"/>
                <w:szCs w:val="21"/>
                <w:highlight w:val="none"/>
              </w:rPr>
            </w:pPr>
            <w:r>
              <w:rPr>
                <w:rFonts w:ascii="Times New Roman" w:hAnsi="宋体"/>
                <w:b/>
                <w:color w:val="auto"/>
                <w:szCs w:val="21"/>
                <w:highlight w:val="none"/>
              </w:rPr>
              <w:t>数量</w:t>
            </w:r>
          </w:p>
        </w:tc>
        <w:tc>
          <w:tcPr>
            <w:tcW w:w="5153" w:type="dxa"/>
            <w:noWrap w:val="0"/>
            <w:vAlign w:val="center"/>
          </w:tcPr>
          <w:p>
            <w:pPr>
              <w:wordWrap w:val="0"/>
              <w:topLinePunct/>
              <w:spacing w:line="360" w:lineRule="auto"/>
              <w:jc w:val="center"/>
              <w:rPr>
                <w:rFonts w:ascii="Times New Roman" w:hAnsi="Times New Roman"/>
                <w:b/>
                <w:color w:val="auto"/>
                <w:szCs w:val="21"/>
                <w:highlight w:val="none"/>
              </w:rPr>
            </w:pPr>
            <w:r>
              <w:rPr>
                <w:rFonts w:ascii="Times New Roman" w:hAnsi="宋体"/>
                <w:b/>
                <w:color w:val="auto"/>
                <w:szCs w:val="21"/>
                <w:highlight w:val="none"/>
              </w:rPr>
              <w:t>资</w:t>
            </w:r>
            <w:r>
              <w:rPr>
                <w:rFonts w:ascii="Times New Roman" w:hAnsi="Times New Roman"/>
                <w:b/>
                <w:color w:val="auto"/>
                <w:szCs w:val="21"/>
                <w:highlight w:val="none"/>
              </w:rPr>
              <w:t xml:space="preserve"> </w:t>
            </w:r>
            <w:r>
              <w:rPr>
                <w:rFonts w:ascii="Times New Roman" w:hAnsi="宋体"/>
                <w:b/>
                <w:color w:val="auto"/>
                <w:szCs w:val="21"/>
                <w:highlight w:val="none"/>
              </w:rPr>
              <w:t>格</w:t>
            </w:r>
            <w:r>
              <w:rPr>
                <w:rFonts w:ascii="Times New Roman" w:hAnsi="Times New Roman"/>
                <w:b/>
                <w:color w:val="auto"/>
                <w:szCs w:val="21"/>
                <w:highlight w:val="none"/>
              </w:rPr>
              <w:t xml:space="preserve"> </w:t>
            </w:r>
            <w:r>
              <w:rPr>
                <w:rFonts w:ascii="Times New Roman" w:hAnsi="宋体"/>
                <w:b/>
                <w:color w:val="auto"/>
                <w:szCs w:val="21"/>
                <w:highlight w:val="none"/>
              </w:rPr>
              <w:t>标</w:t>
            </w:r>
            <w:r>
              <w:rPr>
                <w:rFonts w:ascii="Times New Roman" w:hAnsi="Times New Roman"/>
                <w:b/>
                <w:color w:val="auto"/>
                <w:szCs w:val="21"/>
                <w:highlight w:val="none"/>
              </w:rPr>
              <w:t xml:space="preserve"> </w:t>
            </w:r>
            <w:r>
              <w:rPr>
                <w:rFonts w:ascii="Times New Roman" w:hAnsi="宋体"/>
                <w:b/>
                <w:color w:val="auto"/>
                <w:szCs w:val="21"/>
                <w:highlight w:val="none"/>
              </w:rPr>
              <w:t>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2376" w:type="dxa"/>
            <w:noWrap w:val="0"/>
            <w:vAlign w:val="center"/>
          </w:tcPr>
          <w:p>
            <w:pPr>
              <w:spacing w:line="360" w:lineRule="auto"/>
              <w:jc w:val="center"/>
              <w:rPr>
                <w:rFonts w:ascii="Times New Roman" w:hAnsi="Times New Roman"/>
                <w:color w:val="auto"/>
                <w:sz w:val="21"/>
                <w:szCs w:val="21"/>
                <w:highlight w:val="none"/>
              </w:rPr>
            </w:pPr>
            <w:r>
              <w:rPr>
                <w:rFonts w:ascii="Times New Roman"/>
                <w:color w:val="auto"/>
                <w:sz w:val="21"/>
                <w:szCs w:val="21"/>
                <w:highlight w:val="none"/>
              </w:rPr>
              <w:t>项目负责人</w:t>
            </w:r>
          </w:p>
        </w:tc>
        <w:tc>
          <w:tcPr>
            <w:tcW w:w="993" w:type="dxa"/>
            <w:noWrap w:val="0"/>
            <w:vAlign w:val="center"/>
          </w:tcPr>
          <w:p>
            <w:pPr>
              <w:spacing w:line="360" w:lineRule="auto"/>
              <w:ind w:firstLine="33" w:firstLineChars="16"/>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5153" w:type="dxa"/>
            <w:noWrap w:val="0"/>
            <w:vAlign w:val="center"/>
          </w:tcPr>
          <w:p>
            <w:pPr>
              <w:spacing w:line="400" w:lineRule="exact"/>
              <w:ind w:firstLine="420" w:firstLineChars="20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路桥相关专业高级工程师（或以上职称），近</w:t>
            </w:r>
            <w:r>
              <w:rPr>
                <w:rFonts w:ascii="Times New Roman" w:hAnsi="Times New Roman"/>
                <w:color w:val="auto"/>
                <w:sz w:val="21"/>
                <w:szCs w:val="21"/>
                <w:highlight w:val="none"/>
              </w:rPr>
              <w:t>5</w:t>
            </w:r>
            <w:r>
              <w:rPr>
                <w:rFonts w:hint="eastAsia" w:ascii="Times New Roman" w:hAnsi="Times New Roman"/>
                <w:color w:val="auto"/>
                <w:sz w:val="21"/>
                <w:szCs w:val="21"/>
                <w:highlight w:val="none"/>
              </w:rPr>
              <w:t>年内作为项目负责人主持过</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个合同段类似工程的设计工作。年龄不超过</w:t>
            </w:r>
            <w:r>
              <w:rPr>
                <w:rFonts w:ascii="Times New Roman" w:hAnsi="Times New Roman"/>
                <w:color w:val="auto"/>
                <w:sz w:val="21"/>
                <w:szCs w:val="21"/>
                <w:highlight w:val="none"/>
              </w:rPr>
              <w:t xml:space="preserve">55 </w:t>
            </w:r>
            <w:r>
              <w:rPr>
                <w:rFonts w:hint="eastAsia" w:ascii="Times New Roman" w:hAnsi="Times New Roman"/>
                <w:color w:val="auto"/>
                <w:sz w:val="21"/>
                <w:szCs w:val="21"/>
                <w:highlight w:val="none"/>
              </w:rPr>
              <w:t>周岁。</w:t>
            </w:r>
          </w:p>
        </w:tc>
      </w:tr>
    </w:tbl>
    <w:p>
      <w:pPr>
        <w:pStyle w:val="6"/>
        <w:tabs>
          <w:tab w:val="left" w:pos="5130"/>
        </w:tabs>
        <w:wordWrap w:val="0"/>
        <w:topLinePunct/>
        <w:spacing w:line="480" w:lineRule="exact"/>
        <w:ind w:firstLine="360"/>
        <w:rPr>
          <w:rFonts w:hint="eastAsia" w:ascii="Times New Roman" w:hAnsi="Times New Roman"/>
          <w:color w:val="auto"/>
          <w:sz w:val="18"/>
          <w:szCs w:val="18"/>
          <w:highlight w:val="none"/>
        </w:rPr>
      </w:pPr>
      <w:r>
        <w:rPr>
          <w:rFonts w:ascii="Times New Roman" w:hAnsi="Times New Roman"/>
          <w:color w:val="auto"/>
          <w:sz w:val="18"/>
          <w:szCs w:val="18"/>
          <w:highlight w:val="none"/>
        </w:rPr>
        <w:t>注：1、</w:t>
      </w:r>
      <w:r>
        <w:rPr>
          <w:rFonts w:hint="eastAsia" w:ascii="Times New Roman" w:hAnsi="Times New Roman"/>
          <w:color w:val="auto"/>
          <w:sz w:val="18"/>
          <w:szCs w:val="18"/>
          <w:highlight w:val="none"/>
          <w:lang w:val="en-US" w:eastAsia="zh-Hans"/>
        </w:rPr>
        <w:t>路桥</w:t>
      </w:r>
      <w:r>
        <w:rPr>
          <w:rFonts w:hint="eastAsia" w:ascii="Times New Roman" w:hAnsi="Times New Roman"/>
          <w:color w:val="auto"/>
          <w:sz w:val="18"/>
          <w:szCs w:val="18"/>
          <w:highlight w:val="none"/>
        </w:rPr>
        <w:t>相关专业职称包括公路工程、桥梁工程、公路与桥梁工程、道路与桥梁工程、路桥工程、交通土建、隧道（地下结构）工程、交通工程等专业职称。</w:t>
      </w:r>
    </w:p>
    <w:p>
      <w:pPr>
        <w:pStyle w:val="6"/>
        <w:tabs>
          <w:tab w:val="left" w:pos="5130"/>
        </w:tabs>
        <w:wordWrap w:val="0"/>
        <w:topLinePunct/>
        <w:adjustRightInd/>
        <w:spacing w:line="480" w:lineRule="exact"/>
        <w:ind w:firstLine="0" w:firstLineChars="0"/>
        <w:rPr>
          <w:rFonts w:ascii="Times New Roman" w:hAnsi="Times New Roman"/>
          <w:color w:val="auto"/>
          <w:sz w:val="18"/>
          <w:szCs w:val="18"/>
          <w:highlight w:val="none"/>
        </w:rPr>
        <w:sectPr>
          <w:footnotePr>
            <w:numFmt w:val="decimalEnclosedCircleChinese"/>
            <w:numRestart w:val="eachPage"/>
          </w:footnotePr>
          <w:pgSz w:w="11900" w:h="16840"/>
          <w:pgMar w:top="1440" w:right="1797" w:bottom="1440" w:left="1797" w:header="851" w:footer="992" w:gutter="0"/>
          <w:cols w:space="720" w:num="1"/>
          <w:titlePg/>
          <w:docGrid w:linePitch="312" w:charSpace="0"/>
        </w:sectPr>
      </w:pPr>
    </w:p>
    <w:p>
      <w:pPr>
        <w:jc w:val="center"/>
        <w:rPr>
          <w:b/>
          <w:color w:val="auto"/>
          <w:sz w:val="36"/>
          <w:szCs w:val="36"/>
          <w:highlight w:val="none"/>
        </w:rPr>
      </w:pPr>
      <w:bookmarkStart w:id="0" w:name="_Hlk84503684"/>
      <w:r>
        <w:rPr>
          <w:b/>
          <w:color w:val="auto"/>
          <w:sz w:val="36"/>
          <w:szCs w:val="36"/>
          <w:highlight w:val="none"/>
        </w:rPr>
        <w:t>第三章  评标办法（综合评估法）</w:t>
      </w:r>
    </w:p>
    <w:p>
      <w:pPr>
        <w:rPr>
          <w:color w:val="auto"/>
          <w:highlight w:val="none"/>
        </w:rPr>
      </w:pPr>
      <w:r>
        <w:rPr>
          <w:rFonts w:eastAsia="黑体"/>
          <w:color w:val="auto"/>
          <w:szCs w:val="24"/>
          <w:highlight w:val="none"/>
        </w:rPr>
        <w:t>评标办法前附表：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13"/>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tblHeader/>
          <w:jc w:val="center"/>
        </w:trPr>
        <w:tc>
          <w:tcPr>
            <w:tcW w:w="2519" w:type="dxa"/>
            <w:gridSpan w:val="2"/>
            <w:noWrap w:val="0"/>
            <w:vAlign w:val="center"/>
          </w:tcPr>
          <w:p>
            <w:pPr>
              <w:wordWrap w:val="0"/>
              <w:topLinePunct/>
              <w:adjustRightInd/>
              <w:spacing w:line="312" w:lineRule="auto"/>
              <w:jc w:val="center"/>
              <w:rPr>
                <w:rFonts w:ascii="Times New Roman" w:hAnsi="Times New Roman"/>
                <w:b/>
                <w:color w:val="auto"/>
                <w:szCs w:val="24"/>
                <w:highlight w:val="none"/>
              </w:rPr>
            </w:pPr>
            <w:r>
              <w:rPr>
                <w:rFonts w:ascii="Times New Roman" w:hAnsi="Times New Roman"/>
                <w:b/>
                <w:color w:val="auto"/>
                <w:szCs w:val="24"/>
                <w:highlight w:val="none"/>
              </w:rPr>
              <w:t>条款号</w:t>
            </w:r>
          </w:p>
        </w:tc>
        <w:tc>
          <w:tcPr>
            <w:tcW w:w="6005" w:type="dxa"/>
            <w:noWrap w:val="0"/>
            <w:vAlign w:val="center"/>
          </w:tcPr>
          <w:p>
            <w:pPr>
              <w:wordWrap w:val="0"/>
              <w:topLinePunct/>
              <w:adjustRightInd/>
              <w:spacing w:line="312" w:lineRule="auto"/>
              <w:jc w:val="center"/>
              <w:rPr>
                <w:rFonts w:ascii="Times New Roman" w:hAnsi="Times New Roman"/>
                <w:b/>
                <w:color w:val="auto"/>
                <w:szCs w:val="24"/>
                <w:highlight w:val="none"/>
              </w:rPr>
            </w:pPr>
            <w:r>
              <w:rPr>
                <w:rFonts w:ascii="Times New Roman" w:hAnsi="Times New Roman"/>
                <w:b/>
                <w:color w:val="auto"/>
                <w:szCs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wordWrap w:val="0"/>
              <w:topLinePunct/>
              <w:adjustRightInd/>
              <w:spacing w:line="360" w:lineRule="auto"/>
              <w:jc w:val="center"/>
              <w:rPr>
                <w:rFonts w:ascii="Times New Roman" w:hAnsi="Times New Roman"/>
                <w:b/>
                <w:color w:val="auto"/>
                <w:sz w:val="21"/>
                <w:szCs w:val="21"/>
                <w:highlight w:val="none"/>
              </w:rPr>
            </w:pPr>
            <w:r>
              <w:rPr>
                <w:rFonts w:ascii="Times New Roman" w:hAnsi="Times New Roman"/>
                <w:color w:val="auto"/>
                <w:sz w:val="21"/>
                <w:szCs w:val="21"/>
                <w:highlight w:val="none"/>
              </w:rPr>
              <w:t>1</w:t>
            </w:r>
          </w:p>
        </w:tc>
        <w:tc>
          <w:tcPr>
            <w:tcW w:w="1513" w:type="dxa"/>
            <w:noWrap w:val="0"/>
            <w:vAlign w:val="center"/>
          </w:tcPr>
          <w:p>
            <w:pPr>
              <w:wordWrap w:val="0"/>
              <w:topLinePunct/>
              <w:adjustRightInd/>
              <w:spacing w:line="360" w:lineRule="auto"/>
              <w:jc w:val="center"/>
              <w:rPr>
                <w:rFonts w:ascii="Times New Roman" w:hAnsi="Times New Roman"/>
                <w:b/>
                <w:color w:val="auto"/>
                <w:sz w:val="21"/>
                <w:szCs w:val="21"/>
                <w:highlight w:val="none"/>
              </w:rPr>
            </w:pPr>
            <w:r>
              <w:rPr>
                <w:rFonts w:ascii="Times New Roman" w:hAnsi="Times New Roman"/>
                <w:color w:val="auto"/>
                <w:sz w:val="21"/>
                <w:szCs w:val="21"/>
                <w:highlight w:val="none"/>
              </w:rPr>
              <w:t>评标方法</w:t>
            </w:r>
          </w:p>
        </w:tc>
        <w:tc>
          <w:tcPr>
            <w:tcW w:w="6005" w:type="dxa"/>
            <w:noWrap w:val="0"/>
            <w:vAlign w:val="center"/>
          </w:tcPr>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综合评分相等时，评标委员会依次按照以下优先顺序推荐中标候选人或确定中标人：</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（1）评标价低的投标人优先；</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2）按招标文件规定被认定为最新年度广东省公路工程从业单位（设计单位）信用评价等级较高的投标人优先；【采用如下的优先顺序：承诺使用的AA级投标人、不承诺使用的AA级投标人、承诺使用的A级投标人、不承诺使用的A级投标人、B级投标人、未参评且被确定为B级投标人】</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（3）商务和技术得分较高的投标人优先；</w:t>
            </w:r>
          </w:p>
          <w:p>
            <w:pPr>
              <w:spacing w:line="340" w:lineRule="atLeast"/>
              <w:ind w:firstLine="420" w:firstLineChars="200"/>
              <w:rPr>
                <w:rFonts w:ascii="Times New Roman" w:hAnsi="Times New Roman"/>
                <w:b/>
                <w:color w:val="auto"/>
                <w:sz w:val="21"/>
                <w:szCs w:val="21"/>
                <w:highlight w:val="none"/>
              </w:rPr>
            </w:pPr>
            <w:r>
              <w:rPr>
                <w:rFonts w:ascii="Times New Roman" w:hAnsi="Times New Roman"/>
                <w:color w:val="auto"/>
                <w:sz w:val="21"/>
                <w:szCs w:val="21"/>
                <w:highlight w:val="none"/>
              </w:rPr>
              <w:t>（4）评标委员会视投标人情况综合比较，投票确定其名次。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r>
              <w:rPr>
                <w:rFonts w:ascii="Times New Roman" w:hAnsi="Times New Roman"/>
                <w:color w:val="auto"/>
                <w:szCs w:val="24"/>
                <w:highlight w:val="none"/>
              </w:rPr>
              <w:t>2.1.1</w:t>
            </w:r>
          </w:p>
          <w:p>
            <w:pPr>
              <w:wordWrap w:val="0"/>
              <w:topLinePunct/>
              <w:adjustRightInd/>
              <w:spacing w:line="360" w:lineRule="auto"/>
              <w:jc w:val="center"/>
              <w:rPr>
                <w:rFonts w:ascii="Times New Roman" w:hAnsi="Times New Roman"/>
                <w:color w:val="auto"/>
                <w:szCs w:val="24"/>
                <w:highlight w:val="none"/>
              </w:rPr>
            </w:pPr>
            <w:r>
              <w:rPr>
                <w:rFonts w:ascii="Times New Roman" w:hAnsi="Times New Roman"/>
                <w:color w:val="auto"/>
                <w:szCs w:val="24"/>
                <w:highlight w:val="none"/>
              </w:rPr>
              <w:t>2.1.3</w:t>
            </w: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r>
              <w:rPr>
                <w:rFonts w:ascii="Times New Roman" w:hAnsi="Times New Roman"/>
                <w:color w:val="auto"/>
                <w:szCs w:val="24"/>
                <w:highlight w:val="none"/>
              </w:rPr>
              <w:t>2.1.1</w:t>
            </w:r>
          </w:p>
          <w:p>
            <w:pPr>
              <w:wordWrap w:val="0"/>
              <w:topLinePunct/>
              <w:adjustRightInd/>
              <w:spacing w:line="360" w:lineRule="auto"/>
              <w:jc w:val="center"/>
              <w:rPr>
                <w:rFonts w:ascii="Times New Roman" w:hAnsi="Times New Roman"/>
                <w:color w:val="auto"/>
                <w:szCs w:val="24"/>
                <w:highlight w:val="none"/>
              </w:rPr>
            </w:pPr>
            <w:r>
              <w:rPr>
                <w:rFonts w:ascii="Times New Roman" w:hAnsi="Times New Roman"/>
                <w:color w:val="auto"/>
                <w:szCs w:val="24"/>
                <w:highlight w:val="none"/>
              </w:rPr>
              <w:t>2.1.3</w:t>
            </w:r>
          </w:p>
        </w:tc>
        <w:tc>
          <w:tcPr>
            <w:tcW w:w="1513" w:type="dxa"/>
            <w:noWrap w:val="0"/>
            <w:vAlign w:val="center"/>
          </w:tcPr>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形式评审与响应性评审标准</w:t>
            </w: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 w:val="21"/>
                <w:szCs w:val="21"/>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p>
          <w:p>
            <w:pPr>
              <w:wordWrap w:val="0"/>
              <w:topLinePunct/>
              <w:adjustRightInd/>
              <w:spacing w:line="360" w:lineRule="auto"/>
              <w:jc w:val="center"/>
              <w:rPr>
                <w:rFonts w:ascii="Times New Roman" w:hAnsi="Times New Roman"/>
                <w:color w:val="auto"/>
                <w:szCs w:val="24"/>
                <w:highlight w:val="none"/>
              </w:rPr>
            </w:pPr>
            <w:r>
              <w:rPr>
                <w:rFonts w:ascii="Times New Roman" w:hAnsi="Times New Roman"/>
                <w:color w:val="auto"/>
                <w:sz w:val="21"/>
                <w:szCs w:val="21"/>
                <w:highlight w:val="none"/>
              </w:rPr>
              <w:t>形式评审与响应性评审标准</w:t>
            </w:r>
          </w:p>
          <w:p>
            <w:pPr>
              <w:wordWrap w:val="0"/>
              <w:topLinePunct/>
              <w:adjustRightInd/>
              <w:spacing w:line="360" w:lineRule="auto"/>
              <w:rPr>
                <w:rFonts w:ascii="Times New Roman" w:hAnsi="Times New Roman"/>
                <w:color w:val="auto"/>
                <w:szCs w:val="24"/>
                <w:highlight w:val="none"/>
              </w:rPr>
            </w:pPr>
          </w:p>
        </w:tc>
        <w:tc>
          <w:tcPr>
            <w:tcW w:w="6005" w:type="dxa"/>
            <w:noWrap w:val="0"/>
            <w:vAlign w:val="top"/>
          </w:tcPr>
          <w:p>
            <w:pPr>
              <w:adjustRightInd/>
              <w:ind w:firstLine="420" w:firstLineChars="200"/>
              <w:jc w:val="both"/>
              <w:textAlignment w:val="auto"/>
              <w:rPr>
                <w:rFonts w:ascii="Times New Roman" w:hAnsi="Times New Roman"/>
                <w:b/>
                <w:bCs/>
                <w:color w:val="auto"/>
                <w:sz w:val="21"/>
                <w:szCs w:val="21"/>
                <w:highlight w:val="none"/>
              </w:rPr>
            </w:pPr>
            <w:r>
              <w:rPr>
                <w:rFonts w:ascii="Times New Roman" w:hAnsi="Times New Roman"/>
                <w:b/>
                <w:bCs/>
                <w:color w:val="auto"/>
                <w:sz w:val="21"/>
                <w:szCs w:val="21"/>
                <w:highlight w:val="none"/>
              </w:rPr>
              <w:t>第一个信封（商务及技术文件）评审标准：</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（1）投标文件按照招标文件规定的格式、内容填写，字迹清晰可辨：</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a.投标函按招标文件规定填报了项目名称、标段号、补遗书编号（如有）、勘察设计服务期限、质量要求及安全目标；</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b.投标文件组成齐全完整，内容均按规定填写。</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（2）投标文件上法定代表人或其委托代理人的签字、投标人的单位章盖章齐全，符合招标文件规定。</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（3） 投标人按照招标文件的规定提供了投标保证金：</w:t>
            </w:r>
          </w:p>
          <w:p>
            <w:pPr>
              <w:adjustRightInd/>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a.投标保证金金额符合招标文件规定的金额，且投标保证金有效期不少于投标有效期；</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b.若投标保证金采用现金或支票形式提交，投标人应在投标人须知前附表3.4.1款规定的时间，将投标保证金由投标人的基本账户转入招标人指定账户；</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c.若投标保证金采用银行保函形式提交，银行保函的格式、开具保函的银行均满足招标文件要求，</w:t>
            </w:r>
            <w:r>
              <w:rPr>
                <w:rFonts w:ascii="Times New Roman" w:hAnsi="Times New Roman"/>
                <w:color w:val="auto"/>
                <w:spacing w:val="-8"/>
                <w:sz w:val="21"/>
                <w:szCs w:val="21"/>
                <w:highlight w:val="none"/>
              </w:rPr>
              <w:t>银行保函原件在递交投标文件时单独密封递交，其复印件装订在投标文件中。</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（5）投标人法定代表人亲自签署投标文件的，提供了法定代表人身份证明，且法定代表人在法定代表人身份证明上签名，未使用印章、签名章或其他电子制版签名代替。</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（6）投标人以联合体形式投标时，联合体满足招标文件的要求：</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a.投标人按照招标文件提供的格式签订了联合体协议书，明确各方承担连带责任，并明确了联合体牵头人。</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（7）投标人如有分包计划，符合招标文件第二章“投标人须知”第1.11款规定，且按招标文件第六章“投标文件格式”的要求填写了“拟分包项目情况表”。</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（8）同一投标人未提交两个以上不同的投标文件，但招标文件要求提交备选投标的除外。</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（9）投标文件中未出现有关投标报价的内容。</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（10）投标文件载明的招标项目完成期限未超过招标文件规定的时限。</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（11）投标文件对招标文件的实质性要求和条件作出响应。</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（12）权利义务符合招标文件规定：</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a.投标人应接受招标文件规定的风险划分原则，未提出新的风险划分办法；</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b.投标人未增加发包人的责任范围，或减少投标人义务；</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c.投标人未提出不同的支付办法；</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d.投标人对合同纠纷、事故处理办法未提出异议；</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e.投标人在投标活动中无欺诈行为；</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f.投标人未对合同条款有重要保留。</w:t>
            </w:r>
          </w:p>
          <w:p>
            <w:pPr>
              <w:adjustRightInd/>
              <w:spacing w:line="33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（13）投标文件正、副本份数符合招标文件第二章“投标人须知”第3.7.4项规定。</w:t>
            </w:r>
          </w:p>
          <w:p>
            <w:pPr>
              <w:spacing w:line="340" w:lineRule="atLeast"/>
              <w:ind w:firstLine="420" w:firstLineChars="200"/>
              <w:rPr>
                <w:rFonts w:ascii="Times New Roman" w:hAnsi="Times New Roman"/>
                <w:b/>
                <w:bCs/>
                <w:color w:val="auto"/>
                <w:sz w:val="21"/>
                <w:szCs w:val="21"/>
                <w:highlight w:val="none"/>
              </w:rPr>
            </w:pPr>
            <w:r>
              <w:rPr>
                <w:rFonts w:ascii="Times New Roman" w:hAnsi="Times New Roman"/>
                <w:b/>
                <w:bCs/>
                <w:color w:val="auto"/>
                <w:sz w:val="21"/>
                <w:szCs w:val="21"/>
                <w:highlight w:val="none"/>
              </w:rPr>
              <w:t>第二个信封（报价文件）评审标准：</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（1）投标文件按照招标文件规定的格式、内容填写，字迹清晰可辨，内容齐全完整：</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a.投标函按招标文件规定填报了项目名称、标段号、补遗书编号（如有）、投标总报价（包括大写金额和小写金额）；</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b.已标价报价清单说明文字与招标文件规定一致，未进行实质性修改和删减；</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c.投标文件组成齐全完整，内容均按规定填写。</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（2）投标文件上法定代表人或其委托代理人的签字、投标人的单位章盖章齐全，符合招标文件规定。</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（3）投标报价</w:t>
            </w:r>
            <w:r>
              <w:rPr>
                <w:rFonts w:hint="eastAsia" w:ascii="Times New Roman" w:hAnsi="Times New Roman"/>
                <w:color w:val="auto"/>
                <w:sz w:val="21"/>
                <w:szCs w:val="21"/>
                <w:highlight w:val="none"/>
              </w:rPr>
              <w:t>符合</w:t>
            </w:r>
            <w:r>
              <w:rPr>
                <w:rFonts w:ascii="Times New Roman" w:hAnsi="Times New Roman"/>
                <w:color w:val="auto"/>
                <w:sz w:val="21"/>
                <w:szCs w:val="21"/>
                <w:highlight w:val="none"/>
              </w:rPr>
              <w:t>招标文件设定的</w:t>
            </w:r>
            <w:r>
              <w:rPr>
                <w:rFonts w:hint="eastAsia" w:ascii="Times New Roman" w:hAnsi="Times New Roman"/>
                <w:color w:val="auto"/>
                <w:sz w:val="21"/>
                <w:szCs w:val="21"/>
                <w:highlight w:val="none"/>
              </w:rPr>
              <w:t>报价范围</w:t>
            </w:r>
            <w:r>
              <w:rPr>
                <w:rFonts w:ascii="Times New Roman" w:hAnsi="Times New Roman"/>
                <w:color w:val="auto"/>
                <w:sz w:val="21"/>
                <w:szCs w:val="21"/>
                <w:highlight w:val="none"/>
              </w:rPr>
              <w:t>。</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（4）投标报价的大写金额能够确定具体数值。</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（5）同一投标人未提交两个以上不同的投标报价，但招标文件要求提交备选投标的除外。</w:t>
            </w:r>
          </w:p>
          <w:p>
            <w:pPr>
              <w:adjustRightInd/>
              <w:spacing w:line="340" w:lineRule="atLeast"/>
              <w:ind w:firstLine="420" w:firstLineChars="200"/>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wordWrap w:val="0"/>
              <w:topLinePunct/>
              <w:adjustRightInd/>
              <w:spacing w:line="360" w:lineRule="auto"/>
              <w:jc w:val="center"/>
              <w:rPr>
                <w:rFonts w:ascii="Times New Roman" w:hAnsi="Times New Roman"/>
                <w:color w:val="auto"/>
                <w:sz w:val="21"/>
                <w:szCs w:val="21"/>
                <w:highlight w:val="none"/>
              </w:rPr>
            </w:pPr>
            <w:r>
              <w:rPr>
                <w:rFonts w:ascii="Times New Roman" w:hAnsi="Times New Roman"/>
                <w:color w:val="auto"/>
                <w:szCs w:val="24"/>
                <w:highlight w:val="none"/>
              </w:rPr>
              <w:t>2.1.2</w:t>
            </w:r>
          </w:p>
        </w:tc>
        <w:tc>
          <w:tcPr>
            <w:tcW w:w="1513" w:type="dxa"/>
            <w:noWrap w:val="0"/>
            <w:vAlign w:val="center"/>
          </w:tcPr>
          <w:p>
            <w:pPr>
              <w:wordWrap w:val="0"/>
              <w:topLinePunct/>
              <w:adjustRightInd/>
              <w:spacing w:line="36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资格评审标准</w:t>
            </w:r>
          </w:p>
        </w:tc>
        <w:tc>
          <w:tcPr>
            <w:tcW w:w="6005" w:type="dxa"/>
            <w:noWrap w:val="0"/>
            <w:vAlign w:val="center"/>
          </w:tcPr>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（1）投标人具备有效的营业执照、组织机构代码证（如有）、勘察资质证书、设计资质证书和基本账户开户许可证。</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（2）投标人的资质等级符合招标文件规定。</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（3）投标人的类似项目业绩符合招标文件规定。</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（4）投标人的信誉符合招标文件规定。</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（5）投标人的项目负责人资格符合招标文件规定。</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（6）投标人的其他要求符合招标文件规定。</w:t>
            </w:r>
            <w:r>
              <w:rPr>
                <w:rStyle w:val="9"/>
                <w:rFonts w:ascii="Times New Roman" w:hAnsi="Times New Roman"/>
                <w:color w:val="auto"/>
                <w:sz w:val="21"/>
                <w:szCs w:val="21"/>
                <w:highlight w:val="none"/>
              </w:rPr>
              <w:footnoteReference w:id="0"/>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（7）投标人不存在第二章“投标人须知”第1.4.3项或第1.4.4项规定的任何一种情形。</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（8）投标人符合第二章“投标人须知”第1.4.5项规定。</w:t>
            </w:r>
          </w:p>
          <w:p>
            <w:pPr>
              <w:spacing w:line="340" w:lineRule="atLeas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（9）以联合体形式参与投标的，联合体各方均未再以自己名义单独或参加其他联合体在同一标段中投标；独立参与投标的，投标人未同时参加联合体在同一标段中投标。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2" w:hRule="atLeast"/>
          <w:jc w:val="center"/>
        </w:trPr>
        <w:tc>
          <w:tcPr>
            <w:tcW w:w="1006" w:type="dxa"/>
            <w:noWrap w:val="0"/>
            <w:vAlign w:val="center"/>
          </w:tcPr>
          <w:p>
            <w:pPr>
              <w:wordWrap w:val="0"/>
              <w:topLinePunct/>
              <w:adjustRightInd/>
              <w:spacing w:line="360" w:lineRule="auto"/>
              <w:jc w:val="center"/>
              <w:rPr>
                <w:rFonts w:ascii="Times New Roman" w:hAnsi="Times New Roman"/>
                <w:color w:val="auto"/>
                <w:sz w:val="21"/>
                <w:szCs w:val="21"/>
                <w:highlight w:val="none"/>
              </w:rPr>
            </w:pPr>
            <w:r>
              <w:rPr>
                <w:rFonts w:ascii="Times New Roman" w:hAnsi="Times New Roman"/>
                <w:color w:val="auto"/>
                <w:szCs w:val="24"/>
                <w:highlight w:val="none"/>
              </w:rPr>
              <w:t>2.2.1</w:t>
            </w:r>
          </w:p>
        </w:tc>
        <w:tc>
          <w:tcPr>
            <w:tcW w:w="1513" w:type="dxa"/>
            <w:noWrap w:val="0"/>
            <w:vAlign w:val="center"/>
          </w:tcPr>
          <w:p>
            <w:pPr>
              <w:adjustRightInd/>
              <w:spacing w:line="380" w:lineRule="atLeas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分值构成</w:t>
            </w:r>
          </w:p>
          <w:p>
            <w:pPr>
              <w:wordWrap w:val="0"/>
              <w:topLinePunct/>
              <w:adjustRightInd/>
              <w:spacing w:line="36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（总分100分）</w:t>
            </w:r>
          </w:p>
        </w:tc>
        <w:tc>
          <w:tcPr>
            <w:tcW w:w="6005" w:type="dxa"/>
            <w:noWrap w:val="0"/>
            <w:vAlign w:val="center"/>
          </w:tcPr>
          <w:p>
            <w:pPr>
              <w:spacing w:line="360" w:lineRule="auto"/>
              <w:rPr>
                <w:rFonts w:ascii="Times New Roman" w:hAnsi="Times New Roman"/>
                <w:b/>
                <w:color w:val="auto"/>
                <w:szCs w:val="24"/>
                <w:highlight w:val="none"/>
              </w:rPr>
            </w:pPr>
            <w:r>
              <w:rPr>
                <w:rFonts w:ascii="Times New Roman" w:hAnsi="Times New Roman"/>
                <w:b/>
                <w:bCs/>
                <w:color w:val="auto"/>
                <w:sz w:val="21"/>
                <w:szCs w:val="21"/>
                <w:highlight w:val="none"/>
              </w:rPr>
              <w:t>第一个信封（商务及技术文件）评分分值构成：</w:t>
            </w:r>
          </w:p>
          <w:p>
            <w:pPr>
              <w:widowControl/>
              <w:spacing w:line="360" w:lineRule="auto"/>
              <w:rPr>
                <w:rFonts w:ascii="Times New Roman" w:hAnsi="Times New Roman"/>
                <w:color w:val="auto"/>
                <w:highlight w:val="none"/>
              </w:rPr>
            </w:pPr>
            <w:r>
              <w:rPr>
                <w:rFonts w:ascii="Times New Roman" w:hAnsi="Times New Roman"/>
                <w:color w:val="auto"/>
                <w:sz w:val="21"/>
                <w:szCs w:val="21"/>
                <w:highlight w:val="none"/>
              </w:rPr>
              <w:t>分值构成：</w:t>
            </w:r>
            <w:r>
              <w:rPr>
                <w:rFonts w:ascii="Times New Roman" w:hAnsi="Times New Roman"/>
                <w:color w:val="auto"/>
                <w:szCs w:val="21"/>
                <w:highlight w:val="none"/>
              </w:rPr>
              <w:t xml:space="preserve">       </w:t>
            </w:r>
          </w:p>
          <w:p>
            <w:pPr>
              <w:adjustRightInd/>
              <w:spacing w:line="360" w:lineRule="auto"/>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技术建议书：</w:t>
            </w:r>
            <w:r>
              <w:rPr>
                <w:rFonts w:ascii="Times New Roman" w:hAnsi="Times New Roman"/>
                <w:color w:val="auto"/>
                <w:sz w:val="21"/>
                <w:szCs w:val="21"/>
                <w:highlight w:val="none"/>
                <w:u w:val="single"/>
              </w:rPr>
              <w:t xml:space="preserve">   30   </w:t>
            </w:r>
            <w:r>
              <w:rPr>
                <w:rFonts w:ascii="Times New Roman" w:hAnsi="Times New Roman"/>
                <w:color w:val="auto"/>
                <w:sz w:val="21"/>
                <w:szCs w:val="21"/>
                <w:highlight w:val="none"/>
              </w:rPr>
              <w:t xml:space="preserve">分       </w:t>
            </w:r>
          </w:p>
          <w:p>
            <w:pPr>
              <w:adjustRightInd/>
              <w:spacing w:line="360" w:lineRule="auto"/>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主要人员：</w:t>
            </w:r>
            <w:r>
              <w:rPr>
                <w:rFonts w:ascii="Times New Roman" w:hAnsi="Times New Roman"/>
                <w:color w:val="auto"/>
                <w:sz w:val="21"/>
                <w:szCs w:val="21"/>
                <w:highlight w:val="none"/>
                <w:u w:val="single"/>
              </w:rPr>
              <w:t xml:space="preserve">   30   </w:t>
            </w:r>
            <w:r>
              <w:rPr>
                <w:rFonts w:ascii="Times New Roman" w:hAnsi="Times New Roman"/>
                <w:color w:val="auto"/>
                <w:sz w:val="21"/>
                <w:szCs w:val="21"/>
                <w:highlight w:val="none"/>
              </w:rPr>
              <w:t xml:space="preserve">分         </w:t>
            </w:r>
          </w:p>
          <w:p>
            <w:pPr>
              <w:adjustRightInd/>
              <w:spacing w:line="360" w:lineRule="auto"/>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技术能力：</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rPr>
              <w:t>5</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 xml:space="preserve">分                      </w:t>
            </w:r>
          </w:p>
          <w:p>
            <w:pPr>
              <w:adjustRightInd/>
              <w:spacing w:line="360" w:lineRule="auto"/>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业绩：</w:t>
            </w:r>
            <w:r>
              <w:rPr>
                <w:rFonts w:ascii="Times New Roman" w:hAnsi="Times New Roman"/>
                <w:color w:val="auto"/>
                <w:sz w:val="21"/>
                <w:szCs w:val="21"/>
                <w:highlight w:val="none"/>
                <w:u w:val="single"/>
              </w:rPr>
              <w:t xml:space="preserve">  2</w:t>
            </w:r>
            <w:r>
              <w:rPr>
                <w:rFonts w:hint="eastAsia" w:ascii="Times New Roman" w:hAnsi="Times New Roman"/>
                <w:color w:val="auto"/>
                <w:sz w:val="21"/>
                <w:szCs w:val="21"/>
                <w:highlight w:val="none"/>
                <w:u w:val="single"/>
              </w:rPr>
              <w:t>0</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分</w:t>
            </w:r>
          </w:p>
          <w:p>
            <w:pPr>
              <w:adjustRightInd/>
              <w:spacing w:line="360" w:lineRule="auto"/>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履约信誉：</w:t>
            </w:r>
            <w:r>
              <w:rPr>
                <w:rFonts w:ascii="Times New Roman" w:hAnsi="Times New Roman"/>
                <w:color w:val="auto"/>
                <w:sz w:val="21"/>
                <w:szCs w:val="21"/>
                <w:highlight w:val="none"/>
                <w:u w:val="single"/>
              </w:rPr>
              <w:t xml:space="preserve">  5   </w:t>
            </w:r>
            <w:r>
              <w:rPr>
                <w:rFonts w:ascii="Times New Roman" w:hAnsi="Times New Roman"/>
                <w:color w:val="auto"/>
                <w:sz w:val="21"/>
                <w:szCs w:val="21"/>
                <w:highlight w:val="none"/>
              </w:rPr>
              <w:t xml:space="preserve">分         </w:t>
            </w:r>
          </w:p>
          <w:p>
            <w:pPr>
              <w:adjustRightInd/>
              <w:spacing w:line="360" w:lineRule="auto"/>
              <w:jc w:val="both"/>
              <w:textAlignment w:val="auto"/>
              <w:rPr>
                <w:rFonts w:ascii="Times New Roman" w:hAnsi="Times New Roman"/>
                <w:b/>
                <w:bCs/>
                <w:color w:val="auto"/>
                <w:sz w:val="21"/>
                <w:szCs w:val="21"/>
                <w:highlight w:val="none"/>
              </w:rPr>
            </w:pPr>
            <w:r>
              <w:rPr>
                <w:rFonts w:ascii="Times New Roman" w:hAnsi="Times New Roman"/>
                <w:b/>
                <w:bCs/>
                <w:color w:val="auto"/>
                <w:sz w:val="21"/>
                <w:szCs w:val="21"/>
                <w:highlight w:val="none"/>
              </w:rPr>
              <w:t>第二个信封（报价文件）评分分值构成：</w:t>
            </w:r>
          </w:p>
          <w:p>
            <w:pPr>
              <w:spacing w:line="340" w:lineRule="atLeast"/>
              <w:rPr>
                <w:rFonts w:ascii="Times New Roman" w:hAnsi="Times New Roman"/>
                <w:color w:val="auto"/>
                <w:sz w:val="21"/>
                <w:szCs w:val="21"/>
                <w:highlight w:val="none"/>
              </w:rPr>
            </w:pPr>
            <w:r>
              <w:rPr>
                <w:rFonts w:ascii="Times New Roman" w:hAnsi="Times New Roman"/>
                <w:color w:val="auto"/>
                <w:sz w:val="21"/>
                <w:szCs w:val="21"/>
                <w:highlight w:val="none"/>
              </w:rPr>
              <w:t>评标价：</w:t>
            </w:r>
            <w:r>
              <w:rPr>
                <w:rFonts w:ascii="Times New Roman" w:hAnsi="Times New Roman"/>
                <w:color w:val="auto"/>
                <w:sz w:val="21"/>
                <w:szCs w:val="21"/>
                <w:highlight w:val="none"/>
                <w:u w:val="single"/>
              </w:rPr>
              <w:t xml:space="preserve">   10   </w:t>
            </w:r>
            <w:r>
              <w:rPr>
                <w:rFonts w:ascii="Times New Roman" w:hAnsi="Times New Roman"/>
                <w:color w:val="auto"/>
                <w:sz w:val="21"/>
                <w:szCs w:val="21"/>
                <w:highlight w:val="none"/>
              </w:rPr>
              <w:t>分</w:t>
            </w:r>
          </w:p>
        </w:tc>
      </w:tr>
    </w:tbl>
    <w:p>
      <w:pPr>
        <w:ind w:firstLine="480" w:firstLineChars="200"/>
        <w:jc w:val="right"/>
        <w:rPr>
          <w:color w:val="auto"/>
          <w:highlight w:val="none"/>
        </w:rPr>
      </w:pPr>
      <w:r>
        <w:rPr>
          <w:color w:val="auto"/>
          <w:highlight w:val="none"/>
        </w:rPr>
        <w:br w:type="page"/>
      </w: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17"/>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blHeader/>
        </w:trPr>
        <w:tc>
          <w:tcPr>
            <w:tcW w:w="994" w:type="dxa"/>
            <w:noWrap w:val="0"/>
            <w:vAlign w:val="center"/>
          </w:tcPr>
          <w:p>
            <w:pPr>
              <w:wordWrap w:val="0"/>
              <w:topLinePunct/>
              <w:adjustRightInd/>
              <w:spacing w:line="276" w:lineRule="auto"/>
              <w:jc w:val="center"/>
              <w:rPr>
                <w:rFonts w:ascii="Times New Roman" w:hAnsi="Times New Roman"/>
                <w:color w:val="auto"/>
                <w:szCs w:val="24"/>
                <w:highlight w:val="none"/>
              </w:rPr>
            </w:pPr>
            <w:r>
              <w:rPr>
                <w:rFonts w:ascii="Times New Roman" w:hAnsi="Times New Roman"/>
                <w:b/>
                <w:color w:val="auto"/>
                <w:szCs w:val="24"/>
                <w:highlight w:val="none"/>
              </w:rPr>
              <w:t>条款号</w:t>
            </w:r>
          </w:p>
        </w:tc>
        <w:tc>
          <w:tcPr>
            <w:tcW w:w="817" w:type="dxa"/>
            <w:noWrap w:val="0"/>
            <w:vAlign w:val="center"/>
          </w:tcPr>
          <w:p>
            <w:pPr>
              <w:wordWrap w:val="0"/>
              <w:topLinePunct/>
              <w:adjustRightInd/>
              <w:spacing w:line="276" w:lineRule="auto"/>
              <w:jc w:val="center"/>
              <w:rPr>
                <w:rFonts w:ascii="Times New Roman" w:hAnsi="Times New Roman"/>
                <w:b/>
                <w:color w:val="auto"/>
                <w:szCs w:val="24"/>
                <w:highlight w:val="none"/>
              </w:rPr>
            </w:pPr>
            <w:r>
              <w:rPr>
                <w:rFonts w:ascii="Times New Roman" w:hAnsi="Times New Roman"/>
                <w:b/>
                <w:color w:val="auto"/>
                <w:szCs w:val="24"/>
                <w:highlight w:val="none"/>
              </w:rPr>
              <w:t>条款内容</w:t>
            </w:r>
          </w:p>
        </w:tc>
        <w:tc>
          <w:tcPr>
            <w:tcW w:w="7657" w:type="dxa"/>
            <w:noWrap w:val="0"/>
            <w:vAlign w:val="center"/>
          </w:tcPr>
          <w:p>
            <w:pPr>
              <w:wordWrap w:val="0"/>
              <w:topLinePunct/>
              <w:adjustRightInd/>
              <w:spacing w:line="276" w:lineRule="auto"/>
              <w:ind w:firstLine="480" w:firstLineChars="200"/>
              <w:jc w:val="center"/>
              <w:rPr>
                <w:rFonts w:ascii="Times New Roman" w:hAnsi="Times New Roman"/>
                <w:b/>
                <w:color w:val="auto"/>
                <w:szCs w:val="24"/>
                <w:highlight w:val="none"/>
              </w:rPr>
            </w:pPr>
            <w:r>
              <w:rPr>
                <w:rFonts w:ascii="Times New Roman" w:hAnsi="Times New Roman"/>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91" w:hRule="atLeast"/>
        </w:trPr>
        <w:tc>
          <w:tcPr>
            <w:tcW w:w="994" w:type="dxa"/>
            <w:noWrap w:val="0"/>
            <w:vAlign w:val="center"/>
          </w:tcPr>
          <w:p>
            <w:pPr>
              <w:wordWrap w:val="0"/>
              <w:topLinePunct/>
              <w:spacing w:line="276" w:lineRule="auto"/>
              <w:jc w:val="center"/>
              <w:rPr>
                <w:rFonts w:ascii="Times New Roman" w:hAnsi="Times New Roman"/>
                <w:color w:val="auto"/>
                <w:highlight w:val="none"/>
              </w:rPr>
            </w:pPr>
            <w:r>
              <w:rPr>
                <w:rFonts w:ascii="Times New Roman" w:hAnsi="Times New Roman"/>
                <w:color w:val="auto"/>
                <w:highlight w:val="none"/>
              </w:rPr>
              <w:t>2.2.2</w:t>
            </w:r>
          </w:p>
        </w:tc>
        <w:tc>
          <w:tcPr>
            <w:tcW w:w="817" w:type="dxa"/>
            <w:noWrap w:val="0"/>
            <w:vAlign w:val="center"/>
          </w:tcPr>
          <w:p>
            <w:pPr>
              <w:widowControl/>
              <w:jc w:val="center"/>
              <w:rPr>
                <w:rFonts w:ascii="Times New Roman" w:hAnsi="Times New Roman"/>
                <w:color w:val="auto"/>
                <w:highlight w:val="none"/>
              </w:rPr>
            </w:pPr>
            <w:r>
              <w:rPr>
                <w:rFonts w:ascii="Times New Roman" w:hAnsi="Times New Roman"/>
                <w:color w:val="auto"/>
                <w:sz w:val="21"/>
                <w:szCs w:val="21"/>
                <w:highlight w:val="none"/>
              </w:rPr>
              <w:t>评标基准价计算方法</w:t>
            </w:r>
          </w:p>
          <w:p>
            <w:pPr>
              <w:wordWrap w:val="0"/>
              <w:topLinePunct/>
              <w:spacing w:line="276" w:lineRule="auto"/>
              <w:jc w:val="center"/>
              <w:rPr>
                <w:rFonts w:ascii="Times New Roman" w:hAnsi="Times New Roman"/>
                <w:color w:val="auto"/>
                <w:sz w:val="21"/>
                <w:szCs w:val="21"/>
                <w:highlight w:val="none"/>
              </w:rPr>
            </w:pPr>
          </w:p>
        </w:tc>
        <w:tc>
          <w:tcPr>
            <w:tcW w:w="7657" w:type="dxa"/>
            <w:noWrap w:val="0"/>
            <w:vAlign w:val="center"/>
          </w:tcPr>
          <w:p>
            <w:pPr>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评标基准价的计算：</w:t>
            </w:r>
          </w:p>
          <w:p>
            <w:pPr>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在开标现场，招标人将当场计算并宣布评标基准价。</w:t>
            </w:r>
          </w:p>
          <w:p>
            <w:pPr>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（1） </w:t>
            </w:r>
            <w:r>
              <w:rPr>
                <w:rFonts w:hint="eastAsia" w:ascii="Times New Roman" w:hAnsi="Times New Roman" w:eastAsia="宋体" w:cs="Times New Roman"/>
                <w:color w:val="auto"/>
                <w:sz w:val="21"/>
                <w:szCs w:val="21"/>
                <w:highlight w:val="none"/>
              </w:rPr>
              <w:t>评标价的确定：</w:t>
            </w:r>
          </w:p>
          <w:p>
            <w:pPr>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评标价</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rPr>
              <w:t>投标函文字报价</w:t>
            </w:r>
          </w:p>
          <w:p>
            <w:pPr>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最高评标限价的确定</w:t>
            </w:r>
          </w:p>
          <w:p>
            <w:pPr>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①最高投标限价下浮率的确定</w:t>
            </w:r>
          </w:p>
          <w:p>
            <w:pPr>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下浮率在开标前在开标现场采取摇珠方式确定。摇珠操作办</w:t>
            </w:r>
          </w:p>
          <w:p>
            <w:pPr>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如下：以0.1%为一档次增序确定摇珠号码，31个球，一次性摇出3个球（摇出的珠不放回），摇出3个球对应的下浮率的算术平均值即为本标段招标的下浮率（注：下浮率摇珠浮动区间为0%至3%,摇出3个下浮率的算术平均值四舍五入取整到0.001%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4"/>
              <w:gridCol w:w="654"/>
              <w:gridCol w:w="654"/>
              <w:gridCol w:w="654"/>
              <w:gridCol w:w="654"/>
              <w:gridCol w:w="654"/>
              <w:gridCol w:w="654"/>
              <w:gridCol w:w="759"/>
              <w:gridCol w:w="65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noWrap w:val="0"/>
                  <w:vAlign w:val="top"/>
                </w:tcPr>
                <w:p>
                  <w:pPr>
                    <w:spacing w:line="360" w:lineRule="atLeast"/>
                    <w:jc w:val="center"/>
                    <w:rPr>
                      <w:color w:val="auto"/>
                      <w:sz w:val="21"/>
                      <w:szCs w:val="21"/>
                    </w:rPr>
                  </w:pPr>
                  <w:r>
                    <w:rPr>
                      <w:color w:val="auto"/>
                      <w:sz w:val="21"/>
                      <w:szCs w:val="21"/>
                    </w:rPr>
                    <w:t>1</w:t>
                  </w:r>
                </w:p>
              </w:tc>
              <w:tc>
                <w:tcPr>
                  <w:tcW w:w="654" w:type="dxa"/>
                  <w:noWrap w:val="0"/>
                  <w:vAlign w:val="top"/>
                </w:tcPr>
                <w:p>
                  <w:pPr>
                    <w:spacing w:line="360" w:lineRule="atLeast"/>
                    <w:jc w:val="center"/>
                    <w:rPr>
                      <w:color w:val="auto"/>
                      <w:sz w:val="21"/>
                      <w:szCs w:val="21"/>
                    </w:rPr>
                  </w:pPr>
                  <w:r>
                    <w:rPr>
                      <w:color w:val="auto"/>
                      <w:sz w:val="21"/>
                      <w:szCs w:val="21"/>
                    </w:rPr>
                    <w:t>2</w:t>
                  </w:r>
                </w:p>
              </w:tc>
              <w:tc>
                <w:tcPr>
                  <w:tcW w:w="654" w:type="dxa"/>
                  <w:noWrap w:val="0"/>
                  <w:vAlign w:val="top"/>
                </w:tcPr>
                <w:p>
                  <w:pPr>
                    <w:spacing w:line="360" w:lineRule="atLeast"/>
                    <w:jc w:val="center"/>
                    <w:rPr>
                      <w:color w:val="auto"/>
                      <w:sz w:val="21"/>
                      <w:szCs w:val="21"/>
                    </w:rPr>
                  </w:pPr>
                  <w:r>
                    <w:rPr>
                      <w:color w:val="auto"/>
                      <w:sz w:val="21"/>
                      <w:szCs w:val="21"/>
                    </w:rPr>
                    <w:t>3</w:t>
                  </w:r>
                </w:p>
              </w:tc>
              <w:tc>
                <w:tcPr>
                  <w:tcW w:w="654" w:type="dxa"/>
                  <w:noWrap w:val="0"/>
                  <w:vAlign w:val="top"/>
                </w:tcPr>
                <w:p>
                  <w:pPr>
                    <w:spacing w:line="360" w:lineRule="atLeast"/>
                    <w:jc w:val="center"/>
                    <w:rPr>
                      <w:color w:val="auto"/>
                      <w:sz w:val="21"/>
                      <w:szCs w:val="21"/>
                    </w:rPr>
                  </w:pPr>
                  <w:r>
                    <w:rPr>
                      <w:color w:val="auto"/>
                      <w:sz w:val="21"/>
                      <w:szCs w:val="21"/>
                    </w:rPr>
                    <w:t>4</w:t>
                  </w:r>
                </w:p>
              </w:tc>
              <w:tc>
                <w:tcPr>
                  <w:tcW w:w="654" w:type="dxa"/>
                  <w:noWrap w:val="0"/>
                  <w:vAlign w:val="top"/>
                </w:tcPr>
                <w:p>
                  <w:pPr>
                    <w:spacing w:line="360" w:lineRule="atLeast"/>
                    <w:jc w:val="center"/>
                    <w:rPr>
                      <w:color w:val="auto"/>
                      <w:sz w:val="21"/>
                      <w:szCs w:val="21"/>
                    </w:rPr>
                  </w:pPr>
                  <w:r>
                    <w:rPr>
                      <w:color w:val="auto"/>
                      <w:sz w:val="21"/>
                      <w:szCs w:val="21"/>
                    </w:rPr>
                    <w:t>5</w:t>
                  </w:r>
                </w:p>
              </w:tc>
              <w:tc>
                <w:tcPr>
                  <w:tcW w:w="654" w:type="dxa"/>
                  <w:noWrap w:val="0"/>
                  <w:vAlign w:val="top"/>
                </w:tcPr>
                <w:p>
                  <w:pPr>
                    <w:spacing w:line="360" w:lineRule="atLeast"/>
                    <w:jc w:val="center"/>
                    <w:rPr>
                      <w:color w:val="auto"/>
                      <w:sz w:val="21"/>
                      <w:szCs w:val="21"/>
                    </w:rPr>
                  </w:pPr>
                  <w:r>
                    <w:rPr>
                      <w:color w:val="auto"/>
                      <w:sz w:val="21"/>
                      <w:szCs w:val="21"/>
                    </w:rPr>
                    <w:t>6</w:t>
                  </w:r>
                </w:p>
              </w:tc>
              <w:tc>
                <w:tcPr>
                  <w:tcW w:w="654" w:type="dxa"/>
                  <w:noWrap w:val="0"/>
                  <w:vAlign w:val="top"/>
                </w:tcPr>
                <w:p>
                  <w:pPr>
                    <w:spacing w:line="360" w:lineRule="atLeast"/>
                    <w:jc w:val="center"/>
                    <w:rPr>
                      <w:color w:val="auto"/>
                      <w:sz w:val="21"/>
                      <w:szCs w:val="21"/>
                    </w:rPr>
                  </w:pPr>
                  <w:r>
                    <w:rPr>
                      <w:color w:val="auto"/>
                      <w:sz w:val="21"/>
                      <w:szCs w:val="21"/>
                    </w:rPr>
                    <w:t>7</w:t>
                  </w:r>
                </w:p>
              </w:tc>
              <w:tc>
                <w:tcPr>
                  <w:tcW w:w="654" w:type="dxa"/>
                  <w:noWrap w:val="0"/>
                  <w:vAlign w:val="top"/>
                </w:tcPr>
                <w:p>
                  <w:pPr>
                    <w:spacing w:line="360" w:lineRule="atLeast"/>
                    <w:jc w:val="center"/>
                    <w:rPr>
                      <w:color w:val="auto"/>
                      <w:sz w:val="21"/>
                      <w:szCs w:val="21"/>
                    </w:rPr>
                  </w:pPr>
                  <w:r>
                    <w:rPr>
                      <w:color w:val="auto"/>
                      <w:sz w:val="21"/>
                      <w:szCs w:val="21"/>
                    </w:rPr>
                    <w:t>8</w:t>
                  </w:r>
                </w:p>
              </w:tc>
              <w:tc>
                <w:tcPr>
                  <w:tcW w:w="759" w:type="dxa"/>
                  <w:noWrap w:val="0"/>
                  <w:vAlign w:val="top"/>
                </w:tcPr>
                <w:p>
                  <w:pPr>
                    <w:spacing w:line="360" w:lineRule="atLeast"/>
                    <w:jc w:val="center"/>
                    <w:rPr>
                      <w:color w:val="auto"/>
                      <w:sz w:val="21"/>
                      <w:szCs w:val="21"/>
                    </w:rPr>
                  </w:pPr>
                  <w:r>
                    <w:rPr>
                      <w:color w:val="auto"/>
                      <w:sz w:val="21"/>
                      <w:szCs w:val="21"/>
                    </w:rPr>
                    <w:t>9</w:t>
                  </w:r>
                </w:p>
              </w:tc>
              <w:tc>
                <w:tcPr>
                  <w:tcW w:w="654" w:type="dxa"/>
                  <w:noWrap w:val="0"/>
                  <w:vAlign w:val="top"/>
                </w:tcPr>
                <w:p>
                  <w:pPr>
                    <w:spacing w:line="360" w:lineRule="atLeast"/>
                    <w:jc w:val="center"/>
                    <w:rPr>
                      <w:color w:val="auto"/>
                      <w:sz w:val="21"/>
                      <w:szCs w:val="21"/>
                    </w:rPr>
                  </w:pPr>
                  <w:r>
                    <w:rPr>
                      <w:color w:val="auto"/>
                      <w:sz w:val="21"/>
                      <w:szCs w:val="21"/>
                    </w:rPr>
                    <w:t>10</w:t>
                  </w:r>
                </w:p>
              </w:tc>
              <w:tc>
                <w:tcPr>
                  <w:tcW w:w="654" w:type="dxa"/>
                  <w:noWrap w:val="0"/>
                  <w:vAlign w:val="top"/>
                </w:tcPr>
                <w:p>
                  <w:pPr>
                    <w:spacing w:line="360" w:lineRule="atLeast"/>
                    <w:jc w:val="center"/>
                    <w:rPr>
                      <w:color w:val="auto"/>
                      <w:sz w:val="21"/>
                      <w:szCs w:val="21"/>
                    </w:rPr>
                  </w:pPr>
                  <w:r>
                    <w:rPr>
                      <w:color w:val="auto"/>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654" w:type="dxa"/>
                  <w:noWrap w:val="0"/>
                  <w:vAlign w:val="top"/>
                </w:tcPr>
                <w:p>
                  <w:pPr>
                    <w:spacing w:line="360" w:lineRule="atLeast"/>
                    <w:jc w:val="center"/>
                    <w:rPr>
                      <w:color w:val="auto"/>
                      <w:sz w:val="21"/>
                      <w:szCs w:val="21"/>
                    </w:rPr>
                  </w:pPr>
                  <w:r>
                    <w:rPr>
                      <w:rFonts w:hint="default"/>
                      <w:color w:val="auto"/>
                      <w:sz w:val="21"/>
                      <w:szCs w:val="21"/>
                    </w:rPr>
                    <w:t>0</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0.1</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2</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3</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4</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5</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6</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7</w:t>
                  </w:r>
                  <w:r>
                    <w:rPr>
                      <w:color w:val="auto"/>
                      <w:sz w:val="21"/>
                      <w:szCs w:val="21"/>
                    </w:rPr>
                    <w:t>%</w:t>
                  </w:r>
                </w:p>
              </w:tc>
              <w:tc>
                <w:tcPr>
                  <w:tcW w:w="759"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8</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0</w:t>
                  </w:r>
                  <w:r>
                    <w:rPr>
                      <w:rFonts w:hint="eastAsia"/>
                      <w:color w:val="auto"/>
                      <w:sz w:val="21"/>
                      <w:szCs w:val="21"/>
                      <w:lang w:val="en-US" w:eastAsia="zh-Hans"/>
                    </w:rPr>
                    <w:t>.</w:t>
                  </w:r>
                  <w:r>
                    <w:rPr>
                      <w:rFonts w:hint="default"/>
                      <w:color w:val="auto"/>
                      <w:sz w:val="21"/>
                      <w:szCs w:val="21"/>
                      <w:lang w:eastAsia="zh-Hans"/>
                    </w:rPr>
                    <w:t>9</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0</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2</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3</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4</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5</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6</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7</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8</w:t>
                  </w:r>
                </w:p>
              </w:tc>
              <w:tc>
                <w:tcPr>
                  <w:tcW w:w="654" w:type="dxa"/>
                  <w:noWrap w:val="0"/>
                  <w:vAlign w:val="top"/>
                </w:tcPr>
                <w:p>
                  <w:pPr>
                    <w:spacing w:line="360" w:lineRule="atLeast"/>
                    <w:jc w:val="center"/>
                    <w:rPr>
                      <w:color w:val="auto"/>
                      <w:sz w:val="21"/>
                      <w:szCs w:val="21"/>
                    </w:rPr>
                  </w:pPr>
                  <w:r>
                    <w:rPr>
                      <w:color w:val="auto"/>
                      <w:sz w:val="21"/>
                      <w:szCs w:val="21"/>
                    </w:rPr>
                    <w:t>1</w:t>
                  </w:r>
                  <w:r>
                    <w:rPr>
                      <w:rFonts w:hint="eastAsia"/>
                      <w:color w:val="auto"/>
                      <w:sz w:val="21"/>
                      <w:szCs w:val="21"/>
                    </w:rPr>
                    <w:t>9</w:t>
                  </w:r>
                </w:p>
              </w:tc>
              <w:tc>
                <w:tcPr>
                  <w:tcW w:w="759" w:type="dxa"/>
                  <w:noWrap w:val="0"/>
                  <w:vAlign w:val="top"/>
                </w:tcPr>
                <w:p>
                  <w:pPr>
                    <w:spacing w:line="360" w:lineRule="atLeast"/>
                    <w:jc w:val="center"/>
                    <w:rPr>
                      <w:color w:val="auto"/>
                      <w:sz w:val="21"/>
                      <w:szCs w:val="21"/>
                    </w:rPr>
                  </w:pPr>
                  <w:r>
                    <w:rPr>
                      <w:rFonts w:hint="eastAsia"/>
                      <w:color w:val="auto"/>
                      <w:sz w:val="21"/>
                      <w:szCs w:val="21"/>
                    </w:rPr>
                    <w:t>20</w:t>
                  </w:r>
                </w:p>
              </w:tc>
              <w:tc>
                <w:tcPr>
                  <w:tcW w:w="654" w:type="dxa"/>
                  <w:noWrap w:val="0"/>
                  <w:vAlign w:val="top"/>
                </w:tcPr>
                <w:p>
                  <w:pPr>
                    <w:spacing w:line="360" w:lineRule="atLeast"/>
                    <w:jc w:val="center"/>
                    <w:rPr>
                      <w:color w:val="auto"/>
                      <w:sz w:val="21"/>
                      <w:szCs w:val="21"/>
                    </w:rPr>
                  </w:pPr>
                  <w:r>
                    <w:rPr>
                      <w:color w:val="auto"/>
                      <w:sz w:val="21"/>
                      <w:szCs w:val="21"/>
                    </w:rPr>
                    <w:t>2</w:t>
                  </w:r>
                  <w:r>
                    <w:rPr>
                      <w:rFonts w:hint="eastAsia"/>
                      <w:color w:val="auto"/>
                      <w:sz w:val="21"/>
                      <w:szCs w:val="21"/>
                    </w:rPr>
                    <w:t>1</w:t>
                  </w:r>
                </w:p>
              </w:tc>
              <w:tc>
                <w:tcPr>
                  <w:tcW w:w="654" w:type="dxa"/>
                  <w:noWrap w:val="0"/>
                  <w:vAlign w:val="top"/>
                </w:tcPr>
                <w:p>
                  <w:pPr>
                    <w:spacing w:line="360" w:lineRule="atLeast"/>
                    <w:jc w:val="center"/>
                    <w:rPr>
                      <w:color w:val="auto"/>
                      <w:sz w:val="21"/>
                      <w:szCs w:val="21"/>
                    </w:rPr>
                  </w:pPr>
                  <w:r>
                    <w:rPr>
                      <w:rFonts w:hint="eastAsia"/>
                      <w:color w:val="auto"/>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lang w:eastAsia="zh-Hans"/>
                    </w:rPr>
                    <w:t>1</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2</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3</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4</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5</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6</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7</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8</w:t>
                  </w:r>
                  <w:r>
                    <w:rPr>
                      <w:color w:val="auto"/>
                      <w:sz w:val="21"/>
                      <w:szCs w:val="21"/>
                    </w:rPr>
                    <w:t>%</w:t>
                  </w:r>
                </w:p>
              </w:tc>
              <w:tc>
                <w:tcPr>
                  <w:tcW w:w="759" w:type="dxa"/>
                  <w:noWrap w:val="0"/>
                  <w:vAlign w:val="top"/>
                </w:tcPr>
                <w:p>
                  <w:pPr>
                    <w:spacing w:line="360" w:lineRule="atLeast"/>
                    <w:jc w:val="center"/>
                    <w:rPr>
                      <w:color w:val="auto"/>
                      <w:sz w:val="21"/>
                      <w:szCs w:val="21"/>
                    </w:rPr>
                  </w:pPr>
                  <w:r>
                    <w:rPr>
                      <w:rFonts w:hint="default"/>
                      <w:color w:val="auto"/>
                      <w:sz w:val="21"/>
                      <w:szCs w:val="21"/>
                    </w:rPr>
                    <w:t>1</w:t>
                  </w:r>
                  <w:r>
                    <w:rPr>
                      <w:rFonts w:hint="eastAsia"/>
                      <w:color w:val="auto"/>
                      <w:sz w:val="21"/>
                      <w:szCs w:val="21"/>
                      <w:lang w:val="en-US" w:eastAsia="zh-Hans"/>
                    </w:rPr>
                    <w:t>.</w:t>
                  </w:r>
                  <w:r>
                    <w:rPr>
                      <w:rFonts w:hint="default"/>
                      <w:color w:val="auto"/>
                      <w:sz w:val="21"/>
                      <w:szCs w:val="21"/>
                    </w:rPr>
                    <w:t>9</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rPr>
                    <w:t>0</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1</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23</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24</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25</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26</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27</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28</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29</w:t>
                  </w:r>
                </w:p>
              </w:tc>
              <w:tc>
                <w:tcPr>
                  <w:tcW w:w="654" w:type="dxa"/>
                  <w:noWrap w:val="0"/>
                  <w:vAlign w:val="top"/>
                </w:tcPr>
                <w:p>
                  <w:pPr>
                    <w:spacing w:line="360" w:lineRule="atLeast"/>
                    <w:jc w:val="center"/>
                    <w:rPr>
                      <w:rFonts w:hint="eastAsia"/>
                      <w:color w:val="auto"/>
                      <w:sz w:val="21"/>
                      <w:szCs w:val="21"/>
                    </w:rPr>
                  </w:pPr>
                  <w:r>
                    <w:rPr>
                      <w:rFonts w:hint="eastAsia"/>
                      <w:color w:val="auto"/>
                      <w:sz w:val="21"/>
                      <w:szCs w:val="21"/>
                    </w:rPr>
                    <w:t>30</w:t>
                  </w:r>
                </w:p>
              </w:tc>
              <w:tc>
                <w:tcPr>
                  <w:tcW w:w="759" w:type="dxa"/>
                  <w:noWrap w:val="0"/>
                  <w:vAlign w:val="top"/>
                </w:tcPr>
                <w:p>
                  <w:pPr>
                    <w:spacing w:line="360" w:lineRule="atLeast"/>
                    <w:jc w:val="center"/>
                    <w:rPr>
                      <w:rFonts w:hint="eastAsia"/>
                      <w:color w:val="auto"/>
                      <w:sz w:val="21"/>
                      <w:szCs w:val="21"/>
                    </w:rPr>
                  </w:pPr>
                  <w:r>
                    <w:rPr>
                      <w:rFonts w:hint="eastAsia"/>
                      <w:color w:val="auto"/>
                      <w:sz w:val="21"/>
                      <w:szCs w:val="21"/>
                    </w:rPr>
                    <w:t>31</w:t>
                  </w:r>
                </w:p>
              </w:tc>
              <w:tc>
                <w:tcPr>
                  <w:tcW w:w="654" w:type="dxa"/>
                  <w:noWrap w:val="0"/>
                  <w:vAlign w:val="top"/>
                </w:tcPr>
                <w:p>
                  <w:pPr>
                    <w:spacing w:line="360" w:lineRule="atLeast"/>
                    <w:jc w:val="center"/>
                    <w:rPr>
                      <w:rFonts w:hint="eastAsia"/>
                      <w:color w:val="auto"/>
                      <w:sz w:val="21"/>
                      <w:szCs w:val="21"/>
                    </w:rPr>
                  </w:pPr>
                </w:p>
              </w:tc>
              <w:tc>
                <w:tcPr>
                  <w:tcW w:w="654" w:type="dxa"/>
                  <w:noWrap w:val="0"/>
                  <w:vAlign w:val="top"/>
                </w:tcPr>
                <w:p>
                  <w:pPr>
                    <w:spacing w:line="360" w:lineRule="atLeast"/>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2</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3</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4</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5</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6</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7</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8</w:t>
                  </w:r>
                  <w:r>
                    <w:rPr>
                      <w:color w:val="auto"/>
                      <w:sz w:val="21"/>
                      <w:szCs w:val="21"/>
                    </w:rPr>
                    <w:t>%</w:t>
                  </w:r>
                </w:p>
              </w:tc>
              <w:tc>
                <w:tcPr>
                  <w:tcW w:w="654" w:type="dxa"/>
                  <w:noWrap w:val="0"/>
                  <w:vAlign w:val="top"/>
                </w:tcPr>
                <w:p>
                  <w:pPr>
                    <w:spacing w:line="360" w:lineRule="atLeast"/>
                    <w:jc w:val="center"/>
                    <w:rPr>
                      <w:color w:val="auto"/>
                      <w:sz w:val="21"/>
                      <w:szCs w:val="21"/>
                    </w:rPr>
                  </w:pPr>
                  <w:r>
                    <w:rPr>
                      <w:rFonts w:hint="default"/>
                      <w:color w:val="auto"/>
                      <w:sz w:val="21"/>
                      <w:szCs w:val="21"/>
                    </w:rPr>
                    <w:t>2</w:t>
                  </w:r>
                  <w:r>
                    <w:rPr>
                      <w:rFonts w:hint="eastAsia"/>
                      <w:color w:val="auto"/>
                      <w:sz w:val="21"/>
                      <w:szCs w:val="21"/>
                      <w:lang w:val="en-US" w:eastAsia="zh-Hans"/>
                    </w:rPr>
                    <w:t>.</w:t>
                  </w:r>
                  <w:r>
                    <w:rPr>
                      <w:rFonts w:hint="default"/>
                      <w:color w:val="auto"/>
                      <w:sz w:val="21"/>
                      <w:szCs w:val="21"/>
                      <w:lang w:eastAsia="zh-Hans"/>
                    </w:rPr>
                    <w:t>9</w:t>
                  </w:r>
                  <w:r>
                    <w:rPr>
                      <w:color w:val="auto"/>
                      <w:sz w:val="21"/>
                      <w:szCs w:val="21"/>
                    </w:rPr>
                    <w:t>%</w:t>
                  </w:r>
                </w:p>
              </w:tc>
              <w:tc>
                <w:tcPr>
                  <w:tcW w:w="759" w:type="dxa"/>
                  <w:noWrap w:val="0"/>
                  <w:vAlign w:val="top"/>
                </w:tcPr>
                <w:p>
                  <w:pPr>
                    <w:spacing w:line="360" w:lineRule="atLeast"/>
                    <w:jc w:val="center"/>
                    <w:rPr>
                      <w:color w:val="auto"/>
                      <w:sz w:val="21"/>
                      <w:szCs w:val="21"/>
                    </w:rPr>
                  </w:pPr>
                  <w:r>
                    <w:rPr>
                      <w:rFonts w:hint="default"/>
                      <w:color w:val="auto"/>
                      <w:sz w:val="21"/>
                      <w:szCs w:val="21"/>
                    </w:rPr>
                    <w:t>3</w:t>
                  </w:r>
                  <w:r>
                    <w:rPr>
                      <w:rFonts w:hint="eastAsia"/>
                      <w:color w:val="auto"/>
                      <w:sz w:val="21"/>
                      <w:szCs w:val="21"/>
                      <w:lang w:val="en-US" w:eastAsia="zh-Hans"/>
                    </w:rPr>
                    <w:t>.</w:t>
                  </w:r>
                  <w:r>
                    <w:rPr>
                      <w:rFonts w:hint="default"/>
                      <w:color w:val="auto"/>
                      <w:sz w:val="21"/>
                      <w:szCs w:val="21"/>
                      <w:lang w:eastAsia="zh-Hans"/>
                    </w:rPr>
                    <w:t>0</w:t>
                  </w:r>
                  <w:r>
                    <w:rPr>
                      <w:color w:val="auto"/>
                      <w:sz w:val="21"/>
                      <w:szCs w:val="21"/>
                    </w:rPr>
                    <w:t>%</w:t>
                  </w:r>
                </w:p>
              </w:tc>
              <w:tc>
                <w:tcPr>
                  <w:tcW w:w="654" w:type="dxa"/>
                  <w:noWrap w:val="0"/>
                  <w:vAlign w:val="top"/>
                </w:tcPr>
                <w:p>
                  <w:pPr>
                    <w:spacing w:line="360" w:lineRule="atLeast"/>
                    <w:jc w:val="center"/>
                    <w:rPr>
                      <w:rFonts w:hint="eastAsia"/>
                      <w:color w:val="auto"/>
                      <w:sz w:val="21"/>
                      <w:szCs w:val="21"/>
                    </w:rPr>
                  </w:pPr>
                </w:p>
              </w:tc>
              <w:tc>
                <w:tcPr>
                  <w:tcW w:w="654" w:type="dxa"/>
                  <w:noWrap w:val="0"/>
                  <w:vAlign w:val="top"/>
                </w:tcPr>
                <w:p>
                  <w:pPr>
                    <w:spacing w:line="360" w:lineRule="atLeast"/>
                    <w:jc w:val="center"/>
                    <w:rPr>
                      <w:rFonts w:hint="eastAsia"/>
                      <w:color w:val="auto"/>
                      <w:sz w:val="21"/>
                      <w:szCs w:val="21"/>
                    </w:rPr>
                  </w:pPr>
                </w:p>
              </w:tc>
            </w:tr>
          </w:tbl>
          <w:p>
            <w:pPr>
              <w:spacing w:line="360" w:lineRule="exact"/>
              <w:ind w:firstLine="210" w:firstLineChars="1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②最高评标限价=最高投标限价×（1-下浮率)</w:t>
            </w:r>
          </w:p>
          <w:p>
            <w:pPr>
              <w:spacing w:line="36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有效评标价范围：不大于最高评标限价的评标价为有效评标价。若大于最高评标限价的评标价，其评标价得分为0分。</w:t>
            </w:r>
          </w:p>
          <w:p>
            <w:pPr>
              <w:spacing w:line="36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(3)评标基准价的确定：</w:t>
            </w:r>
          </w:p>
          <w:p>
            <w:pPr>
              <w:spacing w:line="36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将最高评标限价下浮1%，作为评标基准价。在评标过程中，评标委员会应对招标人计算的评标基准价进行复核，存在计算错误的应予以修正并在评标报告中作出说明。除此之外，评标基准价在整个评标期间保持不变，不随任何因素发生变化。</w:t>
            </w:r>
          </w:p>
          <w:p>
            <w:pPr>
              <w:spacing w:line="36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注：最高评标限价、评标基准价的计算均四舍五入至个位整数。</w:t>
            </w:r>
          </w:p>
          <w:p>
            <w:pPr>
              <w:spacing w:line="360" w:lineRule="exact"/>
              <w:ind w:firstLine="420" w:firstLineChars="200"/>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6" w:hRule="atLeast"/>
        </w:trPr>
        <w:tc>
          <w:tcPr>
            <w:tcW w:w="994" w:type="dxa"/>
            <w:noWrap w:val="0"/>
            <w:vAlign w:val="center"/>
          </w:tcPr>
          <w:p>
            <w:pPr>
              <w:wordWrap w:val="0"/>
              <w:topLinePunct/>
              <w:adjustRightInd/>
              <w:spacing w:line="276" w:lineRule="auto"/>
              <w:jc w:val="center"/>
              <w:rPr>
                <w:rFonts w:ascii="Times New Roman" w:hAnsi="Times New Roman"/>
                <w:color w:val="auto"/>
                <w:highlight w:val="none"/>
              </w:rPr>
            </w:pPr>
            <w:r>
              <w:rPr>
                <w:rFonts w:ascii="Times New Roman" w:hAnsi="Times New Roman"/>
                <w:color w:val="auto"/>
                <w:highlight w:val="none"/>
              </w:rPr>
              <w:t>2.2.3</w:t>
            </w:r>
          </w:p>
        </w:tc>
        <w:tc>
          <w:tcPr>
            <w:tcW w:w="817" w:type="dxa"/>
            <w:noWrap w:val="0"/>
            <w:vAlign w:val="center"/>
          </w:tcPr>
          <w:p>
            <w:pPr>
              <w:wordWrap w:val="0"/>
              <w:topLinePunct/>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评标价的偏差率计算公式</w:t>
            </w:r>
          </w:p>
        </w:tc>
        <w:tc>
          <w:tcPr>
            <w:tcW w:w="7657" w:type="dxa"/>
            <w:noWrap w:val="0"/>
            <w:vAlign w:val="center"/>
          </w:tcPr>
          <w:p>
            <w:pPr>
              <w:rPr>
                <w:rFonts w:ascii="Times New Roman" w:hAnsi="Times New Roman"/>
                <w:color w:val="auto"/>
                <w:sz w:val="21"/>
                <w:szCs w:val="21"/>
                <w:highlight w:val="none"/>
              </w:rPr>
            </w:pPr>
            <w:r>
              <w:rPr>
                <w:rFonts w:ascii="Times New Roman" w:hAnsi="Times New Roman"/>
                <w:color w:val="auto"/>
                <w:sz w:val="21"/>
                <w:szCs w:val="21"/>
                <w:highlight w:val="none"/>
              </w:rPr>
              <w:t>偏差率=100% ×（投标人评标价－评标基准价）/评标基准价</w:t>
            </w:r>
          </w:p>
        </w:tc>
      </w:tr>
    </w:tbl>
    <w:p>
      <w:pPr>
        <w:jc w:val="both"/>
        <w:rPr>
          <w:b/>
          <w:color w:val="auto"/>
          <w:highlight w:val="none"/>
        </w:rPr>
      </w:pPr>
    </w:p>
    <w:p>
      <w:pPr>
        <w:wordWrap w:val="0"/>
        <w:ind w:right="-624" w:rightChars="-260"/>
        <w:jc w:val="right"/>
        <w:rPr>
          <w:color w:val="auto"/>
          <w:highlight w:val="none"/>
        </w:rPr>
      </w:pPr>
      <w:r>
        <w:rPr>
          <w:rFonts w:hint="eastAsia"/>
          <w:b/>
          <w:color w:val="auto"/>
          <w:highlight w:val="none"/>
        </w:rPr>
        <w:t xml:space="preserve">   </w:t>
      </w:r>
      <w:r>
        <w:rPr>
          <w:b/>
          <w:color w:val="auto"/>
          <w:highlight w:val="none"/>
        </w:rPr>
        <w:t>续上表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4"/>
        <w:gridCol w:w="276"/>
        <w:gridCol w:w="486"/>
        <w:gridCol w:w="714"/>
        <w:gridCol w:w="1344"/>
        <w:gridCol w:w="156"/>
        <w:gridCol w:w="553"/>
        <w:gridCol w:w="5127"/>
      </w:tblGrid>
      <w:tr>
        <w:trPr>
          <w:trHeight w:val="458" w:hRule="atLeast"/>
          <w:jc w:val="center"/>
        </w:trPr>
        <w:tc>
          <w:tcPr>
            <w:tcW w:w="4415" w:type="dxa"/>
            <w:gridSpan w:val="8"/>
            <w:noWrap w:val="0"/>
            <w:vAlign w:val="center"/>
          </w:tcPr>
          <w:p>
            <w:pPr>
              <w:spacing w:line="276" w:lineRule="auto"/>
              <w:jc w:val="center"/>
              <w:rPr>
                <w:rFonts w:ascii="Times New Roman" w:hAnsi="Times New Roman"/>
                <w:color w:val="auto"/>
                <w:sz w:val="21"/>
                <w:szCs w:val="21"/>
                <w:highlight w:val="none"/>
              </w:rPr>
            </w:pPr>
            <w:bookmarkStart w:id="1" w:name="OLE_LINK1"/>
            <w:r>
              <w:rPr>
                <w:rFonts w:ascii="Times New Roman" w:hAnsi="Times New Roman"/>
                <w:b/>
                <w:color w:val="auto"/>
                <w:sz w:val="21"/>
                <w:szCs w:val="21"/>
                <w:highlight w:val="none"/>
              </w:rPr>
              <w:t>评审因素与评分值</w:t>
            </w:r>
          </w:p>
        </w:tc>
        <w:tc>
          <w:tcPr>
            <w:tcW w:w="5127" w:type="dxa"/>
            <w:vMerge w:val="restart"/>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评分标准</w:t>
            </w:r>
          </w:p>
        </w:tc>
      </w:tr>
      <w:tr>
        <w:trPr>
          <w:trHeight w:val="765" w:hRule="atLeast"/>
          <w:jc w:val="center"/>
        </w:trPr>
        <w:tc>
          <w:tcPr>
            <w:tcW w:w="802"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条款号</w:t>
            </w:r>
          </w:p>
        </w:tc>
        <w:tc>
          <w:tcPr>
            <w:tcW w:w="846" w:type="dxa"/>
            <w:gridSpan w:val="3"/>
            <w:noWrap w:val="0"/>
            <w:vAlign w:val="center"/>
          </w:tcPr>
          <w:p>
            <w:pPr>
              <w:spacing w:line="276"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评审</w:t>
            </w:r>
          </w:p>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因素</w:t>
            </w:r>
          </w:p>
        </w:tc>
        <w:tc>
          <w:tcPr>
            <w:tcW w:w="714" w:type="dxa"/>
            <w:noWrap w:val="0"/>
            <w:vAlign w:val="center"/>
          </w:tcPr>
          <w:p>
            <w:pPr>
              <w:spacing w:line="276" w:lineRule="auto"/>
              <w:jc w:val="center"/>
              <w:rPr>
                <w:rFonts w:ascii="Times New Roman" w:hAnsi="Times New Roman"/>
                <w:color w:val="auto"/>
                <w:sz w:val="21"/>
                <w:szCs w:val="21"/>
                <w:highlight w:val="none"/>
                <w:u w:val="single"/>
              </w:rPr>
            </w:pPr>
            <w:r>
              <w:rPr>
                <w:rFonts w:ascii="Times New Roman" w:hAnsi="Times New Roman"/>
                <w:b/>
                <w:color w:val="auto"/>
                <w:sz w:val="21"/>
                <w:szCs w:val="21"/>
                <w:highlight w:val="none"/>
              </w:rPr>
              <w:t>评分因素权重分值</w:t>
            </w:r>
          </w:p>
        </w:tc>
        <w:tc>
          <w:tcPr>
            <w:tcW w:w="1500" w:type="dxa"/>
            <w:gridSpan w:val="2"/>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各评审因素细分项</w:t>
            </w:r>
          </w:p>
        </w:tc>
        <w:tc>
          <w:tcPr>
            <w:tcW w:w="553"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分值</w:t>
            </w:r>
          </w:p>
        </w:tc>
        <w:tc>
          <w:tcPr>
            <w:tcW w:w="5127" w:type="dxa"/>
            <w:vMerge w:val="continue"/>
            <w:noWrap w:val="0"/>
            <w:vAlign w:val="center"/>
          </w:tcPr>
          <w:p>
            <w:pPr>
              <w:spacing w:line="276" w:lineRule="auto"/>
              <w:jc w:val="both"/>
              <w:rPr>
                <w:rFonts w:ascii="Times New Roman" w:hAnsi="Times New Roman"/>
                <w:color w:val="auto"/>
                <w:sz w:val="21"/>
                <w:szCs w:val="21"/>
                <w:highlight w:val="none"/>
              </w:rPr>
            </w:pPr>
          </w:p>
        </w:tc>
      </w:tr>
      <w:bookmarkEnd w:id="1"/>
      <w:tr>
        <w:trPr>
          <w:trHeight w:val="20" w:hRule="atLeast"/>
          <w:jc w:val="center"/>
        </w:trPr>
        <w:tc>
          <w:tcPr>
            <w:tcW w:w="802" w:type="dxa"/>
            <w:vMerge w:val="restart"/>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2.2.4</w:t>
            </w:r>
          </w:p>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846" w:type="dxa"/>
            <w:gridSpan w:val="3"/>
            <w:vMerge w:val="restart"/>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技术建议书</w:t>
            </w:r>
          </w:p>
        </w:tc>
        <w:tc>
          <w:tcPr>
            <w:tcW w:w="714" w:type="dxa"/>
            <w:vMerge w:val="restart"/>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u w:val="single"/>
              </w:rPr>
              <w:t>30</w:t>
            </w:r>
            <w:r>
              <w:rPr>
                <w:rFonts w:ascii="Times New Roman" w:hAnsi="Times New Roman"/>
                <w:color w:val="auto"/>
                <w:sz w:val="21"/>
                <w:szCs w:val="21"/>
                <w:highlight w:val="none"/>
              </w:rPr>
              <w:t>分</w:t>
            </w:r>
          </w:p>
        </w:tc>
        <w:tc>
          <w:tcPr>
            <w:tcW w:w="1500" w:type="dxa"/>
            <w:gridSpan w:val="2"/>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对招标项目勘察设计的理解和总体设计思路</w:t>
            </w:r>
          </w:p>
        </w:tc>
        <w:tc>
          <w:tcPr>
            <w:tcW w:w="553" w:type="dxa"/>
            <w:noWrap w:val="0"/>
            <w:vAlign w:val="center"/>
          </w:tcPr>
          <w:p>
            <w:pPr>
              <w:adjustRightInd/>
              <w:spacing w:line="312" w:lineRule="auto"/>
              <w:jc w:val="center"/>
              <w:rPr>
                <w:rFonts w:ascii="Times New Roman" w:hAnsi="Times New Roman"/>
                <w:color w:val="auto"/>
                <w:sz w:val="21"/>
                <w:szCs w:val="21"/>
                <w:highlight w:val="none"/>
              </w:rPr>
            </w:pPr>
            <w:r>
              <w:rPr>
                <w:rFonts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5127" w:type="dxa"/>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根据对勘察设计工作范围和任务描述准确程度和总体设计思路清晰、切实可行程度，</w:t>
            </w:r>
            <w:r>
              <w:rPr>
                <w:rFonts w:hint="eastAsia" w:ascii="Times New Roman" w:hAnsi="Times New Roman"/>
                <w:color w:val="auto"/>
                <w:sz w:val="21"/>
                <w:szCs w:val="21"/>
                <w:highlight w:val="none"/>
              </w:rPr>
              <w:t>一般得4.5</w:t>
            </w:r>
            <w:r>
              <w:rPr>
                <w:rFonts w:ascii="Times New Roman" w:hAnsi="Times New Roman"/>
                <w:color w:val="auto"/>
                <w:sz w:val="21"/>
                <w:szCs w:val="21"/>
                <w:highlight w:val="none"/>
              </w:rPr>
              <w:t>分，</w:t>
            </w:r>
            <w:r>
              <w:rPr>
                <w:rFonts w:hint="eastAsia" w:ascii="Times New Roman" w:hAnsi="Times New Roman"/>
                <w:color w:val="auto"/>
                <w:sz w:val="21"/>
                <w:szCs w:val="21"/>
                <w:highlight w:val="none"/>
                <w:lang w:val="en-US" w:eastAsia="zh-CN"/>
              </w:rPr>
              <w:t>较</w:t>
            </w:r>
            <w:r>
              <w:rPr>
                <w:rFonts w:ascii="Times New Roman" w:hAnsi="Times New Roman"/>
                <w:color w:val="auto"/>
                <w:sz w:val="21"/>
                <w:szCs w:val="21"/>
                <w:highlight w:val="none"/>
              </w:rPr>
              <w:t>好得</w:t>
            </w:r>
            <w:r>
              <w:rPr>
                <w:rFonts w:hint="eastAsia" w:ascii="Times New Roman" w:hAnsi="Times New Roman"/>
                <w:color w:val="auto"/>
                <w:sz w:val="21"/>
                <w:szCs w:val="21"/>
                <w:highlight w:val="none"/>
              </w:rPr>
              <w:t>4</w:t>
            </w:r>
            <w:r>
              <w:rPr>
                <w:rFonts w:ascii="Times New Roman" w:hAnsi="Times New Roman"/>
                <w:color w:val="auto"/>
                <w:sz w:val="21"/>
                <w:szCs w:val="21"/>
                <w:highlight w:val="none"/>
              </w:rPr>
              <w:t>.8分，好得</w:t>
            </w:r>
            <w:r>
              <w:rPr>
                <w:rFonts w:hint="eastAsia" w:ascii="Times New Roman" w:hAnsi="Times New Roman"/>
                <w:color w:val="auto"/>
                <w:sz w:val="21"/>
                <w:szCs w:val="21"/>
                <w:highlight w:val="none"/>
              </w:rPr>
              <w:t>5</w:t>
            </w:r>
            <w:r>
              <w:rPr>
                <w:rFonts w:ascii="Times New Roman" w:hAnsi="Times New Roman"/>
                <w:color w:val="auto"/>
                <w:sz w:val="21"/>
                <w:szCs w:val="21"/>
                <w:highlight w:val="none"/>
              </w:rPr>
              <w:t>分。</w:t>
            </w:r>
          </w:p>
        </w:tc>
      </w:tr>
      <w:tr>
        <w:trPr>
          <w:trHeight w:val="20" w:hRule="atLeast"/>
          <w:jc w:val="center"/>
        </w:trPr>
        <w:tc>
          <w:tcPr>
            <w:tcW w:w="802" w:type="dxa"/>
            <w:vMerge w:val="continue"/>
            <w:noWrap w:val="0"/>
            <w:vAlign w:val="center"/>
          </w:tcPr>
          <w:p>
            <w:pPr>
              <w:spacing w:line="276" w:lineRule="auto"/>
              <w:jc w:val="both"/>
              <w:rPr>
                <w:rFonts w:ascii="Times New Roman" w:hAnsi="Times New Roman"/>
                <w:color w:val="auto"/>
                <w:sz w:val="21"/>
                <w:szCs w:val="21"/>
                <w:highlight w:val="none"/>
              </w:rPr>
            </w:pPr>
          </w:p>
        </w:tc>
        <w:tc>
          <w:tcPr>
            <w:tcW w:w="846" w:type="dxa"/>
            <w:gridSpan w:val="3"/>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714" w:type="dxa"/>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1500" w:type="dxa"/>
            <w:gridSpan w:val="2"/>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招标项目勘察设计的特点、关键技术问题的认识及其对策措施</w:t>
            </w:r>
          </w:p>
        </w:tc>
        <w:tc>
          <w:tcPr>
            <w:tcW w:w="553" w:type="dxa"/>
            <w:noWrap w:val="0"/>
            <w:vAlign w:val="center"/>
          </w:tcPr>
          <w:p>
            <w:pPr>
              <w:adjustRightInd/>
              <w:spacing w:line="312" w:lineRule="auto"/>
              <w:jc w:val="center"/>
              <w:rPr>
                <w:rFonts w:ascii="Times New Roman" w:hAnsi="Times New Roman"/>
                <w:color w:val="auto"/>
                <w:sz w:val="21"/>
                <w:szCs w:val="21"/>
                <w:highlight w:val="none"/>
              </w:rPr>
            </w:pPr>
            <w:r>
              <w:rPr>
                <w:rFonts w:ascii="Times New Roman" w:hAnsi="Times New Roman"/>
                <w:color w:val="auto"/>
                <w:sz w:val="21"/>
                <w:szCs w:val="21"/>
                <w:highlight w:val="none"/>
                <w:u w:val="single"/>
              </w:rPr>
              <w:t>10</w:t>
            </w:r>
            <w:r>
              <w:rPr>
                <w:rFonts w:ascii="Times New Roman" w:hAnsi="Times New Roman"/>
                <w:color w:val="auto"/>
                <w:sz w:val="21"/>
                <w:szCs w:val="21"/>
                <w:highlight w:val="none"/>
              </w:rPr>
              <w:t>分</w:t>
            </w:r>
          </w:p>
        </w:tc>
        <w:tc>
          <w:tcPr>
            <w:tcW w:w="5127" w:type="dxa"/>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根据对项目特点、关键技术问题的把握程度和初步设计、施工图设计应着重解决的技术问题所提出处理措施的可行性程度，</w:t>
            </w:r>
            <w:r>
              <w:rPr>
                <w:rStyle w:val="10"/>
                <w:rFonts w:hint="eastAsia" w:ascii="Times New Roman" w:hAnsi="Times New Roman" w:eastAsia="宋体" w:cs="Times New Roman"/>
                <w:color w:val="auto"/>
                <w:sz w:val="21"/>
                <w:szCs w:val="21"/>
                <w:highlight w:val="none"/>
              </w:rPr>
              <w:t>一般得</w:t>
            </w:r>
            <w:r>
              <w:rPr>
                <w:rStyle w:val="10"/>
                <w:rFonts w:ascii="Times New Roman" w:hAnsi="Times New Roman" w:eastAsia="宋体" w:cs="Times New Roman"/>
                <w:color w:val="auto"/>
                <w:sz w:val="21"/>
                <w:szCs w:val="21"/>
                <w:highlight w:val="none"/>
              </w:rPr>
              <w:t>9</w:t>
            </w:r>
            <w:r>
              <w:rPr>
                <w:rStyle w:val="10"/>
                <w:rFonts w:hint="eastAsia" w:ascii="Times New Roman" w:hAnsi="Times New Roman" w:eastAsia="宋体" w:cs="Times New Roman"/>
                <w:color w:val="auto"/>
                <w:sz w:val="21"/>
                <w:szCs w:val="21"/>
                <w:highlight w:val="none"/>
              </w:rPr>
              <w:t>分，</w:t>
            </w:r>
            <w:r>
              <w:rPr>
                <w:rStyle w:val="10"/>
                <w:rFonts w:hint="eastAsia" w:ascii="Times New Roman" w:hAnsi="Times New Roman" w:eastAsia="宋体" w:cs="Times New Roman"/>
                <w:color w:val="auto"/>
                <w:sz w:val="21"/>
                <w:szCs w:val="21"/>
                <w:highlight w:val="none"/>
                <w:lang w:val="en-US" w:eastAsia="zh-CN"/>
              </w:rPr>
              <w:t>较</w:t>
            </w:r>
            <w:r>
              <w:rPr>
                <w:rStyle w:val="10"/>
                <w:rFonts w:hint="eastAsia" w:ascii="Times New Roman" w:hAnsi="Times New Roman" w:eastAsia="宋体" w:cs="Times New Roman"/>
                <w:color w:val="auto"/>
                <w:sz w:val="21"/>
                <w:szCs w:val="21"/>
                <w:highlight w:val="none"/>
              </w:rPr>
              <w:t>好得</w:t>
            </w:r>
            <w:r>
              <w:rPr>
                <w:rStyle w:val="10"/>
                <w:rFonts w:ascii="Times New Roman" w:hAnsi="Times New Roman" w:eastAsia="宋体" w:cs="Times New Roman"/>
                <w:color w:val="auto"/>
                <w:sz w:val="21"/>
                <w:szCs w:val="21"/>
                <w:highlight w:val="none"/>
              </w:rPr>
              <w:t>9</w:t>
            </w:r>
            <w:r>
              <w:rPr>
                <w:rStyle w:val="10"/>
                <w:rFonts w:hint="eastAsia" w:ascii="Times New Roman" w:hAnsi="Times New Roman" w:eastAsia="宋体" w:cs="Times New Roman"/>
                <w:color w:val="auto"/>
                <w:sz w:val="21"/>
                <w:szCs w:val="21"/>
                <w:highlight w:val="none"/>
              </w:rPr>
              <w:t>.5分，好得</w:t>
            </w:r>
            <w:r>
              <w:rPr>
                <w:rStyle w:val="10"/>
                <w:rFonts w:ascii="Times New Roman" w:hAnsi="Times New Roman" w:eastAsia="宋体" w:cs="Times New Roman"/>
                <w:color w:val="auto"/>
                <w:sz w:val="21"/>
                <w:szCs w:val="21"/>
                <w:highlight w:val="none"/>
              </w:rPr>
              <w:t>10</w:t>
            </w:r>
            <w:r>
              <w:rPr>
                <w:rStyle w:val="10"/>
                <w:rFonts w:hint="eastAsia" w:ascii="Times New Roman" w:hAnsi="Times New Roman" w:eastAsia="宋体" w:cs="Times New Roman"/>
                <w:color w:val="auto"/>
                <w:sz w:val="21"/>
                <w:szCs w:val="21"/>
                <w:highlight w:val="none"/>
              </w:rPr>
              <w:t>分。</w:t>
            </w:r>
          </w:p>
        </w:tc>
      </w:tr>
      <w:tr>
        <w:trPr>
          <w:trHeight w:val="1051" w:hRule="atLeast"/>
          <w:jc w:val="center"/>
        </w:trPr>
        <w:tc>
          <w:tcPr>
            <w:tcW w:w="802" w:type="dxa"/>
            <w:vMerge w:val="continue"/>
            <w:noWrap w:val="0"/>
            <w:vAlign w:val="center"/>
          </w:tcPr>
          <w:p>
            <w:pPr>
              <w:spacing w:line="276" w:lineRule="auto"/>
              <w:jc w:val="both"/>
              <w:rPr>
                <w:rFonts w:ascii="Times New Roman" w:hAnsi="Times New Roman"/>
                <w:color w:val="auto"/>
                <w:sz w:val="21"/>
                <w:szCs w:val="21"/>
                <w:highlight w:val="none"/>
              </w:rPr>
            </w:pPr>
          </w:p>
        </w:tc>
        <w:tc>
          <w:tcPr>
            <w:tcW w:w="846" w:type="dxa"/>
            <w:gridSpan w:val="3"/>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714" w:type="dxa"/>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1500" w:type="dxa"/>
            <w:gridSpan w:val="2"/>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勘察设计工作量及计划安排</w:t>
            </w:r>
          </w:p>
        </w:tc>
        <w:tc>
          <w:tcPr>
            <w:tcW w:w="553" w:type="dxa"/>
            <w:noWrap w:val="0"/>
            <w:vAlign w:val="center"/>
          </w:tcPr>
          <w:p>
            <w:pPr>
              <w:adjustRightInd/>
              <w:spacing w:line="312" w:lineRule="auto"/>
              <w:jc w:val="center"/>
              <w:rPr>
                <w:rFonts w:ascii="Times New Roman" w:hAnsi="Times New Roman"/>
                <w:color w:val="auto"/>
                <w:sz w:val="21"/>
                <w:szCs w:val="21"/>
                <w:highlight w:val="none"/>
              </w:rPr>
            </w:pPr>
            <w:r>
              <w:rPr>
                <w:rFonts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5127" w:type="dxa"/>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根据工作计划实施、安排的合理程度，</w:t>
            </w:r>
            <w:r>
              <w:rPr>
                <w:rFonts w:hint="eastAsia" w:ascii="Times New Roman" w:hAnsi="Times New Roman"/>
                <w:color w:val="auto"/>
                <w:sz w:val="21"/>
                <w:szCs w:val="21"/>
                <w:highlight w:val="none"/>
              </w:rPr>
              <w:t>一般得4.5</w:t>
            </w:r>
            <w:r>
              <w:rPr>
                <w:rFonts w:ascii="Times New Roman" w:hAnsi="Times New Roman"/>
                <w:color w:val="auto"/>
                <w:sz w:val="21"/>
                <w:szCs w:val="21"/>
                <w:highlight w:val="none"/>
              </w:rPr>
              <w:t>分，</w:t>
            </w:r>
            <w:r>
              <w:rPr>
                <w:rFonts w:hint="eastAsia" w:ascii="Times New Roman" w:hAnsi="Times New Roman"/>
                <w:color w:val="auto"/>
                <w:sz w:val="21"/>
                <w:szCs w:val="21"/>
                <w:highlight w:val="none"/>
                <w:lang w:val="en-US" w:eastAsia="zh-CN"/>
              </w:rPr>
              <w:t>较</w:t>
            </w:r>
            <w:r>
              <w:rPr>
                <w:rFonts w:ascii="Times New Roman" w:hAnsi="Times New Roman"/>
                <w:color w:val="auto"/>
                <w:sz w:val="21"/>
                <w:szCs w:val="21"/>
                <w:highlight w:val="none"/>
              </w:rPr>
              <w:t>好得</w:t>
            </w:r>
            <w:r>
              <w:rPr>
                <w:rFonts w:hint="eastAsia" w:ascii="Times New Roman" w:hAnsi="Times New Roman"/>
                <w:color w:val="auto"/>
                <w:sz w:val="21"/>
                <w:szCs w:val="21"/>
                <w:highlight w:val="none"/>
              </w:rPr>
              <w:t>4</w:t>
            </w:r>
            <w:r>
              <w:rPr>
                <w:rFonts w:ascii="Times New Roman" w:hAnsi="Times New Roman"/>
                <w:color w:val="auto"/>
                <w:sz w:val="21"/>
                <w:szCs w:val="21"/>
                <w:highlight w:val="none"/>
              </w:rPr>
              <w:t>.8分，好得</w:t>
            </w:r>
            <w:r>
              <w:rPr>
                <w:rFonts w:hint="eastAsia" w:ascii="Times New Roman" w:hAnsi="Times New Roman"/>
                <w:color w:val="auto"/>
                <w:sz w:val="21"/>
                <w:szCs w:val="21"/>
                <w:highlight w:val="none"/>
              </w:rPr>
              <w:t>5</w:t>
            </w:r>
            <w:r>
              <w:rPr>
                <w:rFonts w:ascii="Times New Roman" w:hAnsi="Times New Roman"/>
                <w:color w:val="auto"/>
                <w:sz w:val="21"/>
                <w:szCs w:val="21"/>
                <w:highlight w:val="none"/>
              </w:rPr>
              <w:t>分。</w:t>
            </w:r>
          </w:p>
        </w:tc>
      </w:tr>
      <w:tr>
        <w:trPr>
          <w:trHeight w:val="1390" w:hRule="atLeast"/>
          <w:jc w:val="center"/>
        </w:trPr>
        <w:tc>
          <w:tcPr>
            <w:tcW w:w="802" w:type="dxa"/>
            <w:vMerge w:val="continue"/>
            <w:noWrap w:val="0"/>
            <w:vAlign w:val="center"/>
          </w:tcPr>
          <w:p>
            <w:pPr>
              <w:spacing w:line="276" w:lineRule="auto"/>
              <w:jc w:val="both"/>
              <w:rPr>
                <w:rFonts w:ascii="Times New Roman" w:hAnsi="Times New Roman"/>
                <w:color w:val="auto"/>
                <w:sz w:val="21"/>
                <w:szCs w:val="21"/>
                <w:highlight w:val="none"/>
              </w:rPr>
            </w:pPr>
          </w:p>
        </w:tc>
        <w:tc>
          <w:tcPr>
            <w:tcW w:w="846" w:type="dxa"/>
            <w:gridSpan w:val="3"/>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714" w:type="dxa"/>
            <w:vMerge w:val="continue"/>
            <w:noWrap w:val="0"/>
            <w:vAlign w:val="center"/>
          </w:tcPr>
          <w:p>
            <w:pPr>
              <w:adjustRightInd/>
              <w:spacing w:line="276" w:lineRule="auto"/>
              <w:jc w:val="both"/>
              <w:rPr>
                <w:rFonts w:ascii="Times New Roman" w:hAnsi="Times New Roman"/>
                <w:color w:val="auto"/>
                <w:sz w:val="21"/>
                <w:szCs w:val="21"/>
                <w:highlight w:val="none"/>
                <w:u w:val="single"/>
              </w:rPr>
            </w:pPr>
          </w:p>
        </w:tc>
        <w:tc>
          <w:tcPr>
            <w:tcW w:w="1500" w:type="dxa"/>
            <w:gridSpan w:val="2"/>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勘察设计的质量保证措施、进度保证措施</w:t>
            </w:r>
          </w:p>
        </w:tc>
        <w:tc>
          <w:tcPr>
            <w:tcW w:w="553" w:type="dxa"/>
            <w:noWrap w:val="0"/>
            <w:vAlign w:val="center"/>
          </w:tcPr>
          <w:p>
            <w:pPr>
              <w:adjustRightInd/>
              <w:spacing w:line="312" w:lineRule="auto"/>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5127" w:type="dxa"/>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根据进度和质量保证措施的可实施性，</w:t>
            </w:r>
            <w:r>
              <w:rPr>
                <w:rFonts w:hint="eastAsia" w:ascii="Times New Roman" w:hAnsi="Times New Roman"/>
                <w:color w:val="auto"/>
                <w:sz w:val="21"/>
                <w:szCs w:val="21"/>
                <w:highlight w:val="none"/>
              </w:rPr>
              <w:t>一般得4.5</w:t>
            </w:r>
            <w:r>
              <w:rPr>
                <w:rFonts w:ascii="Times New Roman" w:hAnsi="Times New Roman"/>
                <w:color w:val="auto"/>
                <w:sz w:val="21"/>
                <w:szCs w:val="21"/>
                <w:highlight w:val="none"/>
              </w:rPr>
              <w:t>分，</w:t>
            </w:r>
            <w:r>
              <w:rPr>
                <w:rFonts w:hint="eastAsia" w:ascii="Times New Roman" w:hAnsi="Times New Roman"/>
                <w:color w:val="auto"/>
                <w:sz w:val="21"/>
                <w:szCs w:val="21"/>
                <w:highlight w:val="none"/>
                <w:lang w:val="en-US" w:eastAsia="zh-CN"/>
              </w:rPr>
              <w:t>较</w:t>
            </w:r>
            <w:r>
              <w:rPr>
                <w:rFonts w:ascii="Times New Roman" w:hAnsi="Times New Roman"/>
                <w:color w:val="auto"/>
                <w:sz w:val="21"/>
                <w:szCs w:val="21"/>
                <w:highlight w:val="none"/>
              </w:rPr>
              <w:t>好得</w:t>
            </w:r>
            <w:r>
              <w:rPr>
                <w:rFonts w:hint="eastAsia" w:ascii="Times New Roman" w:hAnsi="Times New Roman"/>
                <w:color w:val="auto"/>
                <w:sz w:val="21"/>
                <w:szCs w:val="21"/>
                <w:highlight w:val="none"/>
              </w:rPr>
              <w:t>4</w:t>
            </w:r>
            <w:r>
              <w:rPr>
                <w:rFonts w:ascii="Times New Roman" w:hAnsi="Times New Roman"/>
                <w:color w:val="auto"/>
                <w:sz w:val="21"/>
                <w:szCs w:val="21"/>
                <w:highlight w:val="none"/>
              </w:rPr>
              <w:t>.8分，好得</w:t>
            </w:r>
            <w:r>
              <w:rPr>
                <w:rFonts w:hint="eastAsia" w:ascii="Times New Roman" w:hAnsi="Times New Roman"/>
                <w:color w:val="auto"/>
                <w:sz w:val="21"/>
                <w:szCs w:val="21"/>
                <w:highlight w:val="none"/>
              </w:rPr>
              <w:t>5</w:t>
            </w:r>
            <w:r>
              <w:rPr>
                <w:rFonts w:ascii="Times New Roman" w:hAnsi="Times New Roman"/>
                <w:color w:val="auto"/>
                <w:sz w:val="21"/>
                <w:szCs w:val="21"/>
                <w:highlight w:val="none"/>
              </w:rPr>
              <w:t>分。</w:t>
            </w:r>
          </w:p>
        </w:tc>
      </w:tr>
      <w:tr>
        <w:trPr>
          <w:trHeight w:val="1393" w:hRule="atLeast"/>
          <w:jc w:val="center"/>
        </w:trPr>
        <w:tc>
          <w:tcPr>
            <w:tcW w:w="802" w:type="dxa"/>
            <w:vMerge w:val="continue"/>
            <w:noWrap w:val="0"/>
            <w:vAlign w:val="center"/>
          </w:tcPr>
          <w:p>
            <w:pPr>
              <w:spacing w:line="276" w:lineRule="auto"/>
              <w:jc w:val="both"/>
              <w:rPr>
                <w:rFonts w:ascii="Times New Roman" w:hAnsi="Times New Roman"/>
                <w:color w:val="auto"/>
                <w:sz w:val="21"/>
                <w:szCs w:val="21"/>
                <w:highlight w:val="none"/>
              </w:rPr>
            </w:pPr>
          </w:p>
        </w:tc>
        <w:tc>
          <w:tcPr>
            <w:tcW w:w="846" w:type="dxa"/>
            <w:gridSpan w:val="3"/>
            <w:vMerge w:val="continue"/>
            <w:noWrap w:val="0"/>
            <w:vAlign w:val="center"/>
          </w:tcPr>
          <w:p>
            <w:pPr>
              <w:adjustRightInd/>
              <w:spacing w:line="276" w:lineRule="auto"/>
              <w:jc w:val="both"/>
              <w:rPr>
                <w:rFonts w:ascii="Times New Roman" w:hAnsi="Times New Roman"/>
                <w:color w:val="auto"/>
                <w:sz w:val="21"/>
                <w:szCs w:val="21"/>
                <w:highlight w:val="none"/>
              </w:rPr>
            </w:pPr>
          </w:p>
        </w:tc>
        <w:tc>
          <w:tcPr>
            <w:tcW w:w="714" w:type="dxa"/>
            <w:vMerge w:val="continue"/>
            <w:noWrap w:val="0"/>
            <w:vAlign w:val="center"/>
          </w:tcPr>
          <w:p>
            <w:pPr>
              <w:adjustRightInd/>
              <w:spacing w:line="276" w:lineRule="auto"/>
              <w:jc w:val="both"/>
              <w:rPr>
                <w:rFonts w:ascii="Times New Roman" w:hAnsi="Times New Roman"/>
                <w:color w:val="auto"/>
                <w:sz w:val="21"/>
                <w:szCs w:val="21"/>
                <w:highlight w:val="none"/>
                <w:u w:val="single"/>
              </w:rPr>
            </w:pPr>
          </w:p>
        </w:tc>
        <w:tc>
          <w:tcPr>
            <w:tcW w:w="1500" w:type="dxa"/>
            <w:gridSpan w:val="2"/>
            <w:noWrap w:val="0"/>
            <w:vAlign w:val="center"/>
          </w:tcPr>
          <w:p>
            <w:pPr>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后续服务的安排及保证措施</w:t>
            </w:r>
          </w:p>
        </w:tc>
        <w:tc>
          <w:tcPr>
            <w:tcW w:w="553" w:type="dxa"/>
            <w:noWrap w:val="0"/>
            <w:vAlign w:val="center"/>
          </w:tcPr>
          <w:p>
            <w:pPr>
              <w:adjustRightInd/>
              <w:spacing w:line="312" w:lineRule="auto"/>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5127" w:type="dxa"/>
            <w:noWrap w:val="0"/>
            <w:vAlign w:val="center"/>
          </w:tcPr>
          <w:p>
            <w:pPr>
              <w:topLinePunct/>
              <w:adjustRightInd/>
              <w:spacing w:line="312" w:lineRule="auto"/>
              <w:jc w:val="both"/>
              <w:rPr>
                <w:rFonts w:ascii="Times New Roman" w:hAnsi="Times New Roman"/>
                <w:color w:val="auto"/>
                <w:sz w:val="21"/>
                <w:szCs w:val="21"/>
                <w:highlight w:val="none"/>
              </w:rPr>
            </w:pPr>
            <w:r>
              <w:rPr>
                <w:rFonts w:ascii="Times New Roman" w:hAnsi="Times New Roman"/>
                <w:color w:val="auto"/>
                <w:sz w:val="21"/>
                <w:szCs w:val="21"/>
                <w:highlight w:val="none"/>
              </w:rPr>
              <w:t>根据承诺的后续服务机构人员的完善程度，</w:t>
            </w:r>
            <w:r>
              <w:rPr>
                <w:rFonts w:hint="eastAsia" w:ascii="Times New Roman" w:hAnsi="Times New Roman"/>
                <w:color w:val="auto"/>
                <w:sz w:val="21"/>
                <w:szCs w:val="21"/>
                <w:highlight w:val="none"/>
              </w:rPr>
              <w:t>一般得4.5</w:t>
            </w:r>
            <w:r>
              <w:rPr>
                <w:rFonts w:ascii="Times New Roman" w:hAnsi="Times New Roman"/>
                <w:color w:val="auto"/>
                <w:sz w:val="21"/>
                <w:szCs w:val="21"/>
                <w:highlight w:val="none"/>
              </w:rPr>
              <w:t>分，</w:t>
            </w:r>
            <w:r>
              <w:rPr>
                <w:rFonts w:hint="eastAsia" w:ascii="Times New Roman" w:hAnsi="Times New Roman"/>
                <w:color w:val="auto"/>
                <w:sz w:val="21"/>
                <w:szCs w:val="21"/>
                <w:highlight w:val="none"/>
                <w:lang w:val="en-US" w:eastAsia="zh-CN"/>
              </w:rPr>
              <w:t>较</w:t>
            </w:r>
            <w:r>
              <w:rPr>
                <w:rFonts w:ascii="Times New Roman" w:hAnsi="Times New Roman"/>
                <w:color w:val="auto"/>
                <w:sz w:val="21"/>
                <w:szCs w:val="21"/>
                <w:highlight w:val="none"/>
              </w:rPr>
              <w:t>好得</w:t>
            </w:r>
            <w:r>
              <w:rPr>
                <w:rFonts w:hint="eastAsia" w:ascii="Times New Roman" w:hAnsi="Times New Roman"/>
                <w:color w:val="auto"/>
                <w:sz w:val="21"/>
                <w:szCs w:val="21"/>
                <w:highlight w:val="none"/>
              </w:rPr>
              <w:t>4</w:t>
            </w:r>
            <w:r>
              <w:rPr>
                <w:rFonts w:ascii="Times New Roman" w:hAnsi="Times New Roman"/>
                <w:color w:val="auto"/>
                <w:sz w:val="21"/>
                <w:szCs w:val="21"/>
                <w:highlight w:val="none"/>
              </w:rPr>
              <w:t>.8分，好得</w:t>
            </w:r>
            <w:r>
              <w:rPr>
                <w:rFonts w:hint="eastAsia" w:ascii="Times New Roman" w:hAnsi="Times New Roman"/>
                <w:color w:val="auto"/>
                <w:sz w:val="21"/>
                <w:szCs w:val="21"/>
                <w:highlight w:val="none"/>
              </w:rPr>
              <w:t>5</w:t>
            </w:r>
            <w:r>
              <w:rPr>
                <w:rFonts w:ascii="Times New Roman" w:hAnsi="Times New Roman"/>
                <w:color w:val="auto"/>
                <w:sz w:val="21"/>
                <w:szCs w:val="21"/>
                <w:highlight w:val="none"/>
              </w:rPr>
              <w:t>分。</w:t>
            </w:r>
          </w:p>
        </w:tc>
      </w:tr>
      <w:bookmarkEnd w:id="0"/>
      <w:tr>
        <w:trPr>
          <w:trHeight w:val="1226" w:hRule="atLeast"/>
          <w:jc w:val="center"/>
        </w:trPr>
        <w:tc>
          <w:tcPr>
            <w:tcW w:w="802" w:type="dxa"/>
            <w:vMerge w:val="restart"/>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2.2.4</w:t>
            </w:r>
          </w:p>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846" w:type="dxa"/>
            <w:gridSpan w:val="3"/>
            <w:vMerge w:val="restart"/>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主要</w:t>
            </w:r>
          </w:p>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人员</w:t>
            </w:r>
          </w:p>
        </w:tc>
        <w:tc>
          <w:tcPr>
            <w:tcW w:w="714" w:type="dxa"/>
            <w:vMerge w:val="restart"/>
            <w:noWrap w:val="0"/>
            <w:vAlign w:val="center"/>
          </w:tcPr>
          <w:p>
            <w:pPr>
              <w:adjustRightInd/>
              <w:spacing w:line="276" w:lineRule="auto"/>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30</w:t>
            </w:r>
            <w:r>
              <w:rPr>
                <w:rFonts w:ascii="Times New Roman" w:hAnsi="Times New Roman"/>
                <w:color w:val="auto"/>
                <w:sz w:val="21"/>
                <w:szCs w:val="21"/>
                <w:highlight w:val="none"/>
              </w:rPr>
              <w:t>分</w:t>
            </w:r>
          </w:p>
        </w:tc>
        <w:tc>
          <w:tcPr>
            <w:tcW w:w="1500" w:type="dxa"/>
            <w:gridSpan w:val="2"/>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项目负责人任职资格与业绩</w:t>
            </w:r>
          </w:p>
        </w:tc>
        <w:tc>
          <w:tcPr>
            <w:tcW w:w="553" w:type="dxa"/>
            <w:noWrap w:val="0"/>
            <w:vAlign w:val="center"/>
          </w:tcPr>
          <w:p>
            <w:pPr>
              <w:adjustRightInd/>
              <w:spacing w:line="276" w:lineRule="auto"/>
              <w:jc w:val="both"/>
              <w:rPr>
                <w:rFonts w:ascii="Times New Roman" w:hAnsi="Times New Roman"/>
                <w:color w:val="auto"/>
                <w:sz w:val="21"/>
                <w:szCs w:val="21"/>
                <w:highlight w:val="none"/>
              </w:rPr>
            </w:pPr>
            <w:r>
              <w:rPr>
                <w:rFonts w:ascii="Times New Roman" w:hAnsi="Times New Roman"/>
                <w:color w:val="auto"/>
                <w:sz w:val="21"/>
                <w:szCs w:val="21"/>
                <w:highlight w:val="none"/>
                <w:u w:val="single"/>
              </w:rPr>
              <w:t>20</w:t>
            </w:r>
          </w:p>
        </w:tc>
        <w:tc>
          <w:tcPr>
            <w:tcW w:w="5127" w:type="dxa"/>
            <w:noWrap w:val="0"/>
            <w:vAlign w:val="center"/>
          </w:tcPr>
          <w:p>
            <w:pPr>
              <w:adjustRightInd/>
              <w:spacing w:line="276" w:lineRule="auto"/>
              <w:jc w:val="both"/>
              <w:rPr>
                <w:color w:val="auto"/>
                <w:sz w:val="21"/>
                <w:szCs w:val="21"/>
                <w:highlight w:val="none"/>
              </w:rPr>
            </w:pPr>
            <w:r>
              <w:rPr>
                <w:color w:val="auto"/>
                <w:sz w:val="21"/>
                <w:szCs w:val="21"/>
                <w:highlight w:val="none"/>
              </w:rPr>
              <w:t>满足资格审查条件（项目负责人最低要求）得基本分12分，</w:t>
            </w:r>
            <w:r>
              <w:rPr>
                <w:rFonts w:hint="eastAsia"/>
                <w:color w:val="auto"/>
                <w:sz w:val="21"/>
                <w:szCs w:val="21"/>
                <w:highlight w:val="none"/>
              </w:rPr>
              <w:t>在</w:t>
            </w:r>
            <w:r>
              <w:rPr>
                <w:color w:val="auto"/>
                <w:sz w:val="21"/>
                <w:szCs w:val="21"/>
                <w:highlight w:val="none"/>
              </w:rPr>
              <w:t>满足资格审查最低条件基础上，项目负责人：</w:t>
            </w:r>
          </w:p>
          <w:p>
            <w:pPr>
              <w:adjustRightInd/>
              <w:spacing w:line="276" w:lineRule="auto"/>
              <w:jc w:val="both"/>
              <w:rPr>
                <w:color w:val="auto"/>
                <w:sz w:val="21"/>
                <w:szCs w:val="21"/>
                <w:highlight w:val="none"/>
              </w:rPr>
            </w:pPr>
            <w:r>
              <w:rPr>
                <w:color w:val="auto"/>
                <w:sz w:val="21"/>
                <w:szCs w:val="21"/>
                <w:highlight w:val="none"/>
              </w:rPr>
              <w:t>1、具备正（或教授级）高级工程师职称和一级注册结构工程师证书</w:t>
            </w:r>
            <w:r>
              <w:rPr>
                <w:rFonts w:hint="eastAsia"/>
                <w:color w:val="auto"/>
                <w:sz w:val="21"/>
                <w:szCs w:val="21"/>
                <w:highlight w:val="none"/>
              </w:rPr>
              <w:t>加</w:t>
            </w:r>
            <w:r>
              <w:rPr>
                <w:color w:val="auto"/>
                <w:sz w:val="21"/>
                <w:szCs w:val="21"/>
                <w:highlight w:val="none"/>
              </w:rPr>
              <w:t>2分，在此基础上同时具备注册土木工程</w:t>
            </w:r>
            <w:r>
              <w:rPr>
                <w:rFonts w:hint="eastAsia"/>
                <w:color w:val="auto"/>
                <w:sz w:val="21"/>
                <w:szCs w:val="21"/>
                <w:highlight w:val="none"/>
              </w:rPr>
              <w:t>师</w:t>
            </w:r>
            <w:r>
              <w:rPr>
                <w:color w:val="auto"/>
                <w:sz w:val="21"/>
                <w:szCs w:val="21"/>
                <w:highlight w:val="none"/>
              </w:rPr>
              <w:t>（道路工程）证书和注册咨询工程师（公路）证书的加</w:t>
            </w:r>
            <w:r>
              <w:rPr>
                <w:rFonts w:hint="eastAsia"/>
                <w:color w:val="auto"/>
                <w:sz w:val="21"/>
                <w:szCs w:val="21"/>
                <w:highlight w:val="none"/>
              </w:rPr>
              <w:t>5</w:t>
            </w:r>
            <w:r>
              <w:rPr>
                <w:color w:val="auto"/>
                <w:sz w:val="21"/>
                <w:szCs w:val="21"/>
                <w:highlight w:val="none"/>
              </w:rPr>
              <w:t>分，本小项最多加5分。</w:t>
            </w:r>
          </w:p>
          <w:p>
            <w:pPr>
              <w:adjustRightInd/>
              <w:spacing w:line="276" w:lineRule="auto"/>
              <w:jc w:val="both"/>
              <w:rPr>
                <w:rFonts w:ascii="Times New Roman" w:hAnsi="Times New Roman"/>
                <w:color w:val="auto"/>
                <w:sz w:val="21"/>
                <w:szCs w:val="21"/>
                <w:highlight w:val="none"/>
              </w:rPr>
            </w:pPr>
            <w:r>
              <w:rPr>
                <w:color w:val="auto"/>
                <w:sz w:val="21"/>
                <w:szCs w:val="21"/>
                <w:highlight w:val="none"/>
              </w:rPr>
              <w:t>2、近5年参与完成的勘察设计项目获得省级（或以上）工程奖项的，每个加1分，本小项最多加3分。</w:t>
            </w:r>
          </w:p>
        </w:tc>
      </w:tr>
      <w:tr>
        <w:trPr>
          <w:trHeight w:val="1226" w:hRule="atLeast"/>
          <w:jc w:val="center"/>
        </w:trPr>
        <w:tc>
          <w:tcPr>
            <w:tcW w:w="802" w:type="dxa"/>
            <w:vMerge w:val="continue"/>
            <w:noWrap w:val="0"/>
            <w:vAlign w:val="center"/>
          </w:tcPr>
          <w:p>
            <w:pPr>
              <w:adjustRightInd/>
              <w:spacing w:line="276" w:lineRule="auto"/>
              <w:jc w:val="center"/>
              <w:rPr>
                <w:color w:val="auto"/>
                <w:sz w:val="21"/>
                <w:szCs w:val="21"/>
                <w:highlight w:val="none"/>
              </w:rPr>
            </w:pPr>
          </w:p>
        </w:tc>
        <w:tc>
          <w:tcPr>
            <w:tcW w:w="846" w:type="dxa"/>
            <w:gridSpan w:val="3"/>
            <w:vMerge w:val="continue"/>
            <w:noWrap w:val="0"/>
            <w:vAlign w:val="center"/>
          </w:tcPr>
          <w:p>
            <w:pPr>
              <w:adjustRightInd/>
              <w:spacing w:line="276" w:lineRule="auto"/>
              <w:jc w:val="center"/>
              <w:rPr>
                <w:color w:val="auto"/>
                <w:sz w:val="21"/>
                <w:szCs w:val="21"/>
                <w:highlight w:val="none"/>
              </w:rPr>
            </w:pPr>
          </w:p>
        </w:tc>
        <w:tc>
          <w:tcPr>
            <w:tcW w:w="714" w:type="dxa"/>
            <w:vMerge w:val="continue"/>
            <w:noWrap w:val="0"/>
            <w:vAlign w:val="center"/>
          </w:tcPr>
          <w:p>
            <w:pPr>
              <w:adjustRightInd/>
              <w:spacing w:line="276" w:lineRule="auto"/>
              <w:jc w:val="center"/>
              <w:rPr>
                <w:rFonts w:ascii="Times New Roman" w:hAnsi="Times New Roman"/>
                <w:color w:val="auto"/>
                <w:sz w:val="21"/>
                <w:szCs w:val="21"/>
                <w:highlight w:val="none"/>
                <w:u w:val="single"/>
              </w:rPr>
            </w:pPr>
          </w:p>
        </w:tc>
        <w:tc>
          <w:tcPr>
            <w:tcW w:w="1500" w:type="dxa"/>
            <w:gridSpan w:val="2"/>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分项负责人任职资格</w:t>
            </w:r>
          </w:p>
        </w:tc>
        <w:tc>
          <w:tcPr>
            <w:tcW w:w="553" w:type="dxa"/>
            <w:noWrap w:val="0"/>
            <w:vAlign w:val="center"/>
          </w:tcPr>
          <w:p>
            <w:pPr>
              <w:adjustRightInd/>
              <w:spacing w:line="276" w:lineRule="auto"/>
              <w:jc w:val="both"/>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10</w:t>
            </w:r>
          </w:p>
        </w:tc>
        <w:tc>
          <w:tcPr>
            <w:tcW w:w="5127" w:type="dxa"/>
            <w:noWrap w:val="0"/>
            <w:vAlign w:val="center"/>
          </w:tcPr>
          <w:p>
            <w:pPr>
              <w:adjustRightInd/>
              <w:spacing w:line="276" w:lineRule="auto"/>
              <w:jc w:val="both"/>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1、道路分项负责人：具备路桥相关专业高级工程师（或以上）职称得1分，在此基础上同时具备注册土木工程师（道路工程）证书和注册土木工程师（岩土）证书的加1分，本小项最高得2分。</w:t>
            </w:r>
          </w:p>
          <w:p>
            <w:pPr>
              <w:adjustRightInd/>
              <w:spacing w:line="276" w:lineRule="auto"/>
              <w:jc w:val="both"/>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2、桥涵分项负责人：具备路桥相关专业高级工程师（或以上）职称得1分，在此基础上同时具备一级注册结构工程师证书和注册土木工程师（道路工程）证书的加1分，本小项最高得2分。</w:t>
            </w:r>
          </w:p>
          <w:p>
            <w:pPr>
              <w:adjustRightInd/>
              <w:spacing w:line="276" w:lineRule="auto"/>
              <w:jc w:val="both"/>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3、电气分项负责人：具备电气专业高级工程师（或以上）职称得1分，在此基础上同时具备注册电气工程师（供配电）证书和注册电气工程师（发输变电）证书的加1分，本小项最高得2分。</w:t>
            </w:r>
          </w:p>
          <w:p>
            <w:pPr>
              <w:adjustRightInd/>
              <w:spacing w:line="276" w:lineRule="auto"/>
              <w:jc w:val="both"/>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4、给排水分项负责人：具备给排水专业高级工程师（或以上）职称得0.5分，在此基础上同时具备注册公用设备工程师（给水排水）证书的加0.5分，本小项最高得1分。</w:t>
            </w:r>
          </w:p>
          <w:p>
            <w:pPr>
              <w:adjustRightInd/>
              <w:spacing w:line="276" w:lineRule="auto"/>
              <w:jc w:val="both"/>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5、造价分项负责人：具备注册造价工程师证书得1分，在此基础上同时具备一级注册结构工程师证书和注册土木工程师（岩土）证书的加1分，本小项最高得2分。</w:t>
            </w:r>
          </w:p>
          <w:p>
            <w:pPr>
              <w:adjustRightInd/>
              <w:spacing w:line="276" w:lineRule="auto"/>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6、勘察分项负责人：具备地质工程专业高级工程师（或以上）职称得0.5分，在此基础上同时具备注册土木工程师（岩土）证书的加0.5分，本小项最高得1分。</w:t>
            </w:r>
          </w:p>
        </w:tc>
      </w:tr>
      <w:tr>
        <w:trPr>
          <w:trHeight w:val="3251" w:hRule="atLeast"/>
          <w:jc w:val="center"/>
        </w:trPr>
        <w:tc>
          <w:tcPr>
            <w:tcW w:w="802" w:type="dxa"/>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2.2.4（3）</w:t>
            </w:r>
          </w:p>
        </w:tc>
        <w:tc>
          <w:tcPr>
            <w:tcW w:w="846" w:type="dxa"/>
            <w:gridSpan w:val="3"/>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评标价</w:t>
            </w:r>
          </w:p>
        </w:tc>
        <w:tc>
          <w:tcPr>
            <w:tcW w:w="714" w:type="dxa"/>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u w:val="single"/>
              </w:rPr>
              <w:t>10</w:t>
            </w:r>
            <w:r>
              <w:rPr>
                <w:rFonts w:ascii="Times New Roman" w:hAnsi="Times New Roman"/>
                <w:color w:val="auto"/>
                <w:sz w:val="21"/>
                <w:szCs w:val="21"/>
                <w:highlight w:val="none"/>
              </w:rPr>
              <w:t>分</w:t>
            </w:r>
          </w:p>
        </w:tc>
        <w:tc>
          <w:tcPr>
            <w:tcW w:w="7180" w:type="dxa"/>
            <w:gridSpan w:val="4"/>
            <w:noWrap w:val="0"/>
            <w:vAlign w:val="center"/>
          </w:tcPr>
          <w:p>
            <w:pPr>
              <w:adjustRightInd/>
              <w:spacing w:line="380" w:lineRule="atLeast"/>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评标价得分计算公式示例：</w:t>
            </w:r>
          </w:p>
          <w:p>
            <w:pPr>
              <w:adjustRightInd/>
              <w:spacing w:line="380" w:lineRule="atLeast"/>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（1）如果投标人的评标价&gt;评标基准价，则评标价得分＝F－偏差率×100× E</w:t>
            </w:r>
            <w:r>
              <w:rPr>
                <w:rFonts w:ascii="Times New Roman" w:hAnsi="Times New Roman"/>
                <w:color w:val="auto"/>
                <w:sz w:val="21"/>
                <w:szCs w:val="21"/>
                <w:highlight w:val="none"/>
                <w:vertAlign w:val="subscript"/>
              </w:rPr>
              <w:t>1</w:t>
            </w:r>
            <w:r>
              <w:rPr>
                <w:rFonts w:ascii="Times New Roman" w:hAnsi="Times New Roman"/>
                <w:color w:val="auto"/>
                <w:sz w:val="21"/>
                <w:szCs w:val="21"/>
                <w:highlight w:val="none"/>
              </w:rPr>
              <w:t>；</w:t>
            </w:r>
          </w:p>
          <w:p>
            <w:pPr>
              <w:adjustRightInd/>
              <w:spacing w:line="380" w:lineRule="atLeast"/>
              <w:jc w:val="both"/>
              <w:textAlignment w:val="auto"/>
              <w:rPr>
                <w:rFonts w:ascii="Times New Roman" w:hAnsi="Times New Roman"/>
                <w:color w:val="auto"/>
                <w:sz w:val="21"/>
                <w:szCs w:val="21"/>
                <w:highlight w:val="none"/>
              </w:rPr>
            </w:pPr>
            <w:r>
              <w:rPr>
                <w:rFonts w:ascii="Times New Roman" w:hAnsi="Times New Roman"/>
                <w:color w:val="auto"/>
                <w:sz w:val="21"/>
                <w:szCs w:val="21"/>
                <w:highlight w:val="none"/>
              </w:rPr>
              <w:t>（2）如果投标人的评标价≤评标基准价，则评标价得分＝F＋偏差率× 100× E</w:t>
            </w:r>
            <w:r>
              <w:rPr>
                <w:rFonts w:ascii="Times New Roman" w:hAnsi="Times New Roman"/>
                <w:color w:val="auto"/>
                <w:sz w:val="21"/>
                <w:szCs w:val="21"/>
                <w:highlight w:val="none"/>
                <w:vertAlign w:val="subscript"/>
              </w:rPr>
              <w:t>2</w:t>
            </w:r>
            <w:r>
              <w:rPr>
                <w:rFonts w:ascii="Times New Roman" w:hAnsi="Times New Roman"/>
                <w:color w:val="auto"/>
                <w:sz w:val="21"/>
                <w:szCs w:val="21"/>
                <w:highlight w:val="none"/>
              </w:rPr>
              <w:t>。</w:t>
            </w:r>
          </w:p>
          <w:p>
            <w:pPr>
              <w:adjustRightInd/>
              <w:spacing w:line="240" w:lineRule="auto"/>
              <w:jc w:val="both"/>
              <w:textAlignment w:val="auto"/>
              <w:rPr>
                <w:rFonts w:ascii="Times New Roman" w:hAnsi="Times New Roman"/>
                <w:color w:val="auto"/>
                <w:sz w:val="21"/>
                <w:szCs w:val="21"/>
                <w:highlight w:val="none"/>
                <w:vertAlign w:val="subscript"/>
              </w:rPr>
            </w:pPr>
            <w:r>
              <w:rPr>
                <w:rFonts w:ascii="Times New Roman" w:hAnsi="Times New Roman"/>
                <w:color w:val="auto"/>
                <w:sz w:val="21"/>
                <w:szCs w:val="21"/>
                <w:highlight w:val="none"/>
              </w:rPr>
              <w:t>其中：F是评标价所占的权重分值，E</w:t>
            </w:r>
            <w:r>
              <w:rPr>
                <w:rFonts w:ascii="Times New Roman" w:hAnsi="Times New Roman"/>
                <w:color w:val="auto"/>
                <w:sz w:val="21"/>
                <w:szCs w:val="21"/>
                <w:highlight w:val="none"/>
                <w:vertAlign w:val="subscript"/>
              </w:rPr>
              <w:t>1</w:t>
            </w:r>
            <w:r>
              <w:rPr>
                <w:rFonts w:ascii="Times New Roman" w:hAnsi="Times New Roman"/>
                <w:color w:val="auto"/>
                <w:sz w:val="21"/>
                <w:szCs w:val="21"/>
                <w:highlight w:val="none"/>
              </w:rPr>
              <w:t>是评标价每高于评标基准价一个百分点的扣分值，E</w:t>
            </w:r>
            <w:r>
              <w:rPr>
                <w:rFonts w:ascii="Times New Roman" w:hAnsi="Times New Roman"/>
                <w:color w:val="auto"/>
                <w:sz w:val="21"/>
                <w:szCs w:val="21"/>
                <w:highlight w:val="none"/>
                <w:vertAlign w:val="subscript"/>
              </w:rPr>
              <w:t>2</w:t>
            </w:r>
            <w:r>
              <w:rPr>
                <w:rFonts w:ascii="Times New Roman" w:hAnsi="Times New Roman"/>
                <w:color w:val="auto"/>
                <w:sz w:val="21"/>
                <w:szCs w:val="21"/>
                <w:highlight w:val="none"/>
              </w:rPr>
              <w:t>是评标价每低于评标基准价一个百分点的扣分值；E1取0.2，E2取0.1。</w:t>
            </w:r>
          </w:p>
          <w:p>
            <w:pPr>
              <w:spacing w:line="380" w:lineRule="atLeast"/>
              <w:rPr>
                <w:rFonts w:ascii="Times New Roman" w:hAnsi="Times New Roman"/>
                <w:color w:val="auto"/>
                <w:sz w:val="21"/>
                <w:szCs w:val="21"/>
                <w:highlight w:val="none"/>
              </w:rPr>
            </w:pPr>
            <w:r>
              <w:rPr>
                <w:rFonts w:ascii="Times New Roman" w:hAnsi="Times New Roman"/>
                <w:color w:val="auto"/>
                <w:sz w:val="21"/>
                <w:szCs w:val="21"/>
                <w:highlight w:val="none"/>
              </w:rPr>
              <w:t>评标价得分四舍五入至小数点后四位。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6" w:hRule="atLeast"/>
          <w:jc w:val="center"/>
        </w:trPr>
        <w:tc>
          <w:tcPr>
            <w:tcW w:w="802" w:type="dxa"/>
            <w:vMerge w:val="restart"/>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2.2.4（4）</w:t>
            </w:r>
          </w:p>
        </w:tc>
        <w:tc>
          <w:tcPr>
            <w:tcW w:w="360" w:type="dxa"/>
            <w:gridSpan w:val="2"/>
            <w:vMerge w:val="restart"/>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其他因素</w:t>
            </w:r>
          </w:p>
        </w:tc>
        <w:tc>
          <w:tcPr>
            <w:tcW w:w="486" w:type="dxa"/>
            <w:noWrap w:val="0"/>
            <w:vAlign w:val="center"/>
          </w:tcPr>
          <w:p>
            <w:pPr>
              <w:adjustRightInd/>
              <w:spacing w:line="276"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技术能力</w:t>
            </w:r>
          </w:p>
        </w:tc>
        <w:tc>
          <w:tcPr>
            <w:tcW w:w="714" w:type="dxa"/>
            <w:noWrap w:val="0"/>
            <w:vAlign w:val="center"/>
          </w:tcPr>
          <w:p>
            <w:pPr>
              <w:adjustRightInd/>
              <w:spacing w:line="276" w:lineRule="auto"/>
              <w:jc w:val="center"/>
              <w:rPr>
                <w:rFonts w:ascii="Times New Roman" w:hAnsi="Times New Roman"/>
                <w:color w:val="auto"/>
                <w:sz w:val="21"/>
                <w:szCs w:val="21"/>
                <w:highlight w:val="none"/>
                <w:u w:val="single"/>
              </w:rPr>
            </w:pPr>
            <w:r>
              <w:rPr>
                <w:rFonts w:hint="eastAsia"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7180" w:type="dxa"/>
            <w:gridSpan w:val="4"/>
            <w:noWrap w:val="0"/>
            <w:vAlign w:val="center"/>
          </w:tcPr>
          <w:p>
            <w:pPr>
              <w:adjustRightInd/>
              <w:spacing w:line="276" w:lineRule="auto"/>
              <w:ind w:firstLine="525" w:firstLineChars="250"/>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1、具备有效的工程勘察设计行业质量管理体系升级版 AAA+ 认证证书的得 </w:t>
            </w:r>
            <w:r>
              <w:rPr>
                <w:rFonts w:hint="default"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分，具备AAA（或以下）认证证书的得1分，其余不得分。</w:t>
            </w:r>
          </w:p>
          <w:p>
            <w:pPr>
              <w:adjustRightInd/>
              <w:spacing w:line="276" w:lineRule="auto"/>
              <w:ind w:firstLine="525" w:firstLineChars="250"/>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注：以上证书需在中国勘察设计协会官网（http://www.chinaeda.org.cn/）可查询，提供原件扫描件，否则不得分。</w:t>
            </w:r>
          </w:p>
          <w:p>
            <w:pPr>
              <w:adjustRightInd/>
              <w:spacing w:line="276" w:lineRule="auto"/>
              <w:ind w:firstLine="525" w:firstLineChars="250"/>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2、具备有效的省级（或以上）市政行业协会颁发的 AAAA 级（或以上）诚信评价证书（勘察设计）的得 </w:t>
            </w: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 xml:space="preserve"> 分，AAA 级（或以下）的得 1 分，其余不得分。</w:t>
            </w:r>
          </w:p>
          <w:p>
            <w:pPr>
              <w:adjustRightInd/>
              <w:spacing w:line="276" w:lineRule="auto"/>
              <w:ind w:firstLine="525" w:firstLineChars="250"/>
              <w:jc w:val="both"/>
              <w:rPr>
                <w:rFonts w:hint="eastAsia"/>
                <w:color w:val="auto"/>
                <w:highlight w:val="none"/>
              </w:rPr>
            </w:pPr>
            <w:r>
              <w:rPr>
                <w:rFonts w:hint="eastAsia" w:ascii="Times New Roman" w:hAnsi="Times New Roman" w:eastAsia="宋体" w:cs="Times New Roman"/>
                <w:color w:val="auto"/>
                <w:sz w:val="21"/>
                <w:szCs w:val="21"/>
                <w:highlight w:val="none"/>
              </w:rPr>
              <w:t>注：以上证书提供原件扫描件，否则不得分。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02" w:type="dxa"/>
            <w:vMerge w:val="continue"/>
            <w:noWrap w:val="0"/>
            <w:vAlign w:val="center"/>
          </w:tcPr>
          <w:p>
            <w:pPr>
              <w:adjustRightInd/>
              <w:spacing w:line="276" w:lineRule="auto"/>
              <w:jc w:val="center"/>
              <w:rPr>
                <w:rFonts w:ascii="Times New Roman" w:hAnsi="Times New Roman"/>
                <w:color w:val="auto"/>
                <w:sz w:val="21"/>
                <w:szCs w:val="21"/>
                <w:highlight w:val="none"/>
              </w:rPr>
            </w:pPr>
          </w:p>
        </w:tc>
        <w:tc>
          <w:tcPr>
            <w:tcW w:w="360" w:type="dxa"/>
            <w:gridSpan w:val="2"/>
            <w:vMerge w:val="continue"/>
            <w:noWrap w:val="0"/>
            <w:vAlign w:val="center"/>
          </w:tcPr>
          <w:p>
            <w:pPr>
              <w:spacing w:line="276" w:lineRule="auto"/>
              <w:jc w:val="center"/>
              <w:rPr>
                <w:rFonts w:ascii="Times New Roman" w:hAnsi="Times New Roman"/>
                <w:color w:val="auto"/>
                <w:sz w:val="21"/>
                <w:szCs w:val="21"/>
                <w:highlight w:val="none"/>
              </w:rPr>
            </w:pPr>
          </w:p>
        </w:tc>
        <w:tc>
          <w:tcPr>
            <w:tcW w:w="486" w:type="dxa"/>
            <w:noWrap w:val="0"/>
            <w:vAlign w:val="center"/>
          </w:tcPr>
          <w:p>
            <w:pPr>
              <w:snapToGrid w:val="0"/>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业绩</w:t>
            </w:r>
          </w:p>
        </w:tc>
        <w:tc>
          <w:tcPr>
            <w:tcW w:w="714" w:type="dxa"/>
            <w:noWrap w:val="0"/>
            <w:vAlign w:val="center"/>
          </w:tcPr>
          <w:p>
            <w:pPr>
              <w:snapToGrid w:val="0"/>
              <w:spacing w:line="360" w:lineRule="exact"/>
              <w:jc w:val="center"/>
              <w:rPr>
                <w:rFonts w:ascii="Times New Roman" w:hAnsi="Times New Roman"/>
                <w:color w:val="auto"/>
                <w:sz w:val="21"/>
                <w:szCs w:val="21"/>
                <w:highlight w:val="none"/>
                <w:u w:val="single"/>
              </w:rPr>
            </w:pPr>
            <w:r>
              <w:rPr>
                <w:rFonts w:hint="eastAsia" w:ascii="Times New Roman" w:hAnsi="Times New Roman"/>
                <w:color w:val="auto"/>
                <w:sz w:val="21"/>
                <w:szCs w:val="21"/>
                <w:highlight w:val="none"/>
              </w:rPr>
              <w:t>20</w:t>
            </w:r>
            <w:r>
              <w:rPr>
                <w:rFonts w:ascii="Times New Roman" w:hAnsi="Times New Roman"/>
                <w:color w:val="auto"/>
                <w:sz w:val="21"/>
                <w:szCs w:val="21"/>
                <w:highlight w:val="none"/>
              </w:rPr>
              <w:t>分</w:t>
            </w:r>
          </w:p>
        </w:tc>
        <w:tc>
          <w:tcPr>
            <w:tcW w:w="1344" w:type="dxa"/>
            <w:noWrap w:val="0"/>
            <w:vAlign w:val="center"/>
          </w:tcPr>
          <w:p>
            <w:pPr>
              <w:snapToGrid w:val="0"/>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常规土建类</w:t>
            </w:r>
          </w:p>
        </w:tc>
        <w:tc>
          <w:tcPr>
            <w:tcW w:w="709" w:type="dxa"/>
            <w:gridSpan w:val="2"/>
            <w:noWrap w:val="0"/>
            <w:vAlign w:val="center"/>
          </w:tcPr>
          <w:p>
            <w:pPr>
              <w:snapToGrid w:val="0"/>
              <w:spacing w:line="360" w:lineRule="exact"/>
              <w:jc w:val="both"/>
              <w:rPr>
                <w:rFonts w:ascii="Times New Roman" w:hAnsi="Times New Roman"/>
                <w:color w:val="auto"/>
                <w:sz w:val="21"/>
                <w:szCs w:val="21"/>
                <w:highlight w:val="none"/>
                <w:u w:val="single"/>
              </w:rPr>
            </w:pPr>
            <w:r>
              <w:rPr>
                <w:rFonts w:hint="eastAsia" w:ascii="Times New Roman" w:hAnsi="Times New Roman"/>
                <w:color w:val="auto"/>
                <w:sz w:val="21"/>
                <w:szCs w:val="21"/>
                <w:highlight w:val="none"/>
                <w:u w:val="single"/>
              </w:rPr>
              <w:t>20</w:t>
            </w:r>
            <w:r>
              <w:rPr>
                <w:rFonts w:ascii="Times New Roman" w:hAnsi="Times New Roman"/>
                <w:color w:val="auto"/>
                <w:sz w:val="21"/>
                <w:szCs w:val="21"/>
                <w:highlight w:val="none"/>
              </w:rPr>
              <w:t>分</w:t>
            </w:r>
          </w:p>
        </w:tc>
        <w:tc>
          <w:tcPr>
            <w:tcW w:w="5127" w:type="dxa"/>
            <w:noWrap w:val="0"/>
            <w:vAlign w:val="center"/>
          </w:tcPr>
          <w:p>
            <w:pPr>
              <w:snapToGrid w:val="0"/>
              <w:spacing w:line="360" w:lineRule="exact"/>
              <w:jc w:val="both"/>
              <w:rPr>
                <w:color w:val="auto"/>
                <w:sz w:val="21"/>
                <w:szCs w:val="21"/>
                <w:highlight w:val="none"/>
              </w:rPr>
            </w:pPr>
            <w:r>
              <w:rPr>
                <w:rFonts w:hint="eastAsia"/>
                <w:color w:val="auto"/>
                <w:sz w:val="21"/>
                <w:szCs w:val="21"/>
                <w:highlight w:val="none"/>
              </w:rPr>
              <w:t>满足资格审查条件（业绩最低要求）得基本分12分；在此基础上，</w:t>
            </w:r>
          </w:p>
          <w:p>
            <w:pPr>
              <w:snapToGrid w:val="0"/>
              <w:spacing w:line="360" w:lineRule="exact"/>
              <w:jc w:val="both"/>
              <w:rPr>
                <w:color w:val="auto"/>
                <w:sz w:val="21"/>
                <w:szCs w:val="21"/>
                <w:highlight w:val="none"/>
              </w:rPr>
            </w:pPr>
            <w:r>
              <w:rPr>
                <w:rFonts w:hint="eastAsia"/>
                <w:color w:val="auto"/>
                <w:sz w:val="21"/>
                <w:szCs w:val="21"/>
                <w:highlight w:val="none"/>
              </w:rPr>
              <w:t>1、近5年（2</w:t>
            </w:r>
            <w:r>
              <w:rPr>
                <w:color w:val="auto"/>
                <w:sz w:val="21"/>
                <w:szCs w:val="21"/>
                <w:highlight w:val="none"/>
              </w:rPr>
              <w:t>01</w:t>
            </w:r>
            <w:r>
              <w:rPr>
                <w:rFonts w:hint="default"/>
                <w:color w:val="auto"/>
                <w:sz w:val="21"/>
                <w:szCs w:val="21"/>
                <w:highlight w:val="none"/>
              </w:rPr>
              <w:t>7</w:t>
            </w:r>
            <w:r>
              <w:rPr>
                <w:rFonts w:hint="eastAsia"/>
                <w:color w:val="auto"/>
                <w:sz w:val="21"/>
                <w:szCs w:val="21"/>
                <w:highlight w:val="none"/>
              </w:rPr>
              <w:t>年</w:t>
            </w:r>
            <w:r>
              <w:rPr>
                <w:rFonts w:hint="default"/>
                <w:color w:val="auto"/>
                <w:sz w:val="21"/>
                <w:szCs w:val="21"/>
                <w:highlight w:val="none"/>
              </w:rPr>
              <w:t>1</w:t>
            </w:r>
            <w:r>
              <w:rPr>
                <w:rFonts w:hint="eastAsia"/>
                <w:color w:val="auto"/>
                <w:sz w:val="21"/>
                <w:szCs w:val="21"/>
                <w:highlight w:val="none"/>
              </w:rPr>
              <w:t>月1日至投标截止日）：每累计增加完成</w:t>
            </w:r>
            <w:r>
              <w:rPr>
                <w:rFonts w:hint="default"/>
                <w:color w:val="auto"/>
                <w:sz w:val="21"/>
                <w:szCs w:val="21"/>
                <w:highlight w:val="none"/>
              </w:rPr>
              <w:t>1</w:t>
            </w:r>
            <w:r>
              <w:rPr>
                <w:rFonts w:hint="eastAsia"/>
                <w:color w:val="auto"/>
                <w:sz w:val="21"/>
                <w:szCs w:val="21"/>
                <w:highlight w:val="none"/>
                <w:lang w:val="en-US" w:eastAsia="zh-Hans"/>
              </w:rPr>
              <w:t>.</w:t>
            </w:r>
            <w:r>
              <w:rPr>
                <w:rFonts w:hint="default"/>
                <w:color w:val="auto"/>
                <w:sz w:val="21"/>
                <w:szCs w:val="21"/>
                <w:highlight w:val="none"/>
                <w:lang w:eastAsia="zh-Hans"/>
              </w:rPr>
              <w:t>5</w:t>
            </w:r>
            <w:r>
              <w:rPr>
                <w:rFonts w:hint="eastAsia"/>
                <w:color w:val="auto"/>
                <w:sz w:val="21"/>
                <w:szCs w:val="21"/>
                <w:highlight w:val="none"/>
              </w:rPr>
              <w:t>km（尾数不计）类似工程勘察设计（或设计）业绩加2分，本小项最多加4分。</w:t>
            </w:r>
          </w:p>
          <w:p>
            <w:pPr>
              <w:snapToGrid w:val="0"/>
              <w:spacing w:line="360" w:lineRule="exact"/>
              <w:jc w:val="both"/>
              <w:rPr>
                <w:color w:val="auto"/>
                <w:sz w:val="21"/>
                <w:szCs w:val="21"/>
                <w:highlight w:val="none"/>
              </w:rPr>
            </w:pPr>
            <w:r>
              <w:rPr>
                <w:rFonts w:hint="eastAsia"/>
                <w:color w:val="auto"/>
                <w:sz w:val="21"/>
                <w:szCs w:val="21"/>
                <w:highlight w:val="none"/>
              </w:rPr>
              <w:t>2、近5年（2</w:t>
            </w:r>
            <w:r>
              <w:rPr>
                <w:color w:val="auto"/>
                <w:sz w:val="21"/>
                <w:szCs w:val="21"/>
                <w:highlight w:val="none"/>
              </w:rPr>
              <w:t>01</w:t>
            </w:r>
            <w:r>
              <w:rPr>
                <w:rFonts w:hint="default"/>
                <w:color w:val="auto"/>
                <w:sz w:val="21"/>
                <w:szCs w:val="21"/>
                <w:highlight w:val="none"/>
              </w:rPr>
              <w:t>7</w:t>
            </w:r>
            <w:r>
              <w:rPr>
                <w:rFonts w:hint="eastAsia"/>
                <w:color w:val="auto"/>
                <w:sz w:val="21"/>
                <w:szCs w:val="21"/>
                <w:highlight w:val="none"/>
              </w:rPr>
              <w:t>年</w:t>
            </w:r>
            <w:r>
              <w:rPr>
                <w:rFonts w:hint="default"/>
                <w:color w:val="auto"/>
                <w:sz w:val="21"/>
                <w:szCs w:val="21"/>
                <w:highlight w:val="none"/>
              </w:rPr>
              <w:t>1</w:t>
            </w:r>
            <w:r>
              <w:rPr>
                <w:rFonts w:hint="eastAsia"/>
                <w:color w:val="auto"/>
                <w:sz w:val="21"/>
                <w:szCs w:val="21"/>
                <w:highlight w:val="none"/>
              </w:rPr>
              <w:t>月1日至投标截止日）：每累计完成1项建安费（或工程费用）</w:t>
            </w:r>
            <w:r>
              <w:rPr>
                <w:rFonts w:hint="default"/>
                <w:color w:val="auto"/>
                <w:sz w:val="21"/>
                <w:szCs w:val="21"/>
                <w:highlight w:val="none"/>
              </w:rPr>
              <w:t>1</w:t>
            </w:r>
            <w:r>
              <w:rPr>
                <w:rFonts w:hint="eastAsia"/>
                <w:color w:val="auto"/>
                <w:sz w:val="21"/>
                <w:szCs w:val="21"/>
                <w:highlight w:val="none"/>
              </w:rPr>
              <w:t>亿元（或以上）的市政工程（必须包含城市主干路）勘察设计（或设计）业绩加2分，本小项最多加4分。</w:t>
            </w:r>
          </w:p>
          <w:p>
            <w:pPr>
              <w:snapToGrid w:val="0"/>
              <w:spacing w:line="360" w:lineRule="exact"/>
              <w:jc w:val="both"/>
              <w:rPr>
                <w:rFonts w:ascii="Times New Roman" w:hAnsi="Times New Roman"/>
                <w:color w:val="auto"/>
                <w:sz w:val="18"/>
                <w:szCs w:val="18"/>
                <w:highlight w:val="none"/>
              </w:rPr>
            </w:pPr>
            <w:r>
              <w:rPr>
                <w:rFonts w:hint="eastAsia"/>
                <w:color w:val="auto"/>
                <w:sz w:val="18"/>
                <w:szCs w:val="18"/>
                <w:highlight w:val="none"/>
              </w:rPr>
              <w:t>注：完成是指完成施工图设计；公路业绩认定时间以施工图批复时间为准，市政业绩认定时间以审图合格书时间（附审图合格书扫描件）为准。</w:t>
            </w:r>
          </w:p>
        </w:tc>
      </w:tr>
      <w:tr>
        <w:trPr>
          <w:trHeight w:val="20" w:hRule="atLeast"/>
          <w:jc w:val="center"/>
        </w:trPr>
        <w:tc>
          <w:tcPr>
            <w:tcW w:w="802" w:type="dxa"/>
            <w:vMerge w:val="continue"/>
            <w:noWrap w:val="0"/>
            <w:vAlign w:val="center"/>
          </w:tcPr>
          <w:p>
            <w:pPr>
              <w:adjustRightInd/>
              <w:spacing w:line="276" w:lineRule="auto"/>
              <w:jc w:val="center"/>
              <w:rPr>
                <w:rFonts w:ascii="Times New Roman" w:hAnsi="Times New Roman"/>
                <w:color w:val="auto"/>
                <w:sz w:val="18"/>
                <w:szCs w:val="18"/>
                <w:highlight w:val="none"/>
              </w:rPr>
            </w:pPr>
          </w:p>
        </w:tc>
        <w:tc>
          <w:tcPr>
            <w:tcW w:w="360" w:type="dxa"/>
            <w:gridSpan w:val="2"/>
            <w:vMerge w:val="continue"/>
            <w:noWrap w:val="0"/>
            <w:vAlign w:val="center"/>
          </w:tcPr>
          <w:p>
            <w:pPr>
              <w:adjustRightInd/>
              <w:spacing w:line="276" w:lineRule="auto"/>
              <w:jc w:val="center"/>
              <w:rPr>
                <w:rFonts w:ascii="Times New Roman" w:hAnsi="Times New Roman"/>
                <w:color w:val="auto"/>
                <w:sz w:val="18"/>
                <w:szCs w:val="18"/>
                <w:highlight w:val="none"/>
              </w:rPr>
            </w:pPr>
          </w:p>
        </w:tc>
        <w:tc>
          <w:tcPr>
            <w:tcW w:w="486" w:type="dxa"/>
            <w:vMerge w:val="restart"/>
            <w:noWrap w:val="0"/>
            <w:vAlign w:val="center"/>
          </w:tcPr>
          <w:p>
            <w:pPr>
              <w:snapToGrid w:val="0"/>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履约信誉</w:t>
            </w:r>
          </w:p>
        </w:tc>
        <w:tc>
          <w:tcPr>
            <w:tcW w:w="714" w:type="dxa"/>
            <w:vMerge w:val="restart"/>
            <w:noWrap w:val="0"/>
            <w:vAlign w:val="center"/>
          </w:tcPr>
          <w:p>
            <w:pPr>
              <w:snapToGrid w:val="0"/>
              <w:spacing w:line="360" w:lineRule="exact"/>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5</w:t>
            </w:r>
            <w:r>
              <w:rPr>
                <w:rFonts w:ascii="Times New Roman" w:hAnsi="Times New Roman"/>
                <w:color w:val="auto"/>
                <w:sz w:val="21"/>
                <w:szCs w:val="21"/>
                <w:highlight w:val="none"/>
              </w:rPr>
              <w:t>分</w:t>
            </w:r>
          </w:p>
        </w:tc>
        <w:tc>
          <w:tcPr>
            <w:tcW w:w="1344" w:type="dxa"/>
            <w:noWrap w:val="0"/>
            <w:vAlign w:val="center"/>
          </w:tcPr>
          <w:p>
            <w:pPr>
              <w:snapToGrid w:val="0"/>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履约情况</w:t>
            </w:r>
          </w:p>
        </w:tc>
        <w:tc>
          <w:tcPr>
            <w:tcW w:w="709" w:type="dxa"/>
            <w:gridSpan w:val="2"/>
            <w:noWrap w:val="0"/>
            <w:vAlign w:val="center"/>
          </w:tcPr>
          <w:p>
            <w:pPr>
              <w:snapToGrid w:val="0"/>
              <w:spacing w:line="360" w:lineRule="exact"/>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2.5</w:t>
            </w:r>
            <w:r>
              <w:rPr>
                <w:rFonts w:ascii="Times New Roman" w:hAnsi="Times New Roman"/>
                <w:color w:val="auto"/>
                <w:sz w:val="21"/>
                <w:szCs w:val="21"/>
                <w:highlight w:val="none"/>
              </w:rPr>
              <w:t>分</w:t>
            </w:r>
          </w:p>
        </w:tc>
        <w:tc>
          <w:tcPr>
            <w:tcW w:w="5127" w:type="dxa"/>
            <w:noWrap w:val="0"/>
            <w:vAlign w:val="center"/>
          </w:tcPr>
          <w:p>
            <w:pPr>
              <w:pStyle w:val="11"/>
              <w:kinsoku w:val="0"/>
              <w:overflowPunct w:val="0"/>
              <w:spacing w:before="41" w:line="295" w:lineRule="auto"/>
              <w:ind w:left="99" w:right="184"/>
              <w:rPr>
                <w:rFonts w:ascii="宋体" w:cs="宋体"/>
                <w:color w:val="auto"/>
                <w:spacing w:val="-2"/>
                <w:sz w:val="21"/>
                <w:szCs w:val="21"/>
                <w:highlight w:val="none"/>
              </w:rPr>
            </w:pPr>
            <w:r>
              <w:rPr>
                <w:rFonts w:hint="eastAsia" w:ascii="宋体" w:cs="宋体"/>
                <w:color w:val="auto"/>
                <w:sz w:val="21"/>
                <w:szCs w:val="21"/>
                <w:highlight w:val="none"/>
              </w:rPr>
              <w:t>若没</w:t>
            </w:r>
            <w:r>
              <w:rPr>
                <w:rFonts w:hint="eastAsia" w:ascii="宋体" w:cs="宋体"/>
                <w:color w:val="auto"/>
                <w:spacing w:val="-3"/>
                <w:sz w:val="21"/>
                <w:szCs w:val="21"/>
                <w:highlight w:val="none"/>
              </w:rPr>
              <w:t>出</w:t>
            </w:r>
            <w:r>
              <w:rPr>
                <w:rFonts w:hint="eastAsia" w:ascii="宋体" w:cs="宋体"/>
                <w:color w:val="auto"/>
                <w:sz w:val="21"/>
                <w:szCs w:val="21"/>
                <w:highlight w:val="none"/>
              </w:rPr>
              <w:t>现</w:t>
            </w:r>
            <w:r>
              <w:rPr>
                <w:rFonts w:hint="eastAsia" w:ascii="宋体" w:cs="宋体"/>
                <w:color w:val="auto"/>
                <w:spacing w:val="-3"/>
                <w:sz w:val="21"/>
                <w:szCs w:val="21"/>
                <w:highlight w:val="none"/>
              </w:rPr>
              <w:t>下</w:t>
            </w:r>
            <w:r>
              <w:rPr>
                <w:rFonts w:hint="eastAsia" w:ascii="宋体" w:cs="宋体"/>
                <w:color w:val="auto"/>
                <w:sz w:val="21"/>
                <w:szCs w:val="21"/>
                <w:highlight w:val="none"/>
              </w:rPr>
              <w:t>述</w:t>
            </w:r>
            <w:r>
              <w:rPr>
                <w:rFonts w:hint="eastAsia" w:ascii="宋体" w:cs="宋体"/>
                <w:color w:val="auto"/>
                <w:spacing w:val="-3"/>
                <w:sz w:val="21"/>
                <w:szCs w:val="21"/>
                <w:highlight w:val="none"/>
              </w:rPr>
              <w:t>情</w:t>
            </w:r>
            <w:r>
              <w:rPr>
                <w:rFonts w:hint="eastAsia" w:ascii="宋体" w:cs="宋体"/>
                <w:color w:val="auto"/>
                <w:sz w:val="21"/>
                <w:szCs w:val="21"/>
                <w:highlight w:val="none"/>
              </w:rPr>
              <w:t>形</w:t>
            </w:r>
            <w:r>
              <w:rPr>
                <w:rFonts w:hint="eastAsia" w:ascii="宋体" w:cs="宋体"/>
                <w:color w:val="auto"/>
                <w:spacing w:val="-3"/>
                <w:sz w:val="21"/>
                <w:szCs w:val="21"/>
                <w:highlight w:val="none"/>
              </w:rPr>
              <w:t>得</w:t>
            </w:r>
            <w:r>
              <w:rPr>
                <w:rFonts w:hint="eastAsia" w:ascii="宋体" w:cs="宋体"/>
                <w:color w:val="auto"/>
                <w:sz w:val="21"/>
                <w:szCs w:val="21"/>
                <w:highlight w:val="none"/>
              </w:rPr>
              <w:t>满</w:t>
            </w:r>
            <w:r>
              <w:rPr>
                <w:rFonts w:hint="eastAsia" w:ascii="宋体" w:cs="宋体"/>
                <w:color w:val="auto"/>
                <w:spacing w:val="-3"/>
                <w:sz w:val="21"/>
                <w:szCs w:val="21"/>
                <w:highlight w:val="none"/>
              </w:rPr>
              <w:t>分</w:t>
            </w:r>
            <w:r>
              <w:rPr>
                <w:rFonts w:hint="eastAsia" w:ascii="宋体" w:cs="宋体"/>
                <w:color w:val="auto"/>
                <w:sz w:val="21"/>
                <w:szCs w:val="21"/>
                <w:highlight w:val="none"/>
              </w:rPr>
              <w:t>（</w:t>
            </w:r>
            <w:r>
              <w:rPr>
                <w:color w:val="auto"/>
                <w:sz w:val="21"/>
                <w:szCs w:val="21"/>
                <w:highlight w:val="none"/>
                <w:u w:val="single"/>
              </w:rPr>
              <w:t>2.5</w:t>
            </w:r>
            <w:r>
              <w:rPr>
                <w:rFonts w:hint="eastAsia" w:ascii="宋体" w:cs="宋体"/>
                <w:color w:val="auto"/>
                <w:sz w:val="21"/>
                <w:szCs w:val="21"/>
                <w:highlight w:val="none"/>
              </w:rPr>
              <w:t>分</w:t>
            </w:r>
            <w:r>
              <w:rPr>
                <w:rFonts w:hint="eastAsia" w:ascii="宋体" w:cs="宋体"/>
                <w:color w:val="auto"/>
                <w:spacing w:val="-108"/>
                <w:sz w:val="21"/>
                <w:szCs w:val="21"/>
                <w:highlight w:val="none"/>
              </w:rPr>
              <w:t>）</w:t>
            </w:r>
            <w:r>
              <w:rPr>
                <w:rFonts w:hint="eastAsia" w:ascii="宋体" w:cs="宋体"/>
                <w:color w:val="auto"/>
                <w:sz w:val="21"/>
                <w:szCs w:val="21"/>
                <w:highlight w:val="none"/>
              </w:rPr>
              <w:t xml:space="preserve">； </w:t>
            </w:r>
            <w:r>
              <w:rPr>
                <w:rFonts w:hint="eastAsia" w:ascii="宋体" w:cs="宋体"/>
                <w:color w:val="auto"/>
                <w:spacing w:val="-2"/>
                <w:sz w:val="21"/>
                <w:szCs w:val="21"/>
                <w:highlight w:val="none"/>
              </w:rPr>
              <w:t>自</w:t>
            </w:r>
            <w:r>
              <w:rPr>
                <w:color w:val="auto"/>
                <w:spacing w:val="-2"/>
                <w:sz w:val="21"/>
                <w:szCs w:val="21"/>
                <w:highlight w:val="none"/>
                <w:u w:val="single"/>
              </w:rPr>
              <w:t>20</w:t>
            </w:r>
            <w:r>
              <w:rPr>
                <w:rFonts w:hint="eastAsia"/>
                <w:color w:val="auto"/>
                <w:spacing w:val="-2"/>
                <w:sz w:val="21"/>
                <w:szCs w:val="21"/>
                <w:highlight w:val="none"/>
                <w:u w:val="single"/>
              </w:rPr>
              <w:t>2</w:t>
            </w:r>
            <w:r>
              <w:rPr>
                <w:rFonts w:hint="default"/>
                <w:color w:val="auto"/>
                <w:spacing w:val="-2"/>
                <w:sz w:val="21"/>
                <w:szCs w:val="21"/>
                <w:highlight w:val="none"/>
                <w:u w:val="single"/>
              </w:rPr>
              <w:t>1</w:t>
            </w:r>
            <w:r>
              <w:rPr>
                <w:rFonts w:hint="eastAsia" w:ascii="宋体" w:cs="宋体"/>
                <w:color w:val="auto"/>
                <w:spacing w:val="-2"/>
                <w:sz w:val="21"/>
                <w:szCs w:val="21"/>
                <w:highlight w:val="none"/>
              </w:rPr>
              <w:t>年</w:t>
            </w:r>
            <w:r>
              <w:rPr>
                <w:rFonts w:hint="default" w:ascii="宋体" w:cs="宋体"/>
                <w:color w:val="auto"/>
                <w:spacing w:val="-2"/>
                <w:sz w:val="21"/>
                <w:szCs w:val="21"/>
                <w:highlight w:val="none"/>
              </w:rPr>
              <w:t>1</w:t>
            </w:r>
            <w:r>
              <w:rPr>
                <w:rFonts w:hint="eastAsia" w:ascii="宋体" w:cs="宋体"/>
                <w:color w:val="auto"/>
                <w:spacing w:val="-2"/>
                <w:sz w:val="21"/>
                <w:szCs w:val="21"/>
                <w:highlight w:val="none"/>
              </w:rPr>
              <w:t>月</w:t>
            </w:r>
            <w:r>
              <w:rPr>
                <w:color w:val="auto"/>
                <w:spacing w:val="-2"/>
                <w:sz w:val="21"/>
                <w:szCs w:val="21"/>
                <w:highlight w:val="none"/>
                <w:u w:val="single"/>
              </w:rPr>
              <w:t>1</w:t>
            </w:r>
            <w:r>
              <w:rPr>
                <w:rFonts w:hint="eastAsia" w:ascii="宋体" w:cs="宋体"/>
                <w:color w:val="auto"/>
                <w:spacing w:val="-2"/>
                <w:sz w:val="21"/>
                <w:szCs w:val="21"/>
                <w:highlight w:val="none"/>
              </w:rPr>
              <w:t>日至投标文件递交截止日（投标文件</w:t>
            </w:r>
            <w:r>
              <w:rPr>
                <w:rFonts w:hint="eastAsia" w:ascii="宋体" w:cs="宋体"/>
                <w:color w:val="auto"/>
                <w:spacing w:val="47"/>
                <w:sz w:val="21"/>
                <w:szCs w:val="21"/>
                <w:highlight w:val="none"/>
              </w:rPr>
              <w:t xml:space="preserve"> </w:t>
            </w:r>
            <w:r>
              <w:rPr>
                <w:rFonts w:hint="eastAsia" w:ascii="宋体" w:cs="宋体"/>
                <w:color w:val="auto"/>
                <w:sz w:val="21"/>
                <w:szCs w:val="21"/>
                <w:highlight w:val="none"/>
              </w:rPr>
              <w:t>递交</w:t>
            </w:r>
            <w:r>
              <w:rPr>
                <w:rFonts w:hint="eastAsia" w:ascii="宋体" w:cs="宋体"/>
                <w:color w:val="auto"/>
                <w:spacing w:val="-3"/>
                <w:sz w:val="21"/>
                <w:szCs w:val="21"/>
                <w:highlight w:val="none"/>
              </w:rPr>
              <w:t>截</w:t>
            </w:r>
            <w:r>
              <w:rPr>
                <w:rFonts w:hint="eastAsia" w:ascii="宋体" w:cs="宋体"/>
                <w:color w:val="auto"/>
                <w:sz w:val="21"/>
                <w:szCs w:val="21"/>
                <w:highlight w:val="none"/>
              </w:rPr>
              <w:t>止</w:t>
            </w:r>
            <w:r>
              <w:rPr>
                <w:rFonts w:hint="eastAsia" w:ascii="宋体" w:cs="宋体"/>
                <w:color w:val="auto"/>
                <w:spacing w:val="-3"/>
                <w:sz w:val="21"/>
                <w:szCs w:val="21"/>
                <w:highlight w:val="none"/>
              </w:rPr>
              <w:t>日</w:t>
            </w:r>
            <w:r>
              <w:rPr>
                <w:rFonts w:hint="eastAsia" w:ascii="宋体" w:cs="宋体"/>
                <w:color w:val="auto"/>
                <w:sz w:val="21"/>
                <w:szCs w:val="21"/>
                <w:highlight w:val="none"/>
              </w:rPr>
              <w:t>前</w:t>
            </w:r>
            <w:r>
              <w:rPr>
                <w:color w:val="auto"/>
                <w:spacing w:val="-3"/>
                <w:sz w:val="21"/>
                <w:szCs w:val="21"/>
                <w:highlight w:val="none"/>
              </w:rPr>
              <w:t>1</w:t>
            </w:r>
            <w:r>
              <w:rPr>
                <w:rFonts w:hint="eastAsia" w:ascii="宋体" w:cs="宋体"/>
                <w:color w:val="auto"/>
                <w:sz w:val="21"/>
                <w:szCs w:val="21"/>
                <w:highlight w:val="none"/>
              </w:rPr>
              <w:t>年内</w:t>
            </w:r>
            <w:r>
              <w:rPr>
                <w:rFonts w:hint="eastAsia" w:ascii="宋体" w:cs="宋体"/>
                <w:color w:val="auto"/>
                <w:spacing w:val="-108"/>
                <w:sz w:val="21"/>
                <w:szCs w:val="21"/>
                <w:highlight w:val="none"/>
              </w:rPr>
              <w:t>）</w:t>
            </w:r>
            <w:r>
              <w:rPr>
                <w:rFonts w:hint="eastAsia" w:ascii="宋体" w:cs="宋体"/>
                <w:color w:val="auto"/>
                <w:sz w:val="21"/>
                <w:szCs w:val="21"/>
                <w:highlight w:val="none"/>
              </w:rPr>
              <w:t>，</w:t>
            </w:r>
            <w:r>
              <w:rPr>
                <w:rFonts w:hint="eastAsia" w:ascii="宋体" w:cs="宋体"/>
                <w:color w:val="auto"/>
                <w:spacing w:val="-3"/>
                <w:sz w:val="21"/>
                <w:szCs w:val="21"/>
                <w:highlight w:val="none"/>
              </w:rPr>
              <w:t>因</w:t>
            </w:r>
            <w:r>
              <w:rPr>
                <w:rFonts w:hint="eastAsia" w:ascii="宋体" w:cs="宋体"/>
                <w:color w:val="auto"/>
                <w:sz w:val="21"/>
                <w:szCs w:val="21"/>
                <w:highlight w:val="none"/>
              </w:rPr>
              <w:t>公路</w:t>
            </w:r>
            <w:r>
              <w:rPr>
                <w:rFonts w:hint="eastAsia" w:ascii="宋体" w:cs="宋体"/>
                <w:color w:val="auto"/>
                <w:spacing w:val="-3"/>
                <w:sz w:val="21"/>
                <w:szCs w:val="21"/>
                <w:highlight w:val="none"/>
              </w:rPr>
              <w:t>工</w:t>
            </w:r>
            <w:r>
              <w:rPr>
                <w:rFonts w:hint="eastAsia" w:ascii="宋体" w:cs="宋体"/>
                <w:color w:val="auto"/>
                <w:sz w:val="21"/>
                <w:szCs w:val="21"/>
                <w:highlight w:val="none"/>
              </w:rPr>
              <w:t>程</w:t>
            </w:r>
            <w:r>
              <w:rPr>
                <w:rFonts w:hint="eastAsia" w:ascii="宋体" w:cs="宋体"/>
                <w:color w:val="auto"/>
                <w:spacing w:val="-3"/>
                <w:sz w:val="21"/>
                <w:szCs w:val="21"/>
                <w:highlight w:val="none"/>
              </w:rPr>
              <w:t>勘</w:t>
            </w:r>
            <w:r>
              <w:rPr>
                <w:rFonts w:hint="eastAsia" w:ascii="宋体" w:cs="宋体"/>
                <w:color w:val="auto"/>
                <w:sz w:val="21"/>
                <w:szCs w:val="21"/>
                <w:highlight w:val="none"/>
              </w:rPr>
              <w:t>察</w:t>
            </w:r>
            <w:r>
              <w:rPr>
                <w:rFonts w:hint="eastAsia" w:ascii="宋体" w:cs="宋体"/>
                <w:color w:val="auto"/>
                <w:spacing w:val="-3"/>
                <w:sz w:val="21"/>
                <w:szCs w:val="21"/>
                <w:highlight w:val="none"/>
              </w:rPr>
              <w:t>设</w:t>
            </w:r>
            <w:r>
              <w:rPr>
                <w:rFonts w:hint="eastAsia" w:ascii="宋体" w:cs="宋体"/>
                <w:color w:val="auto"/>
                <w:sz w:val="21"/>
                <w:szCs w:val="21"/>
                <w:highlight w:val="none"/>
              </w:rPr>
              <w:t>计</w:t>
            </w:r>
            <w:r>
              <w:rPr>
                <w:rFonts w:hint="eastAsia" w:ascii="宋体" w:cs="宋体"/>
                <w:color w:val="auto"/>
                <w:spacing w:val="-3"/>
                <w:sz w:val="21"/>
                <w:szCs w:val="21"/>
                <w:highlight w:val="none"/>
              </w:rPr>
              <w:t>原</w:t>
            </w:r>
            <w:r>
              <w:rPr>
                <w:rFonts w:hint="eastAsia" w:ascii="宋体" w:cs="宋体"/>
                <w:color w:val="auto"/>
                <w:sz w:val="21"/>
                <w:szCs w:val="21"/>
                <w:highlight w:val="none"/>
              </w:rPr>
              <w:t xml:space="preserve">因、 </w:t>
            </w:r>
            <w:r>
              <w:rPr>
                <w:rFonts w:hint="eastAsia" w:ascii="宋体" w:cs="宋体"/>
                <w:color w:val="auto"/>
                <w:spacing w:val="-2"/>
                <w:sz w:val="21"/>
                <w:szCs w:val="21"/>
                <w:highlight w:val="none"/>
              </w:rPr>
              <w:t>履约或招标投标问题等原因被：</w:t>
            </w:r>
          </w:p>
          <w:p>
            <w:pPr>
              <w:pStyle w:val="11"/>
              <w:kinsoku w:val="0"/>
              <w:overflowPunct w:val="0"/>
              <w:spacing w:before="35"/>
              <w:ind w:left="99"/>
              <w:rPr>
                <w:rFonts w:hint="eastAsia" w:ascii="宋体" w:cs="宋体"/>
                <w:color w:val="auto"/>
                <w:sz w:val="21"/>
                <w:szCs w:val="21"/>
                <w:highlight w:val="none"/>
              </w:rPr>
            </w:pPr>
            <w:r>
              <w:rPr>
                <w:rFonts w:hint="eastAsia" w:ascii="宋体" w:cs="宋体"/>
                <w:color w:val="auto"/>
                <w:spacing w:val="-2"/>
                <w:sz w:val="21"/>
                <w:szCs w:val="21"/>
                <w:highlight w:val="none"/>
              </w:rPr>
              <w:t>（</w:t>
            </w:r>
            <w:r>
              <w:rPr>
                <w:color w:val="auto"/>
                <w:spacing w:val="-2"/>
                <w:sz w:val="21"/>
                <w:szCs w:val="21"/>
                <w:highlight w:val="none"/>
              </w:rPr>
              <w:t>1</w:t>
            </w:r>
            <w:r>
              <w:rPr>
                <w:rFonts w:hint="eastAsia" w:ascii="宋体" w:cs="宋体"/>
                <w:color w:val="auto"/>
                <w:spacing w:val="-2"/>
                <w:sz w:val="21"/>
                <w:szCs w:val="21"/>
                <w:highlight w:val="none"/>
              </w:rPr>
              <w:t>）交通运输部通报批评的，扣</w:t>
            </w:r>
            <w:r>
              <w:rPr>
                <w:color w:val="auto"/>
                <w:spacing w:val="-2"/>
                <w:sz w:val="21"/>
                <w:szCs w:val="21"/>
                <w:highlight w:val="none"/>
              </w:rPr>
              <w:t>5</w:t>
            </w:r>
            <w:r>
              <w:rPr>
                <w:rFonts w:hint="eastAsia" w:ascii="宋体" w:cs="宋体"/>
                <w:color w:val="auto"/>
                <w:spacing w:val="-2"/>
                <w:sz w:val="21"/>
                <w:szCs w:val="21"/>
                <w:highlight w:val="none"/>
              </w:rPr>
              <w:t>分</w:t>
            </w:r>
            <w:r>
              <w:rPr>
                <w:color w:val="auto"/>
                <w:spacing w:val="-2"/>
                <w:sz w:val="21"/>
                <w:szCs w:val="21"/>
                <w:highlight w:val="none"/>
              </w:rPr>
              <w:t>/</w:t>
            </w:r>
            <w:r>
              <w:rPr>
                <w:rFonts w:hint="eastAsia" w:ascii="宋体" w:cs="宋体"/>
                <w:color w:val="auto"/>
                <w:spacing w:val="-2"/>
                <w:sz w:val="21"/>
                <w:szCs w:val="21"/>
                <w:highlight w:val="none"/>
              </w:rPr>
              <w:t>次；</w:t>
            </w:r>
          </w:p>
          <w:p>
            <w:pPr>
              <w:pStyle w:val="11"/>
              <w:kinsoku w:val="0"/>
              <w:overflowPunct w:val="0"/>
              <w:spacing w:before="69"/>
              <w:ind w:left="99"/>
              <w:rPr>
                <w:rFonts w:hint="eastAsia" w:ascii="宋体" w:cs="宋体"/>
                <w:color w:val="auto"/>
                <w:sz w:val="21"/>
                <w:szCs w:val="21"/>
                <w:highlight w:val="none"/>
              </w:rPr>
            </w:pPr>
            <w:r>
              <w:rPr>
                <w:rFonts w:hint="eastAsia" w:ascii="宋体" w:cs="宋体"/>
                <w:color w:val="auto"/>
                <w:spacing w:val="-2"/>
                <w:sz w:val="21"/>
                <w:szCs w:val="21"/>
                <w:highlight w:val="none"/>
              </w:rPr>
              <w:t>（</w:t>
            </w:r>
            <w:r>
              <w:rPr>
                <w:color w:val="auto"/>
                <w:spacing w:val="-2"/>
                <w:sz w:val="21"/>
                <w:szCs w:val="21"/>
                <w:highlight w:val="none"/>
              </w:rPr>
              <w:t>2</w:t>
            </w:r>
            <w:r>
              <w:rPr>
                <w:rFonts w:hint="eastAsia" w:ascii="宋体" w:cs="宋体"/>
                <w:color w:val="auto"/>
                <w:spacing w:val="-2"/>
                <w:sz w:val="21"/>
                <w:szCs w:val="21"/>
                <w:highlight w:val="none"/>
              </w:rPr>
              <w:t>）广东省交通运输厅通报批评的，扣</w:t>
            </w:r>
            <w:r>
              <w:rPr>
                <w:rFonts w:hint="eastAsia" w:ascii="宋体" w:cs="宋体"/>
                <w:color w:val="auto"/>
                <w:spacing w:val="-52"/>
                <w:sz w:val="21"/>
                <w:szCs w:val="21"/>
                <w:highlight w:val="none"/>
              </w:rPr>
              <w:t xml:space="preserve"> </w:t>
            </w:r>
            <w:r>
              <w:rPr>
                <w:color w:val="auto"/>
                <w:sz w:val="21"/>
                <w:szCs w:val="21"/>
                <w:highlight w:val="none"/>
              </w:rPr>
              <w:t>4</w:t>
            </w:r>
            <w:r>
              <w:rPr>
                <w:color w:val="auto"/>
                <w:spacing w:val="-3"/>
                <w:sz w:val="21"/>
                <w:szCs w:val="21"/>
                <w:highlight w:val="none"/>
              </w:rPr>
              <w:t xml:space="preserve"> </w:t>
            </w:r>
            <w:r>
              <w:rPr>
                <w:rFonts w:hint="eastAsia" w:ascii="宋体" w:cs="宋体"/>
                <w:color w:val="auto"/>
                <w:spacing w:val="-2"/>
                <w:sz w:val="21"/>
                <w:szCs w:val="21"/>
                <w:highlight w:val="none"/>
              </w:rPr>
              <w:t>分</w:t>
            </w:r>
            <w:r>
              <w:rPr>
                <w:color w:val="auto"/>
                <w:spacing w:val="-2"/>
                <w:sz w:val="21"/>
                <w:szCs w:val="21"/>
                <w:highlight w:val="none"/>
              </w:rPr>
              <w:t>/</w:t>
            </w:r>
            <w:r>
              <w:rPr>
                <w:rFonts w:hint="eastAsia" w:ascii="宋体" w:cs="宋体"/>
                <w:color w:val="auto"/>
                <w:spacing w:val="-2"/>
                <w:sz w:val="21"/>
                <w:szCs w:val="21"/>
                <w:highlight w:val="none"/>
              </w:rPr>
              <w:t>次；</w:t>
            </w:r>
          </w:p>
          <w:p>
            <w:pPr>
              <w:pStyle w:val="11"/>
              <w:kinsoku w:val="0"/>
              <w:overflowPunct w:val="0"/>
              <w:spacing w:before="26" w:line="360" w:lineRule="exact"/>
              <w:ind w:left="99" w:right="97"/>
              <w:rPr>
                <w:rFonts w:ascii="宋体" w:cs="宋体"/>
                <w:color w:val="auto"/>
                <w:spacing w:val="19"/>
                <w:sz w:val="21"/>
                <w:szCs w:val="21"/>
                <w:highlight w:val="none"/>
              </w:rPr>
            </w:pPr>
            <w:r>
              <w:rPr>
                <w:rFonts w:hint="eastAsia" w:ascii="宋体" w:cs="宋体"/>
                <w:color w:val="auto"/>
                <w:spacing w:val="-3"/>
                <w:sz w:val="21"/>
                <w:szCs w:val="21"/>
                <w:highlight w:val="none"/>
                <w:u w:val="single"/>
              </w:rPr>
              <w:t>（</w:t>
            </w:r>
            <w:r>
              <w:rPr>
                <w:color w:val="auto"/>
                <w:spacing w:val="-3"/>
                <w:sz w:val="21"/>
                <w:szCs w:val="21"/>
                <w:highlight w:val="none"/>
                <w:u w:val="single"/>
              </w:rPr>
              <w:t>3</w:t>
            </w:r>
            <w:r>
              <w:rPr>
                <w:rFonts w:hint="eastAsia" w:ascii="宋体" w:cs="宋体"/>
                <w:color w:val="auto"/>
                <w:spacing w:val="-3"/>
                <w:sz w:val="21"/>
                <w:szCs w:val="21"/>
                <w:highlight w:val="none"/>
                <w:u w:val="single"/>
              </w:rPr>
              <w:t>）茂名市交通运输局或化州市交通运输局</w:t>
            </w:r>
            <w:r>
              <w:rPr>
                <w:rFonts w:hint="eastAsia" w:ascii="宋体" w:cs="宋体"/>
                <w:color w:val="auto"/>
                <w:spacing w:val="-2"/>
                <w:sz w:val="21"/>
                <w:szCs w:val="21"/>
                <w:highlight w:val="none"/>
                <w:u w:val="single"/>
              </w:rPr>
              <w:t>通报批</w:t>
            </w:r>
            <w:r>
              <w:rPr>
                <w:rFonts w:hint="eastAsia" w:ascii="宋体" w:cs="宋体"/>
                <w:color w:val="auto"/>
                <w:spacing w:val="-1"/>
                <w:sz w:val="21"/>
                <w:szCs w:val="21"/>
                <w:highlight w:val="none"/>
                <w:u w:val="single"/>
              </w:rPr>
              <w:t>评的，扣</w:t>
            </w:r>
            <w:r>
              <w:rPr>
                <w:rFonts w:hint="eastAsia" w:ascii="宋体" w:cs="宋体"/>
                <w:color w:val="auto"/>
                <w:spacing w:val="-53"/>
                <w:sz w:val="21"/>
                <w:szCs w:val="21"/>
                <w:highlight w:val="none"/>
                <w:u w:val="single"/>
              </w:rPr>
              <w:t xml:space="preserve"> </w:t>
            </w:r>
            <w:r>
              <w:rPr>
                <w:color w:val="auto"/>
                <w:sz w:val="21"/>
                <w:szCs w:val="21"/>
                <w:highlight w:val="none"/>
                <w:u w:val="single"/>
              </w:rPr>
              <w:t>1</w:t>
            </w:r>
            <w:r>
              <w:rPr>
                <w:rFonts w:hint="eastAsia" w:ascii="宋体" w:cs="宋体"/>
                <w:color w:val="auto"/>
                <w:spacing w:val="-2"/>
                <w:sz w:val="21"/>
                <w:szCs w:val="21"/>
                <w:highlight w:val="none"/>
                <w:u w:val="single"/>
              </w:rPr>
              <w:t>分</w:t>
            </w:r>
            <w:r>
              <w:rPr>
                <w:color w:val="auto"/>
                <w:spacing w:val="-2"/>
                <w:sz w:val="21"/>
                <w:szCs w:val="21"/>
                <w:highlight w:val="none"/>
                <w:u w:val="single"/>
              </w:rPr>
              <w:t>/</w:t>
            </w:r>
            <w:r>
              <w:rPr>
                <w:rFonts w:hint="eastAsia" w:ascii="宋体" w:cs="宋体"/>
                <w:color w:val="auto"/>
                <w:spacing w:val="-2"/>
                <w:sz w:val="21"/>
                <w:szCs w:val="21"/>
                <w:highlight w:val="none"/>
                <w:u w:val="single"/>
              </w:rPr>
              <w:t>次。</w:t>
            </w:r>
          </w:p>
          <w:p>
            <w:pPr>
              <w:autoSpaceDE w:val="0"/>
              <w:autoSpaceDN w:val="0"/>
              <w:snapToGrid w:val="0"/>
              <w:spacing w:line="360" w:lineRule="exact"/>
              <w:textAlignment w:val="auto"/>
              <w:rPr>
                <w:rFonts w:ascii="Times New Roman" w:hAnsi="Times New Roman"/>
                <w:color w:val="auto"/>
                <w:sz w:val="21"/>
                <w:szCs w:val="21"/>
                <w:highlight w:val="none"/>
              </w:rPr>
            </w:pPr>
            <w:r>
              <w:rPr>
                <w:rFonts w:hint="eastAsia" w:ascii="宋体" w:cs="宋体"/>
                <w:color w:val="auto"/>
                <w:sz w:val="18"/>
                <w:szCs w:val="18"/>
                <w:highlight w:val="none"/>
              </w:rPr>
              <w:t>注：同一事项同时被多个部门通报批评只按最高的扣分计算</w:t>
            </w:r>
            <w:r>
              <w:rPr>
                <w:rFonts w:hint="eastAsia" w:ascii="宋体" w:cs="宋体"/>
                <w:color w:val="auto"/>
                <w:spacing w:val="40"/>
                <w:sz w:val="18"/>
                <w:szCs w:val="18"/>
                <w:highlight w:val="none"/>
              </w:rPr>
              <w:t xml:space="preserve"> </w:t>
            </w:r>
            <w:r>
              <w:rPr>
                <w:color w:val="auto"/>
                <w:sz w:val="18"/>
                <w:szCs w:val="18"/>
                <w:highlight w:val="none"/>
              </w:rPr>
              <w:t>1</w:t>
            </w:r>
            <w:r>
              <w:rPr>
                <w:color w:val="auto"/>
                <w:spacing w:val="1"/>
                <w:sz w:val="18"/>
                <w:szCs w:val="18"/>
                <w:highlight w:val="none"/>
              </w:rPr>
              <w:t xml:space="preserve"> </w:t>
            </w:r>
            <w:r>
              <w:rPr>
                <w:rFonts w:hint="eastAsia" w:ascii="宋体" w:cs="宋体"/>
                <w:color w:val="auto"/>
                <w:spacing w:val="-1"/>
                <w:sz w:val="18"/>
                <w:szCs w:val="18"/>
                <w:highlight w:val="none"/>
              </w:rPr>
              <w:t>次，如果扣完本项分值，可以从总分中扣。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02" w:type="dxa"/>
            <w:vMerge w:val="continue"/>
            <w:noWrap w:val="0"/>
            <w:vAlign w:val="center"/>
          </w:tcPr>
          <w:p>
            <w:pPr>
              <w:adjustRightInd/>
              <w:spacing w:line="276" w:lineRule="auto"/>
              <w:jc w:val="center"/>
              <w:rPr>
                <w:rFonts w:ascii="Times New Roman" w:hAnsi="Times New Roman"/>
                <w:color w:val="auto"/>
                <w:sz w:val="18"/>
                <w:szCs w:val="18"/>
                <w:highlight w:val="none"/>
              </w:rPr>
            </w:pPr>
          </w:p>
        </w:tc>
        <w:tc>
          <w:tcPr>
            <w:tcW w:w="360" w:type="dxa"/>
            <w:gridSpan w:val="2"/>
            <w:vMerge w:val="continue"/>
            <w:noWrap w:val="0"/>
            <w:vAlign w:val="center"/>
          </w:tcPr>
          <w:p>
            <w:pPr>
              <w:adjustRightInd/>
              <w:spacing w:line="276" w:lineRule="auto"/>
              <w:jc w:val="center"/>
              <w:rPr>
                <w:rFonts w:ascii="Times New Roman" w:hAnsi="Times New Roman"/>
                <w:color w:val="auto"/>
                <w:sz w:val="18"/>
                <w:szCs w:val="18"/>
                <w:highlight w:val="none"/>
              </w:rPr>
            </w:pPr>
          </w:p>
        </w:tc>
        <w:tc>
          <w:tcPr>
            <w:tcW w:w="486" w:type="dxa"/>
            <w:vMerge w:val="continue"/>
            <w:noWrap w:val="0"/>
            <w:vAlign w:val="center"/>
          </w:tcPr>
          <w:p>
            <w:pPr>
              <w:spacing w:line="276" w:lineRule="auto"/>
              <w:jc w:val="center"/>
              <w:rPr>
                <w:rFonts w:ascii="Times New Roman" w:hAnsi="Times New Roman"/>
                <w:color w:val="auto"/>
                <w:sz w:val="21"/>
                <w:szCs w:val="21"/>
                <w:highlight w:val="none"/>
              </w:rPr>
            </w:pPr>
          </w:p>
        </w:tc>
        <w:tc>
          <w:tcPr>
            <w:tcW w:w="714" w:type="dxa"/>
            <w:vMerge w:val="continue"/>
            <w:noWrap w:val="0"/>
            <w:vAlign w:val="center"/>
          </w:tcPr>
          <w:p>
            <w:pPr>
              <w:spacing w:line="276" w:lineRule="auto"/>
              <w:jc w:val="center"/>
              <w:rPr>
                <w:rFonts w:ascii="Times New Roman" w:hAnsi="Times New Roman"/>
                <w:color w:val="auto"/>
                <w:sz w:val="21"/>
                <w:szCs w:val="21"/>
                <w:highlight w:val="none"/>
                <w:u w:val="single"/>
              </w:rPr>
            </w:pPr>
          </w:p>
        </w:tc>
        <w:tc>
          <w:tcPr>
            <w:tcW w:w="1344" w:type="dxa"/>
            <w:noWrap w:val="0"/>
            <w:vAlign w:val="center"/>
          </w:tcPr>
          <w:p>
            <w:pPr>
              <w:adjustRightInd/>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信用评价</w:t>
            </w:r>
          </w:p>
        </w:tc>
        <w:tc>
          <w:tcPr>
            <w:tcW w:w="709" w:type="dxa"/>
            <w:gridSpan w:val="2"/>
            <w:noWrap w:val="0"/>
            <w:vAlign w:val="center"/>
          </w:tcPr>
          <w:p>
            <w:pPr>
              <w:adjustRightInd/>
              <w:spacing w:line="276" w:lineRule="auto"/>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2.5</w:t>
            </w:r>
            <w:r>
              <w:rPr>
                <w:rFonts w:ascii="Times New Roman" w:hAnsi="Times New Roman"/>
                <w:color w:val="auto"/>
                <w:sz w:val="21"/>
                <w:szCs w:val="21"/>
                <w:highlight w:val="none"/>
              </w:rPr>
              <w:t>分</w:t>
            </w:r>
          </w:p>
        </w:tc>
        <w:tc>
          <w:tcPr>
            <w:tcW w:w="5127" w:type="dxa"/>
            <w:noWrap w:val="0"/>
            <w:vAlign w:val="center"/>
          </w:tcPr>
          <w:p>
            <w:pPr>
              <w:adjustRightInd/>
              <w:spacing w:line="360" w:lineRule="auto"/>
              <w:textAlignment w:val="auto"/>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信用等级分值（</w:t>
            </w:r>
            <w:r>
              <w:rPr>
                <w:rFonts w:ascii="Times New Roman" w:hAnsi="Times New Roman"/>
                <w:color w:val="auto"/>
                <w:sz w:val="21"/>
                <w:szCs w:val="21"/>
                <w:highlight w:val="none"/>
                <w:u w:val="single"/>
                <w:lang w:val="zh-CN"/>
              </w:rPr>
              <w:t>2.5</w:t>
            </w:r>
            <w:r>
              <w:rPr>
                <w:rFonts w:ascii="Times New Roman" w:hAnsi="Times New Roman"/>
                <w:color w:val="auto"/>
                <w:sz w:val="21"/>
                <w:szCs w:val="21"/>
                <w:highlight w:val="none"/>
                <w:lang w:val="zh-CN"/>
              </w:rPr>
              <w:t>分）</w:t>
            </w:r>
          </w:p>
          <w:p>
            <w:pPr>
              <w:adjustRightInd/>
              <w:spacing w:line="360" w:lineRule="auto"/>
              <w:jc w:val="both"/>
              <w:rPr>
                <w:rFonts w:ascii="Times New Roman" w:hAnsi="Times New Roman"/>
                <w:color w:val="auto"/>
                <w:sz w:val="21"/>
                <w:szCs w:val="21"/>
                <w:highlight w:val="none"/>
                <w:u w:val="single"/>
                <w:lang w:val="zh-CN"/>
              </w:rPr>
            </w:pPr>
            <w:r>
              <w:rPr>
                <w:rFonts w:ascii="Times New Roman" w:hAnsi="Times New Roman"/>
                <w:color w:val="auto"/>
                <w:sz w:val="21"/>
                <w:szCs w:val="21"/>
                <w:highlight w:val="none"/>
                <w:lang w:val="zh-CN"/>
              </w:rPr>
              <w:t>信用等级为AA、A、B、C级单位的得分分别为</w:t>
            </w:r>
            <w:r>
              <w:rPr>
                <w:rFonts w:hint="eastAsia" w:ascii="Times New Roman" w:hAnsi="Times New Roman"/>
                <w:color w:val="auto"/>
                <w:sz w:val="21"/>
                <w:szCs w:val="21"/>
                <w:highlight w:val="none"/>
                <w:u w:val="single"/>
                <w:lang w:val="zh-CN"/>
              </w:rPr>
              <w:t>2.50、2.4、2.25、1.75</w:t>
            </w:r>
            <w:r>
              <w:rPr>
                <w:rFonts w:ascii="Times New Roman" w:hAnsi="Times New Roman"/>
                <w:color w:val="auto"/>
                <w:sz w:val="21"/>
                <w:szCs w:val="21"/>
                <w:highlight w:val="none"/>
                <w:lang w:val="zh-CN"/>
              </w:rPr>
              <w:t>分。</w:t>
            </w:r>
          </w:p>
          <w:p>
            <w:pPr>
              <w:adjustRightInd/>
              <w:spacing w:line="240" w:lineRule="auto"/>
              <w:jc w:val="both"/>
              <w:rPr>
                <w:rFonts w:ascii="Times New Roman" w:hAnsi="Times New Roman"/>
                <w:color w:val="auto"/>
                <w:sz w:val="18"/>
                <w:szCs w:val="18"/>
                <w:highlight w:val="none"/>
              </w:rPr>
            </w:pPr>
            <w:r>
              <w:rPr>
                <w:rFonts w:ascii="Times New Roman" w:hAnsi="Times New Roman"/>
                <w:color w:val="auto"/>
                <w:sz w:val="18"/>
                <w:szCs w:val="18"/>
                <w:highlight w:val="none"/>
                <w:lang w:val="zh-CN"/>
              </w:rPr>
              <w:t>注：信用等级的确定原则遵循投标人须知前附表10.2款的规定。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9542" w:type="dxa"/>
            <w:gridSpan w:val="9"/>
            <w:noWrap w:val="0"/>
            <w:vAlign w:val="center"/>
          </w:tcPr>
          <w:p>
            <w:pPr>
              <w:spacing w:line="276" w:lineRule="auto"/>
              <w:rPr>
                <w:rFonts w:ascii="Times New Roman" w:hAnsi="Times New Roman"/>
                <w:color w:val="auto"/>
                <w:sz w:val="21"/>
                <w:szCs w:val="21"/>
                <w:highlight w:val="none"/>
              </w:rPr>
            </w:pPr>
            <w:r>
              <w:rPr>
                <w:rFonts w:ascii="Times New Roman" w:hAnsi="Times New Roman"/>
                <w:b/>
                <w:color w:val="auto"/>
                <w:sz w:val="21"/>
                <w:szCs w:val="21"/>
                <w:highlight w:val="none"/>
              </w:rPr>
              <w:t>需要补充的其他内容：</w:t>
            </w:r>
          </w:p>
        </w:tc>
      </w:tr>
      <w:tr>
        <w:trPr>
          <w:trHeight w:val="456" w:hRule="atLeast"/>
          <w:jc w:val="center"/>
        </w:trPr>
        <w:tc>
          <w:tcPr>
            <w:tcW w:w="886" w:type="dxa"/>
            <w:gridSpan w:val="2"/>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条款号</w:t>
            </w:r>
          </w:p>
        </w:tc>
        <w:tc>
          <w:tcPr>
            <w:tcW w:w="8656" w:type="dxa"/>
            <w:gridSpan w:val="7"/>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补充或修改的内容</w:t>
            </w:r>
          </w:p>
        </w:tc>
      </w:tr>
      <w:tr>
        <w:trPr>
          <w:trHeight w:val="10508" w:hRule="atLeast"/>
          <w:jc w:val="center"/>
        </w:trPr>
        <w:tc>
          <w:tcPr>
            <w:tcW w:w="886" w:type="dxa"/>
            <w:gridSpan w:val="2"/>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8656" w:type="dxa"/>
            <w:gridSpan w:val="7"/>
            <w:noWrap w:val="0"/>
            <w:vAlign w:val="center"/>
          </w:tcPr>
          <w:p>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将评标办法范本原文第1条“评标方法”改为“评标方法、组织及工作程序”，并且原文内容修改如下：</w:t>
            </w:r>
          </w:p>
          <w:p>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1.1评标方法</w:t>
            </w:r>
          </w:p>
          <w:p>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1.2评标组织</w:t>
            </w:r>
          </w:p>
          <w:p>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1.2.1协助工作组</w:t>
            </w:r>
          </w:p>
          <w:p>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auto"/>
              <w:ind w:firstLine="485"/>
              <w:rPr>
                <w:rFonts w:ascii="Times New Roman" w:hAnsi="Times New Roman"/>
                <w:color w:val="auto"/>
                <w:sz w:val="21"/>
                <w:szCs w:val="21"/>
                <w:highlight w:val="none"/>
              </w:rPr>
            </w:pPr>
            <w:r>
              <w:rPr>
                <w:rFonts w:ascii="Times New Roman" w:hAnsi="Times New Roman"/>
                <w:color w:val="auto"/>
                <w:sz w:val="21"/>
                <w:szCs w:val="21"/>
                <w:highlight w:val="none"/>
              </w:rPr>
              <w:t>招标人可以协助评标委员会开展下列工作并提供相关信息：</w:t>
            </w:r>
          </w:p>
          <w:p>
            <w:pPr>
              <w:spacing w:line="360" w:lineRule="auto"/>
              <w:ind w:firstLine="485"/>
              <w:rPr>
                <w:rFonts w:ascii="Times New Roman" w:hAnsi="Times New Roman"/>
                <w:color w:val="auto"/>
                <w:sz w:val="21"/>
                <w:szCs w:val="21"/>
                <w:highlight w:val="none"/>
              </w:rPr>
            </w:pPr>
            <w:r>
              <w:rPr>
                <w:rFonts w:ascii="Times New Roman" w:hAnsi="Times New Roman"/>
                <w:color w:val="auto"/>
                <w:sz w:val="21"/>
                <w:szCs w:val="21"/>
                <w:highlight w:val="none"/>
              </w:rPr>
              <w:t>（1）根据招标文件，编制评标使用的相应表格；</w:t>
            </w:r>
          </w:p>
          <w:p>
            <w:pPr>
              <w:spacing w:line="360" w:lineRule="auto"/>
              <w:ind w:firstLine="485"/>
              <w:rPr>
                <w:rFonts w:ascii="Times New Roman" w:hAnsi="Times New Roman"/>
                <w:color w:val="auto"/>
                <w:sz w:val="21"/>
                <w:szCs w:val="21"/>
                <w:highlight w:val="none"/>
              </w:rPr>
            </w:pPr>
            <w:r>
              <w:rPr>
                <w:rFonts w:ascii="Times New Roman" w:hAnsi="Times New Roman"/>
                <w:color w:val="auto"/>
                <w:sz w:val="21"/>
                <w:szCs w:val="21"/>
                <w:highlight w:val="none"/>
              </w:rPr>
              <w:t>（2）对投标报价进行算术性校核（如采用固化工程量清单，本步骤省略）；</w:t>
            </w:r>
          </w:p>
          <w:p>
            <w:pPr>
              <w:spacing w:line="360" w:lineRule="auto"/>
              <w:ind w:firstLine="485"/>
              <w:rPr>
                <w:rFonts w:ascii="Times New Roman" w:hAnsi="Times New Roman"/>
                <w:color w:val="auto"/>
                <w:sz w:val="21"/>
                <w:szCs w:val="21"/>
                <w:highlight w:val="none"/>
              </w:rPr>
            </w:pPr>
            <w:r>
              <w:rPr>
                <w:rFonts w:ascii="Times New Roman" w:hAnsi="Times New Roman"/>
                <w:color w:val="auto"/>
                <w:sz w:val="21"/>
                <w:szCs w:val="21"/>
                <w:highlight w:val="none"/>
              </w:rPr>
              <w:t>（3）以评标标准和方法为依据，列出投标文件相对于招标文件的所有偏差，并进行归类汇总；</w:t>
            </w:r>
          </w:p>
          <w:p>
            <w:pPr>
              <w:spacing w:line="360" w:lineRule="auto"/>
              <w:ind w:firstLine="485"/>
              <w:rPr>
                <w:rFonts w:ascii="Times New Roman" w:hAnsi="Times New Roman"/>
                <w:color w:val="auto"/>
                <w:sz w:val="21"/>
                <w:szCs w:val="21"/>
                <w:highlight w:val="none"/>
              </w:rPr>
            </w:pPr>
            <w:r>
              <w:rPr>
                <w:rFonts w:ascii="Times New Roman" w:hAnsi="Times New Roman"/>
                <w:color w:val="auto"/>
                <w:sz w:val="21"/>
                <w:szCs w:val="21"/>
                <w:highlight w:val="none"/>
              </w:rPr>
              <w:t>（4）查询全国公路建设市场信用信息管理系统，对投标人的资质、业绩、信用等级进行核实。</w:t>
            </w:r>
          </w:p>
          <w:p>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招标人不得对投标文件作出任何评价，不得故意遗漏或者片面摘录，不得在评标委员会对所有偏差定性之前透露存有偏差的投标人名称。</w:t>
            </w:r>
          </w:p>
          <w:p>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1.2.2评标委员会</w:t>
            </w:r>
          </w:p>
          <w:p>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评标委员会的组建按投标人须知第6.1.1项执行。评标委员会的主要工作内容包括：</w:t>
            </w:r>
          </w:p>
          <w:p>
            <w:pPr>
              <w:spacing w:line="360" w:lineRule="auto"/>
              <w:ind w:firstLine="210" w:firstLineChars="100"/>
              <w:rPr>
                <w:rFonts w:ascii="Times New Roman" w:hAnsi="Times New Roman"/>
                <w:color w:val="auto"/>
                <w:sz w:val="21"/>
                <w:szCs w:val="21"/>
                <w:highlight w:val="none"/>
              </w:rPr>
            </w:pPr>
            <w:r>
              <w:rPr>
                <w:rFonts w:ascii="Times New Roman" w:hAnsi="Times New Roman"/>
                <w:color w:val="auto"/>
                <w:sz w:val="21"/>
                <w:szCs w:val="21"/>
                <w:highlight w:val="none"/>
              </w:rPr>
              <w:t>（1）评标委员会开始评标工作之前，首先听取招标人、协助工作组关于工程情况和辅助工作的说明，并认真研读招标文件，获取评标所需的重要信息和数据；</w:t>
            </w:r>
          </w:p>
          <w:p>
            <w:pPr>
              <w:spacing w:line="360" w:lineRule="auto"/>
              <w:ind w:firstLine="210" w:firstLineChars="100"/>
              <w:rPr>
                <w:rFonts w:ascii="Times New Roman" w:hAnsi="Times New Roman"/>
                <w:color w:val="auto"/>
                <w:sz w:val="21"/>
                <w:szCs w:val="21"/>
                <w:highlight w:val="none"/>
              </w:rPr>
            </w:pPr>
            <w:r>
              <w:rPr>
                <w:rFonts w:ascii="Times New Roman" w:hAnsi="Times New Roman"/>
                <w:color w:val="auto"/>
                <w:sz w:val="21"/>
                <w:szCs w:val="21"/>
                <w:highlight w:val="none"/>
              </w:rPr>
              <w:t>（2）对协助工作组提供的评标工作用表和评标内容进行核查。</w:t>
            </w:r>
          </w:p>
          <w:p>
            <w:pPr>
              <w:spacing w:line="360" w:lineRule="auto"/>
              <w:ind w:firstLine="210" w:firstLineChars="100"/>
              <w:rPr>
                <w:rFonts w:ascii="Times New Roman" w:hAnsi="Times New Roman"/>
                <w:color w:val="auto"/>
                <w:sz w:val="21"/>
                <w:szCs w:val="21"/>
                <w:highlight w:val="none"/>
              </w:rPr>
            </w:pPr>
            <w:r>
              <w:rPr>
                <w:rFonts w:ascii="Times New Roman" w:hAnsi="Times New Roman"/>
                <w:color w:val="auto"/>
                <w:sz w:val="21"/>
                <w:szCs w:val="21"/>
                <w:highlight w:val="none"/>
              </w:rPr>
              <w:t>（3）按照评标程序进行各项评审工作。</w:t>
            </w:r>
          </w:p>
        </w:tc>
      </w:tr>
    </w:tbl>
    <w:p>
      <w:pPr>
        <w:jc w:val="right"/>
        <w:rPr>
          <w:rFonts w:hint="eastAsia"/>
          <w:color w:val="auto"/>
          <w:highlight w:val="none"/>
        </w:rPr>
      </w:pPr>
    </w:p>
    <w:p>
      <w:pPr>
        <w:jc w:val="right"/>
        <w:rPr>
          <w:color w:val="auto"/>
          <w:highlight w:val="none"/>
        </w:rPr>
      </w:pPr>
    </w:p>
    <w:p>
      <w:pPr>
        <w:jc w:val="right"/>
        <w:rPr>
          <w:color w:val="auto"/>
          <w:highlight w:val="none"/>
        </w:rPr>
      </w:pPr>
    </w:p>
    <w:p>
      <w:pPr>
        <w:jc w:val="right"/>
        <w:rPr>
          <w:color w:val="auto"/>
          <w:highlight w:val="none"/>
        </w:rPr>
      </w:pPr>
    </w:p>
    <w:p>
      <w:pPr>
        <w:jc w:val="right"/>
        <w:rPr>
          <w:color w:val="auto"/>
          <w:highlight w:val="none"/>
        </w:rPr>
      </w:pPr>
    </w:p>
    <w:p>
      <w:pPr>
        <w:jc w:val="right"/>
        <w:rPr>
          <w:color w:val="auto"/>
          <w:highlight w:val="none"/>
        </w:rPr>
      </w:pPr>
    </w:p>
    <w:p>
      <w:pPr>
        <w:jc w:val="right"/>
        <w:rPr>
          <w:color w:val="auto"/>
          <w:highlight w:val="none"/>
        </w:rPr>
      </w:pPr>
    </w:p>
    <w:p>
      <w:pPr>
        <w:jc w:val="right"/>
        <w:rPr>
          <w:color w:val="auto"/>
          <w:highlight w:val="none"/>
        </w:rPr>
      </w:pPr>
      <w:r>
        <w:rPr>
          <w:rFonts w:hint="eastAsia"/>
          <w:color w:val="auto"/>
          <w:highlight w:val="none"/>
        </w:rPr>
        <w:t>续上表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154"/>
      </w:tblGrid>
      <w:tr>
        <w:trPr>
          <w:trHeight w:val="178" w:hRule="atLeast"/>
          <w:jc w:val="center"/>
        </w:trPr>
        <w:tc>
          <w:tcPr>
            <w:tcW w:w="886"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条款号</w:t>
            </w:r>
          </w:p>
        </w:tc>
        <w:tc>
          <w:tcPr>
            <w:tcW w:w="8154" w:type="dxa"/>
            <w:noWrap w:val="0"/>
            <w:vAlign w:val="center"/>
          </w:tcPr>
          <w:p>
            <w:pPr>
              <w:spacing w:line="276" w:lineRule="auto"/>
              <w:ind w:firstLine="420" w:firstLineChars="200"/>
              <w:jc w:val="center"/>
              <w:rPr>
                <w:rFonts w:ascii="Times New Roman" w:hAnsi="Times New Roman"/>
                <w:color w:val="auto"/>
                <w:sz w:val="21"/>
                <w:szCs w:val="21"/>
                <w:highlight w:val="none"/>
              </w:rPr>
            </w:pPr>
            <w:r>
              <w:rPr>
                <w:rFonts w:ascii="Times New Roman" w:hAnsi="Times New Roman"/>
                <w:b/>
                <w:color w:val="auto"/>
                <w:sz w:val="21"/>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jc w:val="center"/>
        </w:trPr>
        <w:tc>
          <w:tcPr>
            <w:tcW w:w="886"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3.2.3</w:t>
            </w:r>
          </w:p>
        </w:tc>
        <w:tc>
          <w:tcPr>
            <w:tcW w:w="8154" w:type="dxa"/>
            <w:noWrap w:val="0"/>
            <w:vAlign w:val="center"/>
          </w:tcPr>
          <w:p>
            <w:pPr>
              <w:spacing w:line="307" w:lineRule="auto"/>
              <w:rPr>
                <w:rFonts w:ascii="Times New Roman" w:hAnsi="Times New Roman"/>
                <w:color w:val="auto"/>
                <w:szCs w:val="21"/>
                <w:highlight w:val="none"/>
              </w:rPr>
            </w:pPr>
            <w:r>
              <w:rPr>
                <w:rFonts w:ascii="Times New Roman" w:hAnsi="Times New Roman"/>
                <w:color w:val="auto"/>
                <w:sz w:val="21"/>
                <w:szCs w:val="21"/>
                <w:highlight w:val="none"/>
              </w:rPr>
              <w:t>将评标办法范本原文第3.2.3款细化如下：</w:t>
            </w:r>
          </w:p>
          <w:p>
            <w:pPr>
              <w:spacing w:line="307" w:lineRule="auto"/>
              <w:ind w:firstLine="420" w:firstLineChars="200"/>
              <w:rPr>
                <w:rFonts w:ascii="Times New Roman" w:hAnsi="Times New Roman"/>
                <w:color w:val="auto"/>
                <w:szCs w:val="21"/>
                <w:highlight w:val="none"/>
              </w:rPr>
            </w:pPr>
            <w:r>
              <w:rPr>
                <w:rFonts w:ascii="Times New Roman" w:hAnsi="Times New Roman"/>
                <w:color w:val="auto"/>
                <w:sz w:val="21"/>
                <w:szCs w:val="21"/>
                <w:highlight w:val="none"/>
              </w:rPr>
              <w:t>投标人的商务和技术得分=A+B+D。</w:t>
            </w:r>
          </w:p>
          <w:p>
            <w:pPr>
              <w:spacing w:line="307"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各评分因素（评标价、履约信誉评分项除外）及其各评审因素细分项的得分一般不得低于其权重分值的60%，评分低于上述权重分值百分比的，评标委员会成员应当在评标报告中作出说明。</w:t>
            </w:r>
          </w:p>
          <w:p>
            <w:pPr>
              <w:spacing w:line="307"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计算投标人技术得分时</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jc w:val="center"/>
        </w:trPr>
        <w:tc>
          <w:tcPr>
            <w:tcW w:w="886"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lang w:val="zh-CN"/>
              </w:rPr>
              <w:t>3.6</w:t>
            </w:r>
          </w:p>
        </w:tc>
        <w:tc>
          <w:tcPr>
            <w:tcW w:w="8154" w:type="dxa"/>
            <w:noWrap w:val="0"/>
            <w:vAlign w:val="center"/>
          </w:tcPr>
          <w:p>
            <w:pPr>
              <w:spacing w:line="307" w:lineRule="auto"/>
              <w:rPr>
                <w:rFonts w:ascii="Times New Roman" w:hAnsi="Times New Roman"/>
                <w:color w:val="auto"/>
                <w:sz w:val="21"/>
                <w:szCs w:val="21"/>
                <w:highlight w:val="none"/>
                <w:lang w:val="zh-CN"/>
              </w:rPr>
            </w:pPr>
            <w:r>
              <w:rPr>
                <w:rFonts w:ascii="Times New Roman" w:hAnsi="Times New Roman"/>
                <w:color w:val="auto"/>
                <w:sz w:val="21"/>
                <w:szCs w:val="21"/>
                <w:highlight w:val="none"/>
              </w:rPr>
              <w:t>评标办法范本原文</w:t>
            </w:r>
            <w:r>
              <w:rPr>
                <w:rFonts w:ascii="Times New Roman" w:hAnsi="Times New Roman"/>
                <w:color w:val="auto"/>
                <w:sz w:val="21"/>
                <w:szCs w:val="21"/>
                <w:highlight w:val="none"/>
                <w:lang w:val="zh-CN"/>
              </w:rPr>
              <w:t>增加3.6.3款：</w:t>
            </w:r>
          </w:p>
          <w:p>
            <w:pPr>
              <w:pStyle w:val="5"/>
              <w:snapToGrid w:val="0"/>
              <w:spacing w:line="307" w:lineRule="auto"/>
              <w:ind w:left="50" w:leftChars="21" w:firstLine="432" w:firstLineChars="206"/>
              <w:rPr>
                <w:rFonts w:ascii="Times New Roman" w:hAnsi="Times New Roman"/>
                <w:color w:val="auto"/>
                <w:sz w:val="21"/>
                <w:szCs w:val="21"/>
                <w:highlight w:val="none"/>
              </w:rPr>
            </w:pPr>
            <w:r>
              <w:rPr>
                <w:rFonts w:ascii="Times New Roman" w:hAnsi="Times New Roman"/>
                <w:color w:val="auto"/>
                <w:sz w:val="21"/>
                <w:szCs w:val="21"/>
                <w:highlight w:val="none"/>
                <w:lang w:val="zh-CN"/>
              </w:rPr>
              <w:t>3.6.3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jc w:val="center"/>
        </w:trPr>
        <w:tc>
          <w:tcPr>
            <w:tcW w:w="886" w:type="dxa"/>
            <w:noWrap w:val="0"/>
            <w:vAlign w:val="center"/>
          </w:tcPr>
          <w:p>
            <w:pPr>
              <w:spacing w:line="276"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3.9</w:t>
            </w:r>
          </w:p>
        </w:tc>
        <w:tc>
          <w:tcPr>
            <w:tcW w:w="8154" w:type="dxa"/>
            <w:noWrap w:val="0"/>
            <w:vAlign w:val="center"/>
          </w:tcPr>
          <w:p>
            <w:pPr>
              <w:snapToGrid w:val="0"/>
              <w:spacing w:line="307" w:lineRule="auto"/>
              <w:rPr>
                <w:rFonts w:ascii="Times New Roman" w:hAnsi="Times New Roman"/>
                <w:bCs/>
                <w:color w:val="auto"/>
                <w:szCs w:val="21"/>
                <w:highlight w:val="none"/>
              </w:rPr>
            </w:pPr>
            <w:r>
              <w:rPr>
                <w:rFonts w:ascii="Times New Roman" w:hAnsi="Times New Roman"/>
                <w:color w:val="auto"/>
                <w:sz w:val="21"/>
                <w:szCs w:val="21"/>
                <w:highlight w:val="none"/>
              </w:rPr>
              <w:t>评标办法范本原文</w:t>
            </w:r>
            <w:r>
              <w:rPr>
                <w:rFonts w:ascii="Times New Roman" w:hAnsi="Times New Roman"/>
                <w:bCs/>
                <w:color w:val="auto"/>
                <w:sz w:val="21"/>
                <w:szCs w:val="21"/>
                <w:highlight w:val="none"/>
              </w:rPr>
              <w:t>增加3.9.3</w:t>
            </w:r>
            <w:r>
              <w:rPr>
                <w:rFonts w:ascii="Times New Roman" w:hAnsi="Times New Roman"/>
                <w:color w:val="auto"/>
                <w:sz w:val="21"/>
                <w:szCs w:val="21"/>
                <w:highlight w:val="none"/>
                <w:lang w:val="zh-CN"/>
              </w:rPr>
              <w:t>款</w:t>
            </w:r>
            <w:r>
              <w:rPr>
                <w:rFonts w:ascii="Times New Roman" w:hAnsi="Times New Roman"/>
                <w:bCs/>
                <w:color w:val="auto"/>
                <w:sz w:val="21"/>
                <w:szCs w:val="21"/>
                <w:highlight w:val="none"/>
              </w:rPr>
              <w:t>-3.9.6款：</w:t>
            </w:r>
          </w:p>
          <w:p>
            <w:pPr>
              <w:snapToGrid w:val="0"/>
              <w:spacing w:line="307" w:lineRule="auto"/>
              <w:ind w:firstLine="432" w:firstLineChars="206"/>
              <w:rPr>
                <w:rFonts w:ascii="Times New Roman" w:hAnsi="Times New Roman"/>
                <w:color w:val="auto"/>
                <w:szCs w:val="21"/>
                <w:highlight w:val="none"/>
              </w:rPr>
            </w:pPr>
            <w:r>
              <w:rPr>
                <w:rFonts w:ascii="Times New Roman" w:hAnsi="Times New Roman"/>
                <w:color w:val="auto"/>
                <w:sz w:val="21"/>
                <w:szCs w:val="21"/>
                <w:highlight w:val="none"/>
              </w:rPr>
              <w:t>3.9.3推荐中标候选人方式：按各合同段最高投标限价高低顺序依次选定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pPr>
              <w:snapToGrid w:val="0"/>
              <w:spacing w:line="307" w:lineRule="auto"/>
              <w:ind w:firstLine="432" w:firstLineChars="206"/>
              <w:rPr>
                <w:rFonts w:ascii="Times New Roman" w:hAnsi="Times New Roman"/>
                <w:color w:val="auto"/>
                <w:szCs w:val="21"/>
                <w:highlight w:val="none"/>
              </w:rPr>
            </w:pPr>
            <w:r>
              <w:rPr>
                <w:rFonts w:ascii="Times New Roman" w:hAnsi="Times New Roman"/>
                <w:color w:val="auto"/>
                <w:sz w:val="21"/>
                <w:szCs w:val="21"/>
                <w:highlight w:val="none"/>
              </w:rPr>
              <w:t>3.9.4通过第一信封商务文件和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spacing w:line="307" w:lineRule="auto"/>
              <w:ind w:firstLine="424" w:firstLineChars="202"/>
              <w:rPr>
                <w:rFonts w:ascii="Times New Roman" w:hAnsi="Times New Roman"/>
                <w:color w:val="auto"/>
                <w:szCs w:val="21"/>
                <w:highlight w:val="none"/>
              </w:rPr>
            </w:pPr>
            <w:r>
              <w:rPr>
                <w:rFonts w:ascii="Times New Roman" w:hAnsi="Times New Roman"/>
                <w:color w:val="auto"/>
                <w:sz w:val="21"/>
                <w:szCs w:val="21"/>
                <w:highlight w:val="none"/>
              </w:rPr>
              <w:t>3.9.5通过第一信封商务文件和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pStyle w:val="5"/>
              <w:snapToGrid w:val="0"/>
              <w:spacing w:line="307" w:lineRule="auto"/>
              <w:ind w:left="50" w:leftChars="21" w:firstLine="432" w:firstLineChars="206"/>
              <w:rPr>
                <w:rFonts w:ascii="Times New Roman" w:hAnsi="Times New Roman"/>
                <w:color w:val="auto"/>
                <w:sz w:val="21"/>
                <w:szCs w:val="21"/>
                <w:highlight w:val="none"/>
              </w:rPr>
            </w:pPr>
            <w:r>
              <w:rPr>
                <w:rFonts w:ascii="Times New Roman" w:hAnsi="Times New Roman"/>
                <w:color w:val="auto"/>
                <w:sz w:val="21"/>
                <w:szCs w:val="21"/>
                <w:highlight w:val="none"/>
              </w:rPr>
              <w:t>3.9.6如果发生无法确定推荐中标候选人的其它意外情况，评标委员会可建议招标人重新招标。</w:t>
            </w:r>
          </w:p>
        </w:tc>
      </w:tr>
    </w:tbl>
    <w:p>
      <w:pPr>
        <w:pStyle w:val="4"/>
        <w:spacing w:before="240" w:after="240" w:line="240" w:lineRule="atLeast"/>
        <w:rPr>
          <w:rFonts w:eastAsia="黑体"/>
          <w:b w:val="0"/>
          <w:color w:val="auto"/>
          <w:sz w:val="28"/>
          <w:szCs w:val="28"/>
          <w:highlight w:val="none"/>
        </w:rPr>
      </w:pPr>
      <w:r>
        <w:rPr>
          <w:color w:val="auto"/>
          <w:highlight w:val="none"/>
        </w:rPr>
        <w:br w:type="page"/>
      </w:r>
      <w:bookmarkStart w:id="2" w:name="_Toc509993883"/>
      <w:bookmarkStart w:id="3" w:name="_Toc234832944"/>
      <w:r>
        <w:rPr>
          <w:rFonts w:eastAsia="黑体"/>
          <w:b w:val="0"/>
          <w:color w:val="auto"/>
          <w:sz w:val="28"/>
          <w:szCs w:val="28"/>
          <w:highlight w:val="none"/>
        </w:rPr>
        <w:t>1. 评标方法</w:t>
      </w:r>
      <w:bookmarkEnd w:id="2"/>
    </w:p>
    <w:p>
      <w:pPr>
        <w:spacing w:line="400" w:lineRule="atLeast"/>
        <w:ind w:firstLine="480" w:firstLineChars="200"/>
        <w:rPr>
          <w:color w:val="auto"/>
          <w:highlight w:val="none"/>
        </w:rPr>
      </w:pPr>
      <w:r>
        <w:rPr>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4"/>
        <w:spacing w:before="360" w:after="240" w:line="240" w:lineRule="atLeast"/>
        <w:rPr>
          <w:rFonts w:eastAsia="黑体"/>
          <w:b w:val="0"/>
          <w:color w:val="auto"/>
          <w:sz w:val="28"/>
          <w:szCs w:val="28"/>
          <w:highlight w:val="none"/>
        </w:rPr>
      </w:pPr>
      <w:bookmarkStart w:id="4" w:name="_Toc509993884"/>
      <w:r>
        <w:rPr>
          <w:rFonts w:eastAsia="黑体"/>
          <w:b w:val="0"/>
          <w:color w:val="auto"/>
          <w:sz w:val="28"/>
          <w:szCs w:val="28"/>
          <w:highlight w:val="none"/>
        </w:rPr>
        <w:t>2. 评审标准</w:t>
      </w:r>
      <w:bookmarkEnd w:id="4"/>
    </w:p>
    <w:p>
      <w:pPr>
        <w:pStyle w:val="4"/>
        <w:spacing w:before="240" w:after="240" w:line="240" w:lineRule="atLeast"/>
        <w:rPr>
          <w:rFonts w:eastAsia="黑体"/>
          <w:b w:val="0"/>
          <w:color w:val="auto"/>
          <w:sz w:val="24"/>
          <w:szCs w:val="24"/>
          <w:highlight w:val="none"/>
        </w:rPr>
      </w:pPr>
      <w:bookmarkStart w:id="5" w:name="_Toc509993885"/>
      <w:r>
        <w:rPr>
          <w:rFonts w:eastAsia="黑体"/>
          <w:b w:val="0"/>
          <w:color w:val="auto"/>
          <w:sz w:val="24"/>
          <w:szCs w:val="24"/>
          <w:highlight w:val="none"/>
        </w:rPr>
        <w:t>2.1 初步评审标准</w:t>
      </w:r>
      <w:bookmarkEnd w:id="5"/>
    </w:p>
    <w:p>
      <w:pPr>
        <w:spacing w:line="400" w:lineRule="atLeast"/>
        <w:ind w:firstLine="480" w:firstLineChars="200"/>
        <w:rPr>
          <w:color w:val="auto"/>
          <w:highlight w:val="none"/>
        </w:rPr>
      </w:pPr>
      <w:r>
        <w:rPr>
          <w:color w:val="auto"/>
          <w:highlight w:val="none"/>
        </w:rPr>
        <w:t>2.1.1 形式评审标准：见评标办法前附表。</w:t>
      </w:r>
    </w:p>
    <w:p>
      <w:pPr>
        <w:spacing w:line="400" w:lineRule="atLeast"/>
        <w:ind w:firstLine="480" w:firstLineChars="200"/>
        <w:rPr>
          <w:color w:val="auto"/>
          <w:highlight w:val="none"/>
        </w:rPr>
      </w:pPr>
      <w:r>
        <w:rPr>
          <w:color w:val="auto"/>
          <w:highlight w:val="none"/>
        </w:rPr>
        <w:t>2.1.2 资格评审标准：见评标办法前附表。（适用于未进行资格预审的）</w:t>
      </w:r>
    </w:p>
    <w:p>
      <w:pPr>
        <w:spacing w:line="400" w:lineRule="atLeast"/>
        <w:ind w:firstLine="480" w:firstLineChars="200"/>
        <w:rPr>
          <w:color w:val="auto"/>
          <w:highlight w:val="none"/>
        </w:rPr>
      </w:pPr>
      <w:r>
        <w:rPr>
          <w:color w:val="auto"/>
          <w:highlight w:val="none"/>
        </w:rPr>
        <w:t>2.1.2 资格评审标准：见资格预审文件第三章“资格审查办法”详细审查标准。（适用于已进行资格预审的）</w:t>
      </w:r>
    </w:p>
    <w:p>
      <w:pPr>
        <w:spacing w:line="400" w:lineRule="atLeast"/>
        <w:ind w:firstLine="480" w:firstLineChars="200"/>
        <w:rPr>
          <w:color w:val="auto"/>
          <w:highlight w:val="none"/>
        </w:rPr>
      </w:pPr>
      <w:r>
        <w:rPr>
          <w:color w:val="auto"/>
          <w:highlight w:val="none"/>
        </w:rPr>
        <w:t>2.1.3 响应性评审标准：见评标办法前附表。</w:t>
      </w:r>
    </w:p>
    <w:p>
      <w:pPr>
        <w:pStyle w:val="4"/>
        <w:spacing w:before="240" w:after="240" w:line="240" w:lineRule="atLeast"/>
        <w:rPr>
          <w:rFonts w:eastAsia="黑体"/>
          <w:b w:val="0"/>
          <w:color w:val="auto"/>
          <w:sz w:val="24"/>
          <w:szCs w:val="24"/>
          <w:highlight w:val="none"/>
        </w:rPr>
      </w:pPr>
      <w:bookmarkStart w:id="6" w:name="_Toc509993886"/>
      <w:r>
        <w:rPr>
          <w:rFonts w:eastAsia="黑体"/>
          <w:b w:val="0"/>
          <w:color w:val="auto"/>
          <w:sz w:val="24"/>
          <w:szCs w:val="24"/>
          <w:highlight w:val="none"/>
        </w:rPr>
        <w:t>2.2 分值构成与评分标准</w:t>
      </w:r>
      <w:bookmarkEnd w:id="6"/>
    </w:p>
    <w:p>
      <w:pPr>
        <w:tabs>
          <w:tab w:val="left" w:pos="360"/>
        </w:tabs>
        <w:spacing w:line="400" w:lineRule="atLeast"/>
        <w:ind w:firstLine="480" w:firstLineChars="200"/>
        <w:rPr>
          <w:color w:val="auto"/>
          <w:highlight w:val="none"/>
        </w:rPr>
      </w:pPr>
      <w:r>
        <w:rPr>
          <w:color w:val="auto"/>
          <w:highlight w:val="none"/>
        </w:rPr>
        <w:t xml:space="preserve">2.2.1 </w:t>
      </w:r>
      <w:r>
        <w:rPr>
          <w:rFonts w:eastAsia="黑体"/>
          <w:color w:val="auto"/>
          <w:highlight w:val="none"/>
        </w:rPr>
        <w:t>分值构成</w:t>
      </w:r>
    </w:p>
    <w:p>
      <w:pPr>
        <w:spacing w:line="400" w:lineRule="atLeast"/>
        <w:ind w:firstLine="480" w:firstLineChars="200"/>
        <w:rPr>
          <w:color w:val="auto"/>
          <w:highlight w:val="none"/>
        </w:rPr>
      </w:pPr>
      <w:r>
        <w:rPr>
          <w:color w:val="auto"/>
          <w:highlight w:val="none"/>
        </w:rPr>
        <w:t>（1）技术建议书：见评标办法前附表；</w:t>
      </w:r>
    </w:p>
    <w:p>
      <w:pPr>
        <w:spacing w:line="400" w:lineRule="atLeast"/>
        <w:ind w:firstLine="480" w:firstLineChars="200"/>
        <w:rPr>
          <w:color w:val="auto"/>
          <w:highlight w:val="none"/>
        </w:rPr>
      </w:pPr>
      <w:r>
        <w:rPr>
          <w:color w:val="auto"/>
          <w:highlight w:val="none"/>
        </w:rPr>
        <w:t>（2）主要人员：见评标办法前附表；</w:t>
      </w:r>
    </w:p>
    <w:p>
      <w:pPr>
        <w:spacing w:line="400" w:lineRule="atLeast"/>
        <w:ind w:firstLine="480" w:firstLineChars="200"/>
        <w:rPr>
          <w:color w:val="auto"/>
          <w:highlight w:val="none"/>
        </w:rPr>
      </w:pPr>
      <w:r>
        <w:rPr>
          <w:color w:val="auto"/>
          <w:highlight w:val="none"/>
        </w:rPr>
        <w:t>（3）评标价：见评标办法前附表；</w:t>
      </w:r>
    </w:p>
    <w:p>
      <w:pPr>
        <w:spacing w:line="400" w:lineRule="atLeast"/>
        <w:ind w:firstLine="480" w:firstLineChars="200"/>
        <w:rPr>
          <w:color w:val="auto"/>
          <w:highlight w:val="none"/>
        </w:rPr>
      </w:pPr>
      <w:r>
        <w:rPr>
          <w:color w:val="auto"/>
          <w:highlight w:val="none"/>
        </w:rPr>
        <w:t>（4）其他评分因素：见评标办法前附表。</w:t>
      </w:r>
    </w:p>
    <w:p>
      <w:pPr>
        <w:spacing w:line="400" w:lineRule="atLeast"/>
        <w:ind w:firstLine="480" w:firstLineChars="200"/>
        <w:rPr>
          <w:color w:val="auto"/>
          <w:highlight w:val="none"/>
        </w:rPr>
      </w:pPr>
      <w:r>
        <w:rPr>
          <w:color w:val="auto"/>
          <w:highlight w:val="none"/>
        </w:rPr>
        <w:t xml:space="preserve">2.2.2 </w:t>
      </w:r>
      <w:r>
        <w:rPr>
          <w:rFonts w:eastAsia="黑体"/>
          <w:color w:val="auto"/>
          <w:highlight w:val="none"/>
        </w:rPr>
        <w:t>评标基准价计算</w:t>
      </w:r>
    </w:p>
    <w:p>
      <w:pPr>
        <w:spacing w:line="400" w:lineRule="atLeast"/>
        <w:ind w:firstLine="480" w:firstLineChars="200"/>
        <w:rPr>
          <w:color w:val="auto"/>
          <w:highlight w:val="none"/>
        </w:rPr>
      </w:pPr>
      <w:r>
        <w:rPr>
          <w:color w:val="auto"/>
          <w:highlight w:val="none"/>
        </w:rPr>
        <w:t>评标基准价计算方法：见评标办法前附表。</w:t>
      </w:r>
    </w:p>
    <w:p>
      <w:pPr>
        <w:spacing w:line="400" w:lineRule="atLeast"/>
        <w:ind w:firstLine="480" w:firstLineChars="200"/>
        <w:rPr>
          <w:color w:val="auto"/>
          <w:highlight w:val="none"/>
        </w:rPr>
      </w:pPr>
      <w:r>
        <w:rPr>
          <w:color w:val="auto"/>
          <w:highlight w:val="none"/>
        </w:rPr>
        <w:t xml:space="preserve">2.2.3 </w:t>
      </w:r>
      <w:r>
        <w:rPr>
          <w:rFonts w:eastAsia="黑体"/>
          <w:color w:val="auto"/>
          <w:highlight w:val="none"/>
        </w:rPr>
        <w:t>评标价的偏差率计算</w:t>
      </w:r>
    </w:p>
    <w:p>
      <w:pPr>
        <w:spacing w:line="400" w:lineRule="atLeast"/>
        <w:ind w:firstLine="480" w:firstLineChars="200"/>
        <w:rPr>
          <w:color w:val="auto"/>
          <w:highlight w:val="none"/>
        </w:rPr>
      </w:pPr>
      <w:r>
        <w:rPr>
          <w:color w:val="auto"/>
          <w:highlight w:val="none"/>
        </w:rPr>
        <w:t>评标价的偏差率计算公式：见评标办法前附表。</w:t>
      </w:r>
    </w:p>
    <w:p>
      <w:pPr>
        <w:spacing w:line="400" w:lineRule="atLeast"/>
        <w:ind w:firstLine="480" w:firstLineChars="200"/>
        <w:rPr>
          <w:color w:val="auto"/>
          <w:highlight w:val="none"/>
        </w:rPr>
      </w:pPr>
      <w:r>
        <w:rPr>
          <w:color w:val="auto"/>
          <w:highlight w:val="none"/>
        </w:rPr>
        <w:t xml:space="preserve">2.2.4 </w:t>
      </w:r>
      <w:r>
        <w:rPr>
          <w:rFonts w:eastAsia="黑体"/>
          <w:color w:val="auto"/>
          <w:highlight w:val="none"/>
        </w:rPr>
        <w:t>评分标准</w:t>
      </w:r>
    </w:p>
    <w:p>
      <w:pPr>
        <w:spacing w:line="400" w:lineRule="atLeast"/>
        <w:ind w:firstLine="480" w:firstLineChars="200"/>
        <w:rPr>
          <w:color w:val="auto"/>
          <w:highlight w:val="none"/>
        </w:rPr>
      </w:pPr>
      <w:r>
        <w:rPr>
          <w:color w:val="auto"/>
          <w:highlight w:val="none"/>
        </w:rPr>
        <w:t>（1）技术建议书评分标准：见评标办法前附表；</w:t>
      </w:r>
    </w:p>
    <w:p>
      <w:pPr>
        <w:spacing w:line="400" w:lineRule="atLeast"/>
        <w:ind w:firstLine="480" w:firstLineChars="200"/>
        <w:rPr>
          <w:color w:val="auto"/>
          <w:highlight w:val="none"/>
        </w:rPr>
      </w:pPr>
      <w:r>
        <w:rPr>
          <w:color w:val="auto"/>
          <w:highlight w:val="none"/>
        </w:rPr>
        <w:t>（2）主要人员评分标准：见评标办法前附表；</w:t>
      </w:r>
    </w:p>
    <w:p>
      <w:pPr>
        <w:spacing w:line="400" w:lineRule="atLeast"/>
        <w:ind w:firstLine="480" w:firstLineChars="200"/>
        <w:rPr>
          <w:color w:val="auto"/>
          <w:highlight w:val="none"/>
        </w:rPr>
      </w:pPr>
      <w:r>
        <w:rPr>
          <w:color w:val="auto"/>
          <w:highlight w:val="none"/>
        </w:rPr>
        <w:t>（3）评标价评分标准：见评标办法前附表；</w:t>
      </w:r>
    </w:p>
    <w:p>
      <w:pPr>
        <w:spacing w:line="400" w:lineRule="atLeast"/>
        <w:ind w:firstLine="480" w:firstLineChars="200"/>
        <w:rPr>
          <w:color w:val="auto"/>
          <w:highlight w:val="none"/>
        </w:rPr>
      </w:pPr>
      <w:r>
        <w:rPr>
          <w:color w:val="auto"/>
          <w:highlight w:val="none"/>
        </w:rPr>
        <w:t>（4）其他因素评分标准：见评标办法前附表。</w:t>
      </w:r>
    </w:p>
    <w:p>
      <w:pPr>
        <w:pStyle w:val="4"/>
        <w:spacing w:before="360" w:after="240" w:line="240" w:lineRule="atLeast"/>
        <w:rPr>
          <w:rFonts w:eastAsia="黑体"/>
          <w:b w:val="0"/>
          <w:color w:val="auto"/>
          <w:sz w:val="28"/>
          <w:szCs w:val="28"/>
          <w:highlight w:val="none"/>
        </w:rPr>
      </w:pPr>
      <w:bookmarkStart w:id="7" w:name="_Toc509993887"/>
      <w:r>
        <w:rPr>
          <w:rFonts w:eastAsia="黑体"/>
          <w:b w:val="0"/>
          <w:color w:val="auto"/>
          <w:sz w:val="28"/>
          <w:szCs w:val="28"/>
          <w:highlight w:val="none"/>
        </w:rPr>
        <w:t>3. 评标程序</w:t>
      </w:r>
      <w:bookmarkEnd w:id="7"/>
    </w:p>
    <w:p>
      <w:pPr>
        <w:pStyle w:val="4"/>
        <w:spacing w:before="240" w:after="240" w:line="240" w:lineRule="atLeast"/>
        <w:rPr>
          <w:rFonts w:eastAsia="黑体"/>
          <w:b w:val="0"/>
          <w:color w:val="auto"/>
          <w:sz w:val="24"/>
          <w:szCs w:val="24"/>
          <w:highlight w:val="none"/>
        </w:rPr>
      </w:pPr>
      <w:bookmarkStart w:id="8" w:name="_Toc509993888"/>
      <w:r>
        <w:rPr>
          <w:rFonts w:eastAsia="黑体"/>
          <w:b w:val="0"/>
          <w:color w:val="auto"/>
          <w:sz w:val="24"/>
          <w:szCs w:val="24"/>
          <w:highlight w:val="none"/>
        </w:rPr>
        <w:t>3.1 第一个信封初步评审</w:t>
      </w:r>
      <w:bookmarkEnd w:id="8"/>
    </w:p>
    <w:p>
      <w:pPr>
        <w:spacing w:line="400" w:lineRule="atLeast"/>
        <w:ind w:firstLine="480" w:firstLineChars="200"/>
        <w:rPr>
          <w:color w:val="auto"/>
          <w:highlight w:val="none"/>
        </w:rPr>
      </w:pPr>
      <w:r>
        <w:rPr>
          <w:color w:val="auto"/>
          <w:highlight w:val="non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color w:val="auto"/>
          <w:highlight w:val="none"/>
        </w:rPr>
      </w:pPr>
      <w:r>
        <w:rPr>
          <w:color w:val="auto"/>
          <w:highlight w:val="non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Style w:val="4"/>
        <w:spacing w:before="240" w:after="240" w:line="240" w:lineRule="atLeast"/>
        <w:rPr>
          <w:rFonts w:eastAsia="黑体"/>
          <w:b w:val="0"/>
          <w:color w:val="auto"/>
          <w:sz w:val="24"/>
          <w:szCs w:val="24"/>
          <w:highlight w:val="none"/>
        </w:rPr>
      </w:pPr>
      <w:bookmarkStart w:id="9" w:name="_Toc509993889"/>
      <w:r>
        <w:rPr>
          <w:rFonts w:eastAsia="黑体"/>
          <w:b w:val="0"/>
          <w:color w:val="auto"/>
          <w:sz w:val="24"/>
          <w:szCs w:val="24"/>
          <w:highlight w:val="none"/>
        </w:rPr>
        <w:t>3.2 第一个信封详细评审</w:t>
      </w:r>
      <w:bookmarkEnd w:id="9"/>
    </w:p>
    <w:p>
      <w:pPr>
        <w:spacing w:line="400" w:lineRule="atLeast"/>
        <w:ind w:firstLine="480" w:firstLineChars="200"/>
        <w:rPr>
          <w:color w:val="auto"/>
          <w:highlight w:val="none"/>
        </w:rPr>
      </w:pPr>
      <w:r>
        <w:rPr>
          <w:color w:val="auto"/>
          <w:highlight w:val="none"/>
        </w:rPr>
        <w:t>3.2.1 评标委员会按本章第2.2款规定的量化因素和分值进行打分，并计算出各投标人的商务和技术得分。</w:t>
      </w:r>
    </w:p>
    <w:p>
      <w:pPr>
        <w:spacing w:line="400" w:lineRule="atLeast"/>
        <w:ind w:firstLine="480" w:firstLineChars="200"/>
        <w:rPr>
          <w:color w:val="auto"/>
          <w:highlight w:val="none"/>
        </w:rPr>
      </w:pPr>
      <w:r>
        <w:rPr>
          <w:color w:val="auto"/>
          <w:highlight w:val="none"/>
        </w:rPr>
        <w:t>（1）按本章第2.2.4项（1）目规定的评审因素和分值对技术建议书部分计算出得分A；</w:t>
      </w:r>
    </w:p>
    <w:p>
      <w:pPr>
        <w:spacing w:line="400" w:lineRule="atLeast"/>
        <w:ind w:firstLine="480" w:firstLineChars="200"/>
        <w:rPr>
          <w:color w:val="auto"/>
          <w:highlight w:val="none"/>
        </w:rPr>
      </w:pPr>
      <w:r>
        <w:rPr>
          <w:color w:val="auto"/>
          <w:highlight w:val="none"/>
        </w:rPr>
        <w:t>（2）按本章第2.2.4项（2）目规定的评审因素和分值对主要人员部分计算出得分B；</w:t>
      </w:r>
    </w:p>
    <w:p>
      <w:pPr>
        <w:spacing w:line="400" w:lineRule="atLeast"/>
        <w:ind w:firstLine="480" w:firstLineChars="200"/>
        <w:rPr>
          <w:color w:val="auto"/>
          <w:highlight w:val="none"/>
        </w:rPr>
      </w:pPr>
      <w:r>
        <w:rPr>
          <w:color w:val="auto"/>
          <w:highlight w:val="none"/>
        </w:rPr>
        <w:t>（3）按本章第2.2.4项（4）目规定的评审因素和分值对其他部分计算出得分D。</w:t>
      </w:r>
    </w:p>
    <w:p>
      <w:pPr>
        <w:spacing w:line="400" w:lineRule="atLeast"/>
        <w:ind w:firstLine="480" w:firstLineChars="200"/>
        <w:rPr>
          <w:color w:val="auto"/>
          <w:highlight w:val="none"/>
        </w:rPr>
      </w:pPr>
      <w:r>
        <w:rPr>
          <w:color w:val="auto"/>
          <w:highlight w:val="none"/>
        </w:rPr>
        <w:t>3.2.2 投标人的商务和技术得分分值计算保留小数点后两位，小数点后第三位“四舍五入”。</w:t>
      </w:r>
    </w:p>
    <w:p>
      <w:pPr>
        <w:spacing w:line="400" w:lineRule="atLeast"/>
        <w:ind w:firstLine="480" w:firstLineChars="200"/>
        <w:rPr>
          <w:color w:val="auto"/>
          <w:highlight w:val="none"/>
        </w:rPr>
      </w:pPr>
      <w:r>
        <w:rPr>
          <w:color w:val="auto"/>
          <w:highlight w:val="none"/>
        </w:rPr>
        <w:t xml:space="preserve">3.2.3 投标人的商务和技术得分=A+B+D。 </w:t>
      </w:r>
    </w:p>
    <w:p>
      <w:pPr>
        <w:pStyle w:val="4"/>
        <w:spacing w:before="240" w:after="240" w:line="240" w:lineRule="atLeast"/>
        <w:rPr>
          <w:rFonts w:eastAsia="黑体"/>
          <w:b w:val="0"/>
          <w:color w:val="auto"/>
          <w:sz w:val="24"/>
          <w:szCs w:val="24"/>
          <w:highlight w:val="none"/>
        </w:rPr>
      </w:pPr>
      <w:bookmarkStart w:id="10" w:name="_Toc509993890"/>
      <w:r>
        <w:rPr>
          <w:rFonts w:eastAsia="黑体"/>
          <w:b w:val="0"/>
          <w:color w:val="auto"/>
          <w:sz w:val="24"/>
          <w:szCs w:val="24"/>
          <w:highlight w:val="none"/>
        </w:rPr>
        <w:t>3.3 第二个信封开标</w:t>
      </w:r>
      <w:bookmarkEnd w:id="10"/>
    </w:p>
    <w:p>
      <w:pPr>
        <w:spacing w:line="400" w:lineRule="atLeast"/>
        <w:ind w:firstLine="480" w:firstLineChars="200"/>
        <w:rPr>
          <w:color w:val="auto"/>
          <w:highlight w:val="none"/>
        </w:rPr>
      </w:pPr>
      <w:r>
        <w:rPr>
          <w:color w:val="auto"/>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4"/>
        <w:spacing w:before="240" w:after="240" w:line="240" w:lineRule="atLeast"/>
        <w:rPr>
          <w:rFonts w:eastAsia="黑体"/>
          <w:b w:val="0"/>
          <w:color w:val="auto"/>
          <w:sz w:val="24"/>
          <w:szCs w:val="24"/>
          <w:highlight w:val="none"/>
        </w:rPr>
      </w:pPr>
      <w:bookmarkStart w:id="11" w:name="_Toc509993891"/>
      <w:r>
        <w:rPr>
          <w:rFonts w:eastAsia="黑体"/>
          <w:b w:val="0"/>
          <w:color w:val="auto"/>
          <w:sz w:val="24"/>
          <w:szCs w:val="24"/>
          <w:highlight w:val="none"/>
        </w:rPr>
        <w:t>3.4 第二个信封初步评审</w:t>
      </w:r>
      <w:bookmarkEnd w:id="11"/>
    </w:p>
    <w:p>
      <w:pPr>
        <w:spacing w:line="400" w:lineRule="atLeast"/>
        <w:ind w:firstLine="480" w:firstLineChars="200"/>
        <w:rPr>
          <w:color w:val="auto"/>
          <w:highlight w:val="none"/>
        </w:rPr>
      </w:pPr>
      <w:r>
        <w:rPr>
          <w:color w:val="auto"/>
          <w:highlight w:val="none"/>
        </w:rPr>
        <w:t>3.4.1 评标委员会依据本章第2.1.1项、第2.1.3项规定的评审标准对投标文件第二个信封（报价文件）进行初步评审。有一项不符合评审标准的，评标委员会应否决其投标。</w:t>
      </w:r>
    </w:p>
    <w:p>
      <w:pPr>
        <w:spacing w:line="400" w:lineRule="atLeast"/>
        <w:ind w:firstLine="480" w:firstLineChars="200"/>
        <w:rPr>
          <w:color w:val="auto"/>
          <w:highlight w:val="none"/>
        </w:rPr>
      </w:pPr>
      <w:r>
        <w:rPr>
          <w:color w:val="auto"/>
          <w:highlight w:val="non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color w:val="auto"/>
          <w:highlight w:val="none"/>
        </w:rPr>
      </w:pPr>
      <w:r>
        <w:rPr>
          <w:color w:val="auto"/>
          <w:highlight w:val="none"/>
        </w:rPr>
        <w:t>（1）投标文件中的大写金额与小写金额不一致的，以大写金额为准；</w:t>
      </w:r>
    </w:p>
    <w:p>
      <w:pPr>
        <w:spacing w:line="400" w:lineRule="atLeast"/>
        <w:ind w:firstLine="480" w:firstLineChars="200"/>
        <w:rPr>
          <w:color w:val="auto"/>
          <w:highlight w:val="none"/>
        </w:rPr>
      </w:pPr>
      <w:r>
        <w:rPr>
          <w:color w:val="auto"/>
          <w:highlight w:val="none"/>
        </w:rPr>
        <w:t>（2）总价金额与依据单价计算出的结果不一致的，以单价金额为准修正总价，但单价金额小数点有明显错误的除外；</w:t>
      </w:r>
    </w:p>
    <w:p>
      <w:pPr>
        <w:spacing w:line="400" w:lineRule="atLeast"/>
        <w:ind w:firstLine="480" w:firstLineChars="200"/>
        <w:rPr>
          <w:color w:val="auto"/>
          <w:highlight w:val="none"/>
        </w:rPr>
      </w:pPr>
      <w:r>
        <w:rPr>
          <w:color w:val="auto"/>
          <w:highlight w:val="none"/>
        </w:rPr>
        <w:t>（3）当单价与数量相乘不等于合价时，以单价计算为准，如果单价有明显的小数点位置差错，应以标出的合价为准，同时对单价予以修正；</w:t>
      </w:r>
    </w:p>
    <w:p>
      <w:pPr>
        <w:spacing w:line="400" w:lineRule="atLeast"/>
        <w:ind w:firstLine="480" w:firstLineChars="200"/>
        <w:rPr>
          <w:color w:val="auto"/>
          <w:highlight w:val="none"/>
        </w:rPr>
      </w:pPr>
      <w:r>
        <w:rPr>
          <w:color w:val="auto"/>
          <w:highlight w:val="none"/>
        </w:rPr>
        <w:t>（4）当各子目的合价累计不等于总价时，应以各子目合价累计数为准，修正总价。</w:t>
      </w:r>
    </w:p>
    <w:p>
      <w:pPr>
        <w:spacing w:line="400" w:lineRule="atLeast"/>
        <w:ind w:firstLine="480" w:firstLineChars="200"/>
        <w:rPr>
          <w:color w:val="auto"/>
          <w:highlight w:val="none"/>
        </w:rPr>
      </w:pPr>
      <w:r>
        <w:rPr>
          <w:color w:val="auto"/>
          <w:highlight w:val="none"/>
        </w:rPr>
        <w:t>3.4.3 修正后的最终投标报价若超过最高投标限价（如有），评标委员会应否决其投标。</w:t>
      </w:r>
    </w:p>
    <w:p>
      <w:pPr>
        <w:spacing w:line="400" w:lineRule="atLeast"/>
        <w:ind w:firstLine="480" w:firstLineChars="200"/>
        <w:rPr>
          <w:color w:val="auto"/>
          <w:highlight w:val="none"/>
        </w:rPr>
      </w:pPr>
      <w:r>
        <w:rPr>
          <w:color w:val="auto"/>
          <w:highlight w:val="none"/>
        </w:rPr>
        <w:t>3.4.4 修正后的最终投标报价仅作为签订合同的一个依据，不参与评标价得分的计算。</w:t>
      </w:r>
    </w:p>
    <w:p>
      <w:pPr>
        <w:pStyle w:val="4"/>
        <w:spacing w:before="240" w:after="240" w:line="240" w:lineRule="atLeast"/>
        <w:rPr>
          <w:rFonts w:eastAsia="黑体"/>
          <w:b w:val="0"/>
          <w:color w:val="auto"/>
          <w:sz w:val="24"/>
          <w:szCs w:val="24"/>
          <w:highlight w:val="none"/>
        </w:rPr>
      </w:pPr>
      <w:bookmarkStart w:id="12" w:name="_Toc509993892"/>
      <w:r>
        <w:rPr>
          <w:rFonts w:eastAsia="黑体"/>
          <w:b w:val="0"/>
          <w:color w:val="auto"/>
          <w:sz w:val="24"/>
          <w:szCs w:val="24"/>
          <w:highlight w:val="none"/>
        </w:rPr>
        <w:t>3.5 第二个信封详细评审</w:t>
      </w:r>
      <w:bookmarkEnd w:id="12"/>
    </w:p>
    <w:p>
      <w:pPr>
        <w:spacing w:line="400" w:lineRule="atLeast"/>
        <w:ind w:firstLine="480" w:firstLineChars="200"/>
        <w:rPr>
          <w:color w:val="auto"/>
          <w:highlight w:val="none"/>
        </w:rPr>
      </w:pPr>
      <w:r>
        <w:rPr>
          <w:color w:val="auto"/>
          <w:highlight w:val="none"/>
        </w:rPr>
        <w:t>3.5.1 评标委员会按本章第2.2.4项（3）目规定的评审因素和分值对评标价计算出得分C。评标价得分分值计算保留小数点后两位，小数点后第三位“四舍五入”。</w:t>
      </w:r>
    </w:p>
    <w:p>
      <w:pPr>
        <w:spacing w:line="400" w:lineRule="atLeast"/>
        <w:ind w:firstLine="480" w:firstLineChars="200"/>
        <w:rPr>
          <w:color w:val="auto"/>
          <w:highlight w:val="none"/>
        </w:rPr>
      </w:pPr>
      <w:r>
        <w:rPr>
          <w:color w:val="auto"/>
          <w:highlight w:val="none"/>
        </w:rPr>
        <w:t>3.5.2 投标人综合得分=投标人的商务和技术得分+C。</w:t>
      </w:r>
    </w:p>
    <w:p>
      <w:pPr>
        <w:spacing w:line="400" w:lineRule="atLeast"/>
        <w:ind w:firstLine="480" w:firstLineChars="200"/>
        <w:rPr>
          <w:color w:val="auto"/>
          <w:highlight w:val="none"/>
        </w:rPr>
      </w:pPr>
      <w:r>
        <w:rPr>
          <w:color w:val="auto"/>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4"/>
        <w:spacing w:before="240" w:after="240" w:line="240" w:lineRule="atLeast"/>
        <w:rPr>
          <w:rFonts w:eastAsia="黑体"/>
          <w:b w:val="0"/>
          <w:color w:val="auto"/>
          <w:sz w:val="24"/>
          <w:szCs w:val="24"/>
          <w:highlight w:val="none"/>
        </w:rPr>
      </w:pPr>
      <w:bookmarkStart w:id="13" w:name="_Toc509993893"/>
      <w:r>
        <w:rPr>
          <w:rFonts w:eastAsia="黑体"/>
          <w:b w:val="0"/>
          <w:color w:val="auto"/>
          <w:sz w:val="24"/>
          <w:szCs w:val="24"/>
          <w:highlight w:val="none"/>
        </w:rPr>
        <w:t>3.6 投标文件相关信息的核查</w:t>
      </w:r>
      <w:bookmarkEnd w:id="13"/>
    </w:p>
    <w:p>
      <w:pPr>
        <w:spacing w:line="400" w:lineRule="atLeast"/>
        <w:ind w:firstLine="480" w:firstLineChars="200"/>
        <w:rPr>
          <w:color w:val="auto"/>
          <w:highlight w:val="none"/>
        </w:rPr>
      </w:pPr>
      <w:r>
        <w:rPr>
          <w:color w:val="auto"/>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480" w:firstLineChars="200"/>
        <w:rPr>
          <w:color w:val="auto"/>
          <w:highlight w:val="none"/>
        </w:rPr>
      </w:pPr>
      <w:r>
        <w:rPr>
          <w:color w:val="auto"/>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color w:val="auto"/>
          <w:highlight w:val="none"/>
        </w:rPr>
      </w:pPr>
      <w:r>
        <w:rPr>
          <w:color w:val="auto"/>
          <w:highlight w:val="none"/>
        </w:rPr>
        <w:t>（1）有下列情形之一的，属于投标人相互串通投标：</w:t>
      </w:r>
    </w:p>
    <w:p>
      <w:pPr>
        <w:spacing w:line="400" w:lineRule="atLeast"/>
        <w:ind w:firstLine="480" w:firstLineChars="200"/>
        <w:rPr>
          <w:color w:val="auto"/>
          <w:highlight w:val="none"/>
        </w:rPr>
      </w:pPr>
      <w:r>
        <w:rPr>
          <w:color w:val="auto"/>
          <w:highlight w:val="none"/>
        </w:rPr>
        <w:t>a.投标人之间协商投标报价等投标文件的实质性内容；</w:t>
      </w:r>
    </w:p>
    <w:p>
      <w:pPr>
        <w:spacing w:line="400" w:lineRule="atLeast"/>
        <w:ind w:firstLine="480" w:firstLineChars="200"/>
        <w:rPr>
          <w:color w:val="auto"/>
          <w:highlight w:val="none"/>
        </w:rPr>
      </w:pPr>
      <w:r>
        <w:rPr>
          <w:color w:val="auto"/>
          <w:highlight w:val="none"/>
        </w:rPr>
        <w:t>b.投标人之间约定中标人；</w:t>
      </w:r>
    </w:p>
    <w:p>
      <w:pPr>
        <w:spacing w:line="400" w:lineRule="atLeast"/>
        <w:ind w:firstLine="480" w:firstLineChars="200"/>
        <w:rPr>
          <w:color w:val="auto"/>
          <w:highlight w:val="none"/>
        </w:rPr>
      </w:pPr>
      <w:r>
        <w:rPr>
          <w:color w:val="auto"/>
          <w:highlight w:val="none"/>
        </w:rPr>
        <w:t>c.投标人之间约定部分投标人放弃投标或中标；</w:t>
      </w:r>
    </w:p>
    <w:p>
      <w:pPr>
        <w:spacing w:line="400" w:lineRule="atLeast"/>
        <w:ind w:firstLine="480" w:firstLineChars="200"/>
        <w:rPr>
          <w:color w:val="auto"/>
          <w:highlight w:val="none"/>
        </w:rPr>
      </w:pPr>
      <w:r>
        <w:rPr>
          <w:color w:val="auto"/>
          <w:highlight w:val="none"/>
        </w:rPr>
        <w:t>d.属于同一集团、协会、商会等组织成员的投标人按照该组织要求协同投标；</w:t>
      </w:r>
    </w:p>
    <w:p>
      <w:pPr>
        <w:spacing w:line="400" w:lineRule="atLeast"/>
        <w:ind w:firstLine="480" w:firstLineChars="200"/>
        <w:rPr>
          <w:color w:val="auto"/>
          <w:highlight w:val="none"/>
        </w:rPr>
      </w:pPr>
      <w:r>
        <w:rPr>
          <w:color w:val="auto"/>
          <w:highlight w:val="none"/>
        </w:rPr>
        <w:t>e.投标人之间为谋取中标或排斥特定投标人而采取的其他联合行动。</w:t>
      </w:r>
    </w:p>
    <w:p>
      <w:pPr>
        <w:spacing w:line="400" w:lineRule="atLeast"/>
        <w:ind w:firstLine="480" w:firstLineChars="200"/>
        <w:rPr>
          <w:color w:val="auto"/>
          <w:highlight w:val="none"/>
        </w:rPr>
      </w:pPr>
      <w:r>
        <w:rPr>
          <w:color w:val="auto"/>
          <w:highlight w:val="none"/>
        </w:rPr>
        <w:t>（2）有下列情形之一的，视为投标人相互串通投标：</w:t>
      </w:r>
    </w:p>
    <w:p>
      <w:pPr>
        <w:spacing w:line="400" w:lineRule="atLeast"/>
        <w:ind w:firstLine="480" w:firstLineChars="200"/>
        <w:rPr>
          <w:color w:val="auto"/>
          <w:highlight w:val="none"/>
        </w:rPr>
      </w:pPr>
      <w:r>
        <w:rPr>
          <w:color w:val="auto"/>
          <w:highlight w:val="none"/>
        </w:rPr>
        <w:t>a.不同投标人的投标文件由同一单位或个人编制；</w:t>
      </w:r>
    </w:p>
    <w:p>
      <w:pPr>
        <w:spacing w:line="400" w:lineRule="atLeast"/>
        <w:ind w:firstLine="480" w:firstLineChars="200"/>
        <w:rPr>
          <w:color w:val="auto"/>
          <w:highlight w:val="none"/>
        </w:rPr>
      </w:pPr>
      <w:r>
        <w:rPr>
          <w:color w:val="auto"/>
          <w:highlight w:val="none"/>
        </w:rPr>
        <w:t>b.不同投标人委托同一单位或个人办理投标事宜；</w:t>
      </w:r>
    </w:p>
    <w:p>
      <w:pPr>
        <w:spacing w:line="400" w:lineRule="atLeast"/>
        <w:ind w:firstLine="480" w:firstLineChars="200"/>
        <w:rPr>
          <w:color w:val="auto"/>
          <w:highlight w:val="none"/>
        </w:rPr>
      </w:pPr>
      <w:r>
        <w:rPr>
          <w:color w:val="auto"/>
          <w:highlight w:val="none"/>
        </w:rPr>
        <w:t>c.不同投标人的投标文件载明的项目管理成员为同一人；</w:t>
      </w:r>
    </w:p>
    <w:p>
      <w:pPr>
        <w:spacing w:line="400" w:lineRule="atLeast"/>
        <w:ind w:firstLine="480" w:firstLineChars="200"/>
        <w:rPr>
          <w:color w:val="auto"/>
          <w:highlight w:val="none"/>
        </w:rPr>
      </w:pPr>
      <w:r>
        <w:rPr>
          <w:color w:val="auto"/>
          <w:highlight w:val="none"/>
        </w:rPr>
        <w:t>d.不同投标人的投标文件异常一致或投标报价呈规律性差异；</w:t>
      </w:r>
    </w:p>
    <w:p>
      <w:pPr>
        <w:spacing w:line="400" w:lineRule="atLeast"/>
        <w:ind w:firstLine="480" w:firstLineChars="200"/>
        <w:rPr>
          <w:color w:val="auto"/>
          <w:highlight w:val="none"/>
        </w:rPr>
      </w:pPr>
      <w:r>
        <w:rPr>
          <w:color w:val="auto"/>
          <w:highlight w:val="none"/>
        </w:rPr>
        <w:t>e.不同投标人的投标文件相互混装；</w:t>
      </w:r>
    </w:p>
    <w:p>
      <w:pPr>
        <w:spacing w:line="400" w:lineRule="atLeast"/>
        <w:ind w:firstLine="480" w:firstLineChars="200"/>
        <w:rPr>
          <w:color w:val="auto"/>
          <w:highlight w:val="none"/>
        </w:rPr>
      </w:pPr>
      <w:r>
        <w:rPr>
          <w:color w:val="auto"/>
          <w:highlight w:val="none"/>
        </w:rPr>
        <w:t>f.不同投标人的投标保证金从同一单位或个人的账户转出。</w:t>
      </w:r>
    </w:p>
    <w:p>
      <w:pPr>
        <w:spacing w:line="400" w:lineRule="atLeast"/>
        <w:ind w:firstLine="480" w:firstLineChars="200"/>
        <w:rPr>
          <w:color w:val="auto"/>
          <w:highlight w:val="none"/>
        </w:rPr>
      </w:pPr>
      <w:r>
        <w:rPr>
          <w:color w:val="auto"/>
          <w:highlight w:val="none"/>
        </w:rPr>
        <w:t>（3）有下列情形之一的，属于招标人与投标人串通投标：</w:t>
      </w:r>
    </w:p>
    <w:p>
      <w:pPr>
        <w:spacing w:line="400" w:lineRule="atLeast"/>
        <w:ind w:firstLine="480" w:firstLineChars="200"/>
        <w:rPr>
          <w:color w:val="auto"/>
          <w:highlight w:val="none"/>
        </w:rPr>
      </w:pPr>
      <w:r>
        <w:rPr>
          <w:color w:val="auto"/>
          <w:highlight w:val="none"/>
        </w:rPr>
        <w:t>a.招标人在开标前开启投标文件并将有关信息泄露给其他投标人;</w:t>
      </w:r>
    </w:p>
    <w:p>
      <w:pPr>
        <w:spacing w:line="400" w:lineRule="atLeast"/>
        <w:ind w:firstLine="480" w:firstLineChars="200"/>
        <w:rPr>
          <w:color w:val="auto"/>
          <w:highlight w:val="none"/>
        </w:rPr>
      </w:pPr>
      <w:r>
        <w:rPr>
          <w:color w:val="auto"/>
          <w:highlight w:val="none"/>
        </w:rPr>
        <w:t>b.招标人直接或间接向投标人泄露标底、评标委员会成员等信息；</w:t>
      </w:r>
    </w:p>
    <w:p>
      <w:pPr>
        <w:spacing w:line="400" w:lineRule="atLeast"/>
        <w:ind w:firstLine="480" w:firstLineChars="200"/>
        <w:rPr>
          <w:color w:val="auto"/>
          <w:highlight w:val="none"/>
        </w:rPr>
      </w:pPr>
      <w:r>
        <w:rPr>
          <w:color w:val="auto"/>
          <w:highlight w:val="none"/>
        </w:rPr>
        <w:t>c.招标人明示或暗示投标人压低或抬高投标报价；</w:t>
      </w:r>
    </w:p>
    <w:p>
      <w:pPr>
        <w:spacing w:line="400" w:lineRule="atLeast"/>
        <w:ind w:firstLine="480" w:firstLineChars="200"/>
        <w:rPr>
          <w:color w:val="auto"/>
          <w:highlight w:val="none"/>
        </w:rPr>
      </w:pPr>
      <w:r>
        <w:rPr>
          <w:color w:val="auto"/>
          <w:highlight w:val="none"/>
        </w:rPr>
        <w:t>d.招标人授意投标人撤换、修改投标文件；</w:t>
      </w:r>
    </w:p>
    <w:p>
      <w:pPr>
        <w:spacing w:line="400" w:lineRule="atLeast"/>
        <w:ind w:firstLine="480" w:firstLineChars="200"/>
        <w:rPr>
          <w:color w:val="auto"/>
          <w:highlight w:val="none"/>
        </w:rPr>
      </w:pPr>
      <w:r>
        <w:rPr>
          <w:color w:val="auto"/>
          <w:highlight w:val="none"/>
        </w:rPr>
        <w:t>e.招标人明示或暗示投标人为特定投标人中标提供方便；</w:t>
      </w:r>
    </w:p>
    <w:p>
      <w:pPr>
        <w:spacing w:line="400" w:lineRule="atLeast"/>
        <w:ind w:firstLine="480" w:firstLineChars="200"/>
        <w:rPr>
          <w:color w:val="auto"/>
          <w:highlight w:val="none"/>
        </w:rPr>
      </w:pPr>
      <w:r>
        <w:rPr>
          <w:color w:val="auto"/>
          <w:highlight w:val="none"/>
        </w:rPr>
        <w:t>f.招标人与投标人为谋求特定投标人中标而采取的其他串通行为。</w:t>
      </w:r>
    </w:p>
    <w:p>
      <w:pPr>
        <w:spacing w:line="400" w:lineRule="atLeast"/>
        <w:ind w:firstLine="480" w:firstLineChars="200"/>
        <w:rPr>
          <w:color w:val="auto"/>
          <w:highlight w:val="none"/>
        </w:rPr>
      </w:pPr>
      <w:r>
        <w:rPr>
          <w:color w:val="auto"/>
          <w:highlight w:val="none"/>
        </w:rPr>
        <w:t>（4）投标人有下列情形之一的，属于弄虚作假的行为：</w:t>
      </w:r>
    </w:p>
    <w:p>
      <w:pPr>
        <w:spacing w:line="400" w:lineRule="atLeast"/>
        <w:ind w:firstLine="480" w:firstLineChars="200"/>
        <w:rPr>
          <w:color w:val="auto"/>
          <w:highlight w:val="none"/>
        </w:rPr>
      </w:pPr>
      <w:r>
        <w:rPr>
          <w:color w:val="auto"/>
          <w:highlight w:val="none"/>
        </w:rPr>
        <w:t>a.使用通过受让或租借等方式获取的资格、资质证书投标；</w:t>
      </w:r>
    </w:p>
    <w:p>
      <w:pPr>
        <w:spacing w:line="400" w:lineRule="atLeast"/>
        <w:ind w:firstLine="480" w:firstLineChars="200"/>
        <w:rPr>
          <w:color w:val="auto"/>
          <w:highlight w:val="none"/>
        </w:rPr>
      </w:pPr>
      <w:r>
        <w:rPr>
          <w:color w:val="auto"/>
          <w:highlight w:val="none"/>
        </w:rPr>
        <w:t>b.使用伪造、变造的许可证件；</w:t>
      </w:r>
    </w:p>
    <w:p>
      <w:pPr>
        <w:spacing w:line="400" w:lineRule="atLeast"/>
        <w:ind w:firstLine="480" w:firstLineChars="200"/>
        <w:rPr>
          <w:color w:val="auto"/>
          <w:highlight w:val="none"/>
        </w:rPr>
      </w:pPr>
      <w:r>
        <w:rPr>
          <w:color w:val="auto"/>
          <w:highlight w:val="none"/>
        </w:rPr>
        <w:t>c.提供虚假的业绩；</w:t>
      </w:r>
    </w:p>
    <w:p>
      <w:pPr>
        <w:spacing w:line="400" w:lineRule="atLeast"/>
        <w:ind w:firstLine="480" w:firstLineChars="200"/>
        <w:rPr>
          <w:color w:val="auto"/>
          <w:highlight w:val="none"/>
        </w:rPr>
      </w:pPr>
      <w:r>
        <w:rPr>
          <w:color w:val="auto"/>
          <w:highlight w:val="none"/>
        </w:rPr>
        <w:t>d.提供虚假的项目负责人或主要技术人员简历、劳动关系证明；</w:t>
      </w:r>
    </w:p>
    <w:p>
      <w:pPr>
        <w:spacing w:line="400" w:lineRule="atLeast"/>
        <w:ind w:firstLine="480" w:firstLineChars="200"/>
        <w:rPr>
          <w:color w:val="auto"/>
          <w:highlight w:val="none"/>
        </w:rPr>
      </w:pPr>
      <w:r>
        <w:rPr>
          <w:color w:val="auto"/>
          <w:highlight w:val="none"/>
        </w:rPr>
        <w:t>e.提供虚假的信用状况；</w:t>
      </w:r>
    </w:p>
    <w:p>
      <w:pPr>
        <w:spacing w:line="400" w:lineRule="atLeast"/>
        <w:ind w:firstLine="480" w:firstLineChars="200"/>
        <w:rPr>
          <w:color w:val="auto"/>
          <w:highlight w:val="none"/>
        </w:rPr>
      </w:pPr>
      <w:r>
        <w:rPr>
          <w:color w:val="auto"/>
          <w:highlight w:val="none"/>
        </w:rPr>
        <w:t>f.其他弄虚作假的行为。</w:t>
      </w:r>
    </w:p>
    <w:p>
      <w:pPr>
        <w:pStyle w:val="4"/>
        <w:spacing w:before="240" w:after="240" w:line="400" w:lineRule="atLeast"/>
        <w:rPr>
          <w:rFonts w:eastAsia="黑体"/>
          <w:b w:val="0"/>
          <w:color w:val="auto"/>
          <w:sz w:val="24"/>
          <w:szCs w:val="24"/>
          <w:highlight w:val="none"/>
        </w:rPr>
      </w:pPr>
      <w:bookmarkStart w:id="14" w:name="_Toc509993894"/>
      <w:r>
        <w:rPr>
          <w:rFonts w:eastAsia="黑体"/>
          <w:b w:val="0"/>
          <w:color w:val="auto"/>
          <w:sz w:val="24"/>
          <w:szCs w:val="24"/>
          <w:highlight w:val="none"/>
        </w:rPr>
        <w:t>3.7 投标文件的澄清和说明</w:t>
      </w:r>
      <w:bookmarkEnd w:id="14"/>
    </w:p>
    <w:p>
      <w:pPr>
        <w:spacing w:line="400" w:lineRule="atLeast"/>
        <w:ind w:firstLine="480" w:firstLineChars="200"/>
        <w:rPr>
          <w:color w:val="auto"/>
          <w:highlight w:val="none"/>
        </w:rPr>
      </w:pPr>
      <w:r>
        <w:rPr>
          <w:color w:val="auto"/>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color w:val="auto"/>
          <w:highlight w:val="none"/>
        </w:rPr>
      </w:pPr>
      <w:r>
        <w:rPr>
          <w:color w:val="auto"/>
          <w:highlight w:val="none"/>
        </w:rPr>
        <w:t>3.7.2 澄清和说明不得超出投标文件的范围或改变投标文件的实质性内容（算术性错误的修正除外）。投标人的书面澄清、说明属于投标文件的组成部分。</w:t>
      </w:r>
    </w:p>
    <w:p>
      <w:pPr>
        <w:spacing w:line="400" w:lineRule="atLeast"/>
        <w:ind w:firstLine="480" w:firstLineChars="200"/>
        <w:rPr>
          <w:color w:val="auto"/>
          <w:highlight w:val="none"/>
        </w:rPr>
      </w:pPr>
      <w:r>
        <w:rPr>
          <w:color w:val="auto"/>
          <w:highlight w:val="none"/>
        </w:rPr>
        <w:t>3.7.3 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color w:val="auto"/>
          <w:highlight w:val="none"/>
        </w:rPr>
      </w:pPr>
      <w:r>
        <w:rPr>
          <w:color w:val="auto"/>
          <w:highlight w:val="none"/>
        </w:rPr>
        <w:t>3.7.4 凡超出招标文件规定的或给发包人带来未曾要求的利益的变化、偏差或其他因素在评标时不予考虑。</w:t>
      </w:r>
    </w:p>
    <w:p>
      <w:pPr>
        <w:pStyle w:val="4"/>
        <w:spacing w:before="240" w:after="240" w:line="400" w:lineRule="atLeast"/>
        <w:rPr>
          <w:rFonts w:eastAsia="黑体"/>
          <w:b w:val="0"/>
          <w:color w:val="auto"/>
          <w:sz w:val="24"/>
          <w:szCs w:val="24"/>
          <w:highlight w:val="none"/>
        </w:rPr>
      </w:pPr>
      <w:bookmarkStart w:id="15" w:name="_Toc509993895"/>
      <w:bookmarkStart w:id="16" w:name="_Toc501257170"/>
      <w:r>
        <w:rPr>
          <w:rFonts w:eastAsia="黑体"/>
          <w:b w:val="0"/>
          <w:color w:val="auto"/>
          <w:sz w:val="24"/>
          <w:szCs w:val="24"/>
          <w:highlight w:val="none"/>
        </w:rPr>
        <w:t>3.8 不得否决投标的情形</w:t>
      </w:r>
      <w:bookmarkEnd w:id="15"/>
      <w:bookmarkEnd w:id="16"/>
    </w:p>
    <w:p>
      <w:pPr>
        <w:spacing w:line="400" w:lineRule="atLeast"/>
        <w:ind w:firstLine="480" w:firstLineChars="200"/>
        <w:rPr>
          <w:color w:val="auto"/>
          <w:highlight w:val="none"/>
        </w:rPr>
      </w:pPr>
      <w:r>
        <w:rPr>
          <w:color w:val="auto"/>
          <w:highlight w:val="none"/>
        </w:rPr>
        <w:t>投标文件存在第二章“投标人须知”第1.12.3项所列情形的，均视为细微偏差，评标委员会不得否决投标人的投标，应按照第二章“投标人须知”第1.12.4项规定的原则处理。</w:t>
      </w:r>
    </w:p>
    <w:p>
      <w:pPr>
        <w:pStyle w:val="4"/>
        <w:spacing w:before="240" w:after="240" w:line="240" w:lineRule="atLeast"/>
        <w:rPr>
          <w:rFonts w:eastAsia="黑体"/>
          <w:b w:val="0"/>
          <w:color w:val="auto"/>
          <w:sz w:val="24"/>
          <w:szCs w:val="24"/>
          <w:highlight w:val="none"/>
        </w:rPr>
      </w:pPr>
      <w:bookmarkStart w:id="17" w:name="_Toc509993896"/>
      <w:r>
        <w:rPr>
          <w:rFonts w:eastAsia="黑体"/>
          <w:b w:val="0"/>
          <w:color w:val="auto"/>
          <w:sz w:val="24"/>
          <w:szCs w:val="24"/>
          <w:highlight w:val="none"/>
        </w:rPr>
        <w:t>3.9 评标结果</w:t>
      </w:r>
      <w:bookmarkEnd w:id="17"/>
    </w:p>
    <w:p>
      <w:pPr>
        <w:spacing w:line="400" w:lineRule="atLeast"/>
        <w:ind w:firstLine="480" w:firstLineChars="200"/>
        <w:rPr>
          <w:color w:val="auto"/>
          <w:highlight w:val="none"/>
        </w:rPr>
      </w:pPr>
      <w:r>
        <w:rPr>
          <w:color w:val="auto"/>
          <w:highlight w:val="none"/>
        </w:rPr>
        <w:t>3.9.1 除第二章“投标人须知”前附表授权直接确定中标人外，评标委员会按照得分由高到低的顺序推荐中标候选人，并标明排序。</w:t>
      </w:r>
    </w:p>
    <w:p>
      <w:pPr>
        <w:spacing w:line="400" w:lineRule="atLeast"/>
        <w:ind w:firstLine="480" w:firstLineChars="200"/>
        <w:rPr>
          <w:color w:val="auto"/>
          <w:highlight w:val="none"/>
        </w:rPr>
      </w:pPr>
      <w:r>
        <w:rPr>
          <w:color w:val="auto"/>
          <w:highlight w:val="none"/>
        </w:rPr>
        <w:t>3.9.2 评标委员会完成评标后，应向招标人提交书面评标报告。</w:t>
      </w:r>
      <w:bookmarkEnd w:id="3"/>
    </w:p>
    <w:p>
      <w:pPr>
        <w:rPr>
          <w:color w:val="auto"/>
          <w:highlight w:val="none"/>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ingLiU">
    <w:altName w:val="宋体-繁"/>
    <w:panose1 w:val="02010609000101010101"/>
    <w:charset w:val="00"/>
    <w:family w:val="moder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rPr>
          <w:rFonts w:hint="eastAsia"/>
          <w:sz w:val="18"/>
          <w:szCs w:val="18"/>
        </w:rPr>
      </w:pPr>
      <w:r>
        <w:rPr>
          <w:kern w:val="0"/>
          <w:sz w:val="18"/>
          <w:szCs w:val="18"/>
        </w:rPr>
        <w:footnoteRef/>
      </w:r>
      <w:r>
        <w:rPr>
          <w:sz w:val="18"/>
          <w:szCs w:val="18"/>
        </w:rPr>
        <w:t xml:space="preserve"> </w:t>
      </w:r>
      <w:r>
        <w:rPr>
          <w:rFonts w:hint="eastAsia"/>
          <w:sz w:val="18"/>
          <w:szCs w:val="18"/>
        </w:rPr>
        <w:t>对于特别复杂的特大桥梁（主孔单孔跨径大于150m或桥墩高大于80m或采用新工艺等）和特长隧道项目主体工程以及其他有特殊要求的工程，还可对各专业分项负责人进行资格评审。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ABA33F"/>
    <w:rsid w:val="BFABA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275"/>
      </w:tabs>
      <w:autoSpaceDE/>
      <w:autoSpaceDN/>
      <w:ind w:firstLine="420" w:firstLineChars="200"/>
    </w:pPr>
    <w:rPr>
      <w:rFonts w:ascii="Times New Roman" w:hAnsi="Times New Roman"/>
      <w:sz w:val="21"/>
      <w:szCs w:val="24"/>
    </w:rPr>
  </w:style>
  <w:style w:type="paragraph" w:styleId="3">
    <w:name w:val="Body Text Indent"/>
    <w:basedOn w:val="1"/>
    <w:qFormat/>
    <w:uiPriority w:val="0"/>
    <w:pPr>
      <w:spacing w:after="120" w:afterLines="0"/>
      <w:ind w:left="420" w:leftChars="200"/>
    </w:pPr>
    <w:rPr>
      <w:rFonts w:ascii="Times New Roman" w:hAnsi="Times New Roman"/>
      <w:sz w:val="20"/>
      <w:szCs w:val="24"/>
    </w:rPr>
  </w:style>
  <w:style w:type="paragraph" w:styleId="5">
    <w:name w:val="Plain Text"/>
    <w:basedOn w:val="1"/>
    <w:qFormat/>
    <w:uiPriority w:val="0"/>
    <w:rPr>
      <w:rFonts w:ascii="宋体" w:hAnsi="Courier New"/>
      <w:sz w:val="20"/>
    </w:rPr>
  </w:style>
  <w:style w:type="paragraph" w:styleId="6">
    <w:name w:val="Body Text Indent 2"/>
    <w:basedOn w:val="1"/>
    <w:qFormat/>
    <w:uiPriority w:val="0"/>
    <w:pPr>
      <w:spacing w:line="500" w:lineRule="exact"/>
      <w:ind w:firstLine="540" w:firstLineChars="200"/>
    </w:pPr>
    <w:rPr>
      <w:rFonts w:ascii="宋体" w:hAnsi="宋体"/>
      <w:sz w:val="27"/>
      <w:szCs w:val="27"/>
    </w:rPr>
  </w:style>
  <w:style w:type="character" w:styleId="9">
    <w:name w:val="footnote reference"/>
    <w:qFormat/>
    <w:uiPriority w:val="0"/>
    <w:rPr>
      <w:vertAlign w:val="superscript"/>
    </w:rPr>
  </w:style>
  <w:style w:type="character" w:customStyle="1" w:styleId="10">
    <w:name w:val="正文文本 (2) + 间距 0 pt3"/>
    <w:qFormat/>
    <w:uiPriority w:val="99"/>
    <w:rPr>
      <w:rFonts w:ascii="MingLiU" w:eastAsia="MingLiU" w:cs="MingLiU"/>
      <w:spacing w:val="0"/>
      <w:sz w:val="22"/>
      <w:szCs w:val="22"/>
      <w:u w:val="none"/>
    </w:rPr>
  </w:style>
  <w:style w:type="paragraph" w:customStyle="1" w:styleId="11">
    <w:name w:val="Table Paragraph"/>
    <w:basedOn w:val="1"/>
    <w:qFormat/>
    <w:uiPriority w:val="1"/>
  </w:style>
  <w:style w:type="paragraph" w:customStyle="1" w:styleId="12">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2022-07-18T15:17:00Z</dcterms:created>
  <dc:creator>    信者＂</dc:creator>
  <cp:lastModifiedBy>    信者＂</cp:lastModifiedBy>
  <dcterms:modified xsi:type="dcterms:W3CDTF">2022-07-18T15:19:47Z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19D457B8D63430421009D5626ABE5F1E</vt:lpwstr>
  </property>
</Properties>
</file>