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topLinePunct/>
        <w:spacing w:line="360" w:lineRule="auto"/>
        <w:jc w:val="center"/>
        <w:rPr>
          <w:b/>
          <w:color w:val="auto"/>
          <w:sz w:val="28"/>
          <w:szCs w:val="28"/>
          <w:highlight w:val="none"/>
        </w:rPr>
      </w:pPr>
      <w:r>
        <w:rPr>
          <w:rFonts w:hint="default"/>
          <w:b/>
          <w:color w:val="auto"/>
          <w:sz w:val="28"/>
          <w:szCs w:val="28"/>
          <w:highlight w:val="none"/>
        </w:rPr>
        <w:t>化州市县道X729线（梅石路）江岸至博龙段新建工程</w:t>
      </w:r>
      <w:r>
        <w:rPr>
          <w:rFonts w:hint="eastAsia"/>
          <w:b/>
          <w:color w:val="auto"/>
          <w:sz w:val="28"/>
          <w:szCs w:val="28"/>
          <w:highlight w:val="none"/>
        </w:rPr>
        <w:t>勘察设计</w:t>
      </w:r>
      <w:r>
        <w:rPr>
          <w:b/>
          <w:color w:val="auto"/>
          <w:sz w:val="28"/>
          <w:szCs w:val="28"/>
          <w:highlight w:val="none"/>
        </w:rPr>
        <w:t>招标</w:t>
      </w:r>
    </w:p>
    <w:p>
      <w:pPr>
        <w:wordWrap w:val="0"/>
        <w:topLinePunct/>
        <w:spacing w:line="360" w:lineRule="auto"/>
        <w:jc w:val="center"/>
        <w:rPr>
          <w:rFonts w:eastAsia="黑体"/>
          <w:color w:val="auto"/>
          <w:sz w:val="28"/>
          <w:szCs w:val="28"/>
          <w:highlight w:val="none"/>
        </w:rPr>
      </w:pPr>
      <w:r>
        <w:rPr>
          <w:b/>
          <w:color w:val="auto"/>
          <w:sz w:val="28"/>
          <w:szCs w:val="28"/>
          <w:highlight w:val="none"/>
        </w:rPr>
        <w:t>招标公告</w:t>
      </w:r>
    </w:p>
    <w:p>
      <w:pPr>
        <w:topLinePunct/>
        <w:adjustRightInd/>
        <w:spacing w:line="360" w:lineRule="auto"/>
        <w:ind w:firstLine="480" w:firstLineChars="200"/>
        <w:rPr>
          <w:b/>
          <w:color w:val="auto"/>
          <w:szCs w:val="24"/>
          <w:highlight w:val="none"/>
        </w:rPr>
      </w:pPr>
      <w:r>
        <w:rPr>
          <w:b/>
          <w:color w:val="auto"/>
          <w:szCs w:val="24"/>
          <w:highlight w:val="none"/>
        </w:rPr>
        <w:t>1.招标条件</w:t>
      </w:r>
    </w:p>
    <w:p>
      <w:pPr>
        <w:autoSpaceDE w:val="0"/>
        <w:autoSpaceDN w:val="0"/>
        <w:adjustRightInd/>
        <w:spacing w:line="360" w:lineRule="auto"/>
        <w:ind w:left="240" w:leftChars="100" w:firstLine="240" w:firstLineChars="100"/>
        <w:textAlignment w:val="auto"/>
        <w:rPr>
          <w:color w:val="auto"/>
          <w:szCs w:val="24"/>
          <w:highlight w:val="none"/>
        </w:rPr>
      </w:pPr>
      <w:r>
        <w:rPr>
          <w:color w:val="auto"/>
          <w:szCs w:val="24"/>
          <w:highlight w:val="none"/>
        </w:rPr>
        <w:t>本招标项目</w:t>
      </w:r>
      <w:r>
        <w:rPr>
          <w:rFonts w:hint="default"/>
          <w:color w:val="auto"/>
          <w:szCs w:val="24"/>
          <w:highlight w:val="none"/>
          <w:u w:val="single"/>
        </w:rPr>
        <w:t>化州市县道X729线（梅石路）江岸至博龙段新建工程</w:t>
      </w:r>
      <w:r>
        <w:rPr>
          <w:color w:val="auto"/>
          <w:szCs w:val="24"/>
          <w:highlight w:val="none"/>
        </w:rPr>
        <w:t>已由</w:t>
      </w:r>
      <w:r>
        <w:rPr>
          <w:rFonts w:hint="eastAsia"/>
          <w:color w:val="auto"/>
          <w:szCs w:val="24"/>
          <w:highlight w:val="none"/>
        </w:rPr>
        <w:t>化州市发展和改革局</w:t>
      </w:r>
      <w:r>
        <w:rPr>
          <w:color w:val="auto"/>
          <w:szCs w:val="24"/>
          <w:highlight w:val="none"/>
        </w:rPr>
        <w:t>以</w:t>
      </w:r>
      <w:r>
        <w:rPr>
          <w:rFonts w:hint="eastAsia"/>
          <w:color w:val="auto"/>
          <w:szCs w:val="24"/>
          <w:highlight w:val="none"/>
          <w:u w:val="single"/>
        </w:rPr>
        <w:t>化发改投【202</w:t>
      </w:r>
      <w:r>
        <w:rPr>
          <w:rFonts w:hint="default"/>
          <w:color w:val="auto"/>
          <w:szCs w:val="24"/>
          <w:highlight w:val="none"/>
          <w:u w:val="single"/>
        </w:rPr>
        <w:t>2</w:t>
      </w:r>
      <w:r>
        <w:rPr>
          <w:rFonts w:hint="eastAsia"/>
          <w:color w:val="auto"/>
          <w:szCs w:val="24"/>
          <w:highlight w:val="none"/>
          <w:u w:val="single"/>
        </w:rPr>
        <w:t>】</w:t>
      </w:r>
      <w:r>
        <w:rPr>
          <w:rFonts w:hint="default"/>
          <w:color w:val="auto"/>
          <w:szCs w:val="24"/>
          <w:highlight w:val="none"/>
          <w:u w:val="single"/>
        </w:rPr>
        <w:t>122</w:t>
      </w:r>
      <w:r>
        <w:rPr>
          <w:rFonts w:hint="eastAsia"/>
          <w:color w:val="auto"/>
          <w:szCs w:val="24"/>
          <w:highlight w:val="none"/>
          <w:u w:val="single"/>
        </w:rPr>
        <w:t>号</w:t>
      </w:r>
      <w:r>
        <w:rPr>
          <w:color w:val="auto"/>
          <w:szCs w:val="24"/>
          <w:highlight w:val="none"/>
        </w:rPr>
        <w:t>批准建设，项目业主为</w:t>
      </w:r>
      <w:r>
        <w:rPr>
          <w:rFonts w:hint="eastAsia"/>
          <w:color w:val="auto"/>
          <w:szCs w:val="24"/>
          <w:highlight w:val="none"/>
          <w:u w:val="single"/>
        </w:rPr>
        <w:t>化州市地方公路建设管理处</w:t>
      </w:r>
      <w:r>
        <w:rPr>
          <w:color w:val="auto"/>
          <w:szCs w:val="24"/>
          <w:highlight w:val="none"/>
        </w:rPr>
        <w:t>，建设资金来自市财政统筹解决，招标人为</w:t>
      </w:r>
      <w:r>
        <w:rPr>
          <w:rFonts w:hint="eastAsia"/>
          <w:color w:val="auto"/>
          <w:szCs w:val="24"/>
          <w:highlight w:val="none"/>
          <w:u w:val="single"/>
        </w:rPr>
        <w:t>化州市地方公路建设管理处</w:t>
      </w:r>
      <w:r>
        <w:rPr>
          <w:color w:val="auto"/>
          <w:szCs w:val="24"/>
          <w:highlight w:val="none"/>
        </w:rPr>
        <w:t>。项目已具备招标条件，现对该项目的勘察设计采用资格后审方式进行公开招标。</w:t>
      </w:r>
    </w:p>
    <w:p>
      <w:pPr>
        <w:topLinePunct/>
        <w:adjustRightInd/>
        <w:spacing w:line="360" w:lineRule="auto"/>
        <w:ind w:firstLine="480" w:firstLineChars="200"/>
        <w:rPr>
          <w:b/>
          <w:color w:val="auto"/>
          <w:szCs w:val="24"/>
          <w:highlight w:val="none"/>
        </w:rPr>
      </w:pPr>
      <w:r>
        <w:rPr>
          <w:b/>
          <w:color w:val="auto"/>
          <w:szCs w:val="24"/>
          <w:highlight w:val="none"/>
        </w:rPr>
        <w:t>2.项目概况与招标范围</w:t>
      </w:r>
    </w:p>
    <w:p>
      <w:pPr>
        <w:spacing w:line="360" w:lineRule="auto"/>
        <w:ind w:firstLine="480"/>
        <w:rPr>
          <w:color w:val="auto"/>
          <w:highlight w:val="none"/>
        </w:rPr>
      </w:pPr>
      <w:r>
        <w:rPr>
          <w:color w:val="auto"/>
          <w:szCs w:val="24"/>
          <w:highlight w:val="none"/>
        </w:rPr>
        <w:t>2.1 建设</w:t>
      </w:r>
      <w:r>
        <w:rPr>
          <w:color w:val="auto"/>
          <w:highlight w:val="none"/>
        </w:rPr>
        <w:t>地点、</w:t>
      </w:r>
      <w:r>
        <w:rPr>
          <w:color w:val="auto"/>
          <w:szCs w:val="24"/>
          <w:highlight w:val="none"/>
        </w:rPr>
        <w:t>规模：</w:t>
      </w:r>
      <w:bookmarkStart w:id="0" w:name="_Hlk29201363"/>
      <w:bookmarkStart w:id="1" w:name="_Hlk13151391"/>
      <w:r>
        <w:rPr>
          <w:color w:val="auto"/>
          <w:szCs w:val="24"/>
          <w:highlight w:val="none"/>
        </w:rPr>
        <w:t>位于化州市城区东山街道，起点位于 东山街道江岸村，与</w:t>
      </w:r>
      <w:r>
        <w:rPr>
          <w:color w:val="auto"/>
          <w:szCs w:val="24"/>
          <w:highlight w:val="none"/>
          <w:lang w:val="en-US" w:eastAsia="en-US"/>
        </w:rPr>
        <w:t>S285</w:t>
      </w:r>
      <w:r>
        <w:rPr>
          <w:color w:val="auto"/>
          <w:szCs w:val="24"/>
          <w:highlight w:val="none"/>
        </w:rPr>
        <w:t>线平交（</w:t>
      </w:r>
      <w:r>
        <w:rPr>
          <w:color w:val="auto"/>
          <w:szCs w:val="24"/>
          <w:highlight w:val="none"/>
          <w:lang w:val="en-US" w:eastAsia="en-US"/>
        </w:rPr>
        <w:t>K0+000</w:t>
      </w:r>
      <w:r>
        <w:rPr>
          <w:color w:val="auto"/>
          <w:szCs w:val="24"/>
          <w:highlight w:val="none"/>
        </w:rPr>
        <w:t>）,由东往西走， 终点位于东山街道博龙村，接</w:t>
      </w:r>
      <w:r>
        <w:rPr>
          <w:color w:val="auto"/>
          <w:szCs w:val="24"/>
          <w:highlight w:val="none"/>
          <w:lang w:val="en-US" w:eastAsia="en-US"/>
        </w:rPr>
        <w:t>X729</w:t>
      </w:r>
      <w:r>
        <w:rPr>
          <w:color w:val="auto"/>
          <w:szCs w:val="24"/>
          <w:highlight w:val="none"/>
        </w:rPr>
        <w:t>线起点，与橘城南路平交</w:t>
      </w:r>
      <w:r>
        <w:rPr>
          <w:color w:val="auto"/>
          <w:szCs w:val="24"/>
          <w:highlight w:val="none"/>
          <w:lang w:val="en-US" w:eastAsia="en-US"/>
        </w:rPr>
        <w:t>（K1+320）</w:t>
      </w:r>
      <w:r>
        <w:rPr>
          <w:color w:val="auto"/>
          <w:szCs w:val="24"/>
          <w:highlight w:val="none"/>
          <w:lang w:eastAsia="en-US"/>
        </w:rPr>
        <w:t>，项目路线长1.32公里，按双向 6车道一级公路（兼城市道路功能）技术标准建设（道路横断 面宽36m）,设计时速为60km/h,路面结构为沥青混凝土路面。 主要建设内容为道路工程、桥涵工程（桥涵设计汽车荷载等级 为公路一I级，设计洪水频率大、中、小桥及涵洞为1/100）、 管线工程、交通工程、照明工程、绿化工程以及平面交叉等附 属工程，项目估算总投资为人民币 15143.29万元，其中建安工程费为11293.76万元</w:t>
      </w:r>
      <w:r>
        <w:rPr>
          <w:rFonts w:hint="eastAsia"/>
          <w:color w:val="auto"/>
          <w:position w:val="-2"/>
          <w:szCs w:val="21"/>
          <w:highlight w:val="none"/>
        </w:rPr>
        <w:t xml:space="preserve"> </w:t>
      </w:r>
    </w:p>
    <w:bookmarkEnd w:id="0"/>
    <w:bookmarkEnd w:id="1"/>
    <w:p>
      <w:pPr>
        <w:topLinePunct/>
        <w:adjustRightInd/>
        <w:spacing w:line="360" w:lineRule="auto"/>
        <w:ind w:firstLine="480" w:firstLineChars="200"/>
        <w:rPr>
          <w:color w:val="auto"/>
          <w:szCs w:val="24"/>
          <w:highlight w:val="none"/>
        </w:rPr>
      </w:pPr>
      <w:r>
        <w:rPr>
          <w:color w:val="auto"/>
          <w:szCs w:val="24"/>
          <w:highlight w:val="none"/>
        </w:rPr>
        <w:t xml:space="preserve">2.2 </w:t>
      </w:r>
      <w:r>
        <w:rPr>
          <w:rFonts w:hAnsi="宋体"/>
          <w:color w:val="auto"/>
          <w:szCs w:val="24"/>
          <w:highlight w:val="none"/>
        </w:rPr>
        <w:t>勘察设计服务期限（具体详见专用合同条款</w:t>
      </w:r>
      <w:r>
        <w:rPr>
          <w:color w:val="auto"/>
          <w:szCs w:val="24"/>
          <w:highlight w:val="none"/>
        </w:rPr>
        <w:t>8.1.3</w:t>
      </w:r>
      <w:r>
        <w:rPr>
          <w:rFonts w:hAnsi="宋体"/>
          <w:color w:val="auto"/>
          <w:szCs w:val="24"/>
          <w:highlight w:val="none"/>
        </w:rPr>
        <w:t>款）：</w:t>
      </w:r>
    </w:p>
    <w:p>
      <w:pPr>
        <w:topLinePunct/>
        <w:adjustRightInd/>
        <w:spacing w:line="360" w:lineRule="auto"/>
        <w:ind w:firstLine="480" w:firstLineChars="200"/>
        <w:jc w:val="both"/>
        <w:rPr>
          <w:rFonts w:hAnsi="宋体"/>
          <w:color w:val="auto"/>
          <w:kern w:val="2"/>
          <w:szCs w:val="24"/>
          <w:highlight w:val="none"/>
        </w:rPr>
      </w:pPr>
      <w:r>
        <w:rPr>
          <w:color w:val="auto"/>
          <w:kern w:val="2"/>
          <w:szCs w:val="24"/>
          <w:highlight w:val="none"/>
        </w:rPr>
        <w:t>2.2.1</w:t>
      </w:r>
      <w:r>
        <w:rPr>
          <w:rFonts w:hAnsi="宋体"/>
          <w:color w:val="auto"/>
          <w:kern w:val="2"/>
          <w:szCs w:val="24"/>
          <w:highlight w:val="none"/>
        </w:rPr>
        <w:t>初测、初勘报告：在</w:t>
      </w:r>
      <w:r>
        <w:rPr>
          <w:rFonts w:hint="eastAsia" w:hAnsi="宋体"/>
          <w:color w:val="auto"/>
          <w:kern w:val="2"/>
          <w:szCs w:val="24"/>
          <w:highlight w:val="none"/>
        </w:rPr>
        <w:t>签订合同</w:t>
      </w:r>
      <w:r>
        <w:rPr>
          <w:rFonts w:hAnsi="宋体"/>
          <w:color w:val="auto"/>
          <w:kern w:val="2"/>
          <w:szCs w:val="24"/>
          <w:highlight w:val="none"/>
        </w:rPr>
        <w:t>后30天内提交成果；</w:t>
      </w:r>
    </w:p>
    <w:p>
      <w:pPr>
        <w:topLinePunct/>
        <w:adjustRightInd/>
        <w:spacing w:line="360" w:lineRule="auto"/>
        <w:ind w:firstLine="480" w:firstLineChars="200"/>
        <w:jc w:val="both"/>
        <w:rPr>
          <w:rFonts w:hAnsi="宋体"/>
          <w:color w:val="auto"/>
          <w:kern w:val="2"/>
          <w:szCs w:val="24"/>
          <w:highlight w:val="none"/>
        </w:rPr>
      </w:pPr>
      <w:r>
        <w:rPr>
          <w:color w:val="auto"/>
          <w:kern w:val="2"/>
          <w:szCs w:val="24"/>
          <w:highlight w:val="none"/>
        </w:rPr>
        <w:t>2.2.</w:t>
      </w:r>
      <w:r>
        <w:rPr>
          <w:rFonts w:hint="eastAsia"/>
          <w:color w:val="auto"/>
          <w:kern w:val="2"/>
          <w:szCs w:val="24"/>
          <w:highlight w:val="none"/>
        </w:rPr>
        <w:t xml:space="preserve">2 </w:t>
      </w:r>
      <w:r>
        <w:rPr>
          <w:rFonts w:hAnsi="宋体"/>
          <w:color w:val="auto"/>
          <w:kern w:val="2"/>
          <w:szCs w:val="24"/>
          <w:highlight w:val="none"/>
        </w:rPr>
        <w:t>初步设计成果</w:t>
      </w:r>
      <w:r>
        <w:rPr>
          <w:rFonts w:hint="eastAsia" w:hAnsi="宋体"/>
          <w:color w:val="auto"/>
          <w:kern w:val="2"/>
          <w:szCs w:val="24"/>
          <w:highlight w:val="none"/>
        </w:rPr>
        <w:t>文件</w:t>
      </w:r>
      <w:r>
        <w:rPr>
          <w:rFonts w:hAnsi="宋体"/>
          <w:color w:val="auto"/>
          <w:kern w:val="2"/>
          <w:szCs w:val="24"/>
          <w:highlight w:val="none"/>
        </w:rPr>
        <w:t>（含概算文件）：</w:t>
      </w:r>
      <w:r>
        <w:rPr>
          <w:rFonts w:hint="eastAsia" w:hAnsi="宋体"/>
          <w:color w:val="auto"/>
          <w:kern w:val="2"/>
          <w:szCs w:val="24"/>
          <w:highlight w:val="none"/>
        </w:rPr>
        <w:t>在提交</w:t>
      </w:r>
      <w:r>
        <w:rPr>
          <w:rFonts w:hAnsi="宋体"/>
          <w:color w:val="auto"/>
          <w:kern w:val="2"/>
          <w:szCs w:val="24"/>
          <w:highlight w:val="none"/>
        </w:rPr>
        <w:t>初测、初勘</w:t>
      </w:r>
      <w:r>
        <w:rPr>
          <w:rFonts w:hint="eastAsia" w:hAnsi="宋体"/>
          <w:color w:val="auto"/>
          <w:kern w:val="2"/>
          <w:szCs w:val="24"/>
          <w:highlight w:val="none"/>
        </w:rPr>
        <w:t>报告</w:t>
      </w:r>
      <w:r>
        <w:rPr>
          <w:rFonts w:hAnsi="宋体"/>
          <w:color w:val="auto"/>
          <w:kern w:val="2"/>
          <w:szCs w:val="24"/>
          <w:highlight w:val="none"/>
        </w:rPr>
        <w:t>后10天内提交成果；</w:t>
      </w:r>
    </w:p>
    <w:p>
      <w:pPr>
        <w:topLinePunct/>
        <w:adjustRightInd/>
        <w:spacing w:line="360" w:lineRule="auto"/>
        <w:ind w:firstLine="480" w:firstLineChars="200"/>
        <w:jc w:val="both"/>
        <w:rPr>
          <w:rFonts w:hAnsi="宋体"/>
          <w:color w:val="auto"/>
          <w:kern w:val="2"/>
          <w:szCs w:val="24"/>
          <w:highlight w:val="none"/>
        </w:rPr>
      </w:pPr>
      <w:r>
        <w:rPr>
          <w:color w:val="auto"/>
          <w:kern w:val="2"/>
          <w:szCs w:val="24"/>
          <w:highlight w:val="none"/>
        </w:rPr>
        <w:t>2.2.</w:t>
      </w:r>
      <w:r>
        <w:rPr>
          <w:rFonts w:hint="eastAsia"/>
          <w:color w:val="auto"/>
          <w:kern w:val="2"/>
          <w:szCs w:val="24"/>
          <w:highlight w:val="none"/>
        </w:rPr>
        <w:t>3</w:t>
      </w:r>
      <w:r>
        <w:rPr>
          <w:rFonts w:hAnsi="宋体"/>
          <w:color w:val="auto"/>
          <w:kern w:val="2"/>
          <w:szCs w:val="24"/>
          <w:highlight w:val="none"/>
        </w:rPr>
        <w:t>初步设计</w:t>
      </w:r>
      <w:r>
        <w:rPr>
          <w:rFonts w:hint="eastAsia" w:hAnsi="宋体"/>
          <w:color w:val="auto"/>
          <w:kern w:val="2"/>
          <w:szCs w:val="24"/>
          <w:highlight w:val="none"/>
        </w:rPr>
        <w:t>文件</w:t>
      </w:r>
      <w:r>
        <w:rPr>
          <w:rFonts w:hAnsi="宋体"/>
          <w:color w:val="auto"/>
          <w:kern w:val="2"/>
          <w:szCs w:val="24"/>
          <w:highlight w:val="none"/>
        </w:rPr>
        <w:t>修改</w:t>
      </w:r>
      <w:r>
        <w:rPr>
          <w:rFonts w:hint="eastAsia" w:hAnsi="宋体"/>
          <w:color w:val="auto"/>
          <w:kern w:val="2"/>
          <w:szCs w:val="24"/>
          <w:highlight w:val="none"/>
        </w:rPr>
        <w:t>（</w:t>
      </w:r>
      <w:r>
        <w:rPr>
          <w:rFonts w:hAnsi="宋体"/>
          <w:color w:val="auto"/>
          <w:kern w:val="2"/>
          <w:szCs w:val="24"/>
          <w:highlight w:val="none"/>
        </w:rPr>
        <w:t>含概算文件</w:t>
      </w:r>
      <w:r>
        <w:rPr>
          <w:rFonts w:hint="eastAsia" w:hAnsi="宋体"/>
          <w:color w:val="auto"/>
          <w:kern w:val="2"/>
          <w:szCs w:val="24"/>
          <w:highlight w:val="none"/>
        </w:rPr>
        <w:t>）</w:t>
      </w:r>
      <w:r>
        <w:rPr>
          <w:rFonts w:hAnsi="宋体"/>
          <w:color w:val="auto"/>
          <w:kern w:val="2"/>
          <w:szCs w:val="24"/>
          <w:highlight w:val="none"/>
        </w:rPr>
        <w:t>：正式出具初步设计审查意见后10天内；</w:t>
      </w:r>
    </w:p>
    <w:p>
      <w:pPr>
        <w:topLinePunct/>
        <w:adjustRightInd/>
        <w:spacing w:line="360" w:lineRule="auto"/>
        <w:ind w:firstLine="480" w:firstLineChars="200"/>
        <w:jc w:val="both"/>
        <w:rPr>
          <w:rFonts w:hAnsi="宋体"/>
          <w:color w:val="auto"/>
          <w:kern w:val="2"/>
          <w:szCs w:val="24"/>
          <w:highlight w:val="none"/>
        </w:rPr>
      </w:pPr>
      <w:r>
        <w:rPr>
          <w:color w:val="auto"/>
          <w:kern w:val="2"/>
          <w:szCs w:val="24"/>
          <w:highlight w:val="none"/>
        </w:rPr>
        <w:t>2.2.</w:t>
      </w:r>
      <w:r>
        <w:rPr>
          <w:rFonts w:hint="eastAsia"/>
          <w:color w:val="auto"/>
          <w:kern w:val="2"/>
          <w:szCs w:val="24"/>
          <w:highlight w:val="none"/>
        </w:rPr>
        <w:t>4</w:t>
      </w:r>
      <w:r>
        <w:rPr>
          <w:rFonts w:hAnsi="宋体"/>
          <w:color w:val="auto"/>
          <w:kern w:val="2"/>
          <w:szCs w:val="24"/>
          <w:highlight w:val="none"/>
        </w:rPr>
        <w:t>提交施工图设计成果</w:t>
      </w:r>
      <w:r>
        <w:rPr>
          <w:rFonts w:hint="eastAsia" w:hAnsi="宋体"/>
          <w:color w:val="auto"/>
          <w:kern w:val="2"/>
          <w:szCs w:val="24"/>
          <w:highlight w:val="none"/>
        </w:rPr>
        <w:t>文件</w:t>
      </w:r>
      <w:r>
        <w:rPr>
          <w:rFonts w:hAnsi="宋体"/>
          <w:color w:val="auto"/>
          <w:kern w:val="2"/>
          <w:szCs w:val="24"/>
          <w:highlight w:val="none"/>
        </w:rPr>
        <w:t>（含</w:t>
      </w:r>
      <w:r>
        <w:rPr>
          <w:rFonts w:hint="eastAsia" w:hAnsi="宋体"/>
          <w:color w:val="auto"/>
          <w:kern w:val="2"/>
          <w:szCs w:val="24"/>
          <w:highlight w:val="none"/>
        </w:rPr>
        <w:t>施工图</w:t>
      </w:r>
      <w:r>
        <w:rPr>
          <w:rFonts w:hAnsi="宋体"/>
          <w:color w:val="auto"/>
          <w:kern w:val="2"/>
          <w:szCs w:val="24"/>
          <w:highlight w:val="none"/>
        </w:rPr>
        <w:t>预算文件）</w:t>
      </w:r>
      <w:r>
        <w:rPr>
          <w:rFonts w:hint="eastAsia" w:hAnsi="宋体"/>
          <w:color w:val="auto"/>
          <w:kern w:val="2"/>
          <w:szCs w:val="24"/>
          <w:highlight w:val="none"/>
        </w:rPr>
        <w:t>及</w:t>
      </w:r>
      <w:r>
        <w:rPr>
          <w:rFonts w:hAnsi="宋体"/>
          <w:color w:val="auto"/>
          <w:kern w:val="2"/>
          <w:szCs w:val="24"/>
          <w:highlight w:val="none"/>
        </w:rPr>
        <w:t>详勘、定测报告</w:t>
      </w:r>
      <w:r>
        <w:rPr>
          <w:rFonts w:hint="eastAsia" w:hAnsi="宋体"/>
          <w:color w:val="auto"/>
          <w:kern w:val="2"/>
          <w:szCs w:val="24"/>
          <w:highlight w:val="none"/>
        </w:rPr>
        <w:t>：在修改完成</w:t>
      </w:r>
      <w:r>
        <w:rPr>
          <w:rFonts w:hAnsi="宋体"/>
          <w:color w:val="auto"/>
          <w:kern w:val="2"/>
          <w:szCs w:val="24"/>
          <w:highlight w:val="none"/>
        </w:rPr>
        <w:t>初步设计</w:t>
      </w:r>
      <w:r>
        <w:rPr>
          <w:rFonts w:hint="eastAsia" w:hAnsi="宋体"/>
          <w:color w:val="auto"/>
          <w:kern w:val="2"/>
          <w:szCs w:val="24"/>
          <w:highlight w:val="none"/>
        </w:rPr>
        <w:t>文件后</w:t>
      </w:r>
      <w:r>
        <w:rPr>
          <w:rFonts w:hAnsi="宋体"/>
          <w:color w:val="auto"/>
          <w:kern w:val="2"/>
          <w:szCs w:val="24"/>
          <w:highlight w:val="none"/>
        </w:rPr>
        <w:t>30天内</w:t>
      </w:r>
      <w:r>
        <w:rPr>
          <w:rFonts w:hint="eastAsia" w:hAnsi="宋体"/>
          <w:color w:val="auto"/>
          <w:kern w:val="2"/>
          <w:szCs w:val="24"/>
          <w:highlight w:val="none"/>
        </w:rPr>
        <w:t>完成</w:t>
      </w:r>
      <w:r>
        <w:rPr>
          <w:rFonts w:hAnsi="宋体"/>
          <w:color w:val="auto"/>
          <w:kern w:val="2"/>
          <w:szCs w:val="24"/>
          <w:highlight w:val="none"/>
        </w:rPr>
        <w:t>；</w:t>
      </w:r>
    </w:p>
    <w:p>
      <w:pPr>
        <w:topLinePunct/>
        <w:adjustRightInd/>
        <w:spacing w:line="360" w:lineRule="auto"/>
        <w:ind w:firstLine="480" w:firstLineChars="200"/>
        <w:jc w:val="both"/>
        <w:rPr>
          <w:rFonts w:hAnsi="宋体"/>
          <w:color w:val="auto"/>
          <w:kern w:val="2"/>
          <w:szCs w:val="24"/>
          <w:highlight w:val="none"/>
        </w:rPr>
      </w:pPr>
      <w:r>
        <w:rPr>
          <w:color w:val="auto"/>
          <w:kern w:val="2"/>
          <w:szCs w:val="24"/>
          <w:highlight w:val="none"/>
        </w:rPr>
        <w:t>2.2.</w:t>
      </w:r>
      <w:r>
        <w:rPr>
          <w:rFonts w:hint="eastAsia"/>
          <w:color w:val="auto"/>
          <w:kern w:val="2"/>
          <w:szCs w:val="24"/>
          <w:highlight w:val="none"/>
        </w:rPr>
        <w:t>5</w:t>
      </w:r>
      <w:r>
        <w:rPr>
          <w:rFonts w:hAnsi="宋体"/>
          <w:color w:val="auto"/>
          <w:kern w:val="2"/>
          <w:szCs w:val="24"/>
          <w:highlight w:val="none"/>
        </w:rPr>
        <w:t>施工图</w:t>
      </w:r>
      <w:r>
        <w:rPr>
          <w:rFonts w:hint="eastAsia" w:hAnsi="宋体"/>
          <w:color w:val="auto"/>
          <w:kern w:val="2"/>
          <w:szCs w:val="24"/>
          <w:highlight w:val="none"/>
        </w:rPr>
        <w:t>设计文件</w:t>
      </w:r>
      <w:r>
        <w:rPr>
          <w:rFonts w:hAnsi="宋体"/>
          <w:color w:val="auto"/>
          <w:kern w:val="2"/>
          <w:szCs w:val="24"/>
          <w:highlight w:val="none"/>
        </w:rPr>
        <w:t>修改</w:t>
      </w:r>
      <w:r>
        <w:rPr>
          <w:rFonts w:hint="eastAsia" w:hAnsi="宋体"/>
          <w:color w:val="auto"/>
          <w:kern w:val="2"/>
          <w:szCs w:val="24"/>
          <w:highlight w:val="none"/>
        </w:rPr>
        <w:t>：</w:t>
      </w:r>
      <w:r>
        <w:rPr>
          <w:rFonts w:hAnsi="宋体"/>
          <w:color w:val="auto"/>
          <w:kern w:val="2"/>
          <w:szCs w:val="24"/>
          <w:highlight w:val="none"/>
        </w:rPr>
        <w:t>正式出具施工图审查意见后10天内</w:t>
      </w:r>
      <w:r>
        <w:rPr>
          <w:rFonts w:hint="eastAsia" w:hAnsi="宋体"/>
          <w:color w:val="auto"/>
          <w:kern w:val="2"/>
          <w:szCs w:val="24"/>
          <w:highlight w:val="none"/>
        </w:rPr>
        <w:t>完成；</w:t>
      </w:r>
    </w:p>
    <w:p>
      <w:pPr>
        <w:topLinePunct/>
        <w:adjustRightInd/>
        <w:spacing w:line="360" w:lineRule="auto"/>
        <w:ind w:firstLine="480" w:firstLineChars="200"/>
        <w:jc w:val="both"/>
        <w:rPr>
          <w:color w:val="auto"/>
          <w:kern w:val="2"/>
          <w:szCs w:val="24"/>
          <w:highlight w:val="none"/>
        </w:rPr>
      </w:pPr>
      <w:r>
        <w:rPr>
          <w:color w:val="auto"/>
          <w:highlight w:val="none"/>
        </w:rPr>
        <w:t>2.2.</w:t>
      </w:r>
      <w:r>
        <w:rPr>
          <w:rFonts w:hint="eastAsia"/>
          <w:color w:val="auto"/>
          <w:highlight w:val="none"/>
        </w:rPr>
        <w:t>6</w:t>
      </w:r>
      <w:r>
        <w:rPr>
          <w:rFonts w:hAnsi="宋体"/>
          <w:color w:val="auto"/>
          <w:kern w:val="2"/>
          <w:szCs w:val="24"/>
          <w:highlight w:val="none"/>
        </w:rPr>
        <w:t>施工现场配合服务：从项目开工至项目竣工验收，</w:t>
      </w:r>
      <w:r>
        <w:rPr>
          <w:color w:val="auto"/>
          <w:kern w:val="2"/>
          <w:szCs w:val="24"/>
          <w:highlight w:val="none"/>
        </w:rPr>
        <w:t>施工期暂定</w:t>
      </w:r>
      <w:r>
        <w:rPr>
          <w:color w:val="auto"/>
          <w:kern w:val="2"/>
          <w:szCs w:val="24"/>
          <w:highlight w:val="none"/>
          <w:u w:val="single"/>
        </w:rPr>
        <w:t>3</w:t>
      </w:r>
      <w:r>
        <w:rPr>
          <w:color w:val="auto"/>
          <w:kern w:val="2"/>
          <w:szCs w:val="24"/>
          <w:highlight w:val="none"/>
        </w:rPr>
        <w:t>年；缺陷责任期</w:t>
      </w:r>
      <w:r>
        <w:rPr>
          <w:color w:val="auto"/>
          <w:kern w:val="2"/>
          <w:szCs w:val="24"/>
          <w:highlight w:val="none"/>
          <w:u w:val="single"/>
        </w:rPr>
        <w:t xml:space="preserve"> 2 </w:t>
      </w:r>
      <w:r>
        <w:rPr>
          <w:color w:val="auto"/>
          <w:kern w:val="2"/>
          <w:szCs w:val="24"/>
          <w:highlight w:val="none"/>
        </w:rPr>
        <w:t>年。</w:t>
      </w:r>
    </w:p>
    <w:p>
      <w:pPr>
        <w:topLinePunct/>
        <w:adjustRightInd/>
        <w:spacing w:line="360" w:lineRule="auto"/>
        <w:ind w:firstLine="480" w:firstLineChars="200"/>
        <w:rPr>
          <w:b/>
          <w:color w:val="auto"/>
          <w:szCs w:val="24"/>
          <w:highlight w:val="none"/>
        </w:rPr>
      </w:pPr>
      <w:r>
        <w:rPr>
          <w:color w:val="auto"/>
          <w:szCs w:val="24"/>
          <w:highlight w:val="none"/>
        </w:rPr>
        <w:t xml:space="preserve">2.3 </w:t>
      </w:r>
      <w:r>
        <w:rPr>
          <w:rFonts w:hAnsi="宋体"/>
          <w:color w:val="auto"/>
          <w:szCs w:val="24"/>
          <w:highlight w:val="none"/>
        </w:rPr>
        <w:t>招标范围及标段划分</w:t>
      </w:r>
    </w:p>
    <w:p>
      <w:pPr>
        <w:topLinePunct/>
        <w:adjustRightInd/>
        <w:spacing w:line="360" w:lineRule="auto"/>
        <w:ind w:firstLine="480" w:firstLineChars="200"/>
        <w:rPr>
          <w:color w:val="auto"/>
          <w:szCs w:val="24"/>
          <w:highlight w:val="none"/>
        </w:rPr>
      </w:pPr>
      <w:r>
        <w:rPr>
          <w:rFonts w:hAnsi="宋体"/>
          <w:color w:val="auto"/>
          <w:szCs w:val="24"/>
          <w:highlight w:val="none"/>
        </w:rPr>
        <w:t>本次招标共划分为</w:t>
      </w:r>
      <w:r>
        <w:rPr>
          <w:color w:val="auto"/>
          <w:szCs w:val="24"/>
          <w:highlight w:val="none"/>
          <w:u w:val="single"/>
        </w:rPr>
        <w:t>1</w:t>
      </w:r>
      <w:r>
        <w:rPr>
          <w:rFonts w:hAnsi="宋体"/>
          <w:color w:val="auto"/>
          <w:szCs w:val="24"/>
          <w:highlight w:val="none"/>
        </w:rPr>
        <w:t>个标段，具体见下表：</w:t>
      </w:r>
    </w:p>
    <w:tbl>
      <w:tblPr>
        <w:tblStyle w:val="5"/>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
      <w:tblGrid>
        <w:gridCol w:w="1811"/>
        <w:gridCol w:w="928"/>
        <w:gridCol w:w="578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20" w:hRule="atLeast"/>
          <w:tblHeader/>
          <w:jc w:val="center"/>
        </w:trPr>
        <w:tc>
          <w:tcPr>
            <w:tcW w:w="1811" w:type="dxa"/>
            <w:tcBorders>
              <w:top w:val="single" w:color="auto" w:sz="4" w:space="0"/>
              <w:left w:val="single" w:color="auto" w:sz="4" w:space="0"/>
              <w:bottom w:val="single" w:color="auto" w:sz="4" w:space="0"/>
              <w:right w:val="single" w:color="auto" w:sz="4" w:space="0"/>
            </w:tcBorders>
            <w:noWrap w:val="0"/>
            <w:vAlign w:val="center"/>
          </w:tcPr>
          <w:p>
            <w:pPr>
              <w:topLinePunct/>
              <w:spacing w:line="240" w:lineRule="auto"/>
              <w:jc w:val="center"/>
              <w:rPr>
                <w:rFonts w:ascii="Times New Roman" w:hAnsi="Times New Roman"/>
                <w:b/>
                <w:color w:val="auto"/>
                <w:sz w:val="21"/>
                <w:szCs w:val="21"/>
                <w:highlight w:val="none"/>
              </w:rPr>
            </w:pPr>
            <w:r>
              <w:rPr>
                <w:rFonts w:ascii="Times New Roman" w:hAnsi="Times New Roman"/>
                <w:b/>
                <w:color w:val="auto"/>
                <w:sz w:val="21"/>
                <w:szCs w:val="21"/>
                <w:highlight w:val="none"/>
              </w:rPr>
              <w:t>里程范围</w:t>
            </w:r>
          </w:p>
        </w:tc>
        <w:tc>
          <w:tcPr>
            <w:tcW w:w="928" w:type="dxa"/>
            <w:tcBorders>
              <w:top w:val="single" w:color="auto" w:sz="4" w:space="0"/>
              <w:left w:val="single" w:color="auto" w:sz="4" w:space="0"/>
              <w:bottom w:val="single" w:color="auto" w:sz="4" w:space="0"/>
              <w:right w:val="single" w:color="auto" w:sz="4" w:space="0"/>
            </w:tcBorders>
            <w:noWrap w:val="0"/>
            <w:vAlign w:val="center"/>
          </w:tcPr>
          <w:p>
            <w:pPr>
              <w:topLinePunct/>
              <w:spacing w:line="460" w:lineRule="exact"/>
              <w:jc w:val="center"/>
              <w:rPr>
                <w:rFonts w:ascii="Times New Roman" w:hAnsi="Times New Roman"/>
                <w:b/>
                <w:color w:val="auto"/>
                <w:sz w:val="21"/>
                <w:szCs w:val="21"/>
                <w:highlight w:val="none"/>
              </w:rPr>
            </w:pPr>
            <w:r>
              <w:rPr>
                <w:rFonts w:ascii="Times New Roman" w:hAnsi="Times New Roman"/>
                <w:b/>
                <w:color w:val="auto"/>
                <w:sz w:val="21"/>
                <w:szCs w:val="21"/>
                <w:highlight w:val="none"/>
              </w:rPr>
              <w:t>长度</w:t>
            </w:r>
          </w:p>
        </w:tc>
        <w:tc>
          <w:tcPr>
            <w:tcW w:w="5783" w:type="dxa"/>
            <w:tcBorders>
              <w:top w:val="single" w:color="auto" w:sz="4" w:space="0"/>
              <w:left w:val="single" w:color="auto" w:sz="4" w:space="0"/>
              <w:bottom w:val="single" w:color="auto" w:sz="4" w:space="0"/>
              <w:right w:val="single" w:color="auto" w:sz="4" w:space="0"/>
            </w:tcBorders>
            <w:noWrap w:val="0"/>
            <w:vAlign w:val="center"/>
          </w:tcPr>
          <w:p>
            <w:pPr>
              <w:topLinePunct/>
              <w:spacing w:line="460" w:lineRule="exact"/>
              <w:jc w:val="center"/>
              <w:rPr>
                <w:rFonts w:ascii="Times New Roman" w:hAnsi="Times New Roman"/>
                <w:b/>
                <w:color w:val="auto"/>
                <w:sz w:val="21"/>
                <w:szCs w:val="21"/>
                <w:highlight w:val="none"/>
              </w:rPr>
            </w:pPr>
            <w:r>
              <w:rPr>
                <w:rFonts w:ascii="Times New Roman" w:hAnsi="Times New Roman"/>
                <w:b/>
                <w:color w:val="auto"/>
                <w:sz w:val="21"/>
                <w:szCs w:val="21"/>
                <w:highlight w:val="none"/>
              </w:rPr>
              <w:t>工作内容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1200" w:hRule="atLeast"/>
          <w:jc w:val="center"/>
        </w:trPr>
        <w:tc>
          <w:tcPr>
            <w:tcW w:w="1811" w:type="dxa"/>
            <w:tcBorders>
              <w:top w:val="single" w:color="auto" w:sz="4" w:space="0"/>
              <w:left w:val="single" w:color="auto" w:sz="4" w:space="0"/>
              <w:bottom w:val="single" w:color="auto" w:sz="4" w:space="0"/>
              <w:right w:val="single" w:color="auto" w:sz="4" w:space="0"/>
            </w:tcBorders>
            <w:noWrap w:val="0"/>
            <w:vAlign w:val="center"/>
          </w:tcPr>
          <w:p>
            <w:pPr>
              <w:topLinePunct/>
              <w:spacing w:line="460" w:lineRule="exact"/>
              <w:jc w:val="center"/>
              <w:rPr>
                <w:rFonts w:hint="default" w:ascii="Times New Roman" w:hAnsi="Times New Roman"/>
                <w:color w:val="auto"/>
                <w:sz w:val="21"/>
                <w:szCs w:val="21"/>
                <w:highlight w:val="none"/>
              </w:rPr>
            </w:pPr>
            <w:r>
              <w:rPr>
                <w:rFonts w:ascii="Times New Roman" w:hAnsi="Times New Roman" w:eastAsia="宋体" w:cs="Times New Roman"/>
                <w:color w:val="auto"/>
                <w:sz w:val="21"/>
                <w:szCs w:val="21"/>
                <w:highlight w:val="none"/>
                <w:lang w:val="en-US" w:eastAsia="en-US"/>
              </w:rPr>
              <w:t>K0+000</w:t>
            </w:r>
            <w:r>
              <w:rPr>
                <w:rFonts w:ascii="Times New Roman" w:hAnsi="Times New Roman" w:eastAsia="宋体" w:cs="Times New Roman"/>
                <w:color w:val="auto"/>
                <w:sz w:val="21"/>
                <w:szCs w:val="21"/>
                <w:highlight w:val="none"/>
                <w:lang w:eastAsia="en-US"/>
              </w:rPr>
              <w:t>～K1+320</w:t>
            </w:r>
          </w:p>
        </w:tc>
        <w:tc>
          <w:tcPr>
            <w:tcW w:w="928" w:type="dxa"/>
            <w:tcBorders>
              <w:top w:val="single" w:color="auto" w:sz="4" w:space="0"/>
              <w:left w:val="single" w:color="auto" w:sz="4" w:space="0"/>
              <w:bottom w:val="single" w:color="auto" w:sz="4" w:space="0"/>
              <w:right w:val="single" w:color="auto" w:sz="4" w:space="0"/>
            </w:tcBorders>
            <w:noWrap w:val="0"/>
            <w:vAlign w:val="center"/>
          </w:tcPr>
          <w:p>
            <w:pPr>
              <w:topLinePunct/>
              <w:spacing w:line="460" w:lineRule="exact"/>
              <w:jc w:val="center"/>
              <w:rPr>
                <w:rFonts w:ascii="Times New Roman" w:hAnsi="Times New Roman"/>
                <w:color w:val="auto"/>
                <w:sz w:val="21"/>
                <w:szCs w:val="21"/>
                <w:highlight w:val="none"/>
              </w:rPr>
            </w:pPr>
            <w:r>
              <w:rPr>
                <w:rFonts w:ascii="Times New Roman" w:hAnsi="Times New Roman"/>
                <w:color w:val="auto"/>
                <w:sz w:val="21"/>
                <w:szCs w:val="21"/>
                <w:highlight w:val="none"/>
                <w:lang w:val="en-US" w:eastAsia="en-US"/>
              </w:rPr>
              <w:t>1.32</w:t>
            </w:r>
            <w:r>
              <w:rPr>
                <w:rFonts w:ascii="Times New Roman" w:hAnsi="Times New Roman"/>
                <w:color w:val="auto"/>
                <w:sz w:val="21"/>
                <w:szCs w:val="21"/>
                <w:highlight w:val="none"/>
              </w:rPr>
              <w:t>km</w:t>
            </w:r>
          </w:p>
        </w:tc>
        <w:tc>
          <w:tcPr>
            <w:tcW w:w="5783"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exact"/>
              <w:ind w:firstLine="420" w:firstLineChars="200"/>
              <w:rPr>
                <w:rFonts w:ascii="Times New Roman" w:hAnsi="Times New Roman"/>
                <w:color w:val="auto"/>
                <w:sz w:val="21"/>
                <w:szCs w:val="21"/>
                <w:highlight w:val="none"/>
              </w:rPr>
            </w:pPr>
            <w:bookmarkStart w:id="2" w:name="_Hlk85553399"/>
            <w:r>
              <w:rPr>
                <w:rFonts w:ascii="Times New Roman" w:hAnsi="Times New Roman"/>
                <w:color w:val="auto"/>
                <w:sz w:val="21"/>
                <w:szCs w:val="21"/>
                <w:highlight w:val="none"/>
              </w:rPr>
              <w:t>里程范围的道路工程、桥涵工程、管线工程、交通工程、照明工程、绿化工程等工程的勘察设计；</w:t>
            </w:r>
          </w:p>
          <w:p>
            <w:pPr>
              <w:spacing w:line="340" w:lineRule="exact"/>
              <w:rPr>
                <w:rFonts w:ascii="Times New Roman" w:hAnsi="Times New Roman"/>
                <w:color w:val="auto"/>
                <w:sz w:val="21"/>
                <w:szCs w:val="21"/>
                <w:highlight w:val="none"/>
              </w:rPr>
            </w:pPr>
            <w:r>
              <w:rPr>
                <w:rFonts w:ascii="Times New Roman" w:hAnsi="Times New Roman"/>
                <w:color w:val="auto"/>
                <w:sz w:val="21"/>
                <w:szCs w:val="21"/>
                <w:highlight w:val="none"/>
              </w:rPr>
              <w:t>上述勘察设计包括初勘、初测、初步设计（含技术设计，如有）、详勘、定测、专题研究报告（如有）、施工图设计、概预算</w:t>
            </w:r>
            <w:r>
              <w:rPr>
                <w:rFonts w:hint="eastAsia" w:ascii="Times New Roman" w:hAnsi="Times New Roman"/>
                <w:color w:val="auto"/>
                <w:sz w:val="21"/>
                <w:szCs w:val="21"/>
                <w:highlight w:val="none"/>
              </w:rPr>
              <w:t>、</w:t>
            </w:r>
            <w:r>
              <w:rPr>
                <w:rFonts w:ascii="Times New Roman" w:hAnsi="Times New Roman"/>
                <w:color w:val="auto"/>
                <w:sz w:val="21"/>
                <w:szCs w:val="21"/>
                <w:highlight w:val="none"/>
              </w:rPr>
              <w:t>工程量三级清单编制（含工程量清单计量支付规则及技术规范）及编制交通组织措施方案设计（如有）、竣工图编制配合、征地拆迁图编绘（如有）、施工配合服务及后续服务工作等</w:t>
            </w:r>
            <w:bookmarkEnd w:id="2"/>
            <w:r>
              <w:rPr>
                <w:rFonts w:ascii="Times New Roman" w:hAnsi="Times New Roman"/>
                <w:color w:val="auto"/>
                <w:sz w:val="21"/>
                <w:szCs w:val="21"/>
                <w:highlight w:val="none"/>
              </w:rPr>
              <w:t>。</w:t>
            </w:r>
          </w:p>
        </w:tc>
      </w:tr>
    </w:tbl>
    <w:p>
      <w:pPr>
        <w:wordWrap w:val="0"/>
        <w:topLinePunct/>
        <w:adjustRightInd/>
        <w:spacing w:line="360" w:lineRule="auto"/>
        <w:rPr>
          <w:b/>
          <w:color w:val="auto"/>
          <w:sz w:val="18"/>
          <w:szCs w:val="18"/>
          <w:highlight w:val="none"/>
        </w:rPr>
      </w:pPr>
    </w:p>
    <w:p>
      <w:pPr>
        <w:topLinePunct/>
        <w:adjustRightInd/>
        <w:spacing w:line="360" w:lineRule="auto"/>
        <w:ind w:firstLine="480" w:firstLineChars="200"/>
        <w:rPr>
          <w:b/>
          <w:color w:val="auto"/>
          <w:szCs w:val="24"/>
          <w:highlight w:val="none"/>
        </w:rPr>
      </w:pPr>
      <w:r>
        <w:rPr>
          <w:b/>
          <w:color w:val="auto"/>
          <w:szCs w:val="24"/>
          <w:highlight w:val="none"/>
        </w:rPr>
        <w:t>3.投标人资格要求</w:t>
      </w:r>
    </w:p>
    <w:p>
      <w:pPr>
        <w:snapToGrid w:val="0"/>
        <w:spacing w:line="400" w:lineRule="exact"/>
        <w:ind w:firstLine="480" w:firstLineChars="200"/>
        <w:rPr>
          <w:color w:val="auto"/>
          <w:szCs w:val="24"/>
          <w:highlight w:val="none"/>
        </w:rPr>
      </w:pPr>
      <w:r>
        <w:rPr>
          <w:color w:val="auto"/>
          <w:szCs w:val="24"/>
          <w:highlight w:val="none"/>
        </w:rPr>
        <w:t>3.1本次招标要求投标人同时具有以下资质条件，且在人员及信誉等方面满足本项目要求：</w:t>
      </w:r>
    </w:p>
    <w:p>
      <w:pPr>
        <w:snapToGrid w:val="0"/>
        <w:spacing w:line="400" w:lineRule="exact"/>
        <w:ind w:firstLine="480" w:firstLineChars="200"/>
        <w:rPr>
          <w:color w:val="auto"/>
          <w:szCs w:val="24"/>
          <w:highlight w:val="none"/>
        </w:rPr>
      </w:pPr>
      <w:r>
        <w:rPr>
          <w:color w:val="auto"/>
          <w:highlight w:val="none"/>
        </w:rPr>
        <w:t>（1）</w:t>
      </w:r>
      <w:r>
        <w:rPr>
          <w:color w:val="auto"/>
          <w:szCs w:val="24"/>
          <w:highlight w:val="none"/>
        </w:rPr>
        <w:t>投标人应为中华人民共和国国内注册成立的独立企业法人：</w:t>
      </w:r>
    </w:p>
    <w:p>
      <w:pPr>
        <w:snapToGrid w:val="0"/>
        <w:spacing w:line="400" w:lineRule="exact"/>
        <w:ind w:firstLine="480" w:firstLineChars="200"/>
        <w:rPr>
          <w:color w:val="auto"/>
          <w:highlight w:val="none"/>
        </w:rPr>
      </w:pPr>
      <w:r>
        <w:rPr>
          <w:color w:val="auto"/>
          <w:highlight w:val="none"/>
        </w:rPr>
        <w:t>（2）</w:t>
      </w:r>
      <w:r>
        <w:rPr>
          <w:rFonts w:hAnsi="宋体"/>
          <w:color w:val="auto"/>
          <w:highlight w:val="none"/>
        </w:rPr>
        <w:t>投标人</w:t>
      </w:r>
      <w:r>
        <w:rPr>
          <w:rFonts w:hint="eastAsia" w:hAnsi="宋体"/>
          <w:color w:val="auto"/>
          <w:highlight w:val="none"/>
        </w:rPr>
        <w:t>具备建设主管部门颁发的工程设计综合资质（甲级）资质证书，或同时具备公路行业设计甲级资质证书（或公路行业（公路）专业设计甲级资质）和市政行业设计甲级资质证书（或市政行业（燃气工程、轨道交通工程除外）设计甲级或市政行业（道路工程）专业设计甲级）</w:t>
      </w:r>
      <w:r>
        <w:rPr>
          <w:color w:val="auto"/>
          <w:highlight w:val="none"/>
        </w:rPr>
        <w:t>。</w:t>
      </w:r>
    </w:p>
    <w:p>
      <w:pPr>
        <w:snapToGrid w:val="0"/>
        <w:spacing w:line="400" w:lineRule="exact"/>
        <w:ind w:firstLine="480" w:firstLineChars="200"/>
        <w:rPr>
          <w:color w:val="auto"/>
          <w:szCs w:val="24"/>
          <w:highlight w:val="none"/>
        </w:rPr>
      </w:pPr>
      <w:r>
        <w:rPr>
          <w:color w:val="auto"/>
          <w:highlight w:val="none"/>
        </w:rPr>
        <w:t>（3）</w:t>
      </w:r>
      <w:r>
        <w:rPr>
          <w:rFonts w:hint="eastAsia"/>
          <w:color w:val="auto"/>
          <w:szCs w:val="24"/>
          <w:highlight w:val="none"/>
        </w:rPr>
        <w:t>投标人具备建设主管部门颁发的工程勘察综合类资质（甲级）证书或同时具备工程勘察专业类（工程测量）乙级（或以上）资质证书及工程勘察专业类（岩土工程）甲级资质证书或同时具备工程勘察专业类（工程测量）乙级（或以上）资质证书及工程勘察专业类（岩土工程（勘察））甲级资质证书。</w:t>
      </w:r>
      <w:r>
        <w:rPr>
          <w:color w:val="auto"/>
          <w:szCs w:val="24"/>
          <w:highlight w:val="none"/>
        </w:rPr>
        <w:t xml:space="preserve"> </w:t>
      </w:r>
    </w:p>
    <w:p>
      <w:pPr>
        <w:topLinePunct/>
        <w:adjustRightInd/>
        <w:spacing w:line="360" w:lineRule="auto"/>
        <w:ind w:firstLine="480" w:firstLineChars="200"/>
        <w:rPr>
          <w:color w:val="auto"/>
          <w:szCs w:val="24"/>
          <w:highlight w:val="none"/>
        </w:rPr>
      </w:pPr>
      <w:r>
        <w:rPr>
          <w:color w:val="auto"/>
          <w:szCs w:val="24"/>
          <w:highlight w:val="none"/>
        </w:rPr>
        <w:t>（4）投标人应进入交通运输部“全国公路建设市场信用信息管理系统（http：//glxy.mot.gov.cn）”中的公路工程设计资质企业名录，且投标人名称和资质与该名录中的相应企业名称和资质完全一致。</w:t>
      </w:r>
    </w:p>
    <w:p>
      <w:pPr>
        <w:topLinePunct/>
        <w:adjustRightInd/>
        <w:spacing w:line="360" w:lineRule="auto"/>
        <w:ind w:firstLine="480" w:firstLineChars="200"/>
        <w:rPr>
          <w:color w:val="auto"/>
          <w:szCs w:val="24"/>
          <w:highlight w:val="none"/>
        </w:rPr>
      </w:pPr>
      <w:r>
        <w:rPr>
          <w:color w:val="auto"/>
          <w:szCs w:val="24"/>
          <w:highlight w:val="none"/>
        </w:rPr>
        <w:t>3.2本次招标</w:t>
      </w:r>
      <w:r>
        <w:rPr>
          <w:rFonts w:hint="eastAsia"/>
          <w:color w:val="auto"/>
          <w:szCs w:val="24"/>
          <w:highlight w:val="none"/>
          <w:u w:val="single"/>
        </w:rPr>
        <w:t>不</w:t>
      </w:r>
      <w:r>
        <w:rPr>
          <w:color w:val="auto"/>
          <w:szCs w:val="24"/>
          <w:highlight w:val="none"/>
          <w:u w:val="single"/>
        </w:rPr>
        <w:t>接受</w:t>
      </w:r>
      <w:r>
        <w:rPr>
          <w:color w:val="auto"/>
          <w:szCs w:val="24"/>
          <w:highlight w:val="none"/>
        </w:rPr>
        <w:t>联合体投标。</w:t>
      </w:r>
    </w:p>
    <w:p>
      <w:pPr>
        <w:topLinePunct/>
        <w:adjustRightInd/>
        <w:spacing w:line="360" w:lineRule="auto"/>
        <w:ind w:firstLine="480" w:firstLineChars="200"/>
        <w:rPr>
          <w:color w:val="auto"/>
          <w:szCs w:val="24"/>
          <w:highlight w:val="none"/>
        </w:rPr>
      </w:pPr>
      <w:r>
        <w:rPr>
          <w:color w:val="auto"/>
          <w:szCs w:val="24"/>
          <w:highlight w:val="none"/>
        </w:rPr>
        <w:t>3.3本项目的勘察设计咨询中标单位及与其存在利害关系的单位均不得参加本项目的勘察设计投标。</w:t>
      </w:r>
    </w:p>
    <w:p>
      <w:pPr>
        <w:topLinePunct/>
        <w:adjustRightInd/>
        <w:spacing w:line="360" w:lineRule="auto"/>
        <w:ind w:firstLine="480" w:firstLineChars="200"/>
        <w:rPr>
          <w:color w:val="auto"/>
          <w:szCs w:val="24"/>
          <w:highlight w:val="none"/>
        </w:rPr>
      </w:pPr>
      <w:r>
        <w:rPr>
          <w:color w:val="auto"/>
          <w:szCs w:val="24"/>
          <w:highlight w:val="none"/>
        </w:rPr>
        <w:t>3.4与招标人存在利害关系可能影响招标公正性的单位，不得参加投标。单位负责人</w:t>
      </w:r>
      <w:r>
        <w:rPr>
          <w:rStyle w:val="7"/>
          <w:color w:val="auto"/>
          <w:szCs w:val="24"/>
          <w:highlight w:val="none"/>
        </w:rPr>
        <w:footnoteReference w:id="0"/>
      </w:r>
      <w:r>
        <w:rPr>
          <w:color w:val="auto"/>
          <w:szCs w:val="24"/>
          <w:highlight w:val="none"/>
        </w:rPr>
        <w:t>为同一人、或者存在控股</w:t>
      </w:r>
      <w:r>
        <w:rPr>
          <w:rStyle w:val="7"/>
          <w:color w:val="auto"/>
          <w:szCs w:val="24"/>
          <w:highlight w:val="none"/>
        </w:rPr>
        <w:footnoteReference w:id="1"/>
      </w:r>
      <w:r>
        <w:rPr>
          <w:color w:val="auto"/>
          <w:szCs w:val="24"/>
          <w:highlight w:val="none"/>
        </w:rPr>
        <w:t>、管理关系</w:t>
      </w:r>
      <w:r>
        <w:rPr>
          <w:rStyle w:val="7"/>
          <w:color w:val="auto"/>
          <w:szCs w:val="24"/>
          <w:highlight w:val="none"/>
        </w:rPr>
        <w:footnoteReference w:id="2"/>
      </w:r>
      <w:r>
        <w:rPr>
          <w:color w:val="auto"/>
          <w:szCs w:val="24"/>
          <w:highlight w:val="none"/>
        </w:rPr>
        <w:t>的不同单位，不得参加同一标段或者未划分标段的同一招标项目投标，否则</w:t>
      </w:r>
      <w:r>
        <w:rPr>
          <w:color w:val="auto"/>
          <w:highlight w:val="none"/>
        </w:rPr>
        <w:t>相关投标均无效</w:t>
      </w:r>
      <w:r>
        <w:rPr>
          <w:color w:val="auto"/>
          <w:szCs w:val="24"/>
          <w:highlight w:val="none"/>
        </w:rPr>
        <w:t>。</w:t>
      </w:r>
    </w:p>
    <w:p>
      <w:pPr>
        <w:topLinePunct/>
        <w:spacing w:line="360" w:lineRule="auto"/>
        <w:ind w:firstLine="480" w:firstLineChars="200"/>
        <w:rPr>
          <w:color w:val="auto"/>
          <w:szCs w:val="24"/>
          <w:highlight w:val="none"/>
        </w:rPr>
      </w:pPr>
      <w:r>
        <w:rPr>
          <w:color w:val="auto"/>
          <w:szCs w:val="24"/>
          <w:highlight w:val="none"/>
        </w:rPr>
        <w:t>3.5</w:t>
      </w:r>
      <w:r>
        <w:rPr>
          <w:rFonts w:hAnsi="宋体"/>
          <w:color w:val="auto"/>
          <w:szCs w:val="24"/>
          <w:highlight w:val="none"/>
        </w:rPr>
        <w:t>在</w:t>
      </w:r>
      <w:r>
        <w:rPr>
          <w:color w:val="auto"/>
          <w:szCs w:val="24"/>
          <w:highlight w:val="none"/>
        </w:rPr>
        <w:t>“</w:t>
      </w:r>
      <w:r>
        <w:rPr>
          <w:rFonts w:hAnsi="宋体"/>
          <w:color w:val="auto"/>
          <w:szCs w:val="24"/>
          <w:highlight w:val="none"/>
        </w:rPr>
        <w:t>信用中国</w:t>
      </w:r>
      <w:r>
        <w:rPr>
          <w:color w:val="auto"/>
          <w:szCs w:val="24"/>
          <w:highlight w:val="none"/>
        </w:rPr>
        <w:t>”</w:t>
      </w:r>
      <w:r>
        <w:rPr>
          <w:rFonts w:hAnsi="宋体"/>
          <w:color w:val="auto"/>
          <w:szCs w:val="24"/>
          <w:highlight w:val="none"/>
        </w:rPr>
        <w:t>网站（</w:t>
      </w:r>
      <w:r>
        <w:rPr>
          <w:color w:val="auto"/>
          <w:szCs w:val="24"/>
          <w:highlight w:val="none"/>
        </w:rPr>
        <w:t>http://www.creditchina.gov.cn/</w:t>
      </w:r>
      <w:r>
        <w:rPr>
          <w:rFonts w:hAnsi="宋体"/>
          <w:color w:val="auto"/>
          <w:szCs w:val="24"/>
          <w:highlight w:val="none"/>
        </w:rPr>
        <w:t>）中被列入失信被执行人名单的投标人，在国家企业信用信息公示系统（</w:t>
      </w:r>
      <w:r>
        <w:rPr>
          <w:color w:val="auto"/>
          <w:szCs w:val="24"/>
          <w:highlight w:val="none"/>
        </w:rPr>
        <w:t>www.gsxt.gov.cn</w:t>
      </w:r>
      <w:r>
        <w:rPr>
          <w:rFonts w:hAnsi="宋体"/>
          <w:color w:val="auto"/>
          <w:szCs w:val="24"/>
          <w:highlight w:val="none"/>
        </w:rPr>
        <w:t>）中被列入严重违法失信企业名单的投标人，均不得参加投标。</w:t>
      </w:r>
    </w:p>
    <w:p>
      <w:pPr>
        <w:topLinePunct/>
        <w:adjustRightInd/>
        <w:spacing w:line="360" w:lineRule="auto"/>
        <w:ind w:firstLine="480" w:firstLineChars="200"/>
        <w:rPr>
          <w:b/>
          <w:color w:val="auto"/>
          <w:szCs w:val="24"/>
          <w:highlight w:val="none"/>
        </w:rPr>
      </w:pPr>
      <w:r>
        <w:rPr>
          <w:rFonts w:hint="eastAsia"/>
          <w:b/>
          <w:color w:val="auto"/>
          <w:szCs w:val="24"/>
          <w:highlight w:val="none"/>
        </w:rPr>
        <w:t>4.</w:t>
      </w:r>
      <w:r>
        <w:rPr>
          <w:b/>
          <w:color w:val="auto"/>
          <w:szCs w:val="24"/>
          <w:highlight w:val="none"/>
        </w:rPr>
        <w:t>招标文件的获取</w:t>
      </w:r>
    </w:p>
    <w:p>
      <w:pPr>
        <w:tabs>
          <w:tab w:val="left" w:pos="360"/>
        </w:tabs>
        <w:adjustRightInd/>
        <w:spacing w:line="400" w:lineRule="exact"/>
        <w:ind w:firstLine="480" w:firstLineChars="200"/>
        <w:textAlignment w:val="auto"/>
        <w:rPr>
          <w:color w:val="auto"/>
          <w:szCs w:val="24"/>
          <w:highlight w:val="none"/>
        </w:rPr>
      </w:pPr>
      <w:r>
        <w:rPr>
          <w:color w:val="auto"/>
          <w:szCs w:val="24"/>
          <w:highlight w:val="none"/>
        </w:rPr>
        <w:t>凡有意参加投标者，请于</w:t>
      </w:r>
      <w:r>
        <w:rPr>
          <w:color w:val="auto"/>
          <w:szCs w:val="24"/>
          <w:highlight w:val="none"/>
          <w:u w:val="single"/>
        </w:rPr>
        <w:t>2022</w:t>
      </w:r>
      <w:r>
        <w:rPr>
          <w:color w:val="auto"/>
          <w:szCs w:val="24"/>
          <w:highlight w:val="none"/>
        </w:rPr>
        <w:t>年</w:t>
      </w:r>
      <w:r>
        <w:rPr>
          <w:rFonts w:hint="default"/>
          <w:color w:val="auto"/>
          <w:szCs w:val="24"/>
          <w:highlight w:val="none"/>
          <w:u w:val="single"/>
          <w:lang w:eastAsia="zh-CN"/>
        </w:rPr>
        <w:t xml:space="preserve">  </w:t>
      </w:r>
      <w:r>
        <w:rPr>
          <w:rFonts w:hint="default"/>
          <w:color w:val="auto"/>
          <w:szCs w:val="24"/>
          <w:highlight w:val="none"/>
          <w:u w:val="single"/>
          <w:lang w:eastAsia="zh-CN"/>
        </w:rPr>
        <w:t>7</w:t>
      </w:r>
      <w:r>
        <w:rPr>
          <w:color w:val="auto"/>
          <w:szCs w:val="24"/>
          <w:highlight w:val="none"/>
          <w:u w:val="single"/>
        </w:rPr>
        <w:t xml:space="preserve"> </w:t>
      </w:r>
      <w:r>
        <w:rPr>
          <w:color w:val="auto"/>
          <w:szCs w:val="24"/>
          <w:highlight w:val="none"/>
        </w:rPr>
        <w:t>月</w:t>
      </w:r>
      <w:r>
        <w:rPr>
          <w:color w:val="auto"/>
          <w:szCs w:val="24"/>
          <w:highlight w:val="none"/>
          <w:u w:val="single"/>
        </w:rPr>
        <w:t xml:space="preserve"> </w:t>
      </w:r>
      <w:r>
        <w:rPr>
          <w:rFonts w:hint="default"/>
          <w:color w:val="auto"/>
          <w:szCs w:val="24"/>
          <w:highlight w:val="none"/>
          <w:u w:val="single"/>
          <w:lang w:eastAsia="zh-CN"/>
        </w:rPr>
        <w:t xml:space="preserve"> </w:t>
      </w:r>
      <w:r>
        <w:rPr>
          <w:rFonts w:hint="default"/>
          <w:color w:val="auto"/>
          <w:szCs w:val="24"/>
          <w:highlight w:val="none"/>
          <w:u w:val="single"/>
          <w:lang w:eastAsia="zh-CN"/>
        </w:rPr>
        <w:t>19</w:t>
      </w:r>
      <w:r>
        <w:rPr>
          <w:rFonts w:hint="default"/>
          <w:color w:val="auto"/>
          <w:szCs w:val="24"/>
          <w:highlight w:val="none"/>
          <w:u w:val="single"/>
          <w:lang w:eastAsia="zh-CN"/>
        </w:rPr>
        <w:t xml:space="preserve"> </w:t>
      </w:r>
      <w:r>
        <w:rPr>
          <w:color w:val="auto"/>
          <w:szCs w:val="24"/>
          <w:highlight w:val="none"/>
        </w:rPr>
        <w:t>日至</w:t>
      </w:r>
      <w:r>
        <w:rPr>
          <w:color w:val="auto"/>
          <w:szCs w:val="24"/>
          <w:highlight w:val="none"/>
          <w:u w:val="single"/>
        </w:rPr>
        <w:t>2022</w:t>
      </w:r>
      <w:r>
        <w:rPr>
          <w:color w:val="auto"/>
          <w:szCs w:val="24"/>
          <w:highlight w:val="none"/>
        </w:rPr>
        <w:t>年</w:t>
      </w:r>
      <w:r>
        <w:rPr>
          <w:color w:val="auto"/>
          <w:szCs w:val="24"/>
          <w:highlight w:val="none"/>
          <w:u w:val="single"/>
        </w:rPr>
        <w:t xml:space="preserve"> </w:t>
      </w:r>
      <w:r>
        <w:rPr>
          <w:rFonts w:hint="default"/>
          <w:color w:val="auto"/>
          <w:szCs w:val="24"/>
          <w:highlight w:val="none"/>
          <w:u w:val="single"/>
          <w:lang w:eastAsia="zh-CN"/>
        </w:rPr>
        <w:t xml:space="preserve"> </w:t>
      </w:r>
      <w:r>
        <w:rPr>
          <w:rFonts w:hint="default"/>
          <w:color w:val="auto"/>
          <w:szCs w:val="24"/>
          <w:highlight w:val="none"/>
          <w:u w:val="single"/>
          <w:lang w:eastAsia="zh-CN"/>
        </w:rPr>
        <w:t>7</w:t>
      </w:r>
      <w:r>
        <w:rPr>
          <w:rFonts w:hint="default"/>
          <w:color w:val="auto"/>
          <w:szCs w:val="24"/>
          <w:highlight w:val="none"/>
          <w:u w:val="single"/>
          <w:lang w:eastAsia="zh-CN"/>
        </w:rPr>
        <w:t xml:space="preserve"> </w:t>
      </w:r>
      <w:r>
        <w:rPr>
          <w:color w:val="auto"/>
          <w:szCs w:val="24"/>
          <w:highlight w:val="none"/>
        </w:rPr>
        <w:t>月</w:t>
      </w:r>
      <w:r>
        <w:rPr>
          <w:color w:val="auto"/>
          <w:szCs w:val="24"/>
          <w:highlight w:val="none"/>
          <w:u w:val="single"/>
        </w:rPr>
        <w:t xml:space="preserve"> </w:t>
      </w:r>
      <w:r>
        <w:rPr>
          <w:rFonts w:hint="default"/>
          <w:color w:val="auto"/>
          <w:szCs w:val="24"/>
          <w:highlight w:val="none"/>
          <w:u w:val="single"/>
          <w:lang w:eastAsia="zh-CN"/>
        </w:rPr>
        <w:t>25</w:t>
      </w:r>
      <w:r>
        <w:rPr>
          <w:rFonts w:hint="default"/>
          <w:color w:val="auto"/>
          <w:szCs w:val="24"/>
          <w:highlight w:val="none"/>
          <w:u w:val="single"/>
          <w:lang w:eastAsia="zh-CN"/>
        </w:rPr>
        <w:t xml:space="preserve"> </w:t>
      </w:r>
      <w:r>
        <w:rPr>
          <w:color w:val="auto"/>
          <w:szCs w:val="24"/>
          <w:highlight w:val="none"/>
          <w:u w:val="single"/>
        </w:rPr>
        <w:t xml:space="preserve"> </w:t>
      </w:r>
      <w:r>
        <w:rPr>
          <w:color w:val="auto"/>
          <w:szCs w:val="24"/>
          <w:highlight w:val="none"/>
        </w:rPr>
        <w:t>日</w:t>
      </w:r>
      <w:r>
        <w:rPr>
          <w:rFonts w:hint="eastAsia"/>
          <w:bCs/>
          <w:color w:val="auto"/>
          <w:sz w:val="24"/>
          <w:szCs w:val="24"/>
        </w:rPr>
        <w:t>（法定公休日、法定节假日正常发售招标文件）</w:t>
      </w:r>
      <w:r>
        <w:rPr>
          <w:color w:val="auto"/>
          <w:szCs w:val="24"/>
          <w:highlight w:val="none"/>
        </w:rPr>
        <w:t>，</w:t>
      </w:r>
      <w:r>
        <w:rPr>
          <w:color w:val="auto"/>
          <w:spacing w:val="-1"/>
          <w:szCs w:val="24"/>
          <w:highlight w:val="none"/>
        </w:rPr>
        <w:t>上午9:30时至11:30时，下午14:00时至16:00时（北京时间，下同）</w:t>
      </w:r>
      <w:r>
        <w:rPr>
          <w:color w:val="auto"/>
          <w:szCs w:val="24"/>
          <w:highlight w:val="none"/>
        </w:rPr>
        <w:t>，在</w:t>
      </w:r>
      <w:r>
        <w:rPr>
          <w:color w:val="auto"/>
          <w:spacing w:val="-1"/>
          <w:szCs w:val="24"/>
          <w:highlight w:val="none"/>
        </w:rPr>
        <w:t>广州公共资源交易中心（广州市天河区天润路333号）</w:t>
      </w:r>
      <w:r>
        <w:rPr>
          <w:color w:val="auto"/>
          <w:szCs w:val="24"/>
          <w:highlight w:val="none"/>
        </w:rPr>
        <w:t>持单位介绍信、经办人身份证复印件（原件备查），《投标登记申请表》</w:t>
      </w:r>
      <w:r>
        <w:rPr>
          <w:color w:val="auto"/>
          <w:szCs w:val="24"/>
          <w:highlight w:val="none"/>
          <w:u w:val="single"/>
        </w:rPr>
        <w:t>原件（上述资料一式两份）</w:t>
      </w:r>
      <w:r>
        <w:rPr>
          <w:color w:val="auto"/>
          <w:szCs w:val="24"/>
          <w:highlight w:val="none"/>
        </w:rPr>
        <w:t>购买招标文件。</w:t>
      </w:r>
    </w:p>
    <w:p>
      <w:pPr>
        <w:tabs>
          <w:tab w:val="left" w:pos="360"/>
        </w:tabs>
        <w:adjustRightInd/>
        <w:spacing w:line="400" w:lineRule="exact"/>
        <w:ind w:firstLine="480" w:firstLineChars="200"/>
        <w:textAlignment w:val="auto"/>
        <w:rPr>
          <w:color w:val="auto"/>
          <w:szCs w:val="24"/>
          <w:highlight w:val="none"/>
        </w:rPr>
      </w:pPr>
      <w:r>
        <w:rPr>
          <w:color w:val="auto"/>
          <w:szCs w:val="24"/>
          <w:highlight w:val="none"/>
        </w:rPr>
        <w:t>4.2  投标人须在购买招标文件前到广州公共资源交易中心办理企业信息登记，未办理企业信息登记的投标申请将不予受理。企业信息登记的办理详情参见广州公共资源交易中心网（http://www.gzzb.gd.cn）服务指南栏目。</w:t>
      </w:r>
    </w:p>
    <w:p>
      <w:pPr>
        <w:adjustRightInd/>
        <w:spacing w:line="400" w:lineRule="exact"/>
        <w:ind w:firstLine="480" w:firstLineChars="200"/>
        <w:textAlignment w:val="auto"/>
        <w:rPr>
          <w:color w:val="auto"/>
          <w:highlight w:val="none"/>
        </w:rPr>
      </w:pPr>
      <w:r>
        <w:rPr>
          <w:color w:val="auto"/>
          <w:szCs w:val="24"/>
          <w:highlight w:val="none"/>
        </w:rPr>
        <w:t>4.3 招标文件每套售价</w:t>
      </w:r>
      <w:r>
        <w:rPr>
          <w:color w:val="auto"/>
          <w:szCs w:val="24"/>
          <w:highlight w:val="none"/>
          <w:u w:val="single"/>
        </w:rPr>
        <w:t>1000</w:t>
      </w:r>
      <w:r>
        <w:rPr>
          <w:color w:val="auto"/>
          <w:szCs w:val="24"/>
          <w:highlight w:val="none"/>
        </w:rPr>
        <w:t>元，售后不退。参考资料每套售价</w:t>
      </w:r>
      <w:r>
        <w:rPr>
          <w:color w:val="auto"/>
          <w:szCs w:val="24"/>
          <w:highlight w:val="none"/>
          <w:u w:val="single"/>
        </w:rPr>
        <w:t>1000</w:t>
      </w:r>
      <w:r>
        <w:rPr>
          <w:color w:val="auto"/>
          <w:szCs w:val="24"/>
          <w:highlight w:val="none"/>
        </w:rPr>
        <w:t>元，售后不退。</w:t>
      </w:r>
    </w:p>
    <w:p>
      <w:pPr>
        <w:autoSpaceDE w:val="0"/>
        <w:autoSpaceDN w:val="0"/>
        <w:snapToGrid w:val="0"/>
        <w:spacing w:line="400" w:lineRule="exact"/>
        <w:ind w:firstLine="480" w:firstLineChars="200"/>
        <w:rPr>
          <w:color w:val="auto"/>
          <w:highlight w:val="none"/>
        </w:rPr>
      </w:pPr>
    </w:p>
    <w:p>
      <w:pPr>
        <w:topLinePunct/>
        <w:adjustRightInd/>
        <w:spacing w:line="360" w:lineRule="auto"/>
        <w:ind w:firstLine="420" w:firstLineChars="150"/>
        <w:rPr>
          <w:b/>
          <w:color w:val="auto"/>
          <w:sz w:val="28"/>
          <w:szCs w:val="28"/>
          <w:highlight w:val="none"/>
        </w:rPr>
      </w:pPr>
      <w:r>
        <w:rPr>
          <w:rFonts w:hint="eastAsia"/>
          <w:b/>
          <w:color w:val="auto"/>
          <w:sz w:val="28"/>
          <w:szCs w:val="28"/>
          <w:highlight w:val="none"/>
        </w:rPr>
        <w:t>5</w:t>
      </w:r>
      <w:r>
        <w:rPr>
          <w:b/>
          <w:color w:val="auto"/>
          <w:sz w:val="28"/>
          <w:szCs w:val="28"/>
          <w:highlight w:val="none"/>
        </w:rPr>
        <w:t>.投标文件的递交及相关事宜</w:t>
      </w:r>
    </w:p>
    <w:p>
      <w:pPr>
        <w:spacing w:line="360" w:lineRule="auto"/>
        <w:ind w:firstLine="480" w:firstLineChars="200"/>
        <w:rPr>
          <w:color w:val="auto"/>
          <w:szCs w:val="24"/>
          <w:highlight w:val="none"/>
        </w:rPr>
      </w:pPr>
      <w:r>
        <w:rPr>
          <w:color w:val="auto"/>
          <w:szCs w:val="24"/>
          <w:highlight w:val="none"/>
        </w:rPr>
        <w:t>5.1 招标人不统一组织工程现场踏勘和召开投标预备会。</w:t>
      </w:r>
    </w:p>
    <w:p>
      <w:pPr>
        <w:spacing w:line="400" w:lineRule="exact"/>
        <w:ind w:firstLine="480" w:firstLineChars="200"/>
        <w:rPr>
          <w:color w:val="auto"/>
          <w:szCs w:val="24"/>
          <w:highlight w:val="none"/>
        </w:rPr>
      </w:pPr>
      <w:r>
        <w:rPr>
          <w:color w:val="auto"/>
          <w:szCs w:val="24"/>
          <w:highlight w:val="none"/>
        </w:rPr>
        <w:t>5.2 投标文件递交的截止时间（投标截止时间，下同）为</w:t>
      </w:r>
      <w:r>
        <w:rPr>
          <w:rFonts w:hint="default"/>
          <w:color w:val="auto"/>
          <w:szCs w:val="24"/>
          <w:highlight w:val="none"/>
          <w:u w:val="single"/>
        </w:rPr>
        <w:t>2022</w:t>
      </w:r>
      <w:r>
        <w:rPr>
          <w:color w:val="auto"/>
          <w:szCs w:val="24"/>
          <w:highlight w:val="none"/>
        </w:rPr>
        <w:t>年</w:t>
      </w:r>
      <w:r>
        <w:rPr>
          <w:rFonts w:hint="default"/>
          <w:color w:val="auto"/>
          <w:szCs w:val="24"/>
          <w:highlight w:val="none"/>
          <w:u w:val="single"/>
          <w:lang w:eastAsia="zh-CN"/>
        </w:rPr>
        <w:t xml:space="preserve">  </w:t>
      </w:r>
      <w:r>
        <w:rPr>
          <w:rFonts w:hint="default"/>
          <w:color w:val="auto"/>
          <w:szCs w:val="24"/>
          <w:highlight w:val="none"/>
          <w:u w:val="single"/>
          <w:lang w:eastAsia="zh-CN"/>
        </w:rPr>
        <w:t>8</w:t>
      </w:r>
      <w:r>
        <w:rPr>
          <w:rFonts w:hint="default"/>
          <w:color w:val="auto"/>
          <w:szCs w:val="24"/>
          <w:highlight w:val="none"/>
          <w:u w:val="single"/>
          <w:lang w:eastAsia="zh-CN"/>
        </w:rPr>
        <w:t xml:space="preserve"> </w:t>
      </w:r>
      <w:r>
        <w:rPr>
          <w:color w:val="auto"/>
          <w:szCs w:val="24"/>
          <w:highlight w:val="none"/>
        </w:rPr>
        <w:t>月</w:t>
      </w:r>
      <w:r>
        <w:rPr>
          <w:rFonts w:hint="default"/>
          <w:color w:val="auto"/>
          <w:szCs w:val="24"/>
          <w:highlight w:val="none"/>
          <w:u w:val="single"/>
          <w:lang w:eastAsia="zh-CN"/>
        </w:rPr>
        <w:t xml:space="preserve"> </w:t>
      </w:r>
      <w:r>
        <w:rPr>
          <w:rFonts w:hint="default"/>
          <w:color w:val="auto"/>
          <w:szCs w:val="24"/>
          <w:highlight w:val="none"/>
          <w:u w:val="single"/>
          <w:lang w:eastAsia="zh-CN"/>
        </w:rPr>
        <w:t>11</w:t>
      </w:r>
      <w:r>
        <w:rPr>
          <w:rFonts w:hint="default"/>
          <w:color w:val="auto"/>
          <w:szCs w:val="24"/>
          <w:highlight w:val="none"/>
          <w:u w:val="single"/>
          <w:lang w:eastAsia="zh-CN"/>
        </w:rPr>
        <w:t xml:space="preserve"> </w:t>
      </w:r>
      <w:r>
        <w:rPr>
          <w:color w:val="auto"/>
          <w:szCs w:val="24"/>
          <w:highlight w:val="none"/>
        </w:rPr>
        <w:t>日</w:t>
      </w:r>
      <w:r>
        <w:rPr>
          <w:color w:val="auto"/>
          <w:szCs w:val="24"/>
          <w:highlight w:val="none"/>
          <w:u w:val="single"/>
        </w:rPr>
        <w:t xml:space="preserve">  </w:t>
      </w:r>
      <w:r>
        <w:rPr>
          <w:rFonts w:hint="eastAsia"/>
          <w:color w:val="auto"/>
          <w:szCs w:val="24"/>
          <w:highlight w:val="none"/>
          <w:u w:val="single"/>
        </w:rPr>
        <w:t>10</w:t>
      </w:r>
      <w:r>
        <w:rPr>
          <w:color w:val="auto"/>
          <w:szCs w:val="24"/>
          <w:highlight w:val="none"/>
        </w:rPr>
        <w:t>时</w:t>
      </w:r>
      <w:r>
        <w:rPr>
          <w:color w:val="auto"/>
          <w:szCs w:val="24"/>
          <w:highlight w:val="none"/>
          <w:u w:val="single"/>
        </w:rPr>
        <w:t xml:space="preserve"> </w:t>
      </w:r>
      <w:r>
        <w:rPr>
          <w:rFonts w:hint="eastAsia"/>
          <w:color w:val="auto"/>
          <w:szCs w:val="24"/>
          <w:highlight w:val="none"/>
          <w:u w:val="single"/>
        </w:rPr>
        <w:t>00</w:t>
      </w:r>
      <w:r>
        <w:rPr>
          <w:color w:val="auto"/>
          <w:szCs w:val="24"/>
          <w:highlight w:val="none"/>
          <w:u w:val="single"/>
        </w:rPr>
        <w:t xml:space="preserve"> </w:t>
      </w:r>
      <w:r>
        <w:rPr>
          <w:color w:val="auto"/>
          <w:szCs w:val="24"/>
          <w:highlight w:val="none"/>
        </w:rPr>
        <w:t>分，地点为广州市天河区天润路333号广州公共资源交易中心。</w:t>
      </w:r>
    </w:p>
    <w:p>
      <w:pPr>
        <w:tabs>
          <w:tab w:val="left" w:pos="360"/>
        </w:tabs>
        <w:spacing w:line="400" w:lineRule="exact"/>
        <w:ind w:firstLine="480" w:firstLineChars="200"/>
        <w:rPr>
          <w:color w:val="auto"/>
          <w:szCs w:val="24"/>
          <w:highlight w:val="none"/>
        </w:rPr>
      </w:pPr>
      <w:r>
        <w:rPr>
          <w:color w:val="auto"/>
          <w:szCs w:val="24"/>
          <w:highlight w:val="none"/>
        </w:rPr>
        <w:t>5.3 逾期送达的或者未送达指定地点的投标文件，招标人不予受理。</w:t>
      </w:r>
    </w:p>
    <w:p>
      <w:pPr>
        <w:pStyle w:val="2"/>
        <w:ind w:left="480"/>
        <w:rPr>
          <w:color w:val="auto"/>
          <w:highlight w:val="none"/>
        </w:rPr>
      </w:pPr>
    </w:p>
    <w:p>
      <w:pPr>
        <w:topLinePunct/>
        <w:adjustRightInd/>
        <w:spacing w:line="360" w:lineRule="auto"/>
        <w:rPr>
          <w:b/>
          <w:color w:val="auto"/>
          <w:sz w:val="28"/>
          <w:szCs w:val="28"/>
          <w:highlight w:val="none"/>
        </w:rPr>
      </w:pPr>
      <w:r>
        <w:rPr>
          <w:rFonts w:hint="eastAsia"/>
          <w:b/>
          <w:color w:val="auto"/>
          <w:sz w:val="28"/>
          <w:szCs w:val="28"/>
          <w:highlight w:val="none"/>
        </w:rPr>
        <w:t>6</w:t>
      </w:r>
      <w:r>
        <w:rPr>
          <w:b/>
          <w:color w:val="auto"/>
          <w:sz w:val="28"/>
          <w:szCs w:val="28"/>
          <w:highlight w:val="none"/>
        </w:rPr>
        <w:t>.发布公告的媒介</w:t>
      </w:r>
    </w:p>
    <w:p>
      <w:pPr>
        <w:autoSpaceDE w:val="0"/>
        <w:autoSpaceDN w:val="0"/>
        <w:snapToGrid w:val="0"/>
        <w:spacing w:line="400" w:lineRule="exact"/>
        <w:ind w:firstLine="476" w:firstLineChars="200"/>
        <w:rPr>
          <w:color w:val="auto"/>
          <w:spacing w:val="-1"/>
          <w:szCs w:val="21"/>
          <w:highlight w:val="none"/>
        </w:rPr>
      </w:pPr>
      <w:r>
        <w:rPr>
          <w:color w:val="auto"/>
          <w:spacing w:val="-1"/>
          <w:szCs w:val="21"/>
          <w:highlight w:val="none"/>
        </w:rPr>
        <w:t>本次招标公告同时在广东省招标投标监管网、广州公共资源交易中心网站（</w:t>
      </w:r>
      <w:r>
        <w:rPr>
          <w:rFonts w:hint="eastAsia"/>
          <w:color w:val="auto"/>
          <w:spacing w:val="-1"/>
          <w:szCs w:val="21"/>
          <w:highlight w:val="none"/>
        </w:rPr>
        <w:t>http://www.gzggzy.cn</w:t>
      </w:r>
      <w:r>
        <w:rPr>
          <w:color w:val="auto"/>
          <w:spacing w:val="-1"/>
          <w:szCs w:val="21"/>
          <w:highlight w:val="none"/>
        </w:rPr>
        <w:t>）上发布。</w:t>
      </w:r>
    </w:p>
    <w:p>
      <w:pPr>
        <w:autoSpaceDE w:val="0"/>
        <w:autoSpaceDN w:val="0"/>
        <w:snapToGrid w:val="0"/>
        <w:spacing w:line="400" w:lineRule="exact"/>
        <w:ind w:firstLine="714" w:firstLineChars="300"/>
        <w:rPr>
          <w:color w:val="auto"/>
          <w:spacing w:val="-1"/>
          <w:szCs w:val="21"/>
          <w:highlight w:val="none"/>
        </w:rPr>
      </w:pPr>
    </w:p>
    <w:p>
      <w:pPr>
        <w:topLinePunct/>
        <w:adjustRightInd/>
        <w:spacing w:line="360" w:lineRule="auto"/>
        <w:rPr>
          <w:b/>
          <w:color w:val="auto"/>
          <w:sz w:val="28"/>
          <w:szCs w:val="28"/>
          <w:highlight w:val="none"/>
        </w:rPr>
      </w:pPr>
      <w:r>
        <w:rPr>
          <w:rFonts w:hint="eastAsia"/>
          <w:b/>
          <w:color w:val="auto"/>
          <w:sz w:val="28"/>
          <w:szCs w:val="28"/>
          <w:highlight w:val="none"/>
        </w:rPr>
        <w:t>7</w:t>
      </w:r>
      <w:r>
        <w:rPr>
          <w:b/>
          <w:color w:val="auto"/>
          <w:sz w:val="28"/>
          <w:szCs w:val="28"/>
          <w:highlight w:val="none"/>
        </w:rPr>
        <w:t>. 其他说明事项</w:t>
      </w:r>
    </w:p>
    <w:p>
      <w:pPr>
        <w:autoSpaceDE w:val="0"/>
        <w:autoSpaceDN w:val="0"/>
        <w:snapToGrid w:val="0"/>
        <w:spacing w:line="400" w:lineRule="exact"/>
        <w:ind w:firstLine="480" w:firstLineChars="200"/>
        <w:rPr>
          <w:color w:val="auto"/>
          <w:szCs w:val="21"/>
          <w:highlight w:val="none"/>
        </w:rPr>
      </w:pPr>
      <w:r>
        <w:rPr>
          <w:color w:val="auto"/>
          <w:szCs w:val="21"/>
          <w:highlight w:val="none"/>
        </w:rPr>
        <w:t>投标人购买了招标文件因故不能参加投标的，应当最迟于开标前一天书面函告招标人。</w:t>
      </w:r>
    </w:p>
    <w:p>
      <w:pPr>
        <w:snapToGrid w:val="0"/>
        <w:spacing w:line="400" w:lineRule="exact"/>
        <w:ind w:firstLine="480" w:firstLineChars="200"/>
        <w:rPr>
          <w:color w:val="auto"/>
          <w:szCs w:val="24"/>
          <w:highlight w:val="none"/>
        </w:rPr>
      </w:pPr>
    </w:p>
    <w:p>
      <w:pPr>
        <w:pStyle w:val="2"/>
        <w:rPr>
          <w:color w:val="auto"/>
          <w:szCs w:val="24"/>
          <w:highlight w:val="none"/>
        </w:rPr>
      </w:pPr>
    </w:p>
    <w:p>
      <w:pPr>
        <w:pStyle w:val="2"/>
        <w:rPr>
          <w:color w:val="auto"/>
          <w:szCs w:val="24"/>
          <w:highlight w:val="none"/>
        </w:rPr>
      </w:pPr>
    </w:p>
    <w:p>
      <w:pPr>
        <w:topLinePunct/>
        <w:adjustRightInd/>
        <w:spacing w:line="360" w:lineRule="auto"/>
        <w:rPr>
          <w:b/>
          <w:color w:val="auto"/>
          <w:sz w:val="28"/>
          <w:szCs w:val="28"/>
          <w:highlight w:val="none"/>
        </w:rPr>
      </w:pPr>
      <w:r>
        <w:rPr>
          <w:rFonts w:hint="eastAsia"/>
          <w:b/>
          <w:color w:val="auto"/>
          <w:sz w:val="28"/>
          <w:szCs w:val="28"/>
          <w:highlight w:val="none"/>
        </w:rPr>
        <w:t>8</w:t>
      </w:r>
      <w:r>
        <w:rPr>
          <w:b/>
          <w:color w:val="auto"/>
          <w:sz w:val="28"/>
          <w:szCs w:val="28"/>
          <w:highlight w:val="none"/>
        </w:rPr>
        <w:t xml:space="preserve">. 联系方式 </w:t>
      </w:r>
    </w:p>
    <w:tbl>
      <w:tblPr>
        <w:tblStyle w:val="5"/>
        <w:tblW w:w="0" w:type="auto"/>
        <w:tblInd w:w="0" w:type="dxa"/>
        <w:tblLayout w:type="fixed"/>
        <w:tblCellMar>
          <w:top w:w="0" w:type="dxa"/>
          <w:left w:w="108" w:type="dxa"/>
          <w:bottom w:w="0" w:type="dxa"/>
          <w:right w:w="108" w:type="dxa"/>
        </w:tblCellMar>
      </w:tblPr>
      <w:tblGrid>
        <w:gridCol w:w="4208"/>
        <w:gridCol w:w="4314"/>
      </w:tblGrid>
      <w:tr>
        <w:trPr>
          <w:trHeight w:val="1833" w:hRule="atLeast"/>
        </w:trPr>
        <w:tc>
          <w:tcPr>
            <w:tcW w:w="4208" w:type="dxa"/>
            <w:noWrap w:val="0"/>
            <w:vAlign w:val="top"/>
          </w:tcPr>
          <w:p>
            <w:pPr>
              <w:autoSpaceDE w:val="0"/>
              <w:autoSpaceDN w:val="0"/>
              <w:snapToGrid w:val="0"/>
              <w:spacing w:line="400" w:lineRule="exact"/>
              <w:rPr>
                <w:rFonts w:hint="eastAsia"/>
                <w:color w:val="auto"/>
                <w:spacing w:val="-1"/>
                <w:kern w:val="0"/>
                <w:szCs w:val="21"/>
                <w:highlight w:val="none"/>
              </w:rPr>
            </w:pPr>
            <w:r>
              <w:rPr>
                <w:rFonts w:hint="eastAsia"/>
                <w:color w:val="auto"/>
                <w:spacing w:val="-1"/>
                <w:kern w:val="0"/>
                <w:szCs w:val="21"/>
                <w:highlight w:val="none"/>
              </w:rPr>
              <w:t>招 标 人：化州市地方公路建设管理处</w:t>
            </w:r>
          </w:p>
          <w:p>
            <w:pPr>
              <w:autoSpaceDE w:val="0"/>
              <w:autoSpaceDN w:val="0"/>
              <w:snapToGrid w:val="0"/>
              <w:spacing w:line="400" w:lineRule="exact"/>
              <w:rPr>
                <w:rFonts w:hint="eastAsia"/>
                <w:color w:val="auto"/>
                <w:spacing w:val="-1"/>
                <w:kern w:val="0"/>
                <w:szCs w:val="21"/>
                <w:highlight w:val="none"/>
              </w:rPr>
            </w:pPr>
            <w:r>
              <w:rPr>
                <w:rFonts w:hint="eastAsia"/>
                <w:color w:val="auto"/>
                <w:spacing w:val="-1"/>
                <w:kern w:val="0"/>
                <w:szCs w:val="21"/>
                <w:highlight w:val="none"/>
              </w:rPr>
              <w:t>地    址：广东省茂名市化州市北京东四路交通运输局大院</w:t>
            </w:r>
          </w:p>
          <w:p>
            <w:pPr>
              <w:autoSpaceDE w:val="0"/>
              <w:autoSpaceDN w:val="0"/>
              <w:snapToGrid w:val="0"/>
              <w:spacing w:line="400" w:lineRule="exact"/>
              <w:rPr>
                <w:rFonts w:hint="eastAsia"/>
                <w:color w:val="auto"/>
                <w:spacing w:val="-1"/>
                <w:kern w:val="0"/>
                <w:szCs w:val="21"/>
                <w:highlight w:val="none"/>
              </w:rPr>
            </w:pPr>
            <w:r>
              <w:rPr>
                <w:rFonts w:hint="eastAsia"/>
                <w:color w:val="auto"/>
                <w:spacing w:val="-1"/>
                <w:kern w:val="0"/>
                <w:szCs w:val="21"/>
                <w:highlight w:val="none"/>
              </w:rPr>
              <w:t>电    话： 0668-7370831</w:t>
            </w:r>
          </w:p>
          <w:p>
            <w:pPr>
              <w:snapToGrid w:val="0"/>
              <w:spacing w:line="400" w:lineRule="exact"/>
              <w:rPr>
                <w:rFonts w:ascii="Times New Roman" w:hAnsi="Times New Roman"/>
                <w:color w:val="auto"/>
                <w:szCs w:val="24"/>
                <w:highlight w:val="none"/>
              </w:rPr>
            </w:pPr>
            <w:r>
              <w:rPr>
                <w:rFonts w:hint="eastAsia"/>
                <w:color w:val="auto"/>
                <w:spacing w:val="-1"/>
                <w:kern w:val="0"/>
                <w:szCs w:val="21"/>
                <w:highlight w:val="none"/>
              </w:rPr>
              <w:t>联 系 人：陈工</w:t>
            </w:r>
          </w:p>
        </w:tc>
        <w:tc>
          <w:tcPr>
            <w:tcW w:w="4314" w:type="dxa"/>
            <w:noWrap w:val="0"/>
            <w:vAlign w:val="top"/>
          </w:tcPr>
          <w:p>
            <w:pPr>
              <w:autoSpaceDE w:val="0"/>
              <w:autoSpaceDN w:val="0"/>
              <w:snapToGrid w:val="0"/>
              <w:spacing w:line="400" w:lineRule="exact"/>
              <w:rPr>
                <w:rFonts w:ascii="Times New Roman" w:hAnsi="Times New Roman"/>
                <w:color w:val="auto"/>
                <w:spacing w:val="-1"/>
                <w:kern w:val="0"/>
                <w:szCs w:val="24"/>
                <w:highlight w:val="none"/>
              </w:rPr>
            </w:pPr>
            <w:r>
              <w:rPr>
                <w:rFonts w:ascii="Times New Roman"/>
                <w:color w:val="auto"/>
                <w:spacing w:val="-1"/>
                <w:kern w:val="0"/>
                <w:szCs w:val="24"/>
                <w:highlight w:val="none"/>
              </w:rPr>
              <w:t>招标代理：华杰工程咨询有限公司</w:t>
            </w:r>
          </w:p>
          <w:p>
            <w:pPr>
              <w:autoSpaceDE w:val="0"/>
              <w:autoSpaceDN w:val="0"/>
              <w:snapToGrid w:val="0"/>
              <w:spacing w:line="400" w:lineRule="exact"/>
              <w:rPr>
                <w:rFonts w:ascii="Times New Roman" w:hAnsi="Times New Roman"/>
                <w:color w:val="auto"/>
                <w:spacing w:val="-1"/>
                <w:kern w:val="0"/>
                <w:szCs w:val="24"/>
                <w:highlight w:val="none"/>
              </w:rPr>
            </w:pPr>
            <w:r>
              <w:rPr>
                <w:rFonts w:ascii="Times New Roman"/>
                <w:color w:val="auto"/>
                <w:spacing w:val="-1"/>
                <w:kern w:val="0"/>
                <w:szCs w:val="24"/>
                <w:highlight w:val="none"/>
              </w:rPr>
              <w:t>广东分公司地址：佛山市禅城区祖庙路</w:t>
            </w:r>
            <w:r>
              <w:rPr>
                <w:rFonts w:ascii="Times New Roman" w:hAnsi="Times New Roman"/>
                <w:color w:val="auto"/>
                <w:spacing w:val="-1"/>
                <w:kern w:val="0"/>
                <w:szCs w:val="24"/>
                <w:highlight w:val="none"/>
              </w:rPr>
              <w:t>46</w:t>
            </w:r>
            <w:r>
              <w:rPr>
                <w:rFonts w:ascii="Times New Roman"/>
                <w:color w:val="auto"/>
                <w:spacing w:val="-1"/>
                <w:kern w:val="0"/>
                <w:szCs w:val="24"/>
                <w:highlight w:val="none"/>
              </w:rPr>
              <w:t>号华辉大厦</w:t>
            </w:r>
            <w:r>
              <w:rPr>
                <w:rFonts w:ascii="Times New Roman" w:hAnsi="Times New Roman"/>
                <w:color w:val="auto"/>
                <w:spacing w:val="-1"/>
                <w:kern w:val="0"/>
                <w:szCs w:val="24"/>
                <w:highlight w:val="none"/>
              </w:rPr>
              <w:t>2304</w:t>
            </w:r>
            <w:r>
              <w:rPr>
                <w:rFonts w:ascii="Times New Roman"/>
                <w:color w:val="auto"/>
                <w:spacing w:val="-1"/>
                <w:kern w:val="0"/>
                <w:szCs w:val="24"/>
                <w:highlight w:val="none"/>
              </w:rPr>
              <w:t>室</w:t>
            </w:r>
          </w:p>
          <w:p>
            <w:pPr>
              <w:autoSpaceDE w:val="0"/>
              <w:autoSpaceDN w:val="0"/>
              <w:snapToGrid w:val="0"/>
              <w:spacing w:line="400" w:lineRule="exact"/>
              <w:rPr>
                <w:rFonts w:ascii="Times New Roman" w:hAnsi="Times New Roman"/>
                <w:color w:val="auto"/>
                <w:spacing w:val="-1"/>
                <w:kern w:val="0"/>
                <w:szCs w:val="24"/>
                <w:highlight w:val="none"/>
              </w:rPr>
            </w:pPr>
            <w:r>
              <w:rPr>
                <w:rFonts w:ascii="Times New Roman"/>
                <w:color w:val="auto"/>
                <w:spacing w:val="-1"/>
                <w:kern w:val="0"/>
                <w:szCs w:val="24"/>
                <w:highlight w:val="none"/>
              </w:rPr>
              <w:t>邮</w:t>
            </w:r>
            <w:r>
              <w:rPr>
                <w:rFonts w:ascii="Times New Roman" w:hAnsi="Times New Roman"/>
                <w:color w:val="auto"/>
                <w:spacing w:val="-1"/>
                <w:kern w:val="0"/>
                <w:szCs w:val="24"/>
                <w:highlight w:val="none"/>
              </w:rPr>
              <w:t xml:space="preserve">    </w:t>
            </w:r>
            <w:r>
              <w:rPr>
                <w:rFonts w:ascii="Times New Roman"/>
                <w:color w:val="auto"/>
                <w:spacing w:val="-1"/>
                <w:kern w:val="0"/>
                <w:szCs w:val="24"/>
                <w:highlight w:val="none"/>
              </w:rPr>
              <w:t>编：</w:t>
            </w:r>
            <w:r>
              <w:rPr>
                <w:rFonts w:ascii="Times New Roman" w:hAnsi="Times New Roman"/>
                <w:color w:val="auto"/>
                <w:spacing w:val="-1"/>
                <w:kern w:val="0"/>
                <w:szCs w:val="24"/>
                <w:highlight w:val="none"/>
              </w:rPr>
              <w:t>528000</w:t>
            </w:r>
          </w:p>
          <w:p>
            <w:pPr>
              <w:autoSpaceDE w:val="0"/>
              <w:autoSpaceDN w:val="0"/>
              <w:snapToGrid w:val="0"/>
              <w:spacing w:line="400" w:lineRule="exact"/>
              <w:rPr>
                <w:rFonts w:ascii="Times New Roman" w:hAnsi="Times New Roman"/>
                <w:color w:val="auto"/>
                <w:spacing w:val="-1"/>
                <w:kern w:val="0"/>
                <w:szCs w:val="24"/>
                <w:highlight w:val="none"/>
              </w:rPr>
            </w:pPr>
            <w:r>
              <w:rPr>
                <w:rFonts w:ascii="Times New Roman"/>
                <w:color w:val="auto"/>
                <w:spacing w:val="-1"/>
                <w:kern w:val="0"/>
                <w:szCs w:val="24"/>
                <w:highlight w:val="none"/>
              </w:rPr>
              <w:t>电</w:t>
            </w:r>
            <w:r>
              <w:rPr>
                <w:rFonts w:ascii="Times New Roman" w:hAnsi="Times New Roman"/>
                <w:color w:val="auto"/>
                <w:spacing w:val="-1"/>
                <w:kern w:val="0"/>
                <w:szCs w:val="24"/>
                <w:highlight w:val="none"/>
              </w:rPr>
              <w:t xml:space="preserve">    </w:t>
            </w:r>
            <w:r>
              <w:rPr>
                <w:rFonts w:ascii="Times New Roman"/>
                <w:color w:val="auto"/>
                <w:spacing w:val="-1"/>
                <w:kern w:val="0"/>
                <w:szCs w:val="24"/>
                <w:highlight w:val="none"/>
              </w:rPr>
              <w:t>话：</w:t>
            </w:r>
            <w:r>
              <w:rPr>
                <w:rFonts w:ascii="Times New Roman" w:hAnsi="Times New Roman"/>
                <w:color w:val="auto"/>
                <w:spacing w:val="-1"/>
                <w:kern w:val="0"/>
                <w:szCs w:val="24"/>
                <w:highlight w:val="none"/>
              </w:rPr>
              <w:t>0757-82300711</w:t>
            </w:r>
            <w:r>
              <w:rPr>
                <w:rFonts w:ascii="Times New Roman"/>
                <w:color w:val="auto"/>
                <w:spacing w:val="-1"/>
                <w:kern w:val="0"/>
                <w:szCs w:val="24"/>
                <w:highlight w:val="none"/>
              </w:rPr>
              <w:t>、</w:t>
            </w:r>
            <w:r>
              <w:rPr>
                <w:rFonts w:hint="eastAsia" w:ascii="Times New Roman" w:hAnsi="Times New Roman"/>
                <w:color w:val="auto"/>
                <w:spacing w:val="-1"/>
                <w:kern w:val="0"/>
                <w:szCs w:val="24"/>
                <w:highlight w:val="none"/>
              </w:rPr>
              <w:t>15917121372</w:t>
            </w:r>
          </w:p>
          <w:p>
            <w:pPr>
              <w:autoSpaceDE w:val="0"/>
              <w:autoSpaceDN w:val="0"/>
              <w:snapToGrid w:val="0"/>
              <w:spacing w:line="400" w:lineRule="exact"/>
              <w:rPr>
                <w:rFonts w:ascii="Times New Roman" w:hAnsi="Times New Roman"/>
                <w:color w:val="auto"/>
                <w:spacing w:val="-1"/>
                <w:kern w:val="0"/>
                <w:szCs w:val="24"/>
                <w:highlight w:val="none"/>
              </w:rPr>
            </w:pPr>
            <w:r>
              <w:rPr>
                <w:rFonts w:ascii="Times New Roman"/>
                <w:color w:val="auto"/>
                <w:spacing w:val="-1"/>
                <w:kern w:val="0"/>
                <w:szCs w:val="24"/>
                <w:highlight w:val="none"/>
              </w:rPr>
              <w:t>传</w:t>
            </w:r>
            <w:r>
              <w:rPr>
                <w:rFonts w:ascii="Times New Roman" w:hAnsi="Times New Roman"/>
                <w:color w:val="auto"/>
                <w:spacing w:val="-1"/>
                <w:kern w:val="0"/>
                <w:szCs w:val="24"/>
                <w:highlight w:val="none"/>
              </w:rPr>
              <w:t xml:space="preserve">    </w:t>
            </w:r>
            <w:r>
              <w:rPr>
                <w:rFonts w:ascii="Times New Roman"/>
                <w:color w:val="auto"/>
                <w:spacing w:val="-1"/>
                <w:kern w:val="0"/>
                <w:szCs w:val="24"/>
                <w:highlight w:val="none"/>
              </w:rPr>
              <w:t>真：</w:t>
            </w:r>
            <w:r>
              <w:rPr>
                <w:rFonts w:ascii="Times New Roman" w:hAnsi="Times New Roman"/>
                <w:color w:val="auto"/>
                <w:spacing w:val="-1"/>
                <w:kern w:val="0"/>
                <w:szCs w:val="24"/>
                <w:highlight w:val="none"/>
              </w:rPr>
              <w:t>0757-82300722</w:t>
            </w:r>
          </w:p>
          <w:p>
            <w:pPr>
              <w:autoSpaceDE w:val="0"/>
              <w:autoSpaceDN w:val="0"/>
              <w:snapToGrid w:val="0"/>
              <w:spacing w:line="400" w:lineRule="exact"/>
              <w:rPr>
                <w:rFonts w:ascii="Times New Roman" w:hAnsi="Times New Roman"/>
                <w:color w:val="auto"/>
                <w:spacing w:val="-1"/>
                <w:kern w:val="0"/>
                <w:szCs w:val="24"/>
                <w:highlight w:val="none"/>
              </w:rPr>
            </w:pPr>
            <w:r>
              <w:rPr>
                <w:rFonts w:ascii="Times New Roman"/>
                <w:color w:val="auto"/>
                <w:spacing w:val="-1"/>
                <w:kern w:val="0"/>
                <w:szCs w:val="24"/>
                <w:highlight w:val="none"/>
              </w:rPr>
              <w:t>联</w:t>
            </w:r>
            <w:r>
              <w:rPr>
                <w:rFonts w:ascii="Times New Roman" w:hAnsi="Times New Roman"/>
                <w:color w:val="auto"/>
                <w:spacing w:val="-1"/>
                <w:kern w:val="0"/>
                <w:szCs w:val="24"/>
                <w:highlight w:val="none"/>
              </w:rPr>
              <w:t xml:space="preserve"> </w:t>
            </w:r>
            <w:r>
              <w:rPr>
                <w:rFonts w:ascii="Times New Roman"/>
                <w:color w:val="auto"/>
                <w:spacing w:val="-1"/>
                <w:kern w:val="0"/>
                <w:szCs w:val="24"/>
                <w:highlight w:val="none"/>
              </w:rPr>
              <w:t>系</w:t>
            </w:r>
            <w:r>
              <w:rPr>
                <w:rFonts w:ascii="Times New Roman" w:hAnsi="Times New Roman"/>
                <w:color w:val="auto"/>
                <w:spacing w:val="-1"/>
                <w:kern w:val="0"/>
                <w:szCs w:val="24"/>
                <w:highlight w:val="none"/>
              </w:rPr>
              <w:t xml:space="preserve"> </w:t>
            </w:r>
            <w:r>
              <w:rPr>
                <w:rFonts w:ascii="Times New Roman"/>
                <w:color w:val="auto"/>
                <w:spacing w:val="-1"/>
                <w:kern w:val="0"/>
                <w:szCs w:val="24"/>
                <w:highlight w:val="none"/>
              </w:rPr>
              <w:t>人：</w:t>
            </w:r>
            <w:r>
              <w:rPr>
                <w:rFonts w:hint="eastAsia" w:ascii="Times New Roman"/>
                <w:color w:val="auto"/>
                <w:spacing w:val="-1"/>
                <w:kern w:val="0"/>
                <w:szCs w:val="24"/>
                <w:highlight w:val="none"/>
              </w:rPr>
              <w:t>柯</w:t>
            </w:r>
            <w:r>
              <w:rPr>
                <w:rFonts w:ascii="Times New Roman"/>
                <w:color w:val="auto"/>
                <w:spacing w:val="-1"/>
                <w:kern w:val="0"/>
                <w:szCs w:val="24"/>
                <w:highlight w:val="none"/>
              </w:rPr>
              <w:t>工</w:t>
            </w:r>
          </w:p>
          <w:p>
            <w:pPr>
              <w:tabs>
                <w:tab w:val="left" w:pos="1140"/>
                <w:tab w:val="left" w:pos="1660"/>
                <w:tab w:val="left" w:pos="2500"/>
                <w:tab w:val="left" w:pos="3040"/>
                <w:tab w:val="left" w:pos="5720"/>
                <w:tab w:val="left" w:pos="6260"/>
                <w:tab w:val="left" w:pos="6880"/>
                <w:tab w:val="left" w:pos="7400"/>
              </w:tabs>
              <w:wordWrap w:val="0"/>
              <w:autoSpaceDE w:val="0"/>
              <w:autoSpaceDN w:val="0"/>
              <w:snapToGrid w:val="0"/>
              <w:spacing w:before="35" w:line="400" w:lineRule="exact"/>
              <w:ind w:right="320"/>
              <w:jc w:val="right"/>
              <w:rPr>
                <w:rFonts w:ascii="Times New Roman" w:hAnsi="Times New Roman"/>
                <w:color w:val="auto"/>
                <w:kern w:val="0"/>
                <w:szCs w:val="24"/>
                <w:highlight w:val="none"/>
                <w:u w:val="single"/>
              </w:rPr>
            </w:pPr>
            <w:r>
              <w:rPr>
                <w:rFonts w:hint="default" w:ascii="Times New Roman" w:hAnsi="Times New Roman"/>
                <w:color w:val="auto"/>
                <w:kern w:val="0"/>
                <w:szCs w:val="24"/>
                <w:highlight w:val="none"/>
                <w:u w:val="single"/>
              </w:rPr>
              <w:t>2022</w:t>
            </w:r>
            <w:r>
              <w:rPr>
                <w:rFonts w:ascii="Times New Roman"/>
                <w:color w:val="auto"/>
                <w:kern w:val="0"/>
                <w:szCs w:val="24"/>
                <w:highlight w:val="none"/>
                <w:u w:val="single"/>
              </w:rPr>
              <w:t>年</w:t>
            </w:r>
            <w:r>
              <w:rPr>
                <w:rFonts w:hint="eastAsia" w:ascii="Times New Roman" w:hAnsi="Times New Roman"/>
                <w:color w:val="auto"/>
                <w:kern w:val="0"/>
                <w:szCs w:val="24"/>
                <w:highlight w:val="none"/>
                <w:u w:val="single"/>
              </w:rPr>
              <w:t xml:space="preserve"> </w:t>
            </w:r>
            <w:r>
              <w:rPr>
                <w:rFonts w:hint="default"/>
                <w:color w:val="auto"/>
                <w:kern w:val="0"/>
                <w:szCs w:val="24"/>
                <w:highlight w:val="none"/>
                <w:u w:val="single"/>
                <w:lang w:eastAsia="zh-CN"/>
              </w:rPr>
              <w:t>7</w:t>
            </w:r>
            <w:r>
              <w:rPr>
                <w:rFonts w:hint="eastAsia" w:ascii="Times New Roman" w:hAnsi="Times New Roman"/>
                <w:color w:val="auto"/>
                <w:kern w:val="0"/>
                <w:szCs w:val="24"/>
                <w:highlight w:val="none"/>
                <w:u w:val="single"/>
              </w:rPr>
              <w:t xml:space="preserve"> </w:t>
            </w:r>
            <w:r>
              <w:rPr>
                <w:rFonts w:ascii="Times New Roman"/>
                <w:color w:val="auto"/>
                <w:kern w:val="0"/>
                <w:szCs w:val="24"/>
                <w:highlight w:val="none"/>
                <w:u w:val="single"/>
              </w:rPr>
              <w:t>月</w:t>
            </w:r>
            <w:r>
              <w:rPr>
                <w:rFonts w:hint="eastAsia" w:ascii="Times New Roman" w:hAnsi="Times New Roman"/>
                <w:color w:val="auto"/>
                <w:kern w:val="0"/>
                <w:szCs w:val="24"/>
                <w:highlight w:val="none"/>
                <w:u w:val="single"/>
              </w:rPr>
              <w:t xml:space="preserve"> </w:t>
            </w:r>
            <w:r>
              <w:rPr>
                <w:rFonts w:hint="default"/>
                <w:color w:val="auto"/>
                <w:kern w:val="0"/>
                <w:szCs w:val="24"/>
                <w:highlight w:val="none"/>
                <w:u w:val="single"/>
                <w:lang w:eastAsia="zh-CN"/>
              </w:rPr>
              <w:t>19</w:t>
            </w:r>
            <w:bookmarkStart w:id="3" w:name="_GoBack"/>
            <w:bookmarkEnd w:id="3"/>
            <w:r>
              <w:rPr>
                <w:rFonts w:ascii="Times New Roman"/>
                <w:color w:val="auto"/>
                <w:kern w:val="0"/>
                <w:szCs w:val="24"/>
                <w:highlight w:val="none"/>
                <w:u w:val="single"/>
              </w:rPr>
              <w:t>日</w:t>
            </w:r>
          </w:p>
        </w:tc>
      </w:tr>
    </w:tbl>
    <w:p>
      <w:pPr>
        <w:autoSpaceDE w:val="0"/>
        <w:autoSpaceDN w:val="0"/>
        <w:snapToGrid w:val="0"/>
        <w:spacing w:line="400" w:lineRule="exact"/>
        <w:rPr>
          <w:color w:val="auto"/>
          <w:spacing w:val="-1"/>
          <w:szCs w:val="21"/>
          <w:highlight w:val="none"/>
        </w:rPr>
      </w:pPr>
      <w:r>
        <w:rPr>
          <w:color w:val="auto"/>
          <w:spacing w:val="-1"/>
          <w:szCs w:val="21"/>
          <w:highlight w:val="none"/>
        </w:rPr>
        <w:t>招标公告附件：</w:t>
      </w:r>
    </w:p>
    <w:p>
      <w:pPr>
        <w:autoSpaceDE w:val="0"/>
        <w:autoSpaceDN w:val="0"/>
        <w:snapToGrid w:val="0"/>
        <w:spacing w:line="400" w:lineRule="exact"/>
        <w:rPr>
          <w:color w:val="auto"/>
          <w:spacing w:val="-1"/>
          <w:szCs w:val="21"/>
          <w:highlight w:val="none"/>
        </w:rPr>
      </w:pPr>
      <w:r>
        <w:rPr>
          <w:color w:val="auto"/>
          <w:spacing w:val="-1"/>
          <w:szCs w:val="21"/>
          <w:highlight w:val="none"/>
        </w:rPr>
        <w:t>附件</w:t>
      </w:r>
      <w:r>
        <w:rPr>
          <w:rFonts w:hint="eastAsia"/>
          <w:color w:val="auto"/>
          <w:spacing w:val="-1"/>
          <w:szCs w:val="21"/>
          <w:highlight w:val="none"/>
        </w:rPr>
        <w:t>1</w:t>
      </w:r>
      <w:r>
        <w:rPr>
          <w:color w:val="auto"/>
          <w:spacing w:val="-1"/>
          <w:szCs w:val="21"/>
          <w:highlight w:val="none"/>
        </w:rPr>
        <w:t>：资格审查条件</w:t>
      </w:r>
      <w:r>
        <w:rPr>
          <w:rFonts w:hint="eastAsia"/>
          <w:color w:val="auto"/>
          <w:spacing w:val="-1"/>
          <w:szCs w:val="21"/>
          <w:highlight w:val="none"/>
        </w:rPr>
        <w:t>；</w:t>
      </w:r>
    </w:p>
    <w:p>
      <w:pPr>
        <w:autoSpaceDE w:val="0"/>
        <w:autoSpaceDN w:val="0"/>
        <w:snapToGrid w:val="0"/>
        <w:spacing w:line="400" w:lineRule="exact"/>
        <w:rPr>
          <w:color w:val="auto"/>
          <w:spacing w:val="-1"/>
          <w:szCs w:val="21"/>
          <w:highlight w:val="none"/>
        </w:rPr>
      </w:pPr>
      <w:r>
        <w:rPr>
          <w:color w:val="auto"/>
          <w:spacing w:val="-1"/>
          <w:szCs w:val="21"/>
          <w:highlight w:val="none"/>
        </w:rPr>
        <w:t>附件</w:t>
      </w:r>
      <w:r>
        <w:rPr>
          <w:rFonts w:hint="eastAsia"/>
          <w:color w:val="auto"/>
          <w:spacing w:val="-1"/>
          <w:szCs w:val="21"/>
          <w:highlight w:val="none"/>
        </w:rPr>
        <w:t>2</w:t>
      </w:r>
      <w:r>
        <w:rPr>
          <w:color w:val="auto"/>
          <w:spacing w:val="-1"/>
          <w:szCs w:val="21"/>
          <w:highlight w:val="none"/>
        </w:rPr>
        <w:t>：评标办法</w:t>
      </w:r>
      <w:r>
        <w:rPr>
          <w:rFonts w:hint="eastAsia"/>
          <w:color w:val="auto"/>
          <w:spacing w:val="-1"/>
          <w:szCs w:val="21"/>
          <w:highlight w:val="none"/>
        </w:rPr>
        <w:t>。</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pPr>
        <w:spacing w:line="240" w:lineRule="auto"/>
      </w:pPr>
      <w:r>
        <w:separator/>
      </w:r>
    </w:p>
  </w:footnote>
  <w:footnote w:type="continuationSeparator" w:id="7">
    <w:p>
      <w:pPr>
        <w:spacing w:line="240" w:lineRule="auto"/>
      </w:pPr>
      <w:r>
        <w:continuationSeparator/>
      </w:r>
    </w:p>
  </w:footnote>
  <w:footnote w:id="0">
    <w:p>
      <w:pPr>
        <w:pStyle w:val="4"/>
        <w:spacing w:line="240" w:lineRule="auto"/>
        <w:ind w:firstLine="0"/>
        <w:rPr>
          <w:rFonts w:hint="eastAsia"/>
        </w:rPr>
      </w:pPr>
      <w:r>
        <w:rPr>
          <w:szCs w:val="18"/>
        </w:rPr>
        <w:footnoteRef/>
      </w:r>
      <w:r>
        <w:rPr>
          <w:rFonts w:hint="eastAsia"/>
        </w:rPr>
        <w:t>单位负责人是指单位的法定代表人或者法律、行政法规规定代表单位行使职权的主要负责人。</w:t>
      </w:r>
    </w:p>
  </w:footnote>
  <w:footnote w:id="1">
    <w:p>
      <w:pPr>
        <w:pStyle w:val="4"/>
        <w:spacing w:line="240" w:lineRule="auto"/>
        <w:ind w:firstLine="0"/>
        <w:rPr>
          <w:rFonts w:hint="eastAsia"/>
        </w:rPr>
      </w:pPr>
      <w:r>
        <w:rPr>
          <w:rStyle w:val="7"/>
          <w:vertAlign w:val="baseline"/>
        </w:rPr>
        <w:footnoteRef/>
      </w:r>
      <w:r>
        <w:rPr>
          <w:rFonts w:hint="eastAsia"/>
        </w:rPr>
        <w:t>控股是指股份占股份有限公司股本总额的50%以上的绝对控股、相对控股或协议控股。</w:t>
      </w:r>
    </w:p>
  </w:footnote>
  <w:footnote w:id="2">
    <w:p>
      <w:pPr>
        <w:pStyle w:val="4"/>
        <w:spacing w:line="240" w:lineRule="auto"/>
        <w:ind w:firstLine="0"/>
        <w:rPr>
          <w:rFonts w:hint="eastAsia"/>
        </w:rPr>
      </w:pPr>
      <w:r>
        <w:footnoteRef/>
      </w:r>
      <w:r>
        <w:rPr>
          <w:rFonts w:hint="eastAsia"/>
        </w:rPr>
        <w:t>管理关系是指不具有出资持股关系的其它单位之间存在的管理与被管理关系。</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6"/>
    <w:footnote w:id="7"/>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EFDF852"/>
    <w:rsid w:val="967D2326"/>
    <w:rsid w:val="DEFDF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tabs>
        <w:tab w:val="left" w:pos="1275"/>
      </w:tabs>
      <w:autoSpaceDE/>
      <w:autoSpaceDN/>
      <w:ind w:firstLine="420" w:firstLineChars="200"/>
    </w:pPr>
    <w:rPr>
      <w:rFonts w:ascii="Times New Roman" w:hAnsi="Times New Roman"/>
      <w:sz w:val="21"/>
      <w:szCs w:val="24"/>
    </w:rPr>
  </w:style>
  <w:style w:type="paragraph" w:styleId="3">
    <w:name w:val="Body Text Indent"/>
    <w:basedOn w:val="1"/>
    <w:qFormat/>
    <w:uiPriority w:val="0"/>
    <w:pPr>
      <w:spacing w:after="120" w:afterLines="0"/>
      <w:ind w:left="420" w:leftChars="200"/>
    </w:pPr>
    <w:rPr>
      <w:rFonts w:ascii="Times New Roman" w:hAnsi="Times New Roman"/>
      <w:sz w:val="20"/>
      <w:szCs w:val="24"/>
    </w:rPr>
  </w:style>
  <w:style w:type="paragraph" w:styleId="4">
    <w:name w:val="footnote text"/>
    <w:basedOn w:val="1"/>
    <w:qFormat/>
    <w:uiPriority w:val="0"/>
    <w:pPr>
      <w:adjustRightInd w:val="0"/>
      <w:snapToGrid w:val="0"/>
      <w:spacing w:line="420" w:lineRule="atLeast"/>
      <w:ind w:firstLine="454"/>
      <w:jc w:val="left"/>
      <w:textAlignment w:val="baseline"/>
    </w:pPr>
    <w:rPr>
      <w:rFonts w:ascii="Times New Roman" w:hAnsi="Times New Roman"/>
      <w:sz w:val="18"/>
    </w:rPr>
  </w:style>
  <w:style w:type="character" w:styleId="7">
    <w:name w:val="footnote reference"/>
    <w:qFormat/>
    <w:uiPriority w:val="0"/>
    <w:rPr>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Office_4.3.0.7280_F1E327BC-269C-435d-A152-05C5408002CA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2022-07-18T03:19:00Z</dcterms:created>
  <dc:creator>    信者＂</dc:creator>
  <cp:lastModifiedBy>    信者＂</cp:lastModifiedBy>
  <dcterms:modified xsi:type="dcterms:W3CDTF">2022-07-18T15:14:36Z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2052-4.3.0.7280</vt:lpwstr>
  </property>
  <property fmtid="{D5CDD505-2E9C-101B-9397-08002B2CF9AE}" pid="3" name="ICV">
    <vt:lpwstr>464580197822DF5327F0D362D662E8EE</vt:lpwstr>
  </property>
</Properties>
</file>