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spacing w:line="360" w:lineRule="auto"/>
        <w:ind w:right="-46" w:rightChars="-22"/>
        <w:jc w:val="center"/>
        <w:rPr>
          <w:rFonts w:hint="eastAsia" w:ascii="仿宋" w:hAnsi="仿宋" w:eastAsia="仿宋" w:cs="仿宋"/>
          <w:b/>
          <w:sz w:val="48"/>
          <w:szCs w:val="40"/>
          <w:highlight w:val="none"/>
          <w:lang w:eastAsia="zh-CN"/>
        </w:rPr>
      </w:pPr>
      <w:r>
        <w:rPr>
          <w:rFonts w:hint="eastAsia" w:ascii="仿宋" w:hAnsi="仿宋" w:eastAsia="仿宋" w:cs="仿宋"/>
          <w:b/>
          <w:sz w:val="48"/>
          <w:szCs w:val="40"/>
          <w:highlight w:val="none"/>
          <w:lang w:eastAsia="zh-CN"/>
        </w:rPr>
        <w:t>汕尾红海湾经济开发区东洲街道美丽</w:t>
      </w:r>
    </w:p>
    <w:p>
      <w:pPr>
        <w:spacing w:line="360" w:lineRule="auto"/>
        <w:ind w:right="-46" w:rightChars="-22"/>
        <w:jc w:val="center"/>
        <w:rPr>
          <w:rFonts w:hint="eastAsia" w:ascii="仿宋" w:hAnsi="仿宋" w:eastAsia="仿宋" w:cs="仿宋"/>
          <w:b/>
          <w:sz w:val="48"/>
          <w:szCs w:val="40"/>
          <w:highlight w:val="none"/>
        </w:rPr>
      </w:pPr>
      <w:r>
        <w:rPr>
          <w:rFonts w:hint="eastAsia" w:ascii="仿宋" w:hAnsi="仿宋" w:eastAsia="仿宋" w:cs="仿宋"/>
          <w:b/>
          <w:sz w:val="48"/>
          <w:szCs w:val="40"/>
          <w:highlight w:val="none"/>
          <w:lang w:eastAsia="zh-CN"/>
        </w:rPr>
        <w:t>圩镇建设项目</w:t>
      </w:r>
      <w:r>
        <w:rPr>
          <w:rFonts w:hint="eastAsia" w:ascii="仿宋" w:hAnsi="仿宋" w:eastAsia="仿宋" w:cs="仿宋"/>
          <w:b/>
          <w:sz w:val="48"/>
          <w:szCs w:val="40"/>
          <w:highlight w:val="none"/>
        </w:rPr>
        <w:t>勘察设计</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spacing w:line="720" w:lineRule="auto"/>
        <w:jc w:val="center"/>
        <w:rPr>
          <w:rFonts w:hint="eastAsia" w:ascii="仿宋" w:hAnsi="仿宋" w:eastAsia="仿宋" w:cs="仿宋"/>
          <w:b/>
          <w:sz w:val="56"/>
          <w:szCs w:val="96"/>
          <w:highlight w:val="none"/>
        </w:rPr>
      </w:pPr>
      <w:r>
        <w:rPr>
          <w:rFonts w:hint="eastAsia" w:ascii="仿宋" w:hAnsi="仿宋" w:eastAsia="仿宋" w:cs="仿宋"/>
          <w:b/>
          <w:sz w:val="56"/>
          <w:szCs w:val="96"/>
          <w:highlight w:val="none"/>
        </w:rPr>
        <w:t>招标文件</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
        <w:tabs>
          <w:tab w:val="left" w:pos="6542"/>
        </w:tabs>
        <w:kinsoku w:val="0"/>
        <w:overflowPunct w:val="0"/>
        <w:spacing w:before="14" w:line="360" w:lineRule="auto"/>
        <w:jc w:val="center"/>
        <w:rPr>
          <w:rFonts w:hint="eastAsia"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招标人:</w:t>
      </w:r>
      <w:r>
        <w:rPr>
          <w:rFonts w:hint="eastAsia" w:ascii="仿宋" w:hAnsi="仿宋" w:eastAsia="仿宋" w:cs="仿宋"/>
          <w:highlight w:val="none"/>
        </w:rPr>
        <w:t xml:space="preserve"> </w:t>
      </w:r>
      <w:r>
        <w:rPr>
          <w:rFonts w:hint="eastAsia" w:ascii="仿宋" w:hAnsi="仿宋" w:eastAsia="仿宋" w:cs="仿宋"/>
          <w:b/>
          <w:bCs/>
          <w:spacing w:val="-1"/>
          <w:sz w:val="28"/>
          <w:szCs w:val="28"/>
          <w:highlight w:val="none"/>
          <w:lang w:eastAsia="zh-CN"/>
        </w:rPr>
        <w:t>广东汕尾红海湾经济开发区东洲街道办事处</w:t>
      </w:r>
      <w:r>
        <w:rPr>
          <w:rFonts w:hint="eastAsia" w:ascii="仿宋" w:hAnsi="仿宋" w:eastAsia="仿宋" w:cs="仿宋"/>
          <w:b/>
          <w:bCs/>
          <w:spacing w:val="-1"/>
          <w:sz w:val="28"/>
          <w:szCs w:val="28"/>
          <w:highlight w:val="none"/>
        </w:rPr>
        <w:t>（盖章）</w:t>
      </w:r>
    </w:p>
    <w:p>
      <w:pPr>
        <w:pStyle w:val="2"/>
        <w:kinsoku w:val="0"/>
        <w:overflowPunct w:val="0"/>
        <w:spacing w:before="4" w:line="360" w:lineRule="auto"/>
        <w:jc w:val="center"/>
        <w:rPr>
          <w:rFonts w:hint="eastAsia" w:ascii="仿宋" w:hAnsi="仿宋" w:eastAsia="仿宋" w:cs="仿宋"/>
          <w:b/>
          <w:bCs/>
          <w:sz w:val="26"/>
          <w:szCs w:val="26"/>
          <w:highlight w:val="none"/>
        </w:rPr>
      </w:pPr>
      <w:r>
        <w:rPr>
          <w:rFonts w:hint="eastAsia" w:ascii="仿宋" w:hAnsi="仿宋" w:eastAsia="仿宋" w:cs="仿宋"/>
          <w:b/>
          <w:bCs/>
          <w:sz w:val="26"/>
          <w:szCs w:val="26"/>
          <w:highlight w:val="none"/>
        </w:rPr>
        <w:t>法定代表人或委托代理人：</w:t>
      </w:r>
      <w:r>
        <w:rPr>
          <w:rFonts w:hint="eastAsia" w:ascii="仿宋" w:hAnsi="仿宋" w:eastAsia="仿宋" w:cs="仿宋"/>
          <w:b/>
          <w:bCs/>
          <w:sz w:val="26"/>
          <w:szCs w:val="26"/>
          <w:highlight w:val="none"/>
          <w:u w:val="single"/>
        </w:rPr>
        <w:t xml:space="preserve">           （签字或签章）</w:t>
      </w:r>
    </w:p>
    <w:p>
      <w:pPr>
        <w:pStyle w:val="2"/>
        <w:tabs>
          <w:tab w:val="left" w:pos="3063"/>
          <w:tab w:val="left" w:pos="7286"/>
        </w:tabs>
        <w:kinsoku w:val="0"/>
        <w:overflowPunct w:val="0"/>
        <w:spacing w:before="14" w:line="360" w:lineRule="auto"/>
        <w:jc w:val="center"/>
        <w:rPr>
          <w:rFonts w:hint="eastAsia" w:ascii="仿宋" w:hAnsi="仿宋" w:eastAsia="仿宋" w:cs="仿宋"/>
          <w:spacing w:val="-1"/>
          <w:sz w:val="28"/>
          <w:szCs w:val="28"/>
          <w:highlight w:val="none"/>
        </w:rPr>
      </w:pPr>
      <w:r>
        <w:rPr>
          <w:rFonts w:hint="eastAsia" w:ascii="仿宋" w:hAnsi="仿宋" w:eastAsia="仿宋" w:cs="仿宋"/>
          <w:b/>
          <w:bCs/>
          <w:spacing w:val="-1"/>
          <w:sz w:val="28"/>
          <w:szCs w:val="28"/>
          <w:highlight w:val="none"/>
        </w:rPr>
        <w:t>招标代理机构:</w:t>
      </w:r>
      <w:r>
        <w:rPr>
          <w:rFonts w:hint="eastAsia" w:ascii="仿宋" w:hAnsi="仿宋" w:eastAsia="仿宋" w:cs="仿宋"/>
          <w:b/>
          <w:bCs/>
          <w:spacing w:val="-1"/>
          <w:sz w:val="28"/>
          <w:szCs w:val="28"/>
          <w:highlight w:val="none"/>
          <w:lang w:eastAsia="zh-CN"/>
        </w:rPr>
        <w:t>广州兴华建设监理有限公司</w:t>
      </w:r>
      <w:r>
        <w:rPr>
          <w:rFonts w:hint="eastAsia" w:ascii="仿宋" w:hAnsi="仿宋" w:eastAsia="仿宋" w:cs="仿宋"/>
          <w:b/>
          <w:bCs/>
          <w:spacing w:val="-1"/>
          <w:sz w:val="28"/>
          <w:szCs w:val="28"/>
          <w:highlight w:val="none"/>
        </w:rPr>
        <w:t>（盖章）</w:t>
      </w:r>
    </w:p>
    <w:p>
      <w:pPr>
        <w:pStyle w:val="2"/>
        <w:kinsoku w:val="0"/>
        <w:overflowPunct w:val="0"/>
        <w:spacing w:line="360" w:lineRule="auto"/>
        <w:jc w:val="center"/>
        <w:rPr>
          <w:rFonts w:hint="eastAsia" w:ascii="仿宋" w:hAnsi="仿宋" w:eastAsia="仿宋" w:cs="仿宋"/>
          <w:b/>
          <w:bCs/>
          <w:sz w:val="20"/>
          <w:szCs w:val="20"/>
          <w:highlight w:val="none"/>
        </w:rPr>
      </w:pPr>
      <w:r>
        <w:rPr>
          <w:rFonts w:hint="eastAsia" w:ascii="仿宋" w:hAnsi="仿宋" w:eastAsia="仿宋" w:cs="仿宋"/>
          <w:b/>
          <w:bCs/>
          <w:sz w:val="26"/>
          <w:szCs w:val="26"/>
          <w:highlight w:val="none"/>
        </w:rPr>
        <w:t>法定代表人或委托代理人：</w:t>
      </w:r>
      <w:r>
        <w:rPr>
          <w:rFonts w:hint="eastAsia" w:ascii="仿宋" w:hAnsi="仿宋" w:eastAsia="仿宋" w:cs="仿宋"/>
          <w:b/>
          <w:bCs/>
          <w:sz w:val="26"/>
          <w:szCs w:val="26"/>
          <w:highlight w:val="none"/>
          <w:u w:val="single"/>
        </w:rPr>
        <w:t xml:space="preserve">           （签字或签章）</w:t>
      </w:r>
    </w:p>
    <w:p>
      <w:pPr>
        <w:pStyle w:val="2"/>
        <w:kinsoku w:val="0"/>
        <w:overflowPunct w:val="0"/>
        <w:jc w:val="center"/>
        <w:rPr>
          <w:rFonts w:hint="eastAsia" w:ascii="仿宋" w:hAnsi="仿宋" w:eastAsia="仿宋" w:cs="仿宋"/>
          <w:b/>
          <w:bCs/>
          <w:sz w:val="20"/>
          <w:szCs w:val="20"/>
          <w:highlight w:val="none"/>
        </w:rPr>
      </w:pPr>
    </w:p>
    <w:p>
      <w:pPr>
        <w:pStyle w:val="2"/>
        <w:tabs>
          <w:tab w:val="left" w:pos="3280"/>
        </w:tabs>
        <w:kinsoku w:val="0"/>
        <w:overflowPunct w:val="0"/>
        <w:jc w:val="center"/>
        <w:rPr>
          <w:rFonts w:hint="eastAsia" w:ascii="仿宋" w:hAnsi="仿宋" w:eastAsia="仿宋" w:cs="仿宋"/>
          <w:highlight w:val="none"/>
        </w:rPr>
      </w:pPr>
      <w:r>
        <w:rPr>
          <w:rFonts w:hint="eastAsia" w:ascii="仿宋" w:hAnsi="仿宋" w:eastAsia="仿宋" w:cs="仿宋"/>
          <w:b/>
          <w:bCs/>
          <w:w w:val="95"/>
          <w:sz w:val="32"/>
          <w:szCs w:val="32"/>
          <w:highlight w:val="none"/>
        </w:rPr>
        <w:t>日</w:t>
      </w:r>
      <w:r>
        <w:rPr>
          <w:rFonts w:hint="eastAsia" w:ascii="仿宋" w:hAnsi="仿宋" w:eastAsia="仿宋" w:cs="仿宋"/>
          <w:b/>
          <w:bCs/>
          <w:sz w:val="32"/>
          <w:szCs w:val="32"/>
          <w:highlight w:val="none"/>
        </w:rPr>
        <w:t>期：2022年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w:t>
      </w:r>
    </w:p>
    <w:p>
      <w:pPr>
        <w:jc w:val="center"/>
        <w:rPr>
          <w:rFonts w:hint="eastAsia" w:ascii="仿宋" w:hAnsi="仿宋" w:eastAsia="仿宋" w:cs="仿宋"/>
          <w:b/>
          <w:sz w:val="32"/>
          <w:szCs w:val="32"/>
          <w:highlight w:val="none"/>
        </w:rPr>
        <w:sectPr>
          <w:headerReference r:id="rId4" w:type="first"/>
          <w:headerReference r:id="rId3" w:type="even"/>
          <w:pgSz w:w="11906" w:h="16838"/>
          <w:pgMar w:top="1440" w:right="1800" w:bottom="1440" w:left="1800" w:header="851" w:footer="992" w:gutter="0"/>
          <w:cols w:space="720" w:num="1"/>
          <w:docGrid w:type="lines" w:linePitch="312" w:charSpace="0"/>
        </w:sectPr>
      </w:pPr>
    </w:p>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目  录</w:t>
      </w:r>
    </w:p>
    <w:p>
      <w:pPr>
        <w:pStyle w:val="26"/>
        <w:tabs>
          <w:tab w:val="right" w:leader="dot" w:pos="8296"/>
        </w:tabs>
        <w:spacing w:line="360" w:lineRule="auto"/>
        <w:jc w:val="distribute"/>
        <w:rPr>
          <w:rFonts w:hint="eastAsia" w:ascii="仿宋" w:hAnsi="仿宋" w:eastAsia="仿宋" w:cs="仿宋"/>
          <w:b/>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TOC \o "1-1" \h \z \u </w:instrText>
      </w:r>
      <w:r>
        <w:rPr>
          <w:rFonts w:hint="eastAsia" w:ascii="仿宋" w:hAnsi="仿宋" w:eastAsia="仿宋" w:cs="仿宋"/>
          <w:sz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"_Toc57732038" </w:instrText>
      </w:r>
      <w:r>
        <w:rPr>
          <w:rFonts w:hint="eastAsia" w:ascii="仿宋" w:hAnsi="仿宋" w:eastAsia="仿宋" w:cs="仿宋"/>
          <w:highlight w:val="none"/>
        </w:rPr>
        <w:fldChar w:fldCharType="separate"/>
      </w:r>
      <w:r>
        <w:rPr>
          <w:rStyle w:val="42"/>
          <w:rFonts w:hint="eastAsia" w:ascii="仿宋" w:hAnsi="仿宋" w:eastAsia="仿宋" w:cs="仿宋"/>
          <w:b/>
          <w:color w:val="auto"/>
          <w:sz w:val="24"/>
          <w:highlight w:val="none"/>
        </w:rPr>
        <w:t>第一卷</w:t>
      </w:r>
      <w:r>
        <w:rPr>
          <w:rFonts w:hint="eastAsia" w:ascii="仿宋" w:hAnsi="仿宋" w:eastAsia="仿宋" w:cs="仿宋"/>
          <w:b/>
          <w:sz w:val="24"/>
          <w:highlight w:val="none"/>
        </w:rPr>
        <w:tab/>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PAGEREF _Toc57732038 \h </w:instrText>
      </w:r>
      <w:r>
        <w:rPr>
          <w:rFonts w:hint="eastAsia" w:ascii="仿宋" w:hAnsi="仿宋" w:eastAsia="仿宋" w:cs="仿宋"/>
          <w:b/>
          <w:sz w:val="24"/>
          <w:highlight w:val="none"/>
        </w:rPr>
        <w:fldChar w:fldCharType="separate"/>
      </w:r>
      <w:r>
        <w:rPr>
          <w:rFonts w:hint="eastAsia" w:ascii="仿宋" w:hAnsi="仿宋" w:eastAsia="仿宋" w:cs="仿宋"/>
          <w:b/>
          <w:sz w:val="24"/>
          <w:highlight w:val="none"/>
        </w:rPr>
        <w:t>3</w: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end"/>
      </w:r>
    </w:p>
    <w:p>
      <w:pPr>
        <w:pStyle w:val="26"/>
        <w:tabs>
          <w:tab w:val="right" w:leader="dot" w:pos="8296"/>
        </w:tabs>
        <w:spacing w:line="360" w:lineRule="auto"/>
        <w:ind w:firstLine="105" w:firstLineChars="50"/>
        <w:jc w:val="distribute"/>
        <w:rPr>
          <w:rFonts w:hint="eastAsia" w:ascii="仿宋" w:hAnsi="仿宋" w:eastAsia="仿宋" w:cs="仿宋"/>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"_Toc57732039" </w:instrText>
      </w:r>
      <w:r>
        <w:rPr>
          <w:rFonts w:hint="eastAsia" w:ascii="仿宋" w:hAnsi="仿宋" w:eastAsia="仿宋" w:cs="仿宋"/>
          <w:highlight w:val="none"/>
        </w:rPr>
        <w:fldChar w:fldCharType="separate"/>
      </w:r>
      <w:r>
        <w:rPr>
          <w:rStyle w:val="42"/>
          <w:rFonts w:hint="eastAsia" w:ascii="仿宋" w:hAnsi="仿宋" w:eastAsia="仿宋" w:cs="仿宋"/>
          <w:color w:val="auto"/>
          <w:sz w:val="24"/>
          <w:highlight w:val="none"/>
        </w:rPr>
        <w:t>第一章 招标公告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_Toc57732039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26"/>
        <w:tabs>
          <w:tab w:val="right" w:leader="dot" w:pos="8296"/>
        </w:tabs>
        <w:spacing w:line="360" w:lineRule="auto"/>
        <w:ind w:firstLine="105" w:firstLineChars="50"/>
        <w:jc w:val="distribute"/>
        <w:rPr>
          <w:rFonts w:hint="eastAsia" w:ascii="仿宋" w:hAnsi="仿宋" w:eastAsia="仿宋" w:cs="仿宋"/>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"_Toc57732040" </w:instrText>
      </w:r>
      <w:r>
        <w:rPr>
          <w:rFonts w:hint="eastAsia" w:ascii="仿宋" w:hAnsi="仿宋" w:eastAsia="仿宋" w:cs="仿宋"/>
          <w:highlight w:val="none"/>
        </w:rPr>
        <w:fldChar w:fldCharType="separate"/>
      </w:r>
      <w:r>
        <w:rPr>
          <w:rStyle w:val="42"/>
          <w:rFonts w:hint="eastAsia" w:ascii="仿宋" w:hAnsi="仿宋" w:eastAsia="仿宋" w:cs="仿宋"/>
          <w:color w:val="auto"/>
          <w:sz w:val="24"/>
          <w:highlight w:val="none"/>
        </w:rPr>
        <w:t>第二章 投标人须知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_Toc57732040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9</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26"/>
        <w:tabs>
          <w:tab w:val="right" w:leader="dot" w:pos="8296"/>
        </w:tabs>
        <w:spacing w:line="360" w:lineRule="auto"/>
        <w:ind w:firstLine="105" w:firstLineChars="50"/>
        <w:jc w:val="distribute"/>
        <w:rPr>
          <w:rFonts w:hint="eastAsia" w:ascii="仿宋" w:hAnsi="仿宋" w:eastAsia="仿宋" w:cs="仿宋"/>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"_Toc57732041" </w:instrText>
      </w:r>
      <w:r>
        <w:rPr>
          <w:rFonts w:hint="eastAsia" w:ascii="仿宋" w:hAnsi="仿宋" w:eastAsia="仿宋" w:cs="仿宋"/>
          <w:highlight w:val="none"/>
        </w:rPr>
        <w:fldChar w:fldCharType="separate"/>
      </w:r>
      <w:r>
        <w:rPr>
          <w:rStyle w:val="42"/>
          <w:rFonts w:hint="eastAsia" w:ascii="仿宋" w:hAnsi="仿宋" w:eastAsia="仿宋" w:cs="仿宋"/>
          <w:color w:val="auto"/>
          <w:sz w:val="24"/>
          <w:highlight w:val="none"/>
        </w:rPr>
        <w:t>第三章 评标办法（综合评估法）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_Toc57732041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26"/>
        <w:tabs>
          <w:tab w:val="right" w:leader="dot" w:pos="8296"/>
        </w:tabs>
        <w:spacing w:line="360" w:lineRule="auto"/>
        <w:ind w:firstLine="105" w:firstLineChars="50"/>
        <w:jc w:val="distribute"/>
        <w:rPr>
          <w:rFonts w:hint="eastAsia" w:ascii="仿宋" w:hAnsi="仿宋" w:eastAsia="仿宋" w:cs="仿宋"/>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"_Toc57732042" </w:instrText>
      </w:r>
      <w:r>
        <w:rPr>
          <w:rFonts w:hint="eastAsia" w:ascii="仿宋" w:hAnsi="仿宋" w:eastAsia="仿宋" w:cs="仿宋"/>
          <w:highlight w:val="none"/>
        </w:rPr>
        <w:fldChar w:fldCharType="separate"/>
      </w:r>
      <w:r>
        <w:rPr>
          <w:rStyle w:val="42"/>
          <w:rFonts w:hint="eastAsia" w:ascii="仿宋" w:hAnsi="仿宋" w:eastAsia="仿宋" w:cs="仿宋"/>
          <w:color w:val="auto"/>
          <w:sz w:val="24"/>
          <w:highlight w:val="none"/>
        </w:rPr>
        <w:t>第四章 合同条款及格式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_Toc57732042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43</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26"/>
        <w:tabs>
          <w:tab w:val="right" w:leader="dot" w:pos="8296"/>
        </w:tabs>
        <w:spacing w:line="360" w:lineRule="auto"/>
        <w:jc w:val="distribute"/>
        <w:rPr>
          <w:rFonts w:hint="eastAsia" w:ascii="仿宋" w:hAnsi="仿宋" w:eastAsia="仿宋" w:cs="仿宋"/>
          <w:b/>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"_Toc57732043" </w:instrText>
      </w:r>
      <w:r>
        <w:rPr>
          <w:rFonts w:hint="eastAsia" w:ascii="仿宋" w:hAnsi="仿宋" w:eastAsia="仿宋" w:cs="仿宋"/>
          <w:highlight w:val="none"/>
        </w:rPr>
        <w:fldChar w:fldCharType="separate"/>
      </w:r>
      <w:r>
        <w:rPr>
          <w:rStyle w:val="42"/>
          <w:rFonts w:hint="eastAsia" w:ascii="仿宋" w:hAnsi="仿宋" w:eastAsia="仿宋" w:cs="仿宋"/>
          <w:b/>
          <w:color w:val="auto"/>
          <w:sz w:val="24"/>
          <w:highlight w:val="none"/>
        </w:rPr>
        <w:t>第二卷</w:t>
      </w:r>
      <w:r>
        <w:rPr>
          <w:rFonts w:hint="eastAsia" w:ascii="仿宋" w:hAnsi="仿宋" w:eastAsia="仿宋" w:cs="仿宋"/>
          <w:b/>
          <w:sz w:val="24"/>
          <w:highlight w:val="none"/>
        </w:rPr>
        <w:tab/>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PAGEREF _Toc57732043 \h </w:instrText>
      </w:r>
      <w:r>
        <w:rPr>
          <w:rFonts w:hint="eastAsia" w:ascii="仿宋" w:hAnsi="仿宋" w:eastAsia="仿宋" w:cs="仿宋"/>
          <w:b/>
          <w:sz w:val="24"/>
          <w:highlight w:val="none"/>
        </w:rPr>
        <w:fldChar w:fldCharType="separate"/>
      </w:r>
      <w:r>
        <w:rPr>
          <w:rFonts w:hint="eastAsia" w:ascii="仿宋" w:hAnsi="仿宋" w:eastAsia="仿宋" w:cs="仿宋"/>
          <w:b/>
          <w:sz w:val="24"/>
          <w:highlight w:val="none"/>
        </w:rPr>
        <w:t>44</w: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end"/>
      </w:r>
    </w:p>
    <w:p>
      <w:pPr>
        <w:pStyle w:val="26"/>
        <w:tabs>
          <w:tab w:val="right" w:leader="dot" w:pos="8296"/>
        </w:tabs>
        <w:spacing w:line="360" w:lineRule="auto"/>
        <w:ind w:firstLine="105" w:firstLineChars="50"/>
        <w:jc w:val="distribute"/>
        <w:rPr>
          <w:rFonts w:hint="eastAsia" w:ascii="仿宋" w:hAnsi="仿宋" w:eastAsia="仿宋" w:cs="仿宋"/>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"_Toc57732044" </w:instrText>
      </w:r>
      <w:r>
        <w:rPr>
          <w:rFonts w:hint="eastAsia" w:ascii="仿宋" w:hAnsi="仿宋" w:eastAsia="仿宋" w:cs="仿宋"/>
          <w:highlight w:val="none"/>
        </w:rPr>
        <w:fldChar w:fldCharType="separate"/>
      </w:r>
      <w:r>
        <w:rPr>
          <w:rStyle w:val="42"/>
          <w:rFonts w:hint="eastAsia" w:ascii="仿宋" w:hAnsi="仿宋" w:eastAsia="仿宋" w:cs="仿宋"/>
          <w:color w:val="auto"/>
          <w:sz w:val="24"/>
          <w:highlight w:val="none"/>
        </w:rPr>
        <w:t>第五章 发包人要求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_Toc57732044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56</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26"/>
        <w:tabs>
          <w:tab w:val="right" w:leader="dot" w:pos="8296"/>
        </w:tabs>
        <w:spacing w:line="360" w:lineRule="auto"/>
        <w:jc w:val="distribute"/>
        <w:rPr>
          <w:rFonts w:hint="eastAsia" w:ascii="仿宋" w:hAnsi="仿宋" w:eastAsia="仿宋" w:cs="仿宋"/>
          <w:b/>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"_Toc57732045" </w:instrText>
      </w:r>
      <w:r>
        <w:rPr>
          <w:rFonts w:hint="eastAsia" w:ascii="仿宋" w:hAnsi="仿宋" w:eastAsia="仿宋" w:cs="仿宋"/>
          <w:highlight w:val="none"/>
        </w:rPr>
        <w:fldChar w:fldCharType="separate"/>
      </w:r>
      <w:r>
        <w:rPr>
          <w:rStyle w:val="42"/>
          <w:rFonts w:hint="eastAsia" w:ascii="仿宋" w:hAnsi="仿宋" w:eastAsia="仿宋" w:cs="仿宋"/>
          <w:b/>
          <w:color w:val="auto"/>
          <w:sz w:val="24"/>
          <w:highlight w:val="none"/>
        </w:rPr>
        <w:t>第三卷</w:t>
      </w:r>
      <w:r>
        <w:rPr>
          <w:rFonts w:hint="eastAsia" w:ascii="仿宋" w:hAnsi="仿宋" w:eastAsia="仿宋" w:cs="仿宋"/>
          <w:b/>
          <w:sz w:val="24"/>
          <w:highlight w:val="none"/>
        </w:rPr>
        <w:tab/>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PAGEREF _Toc57732045 \h </w:instrText>
      </w:r>
      <w:r>
        <w:rPr>
          <w:rFonts w:hint="eastAsia" w:ascii="仿宋" w:hAnsi="仿宋" w:eastAsia="仿宋" w:cs="仿宋"/>
          <w:b/>
          <w:sz w:val="24"/>
          <w:highlight w:val="none"/>
        </w:rPr>
        <w:fldChar w:fldCharType="separate"/>
      </w:r>
      <w:r>
        <w:rPr>
          <w:rFonts w:hint="eastAsia" w:ascii="仿宋" w:hAnsi="仿宋" w:eastAsia="仿宋" w:cs="仿宋"/>
          <w:b/>
          <w:sz w:val="24"/>
          <w:highlight w:val="none"/>
        </w:rPr>
        <w:t>57</w: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end"/>
      </w:r>
    </w:p>
    <w:p>
      <w:pPr>
        <w:pStyle w:val="26"/>
        <w:tabs>
          <w:tab w:val="right" w:leader="dot" w:pos="8296"/>
        </w:tabs>
        <w:spacing w:line="360" w:lineRule="auto"/>
        <w:ind w:firstLine="105" w:firstLineChars="50"/>
        <w:jc w:val="distribute"/>
        <w:rPr>
          <w:rFonts w:hint="eastAsia" w:ascii="仿宋" w:hAnsi="仿宋" w:eastAsia="仿宋" w:cs="仿宋"/>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"_Toc57732046" </w:instrText>
      </w:r>
      <w:r>
        <w:rPr>
          <w:rFonts w:hint="eastAsia" w:ascii="仿宋" w:hAnsi="仿宋" w:eastAsia="仿宋" w:cs="仿宋"/>
          <w:highlight w:val="none"/>
        </w:rPr>
        <w:fldChar w:fldCharType="separate"/>
      </w:r>
      <w:r>
        <w:rPr>
          <w:rStyle w:val="42"/>
          <w:rFonts w:hint="eastAsia" w:ascii="仿宋" w:hAnsi="仿宋" w:eastAsia="仿宋" w:cs="仿宋"/>
          <w:color w:val="auto"/>
          <w:sz w:val="24"/>
          <w:highlight w:val="none"/>
        </w:rPr>
        <w:t>第六章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_Toc57732046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58</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rPr>
          <w:rFonts w:hint="eastAsia" w:ascii="仿宋" w:hAnsi="仿宋" w:eastAsia="仿宋" w:cs="仿宋"/>
          <w:highlight w:val="none"/>
        </w:rPr>
      </w:pPr>
      <w:r>
        <w:rPr>
          <w:rFonts w:hint="eastAsia" w:ascii="仿宋" w:hAnsi="仿宋" w:eastAsia="仿宋" w:cs="仿宋"/>
          <w:sz w:val="24"/>
          <w:highlight w:val="none"/>
        </w:rPr>
        <w:fldChar w:fldCharType="end"/>
      </w:r>
    </w:p>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6"/>
        <w:rPr>
          <w:rFonts w:hint="eastAsia" w:ascii="仿宋" w:hAnsi="仿宋" w:eastAsia="仿宋" w:cs="仿宋"/>
          <w:highlight w:val="none"/>
        </w:rPr>
      </w:pPr>
    </w:p>
    <w:p>
      <w:pPr>
        <w:rPr>
          <w:rFonts w:hint="eastAsia" w:ascii="仿宋" w:hAnsi="仿宋" w:eastAsia="仿宋" w:cs="仿宋"/>
          <w:highlight w:val="none"/>
        </w:rPr>
      </w:pPr>
    </w:p>
    <w:p>
      <w:pPr>
        <w:pStyle w:val="6"/>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3"/>
        <w:spacing w:before="62" w:beforeLines="20" w:after="62" w:afterLines="20" w:line="360" w:lineRule="auto"/>
        <w:jc w:val="center"/>
        <w:rPr>
          <w:rFonts w:hint="eastAsia" w:ascii="仿宋" w:hAnsi="仿宋" w:eastAsia="仿宋" w:cs="仿宋"/>
          <w:highlight w:val="none"/>
        </w:rPr>
      </w:pPr>
      <w:bookmarkStart w:id="0" w:name="_Toc57732038"/>
      <w:r>
        <w:rPr>
          <w:rFonts w:hint="eastAsia" w:ascii="仿宋" w:hAnsi="仿宋" w:eastAsia="仿宋" w:cs="仿宋"/>
          <w:highlight w:val="none"/>
        </w:rPr>
        <w:t>第一卷</w:t>
      </w:r>
      <w:bookmarkEnd w:id="0"/>
    </w:p>
    <w:p>
      <w:pPr>
        <w:pStyle w:val="3"/>
        <w:spacing w:before="62" w:beforeLines="20" w:after="62" w:afterLines="20" w:line="360" w:lineRule="auto"/>
        <w:jc w:val="center"/>
        <w:rPr>
          <w:rFonts w:hint="eastAsia" w:ascii="仿宋" w:hAnsi="仿宋" w:eastAsia="仿宋" w:cs="仿宋"/>
          <w:highlight w:val="none"/>
        </w:rPr>
      </w:pPr>
      <w:r>
        <w:rPr>
          <w:rFonts w:hint="eastAsia" w:ascii="仿宋" w:hAnsi="仿宋" w:eastAsia="仿宋" w:cs="仿宋"/>
          <w:highlight w:val="none"/>
        </w:rPr>
        <w:br w:type="page"/>
      </w:r>
      <w:bookmarkStart w:id="1" w:name="_Toc57732039"/>
      <w:r>
        <w:rPr>
          <w:rFonts w:hint="eastAsia" w:ascii="仿宋" w:hAnsi="仿宋" w:eastAsia="仿宋" w:cs="仿宋"/>
          <w:highlight w:val="none"/>
        </w:rPr>
        <w:t>第一章 招标公告</w:t>
      </w:r>
      <w:bookmarkEnd w:id="1"/>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汕尾红海湾经济开发区东洲街道美丽圩镇建设项目</w:t>
      </w:r>
      <w:r>
        <w:rPr>
          <w:rFonts w:hint="eastAsia" w:ascii="仿宋" w:hAnsi="仿宋" w:eastAsia="仿宋" w:cs="仿宋"/>
          <w:b/>
          <w:sz w:val="28"/>
          <w:szCs w:val="28"/>
          <w:highlight w:val="none"/>
        </w:rPr>
        <w:t>勘察设计</w:t>
      </w:r>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招标公告</w:t>
      </w:r>
    </w:p>
    <w:p>
      <w:pPr>
        <w:pStyle w:val="4"/>
        <w:numPr>
          <w:ilvl w:val="0"/>
          <w:numId w:val="2"/>
        </w:numPr>
        <w:rPr>
          <w:rFonts w:hint="eastAsia" w:ascii="仿宋" w:hAnsi="仿宋" w:eastAsia="仿宋" w:cs="仿宋"/>
          <w:highlight w:val="none"/>
        </w:rPr>
      </w:pPr>
      <w:bookmarkStart w:id="2" w:name="_Toc57304313"/>
      <w:r>
        <w:rPr>
          <w:rFonts w:hint="eastAsia" w:ascii="仿宋" w:hAnsi="仿宋" w:eastAsia="仿宋" w:cs="仿宋"/>
          <w:highlight w:val="none"/>
        </w:rPr>
        <w:t>招标条件</w:t>
      </w:r>
      <w:bookmarkEnd w:id="2"/>
    </w:p>
    <w:p>
      <w:pPr>
        <w:widowControl w:val="0"/>
        <w:numPr>
          <w:ilvl w:val="0"/>
          <w:numId w:val="0"/>
        </w:numPr>
        <w:jc w:val="both"/>
        <w:rPr>
          <w:rFonts w:hint="eastAsia"/>
          <w:highlight w:val="none"/>
        </w:rPr>
      </w:pP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汕尾红海湾经济开发区东洲街道美丽圩镇建设项目勘察设计</w:t>
      </w:r>
      <w:r>
        <w:rPr>
          <w:rFonts w:hint="eastAsia" w:ascii="仿宋" w:hAnsi="仿宋" w:eastAsia="仿宋" w:cs="仿宋"/>
          <w:highlight w:val="none"/>
        </w:rPr>
        <w:t>已由</w:t>
      </w:r>
      <w:r>
        <w:rPr>
          <w:rFonts w:hint="eastAsia" w:ascii="仿宋" w:hAnsi="仿宋" w:eastAsia="仿宋" w:cs="仿宋"/>
          <w:highlight w:val="none"/>
          <w:u w:val="single"/>
        </w:rPr>
        <w:t>广东汕尾红海湾经济开发区发展和财政局以红发财投审〔2022〕16号文</w:t>
      </w:r>
      <w:r>
        <w:rPr>
          <w:rFonts w:hint="eastAsia" w:ascii="仿宋" w:hAnsi="仿宋" w:eastAsia="仿宋" w:cs="仿宋"/>
          <w:highlight w:val="none"/>
        </w:rPr>
        <w:t>批准建设，项目业主为</w:t>
      </w:r>
      <w:r>
        <w:rPr>
          <w:rFonts w:hint="eastAsia" w:ascii="仿宋" w:hAnsi="仿宋" w:eastAsia="仿宋" w:cs="仿宋"/>
          <w:highlight w:val="none"/>
          <w:u w:val="single"/>
          <w:lang w:eastAsia="zh-CN"/>
        </w:rPr>
        <w:t>广东汕尾红海湾经济开发区东洲街道办事处</w:t>
      </w:r>
      <w:r>
        <w:rPr>
          <w:rFonts w:hint="eastAsia" w:ascii="仿宋" w:hAnsi="仿宋" w:eastAsia="仿宋" w:cs="仿宋"/>
          <w:highlight w:val="none"/>
        </w:rPr>
        <w:t>，建设资金来自</w:t>
      </w:r>
      <w:r>
        <w:rPr>
          <w:rFonts w:hint="eastAsia" w:ascii="仿宋" w:hAnsi="仿宋" w:eastAsia="仿宋" w:cs="仿宋"/>
          <w:highlight w:val="none"/>
          <w:u w:val="single"/>
        </w:rPr>
        <w:t>除上级补助资金外，其余资金由本级财政统筹解决</w:t>
      </w:r>
      <w:r>
        <w:rPr>
          <w:rFonts w:hint="eastAsia" w:ascii="仿宋" w:hAnsi="仿宋" w:eastAsia="仿宋" w:cs="仿宋"/>
          <w:highlight w:val="none"/>
        </w:rPr>
        <w:t>（资金来源），出资比例为</w:t>
      </w:r>
      <w:r>
        <w:rPr>
          <w:rFonts w:hint="eastAsia" w:ascii="仿宋" w:hAnsi="仿宋" w:eastAsia="仿宋" w:cs="仿宋"/>
          <w:highlight w:val="none"/>
          <w:u w:val="single"/>
        </w:rPr>
        <w:t>100%</w:t>
      </w:r>
      <w:r>
        <w:rPr>
          <w:rFonts w:hint="eastAsia" w:ascii="仿宋" w:hAnsi="仿宋" w:eastAsia="仿宋" w:cs="仿宋"/>
          <w:highlight w:val="none"/>
        </w:rPr>
        <w:t>，招标人为</w:t>
      </w:r>
      <w:r>
        <w:rPr>
          <w:rFonts w:hint="eastAsia" w:ascii="仿宋" w:hAnsi="仿宋" w:eastAsia="仿宋" w:cs="仿宋"/>
          <w:highlight w:val="none"/>
          <w:u w:val="single"/>
          <w:lang w:eastAsia="zh-CN"/>
        </w:rPr>
        <w:t>广东汕尾红海湾经济开发区东洲街道办事处</w:t>
      </w:r>
      <w:r>
        <w:rPr>
          <w:rFonts w:hint="eastAsia" w:ascii="仿宋" w:hAnsi="仿宋" w:eastAsia="仿宋" w:cs="仿宋"/>
          <w:highlight w:val="none"/>
        </w:rPr>
        <w:t>。项目已具备招标条件，现对该项目的</w:t>
      </w:r>
      <w:r>
        <w:rPr>
          <w:rFonts w:hint="eastAsia" w:ascii="仿宋" w:hAnsi="仿宋" w:eastAsia="仿宋" w:cs="仿宋"/>
          <w:highlight w:val="none"/>
          <w:u w:val="single"/>
        </w:rPr>
        <w:t>勘察设计</w:t>
      </w:r>
      <w:r>
        <w:rPr>
          <w:rFonts w:hint="eastAsia" w:ascii="仿宋" w:hAnsi="仿宋" w:eastAsia="仿宋" w:cs="仿宋"/>
          <w:highlight w:val="none"/>
        </w:rPr>
        <w:t>进行公开招标。</w:t>
      </w:r>
    </w:p>
    <w:p>
      <w:pPr>
        <w:pStyle w:val="4"/>
        <w:rPr>
          <w:rFonts w:hint="eastAsia" w:ascii="仿宋" w:hAnsi="仿宋" w:eastAsia="仿宋" w:cs="仿宋"/>
          <w:highlight w:val="none"/>
        </w:rPr>
      </w:pPr>
      <w:bookmarkStart w:id="3" w:name="_Toc57304314"/>
      <w:r>
        <w:rPr>
          <w:rFonts w:hint="eastAsia" w:ascii="仿宋" w:hAnsi="仿宋" w:eastAsia="仿宋" w:cs="仿宋"/>
          <w:highlight w:val="none"/>
        </w:rPr>
        <w:t>2.项目概况与招标范围</w:t>
      </w:r>
      <w:bookmarkEnd w:id="3"/>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 项目名称：</w:t>
      </w:r>
      <w:r>
        <w:rPr>
          <w:rFonts w:hint="eastAsia" w:ascii="仿宋" w:hAnsi="仿宋" w:eastAsia="仿宋" w:cs="仿宋"/>
          <w:highlight w:val="none"/>
          <w:lang w:eastAsia="zh-CN"/>
        </w:rPr>
        <w:t>汕尾红海湾经济开发区东洲街道美丽圩镇建设项目</w:t>
      </w:r>
      <w:r>
        <w:rPr>
          <w:rFonts w:hint="eastAsia" w:ascii="仿宋" w:hAnsi="仿宋" w:eastAsia="仿宋" w:cs="仿宋"/>
          <w:highlight w:val="none"/>
        </w:rPr>
        <w:t>勘察设计</w:t>
      </w:r>
    </w:p>
    <w:p>
      <w:pPr>
        <w:spacing w:line="360" w:lineRule="auto"/>
        <w:ind w:firstLine="420" w:firstLineChars="200"/>
        <w:rPr>
          <w:rFonts w:hint="eastAsia" w:ascii="仿宋" w:hAnsi="仿宋" w:eastAsia="仿宋" w:cs="仿宋"/>
          <w:highlight w:val="none"/>
          <w:lang w:eastAsia="zh-CN"/>
        </w:rPr>
      </w:pPr>
      <w:r>
        <w:rPr>
          <w:rFonts w:hint="eastAsia" w:ascii="仿宋" w:hAnsi="仿宋" w:eastAsia="仿宋" w:cs="仿宋"/>
          <w:highlight w:val="none"/>
        </w:rPr>
        <w:t>2.2 项目代码：</w:t>
      </w:r>
      <w:r>
        <w:rPr>
          <w:rFonts w:hint="eastAsia" w:ascii="仿宋" w:hAnsi="仿宋" w:eastAsia="仿宋" w:cs="仿宋"/>
          <w:highlight w:val="none"/>
          <w:lang w:eastAsia="zh-CN"/>
        </w:rPr>
        <w:t>2206-441500-04-01-490525</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2.3 项目位置：汕尾市红海湾经济开发区东洲街道镇区</w:t>
      </w:r>
      <w:r>
        <w:rPr>
          <w:rFonts w:hint="eastAsia" w:ascii="仿宋" w:hAnsi="仿宋" w:eastAsia="仿宋" w:cs="仿宋"/>
          <w:highlight w:val="none"/>
          <w:lang w:val="en-US" w:eastAsia="zh-CN"/>
        </w:rPr>
        <w:t>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2.4 资金来源：财政性资金</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2.5 投资总额：本项目总投资26862.00万元。</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2.6 本项目勘察设计费含税最高限价(暂定价)：</w:t>
      </w:r>
      <w:r>
        <w:rPr>
          <w:rFonts w:hint="eastAsia" w:ascii="仿宋" w:hAnsi="仿宋" w:eastAsia="仿宋" w:cs="仿宋"/>
          <w:highlight w:val="none"/>
          <w:lang w:val="en-US" w:eastAsia="zh-CN"/>
        </w:rPr>
        <w:t>360.99</w:t>
      </w:r>
      <w:r>
        <w:rPr>
          <w:rFonts w:hint="eastAsia" w:ascii="仿宋" w:hAnsi="仿宋" w:eastAsia="仿宋" w:cs="仿宋"/>
          <w:highlight w:val="none"/>
        </w:rPr>
        <w:t>万元（其中勘察费最高上限价（暂定价）</w:t>
      </w:r>
      <w:r>
        <w:rPr>
          <w:rFonts w:hint="eastAsia" w:ascii="仿宋" w:hAnsi="仿宋" w:eastAsia="仿宋" w:cs="仿宋"/>
          <w:highlight w:val="none"/>
          <w:lang w:val="en-US" w:eastAsia="zh-CN"/>
        </w:rPr>
        <w:t>79.44</w:t>
      </w:r>
      <w:r>
        <w:rPr>
          <w:rFonts w:hint="eastAsia" w:ascii="仿宋" w:hAnsi="仿宋" w:eastAsia="仿宋" w:cs="仿宋"/>
          <w:highlight w:val="none"/>
        </w:rPr>
        <w:t>万元、工程设计费最高上限价（暂定价）</w:t>
      </w:r>
      <w:r>
        <w:rPr>
          <w:rFonts w:hint="eastAsia" w:ascii="仿宋" w:hAnsi="仿宋" w:eastAsia="仿宋" w:cs="仿宋"/>
          <w:highlight w:val="none"/>
          <w:lang w:val="en-US" w:eastAsia="zh-CN"/>
        </w:rPr>
        <w:t>281.55</w:t>
      </w:r>
      <w:r>
        <w:rPr>
          <w:rFonts w:hint="eastAsia" w:ascii="仿宋" w:hAnsi="仿宋" w:eastAsia="仿宋" w:cs="仿宋"/>
          <w:highlight w:val="none"/>
        </w:rPr>
        <w:t>万元）。最终以财政部门审定为准。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7</w:t>
      </w:r>
      <w:r>
        <w:rPr>
          <w:rFonts w:hint="eastAsia" w:ascii="仿宋" w:hAnsi="仿宋" w:eastAsia="仿宋" w:cs="仿宋"/>
          <w:highlight w:val="none"/>
        </w:rPr>
        <w:t xml:space="preserve"> 招标内容（包括但不限于）：</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项目拟对东洲街道镇区范围内进行美丽圩镇建设，总建筑面积33250平方米。建设内容主要包括：镇区主要道路两边立面建筑外墙改造，三清三拆、排水防涝整治等人居环境整治建设；改建湖东农贸市场、东三农贸市场、农产品集散中心、物流仓储、卫生医疗站、居家养老护理站、托儿所等民生基础设施；改造建设人民广场、文化广场、东洲八音雕塑、文化景墙等公共文化设施；以及道路照明、消防系统、绿化工程、市政供水设施、监控系统等配套设施。</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2.8 服务期限：从合同签订之日开始起算，至按本合同约定承包人应承担的全部工作内容完成止。计划工期为150日历天，其中勘察30日历天，工程设计各阶段合计120日历天；具体可按业主要求进行协商。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注：具体时间需根据勘察设计情况及业主要求进行调整。如果延误工期，承包人须按合同约定向发包人支付赔偿金或违约金。</w:t>
      </w:r>
    </w:p>
    <w:p>
      <w:pPr>
        <w:pStyle w:val="4"/>
        <w:rPr>
          <w:rFonts w:hint="eastAsia" w:ascii="仿宋" w:hAnsi="仿宋" w:eastAsia="仿宋" w:cs="仿宋"/>
          <w:highlight w:val="none"/>
        </w:rPr>
      </w:pPr>
      <w:bookmarkStart w:id="4" w:name="_Toc57304315"/>
      <w:r>
        <w:rPr>
          <w:rFonts w:hint="eastAsia" w:ascii="仿宋" w:hAnsi="仿宋" w:eastAsia="仿宋" w:cs="仿宋"/>
          <w:highlight w:val="none"/>
        </w:rPr>
        <w:t>3.投标人资格要求</w:t>
      </w:r>
      <w:bookmarkEnd w:id="4"/>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3.1具有经建设行政主管部门核发的下列资质证书的独立法人企业，或分别具备下列资质的企业组成的联合体：</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（1）工程勘察（具备①或②）：</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①工程勘察综合甲级资质；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②工程勘察专业类（岩土工程勘察</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级或以上资质、工程测量乙级或以上资质）</w:t>
      </w:r>
      <w:r>
        <w:rPr>
          <w:rFonts w:hint="eastAsia" w:ascii="仿宋" w:hAnsi="仿宋" w:eastAsia="仿宋" w:cs="仿宋"/>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（2）工程设计（具备①或</w:t>
      </w:r>
      <w:r>
        <w:rPr>
          <w:rFonts w:hint="eastAsia" w:ascii="仿宋" w:hAnsi="仿宋" w:eastAsia="仿宋" w:cs="仿宋"/>
          <w:highlight w:val="none"/>
          <w:lang w:val="en-US" w:eastAsia="zh-CN"/>
        </w:rPr>
        <w:t>同时具备</w:t>
      </w:r>
      <w:r>
        <w:rPr>
          <w:rFonts w:hint="eastAsia" w:ascii="仿宋" w:hAnsi="仿宋" w:eastAsia="仿宋" w:cs="仿宋"/>
          <w:highlight w:val="none"/>
        </w:rPr>
        <w:t>②和③）：</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①工程设计综合甲级资质；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ascii="仿宋" w:hAnsi="仿宋" w:eastAsia="仿宋" w:cs="仿宋"/>
          <w:highlight w:val="none"/>
        </w:rPr>
        <w:t>②市政行业</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级（或以上）资质或市政行业（道路工程、给水工程、排水工程）专业</w:t>
      </w:r>
      <w:r>
        <w:rPr>
          <w:rFonts w:hint="eastAsia" w:ascii="仿宋" w:hAnsi="仿宋" w:eastAsia="仿宋" w:cs="仿宋"/>
          <w:highlight w:val="none"/>
          <w:lang w:val="en-US" w:eastAsia="zh-CN"/>
        </w:rPr>
        <w:t>乙级</w:t>
      </w:r>
      <w:r>
        <w:rPr>
          <w:rFonts w:hint="eastAsia" w:ascii="仿宋" w:hAnsi="仿宋" w:eastAsia="仿宋" w:cs="仿宋"/>
          <w:highlight w:val="none"/>
        </w:rPr>
        <w:t>（或以上）资质；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③建筑行业</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级（或以上）资质或建筑行业（建筑工程）专业</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3.2本项目接受联合体投标。联合体投标的不得超过2家，应满足下列要求：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（1）联合体各方应签订联合体协议书，明确联合体牵头单位和各方拟承担的工作和责任等；</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（2）联合体各方不得再以自己名义单独或与其他企业组成联合体参加本招标项目的投标；</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（3）联合体以设计方为牵头单位；</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3.3投标人营业执照、资质证书的复印件（如是联合体，应为联合体各方）；</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3.4联合体投标协议书（如是联合体，样式附后），联合体投标的牵头单位需是设计方；</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3.5投标人拟派项目负责人（兼设计负责人）（如是联合体，应为具有设计资质的成员一方）具备建筑或市政专业类高级工程师技术职称、身份证及招标公告发布之日起前3个月的社保缴费单复印件；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3.6投标人拟派勘察负责人（如是联合体，应为具有勘察资质的成员一方）的注册土木工程师（岩土）执业资格、身份证及招标公告发布之日起前3个月的社保缴费单复印件；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3.7投标人（如是联合体，应为联合体各方）未被列入“信用中国网”（www.creditchina.gov.cn）“记录失信被执行人”记录名单。（提供“信用中国”单位查询网页截图）；</w:t>
      </w:r>
    </w:p>
    <w:p>
      <w:pPr>
        <w:pStyle w:val="4"/>
        <w:rPr>
          <w:rFonts w:hint="eastAsia" w:ascii="仿宋" w:hAnsi="仿宋" w:eastAsia="仿宋" w:cs="仿宋"/>
          <w:highlight w:val="none"/>
        </w:rPr>
      </w:pPr>
      <w:bookmarkStart w:id="5" w:name="_Toc57304316"/>
      <w:r>
        <w:rPr>
          <w:rFonts w:hint="eastAsia" w:ascii="仿宋" w:hAnsi="仿宋" w:eastAsia="仿宋" w:cs="仿宋"/>
          <w:highlight w:val="none"/>
        </w:rPr>
        <w:t>4.技术成果经济补偿</w:t>
      </w:r>
      <w:bookmarkEnd w:id="5"/>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本次招标对未中标人投标文件中的技术成果</w:t>
      </w:r>
      <w:r>
        <w:rPr>
          <w:rFonts w:hint="eastAsia" w:ascii="仿宋" w:hAnsi="仿宋" w:eastAsia="仿宋" w:cs="仿宋"/>
          <w:b/>
          <w:highlight w:val="none"/>
          <w:u w:val="single"/>
        </w:rPr>
        <w:t>不给予</w:t>
      </w:r>
      <w:r>
        <w:rPr>
          <w:rFonts w:hint="eastAsia" w:ascii="仿宋" w:hAnsi="仿宋" w:eastAsia="仿宋" w:cs="仿宋"/>
          <w:highlight w:val="none"/>
        </w:rPr>
        <w:t>经济补偿。投标费用由投标人自理。若投标过程中因故需要终止该项目的招标时，招标人无需对投标人进行任何补偿，费用由投标人自理。</w:t>
      </w:r>
    </w:p>
    <w:p>
      <w:pPr>
        <w:pStyle w:val="4"/>
        <w:rPr>
          <w:rFonts w:hint="eastAsia" w:ascii="仿宋" w:hAnsi="仿宋" w:eastAsia="仿宋" w:cs="仿宋"/>
          <w:highlight w:val="none"/>
        </w:rPr>
      </w:pPr>
      <w:bookmarkStart w:id="6" w:name="_Toc57304317"/>
      <w:r>
        <w:rPr>
          <w:rFonts w:hint="eastAsia" w:ascii="仿宋" w:hAnsi="仿宋" w:eastAsia="仿宋" w:cs="仿宋"/>
          <w:highlight w:val="none"/>
        </w:rPr>
        <w:t>5.招标文件的获取</w:t>
      </w:r>
      <w:bookmarkEnd w:id="6"/>
      <w:r>
        <w:rPr>
          <w:rFonts w:hint="eastAsia" w:ascii="仿宋" w:hAnsi="仿宋" w:eastAsia="仿宋" w:cs="仿宋"/>
          <w:highlight w:val="none"/>
          <w:u w:val="single"/>
        </w:rPr>
        <w:t>及登记手续</w:t>
      </w:r>
    </w:p>
    <w:p>
      <w:pPr>
        <w:spacing w:line="360" w:lineRule="auto"/>
        <w:ind w:firstLine="420" w:firstLineChars="200"/>
        <w:rPr>
          <w:rFonts w:hint="eastAsia" w:ascii="仿宋" w:hAnsi="仿宋" w:eastAsia="仿宋" w:cs="仿宋"/>
          <w:highlight w:val="none"/>
        </w:rPr>
      </w:pPr>
      <w:bookmarkStart w:id="7" w:name="_Toc57304318"/>
      <w:r>
        <w:rPr>
          <w:rFonts w:hint="eastAsia" w:ascii="仿宋" w:hAnsi="仿宋" w:eastAsia="仿宋" w:cs="仿宋"/>
          <w:highlight w:val="none"/>
        </w:rPr>
        <w:t>5.1 招标文件的获取</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本项目招标文件及相关资料在广州公共资源交易中心网站公开发布。招标文件一经在广州公共资源交易中心网站发布，视为发放给投标人。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 登记手续</w:t>
      </w:r>
    </w:p>
    <w:p>
      <w:pPr>
        <w:spacing w:line="360" w:lineRule="auto"/>
        <w:ind w:firstLine="420" w:firstLineChars="200"/>
        <w:rPr>
          <w:rFonts w:hint="eastAsia" w:eastAsia="宋体"/>
          <w:highlight w:val="none"/>
          <w:lang w:eastAsia="zh-CN"/>
        </w:rPr>
      </w:pPr>
      <w:r>
        <w:rPr>
          <w:rFonts w:hint="eastAsia" w:ascii="仿宋" w:hAnsi="仿宋" w:eastAsia="仿宋" w:cs="仿宋"/>
          <w:highlight w:val="none"/>
          <w:lang w:val="en-US" w:eastAsia="zh-CN"/>
        </w:rPr>
        <w:t>5.2.1投本项目采用网上投标登记，凡有意参加投标者，在2022年07月 19日00时00分至2022年07月23</w:t>
      </w:r>
      <w:bookmarkStart w:id="54" w:name="_GoBack"/>
      <w:bookmarkEnd w:id="54"/>
      <w:r>
        <w:rPr>
          <w:rFonts w:hint="eastAsia" w:ascii="仿宋" w:hAnsi="仿宋" w:eastAsia="仿宋" w:cs="仿宋"/>
          <w:highlight w:val="none"/>
          <w:lang w:val="en-US" w:eastAsia="zh-CN"/>
        </w:rPr>
        <w:t xml:space="preserve"> 日23时59分前，均可登录广州公共资源交易中心网站办理网上投标登记手续。</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5.2.2</w:t>
      </w:r>
      <w:r>
        <w:rPr>
          <w:rFonts w:hint="eastAsia" w:ascii="仿宋" w:hAnsi="仿宋" w:eastAsia="仿宋" w:cs="仿宋"/>
          <w:highlight w:val="none"/>
        </w:rPr>
        <w:t>投标人应在广州公共资源交易中心办理企业信息登记，拟派项目负责人（设计负责人)须是本企业(企业信息登记)中的在册人员，否则不接受投标登记。企业信息登记的办理详情参见广州公共资源交易中心网站服务指南栏目。</w:t>
      </w:r>
    </w:p>
    <w:p>
      <w:pPr>
        <w:pStyle w:val="4"/>
        <w:rPr>
          <w:rFonts w:hint="eastAsia" w:ascii="仿宋" w:hAnsi="仿宋" w:eastAsia="仿宋" w:cs="仿宋"/>
          <w:highlight w:val="none"/>
          <w:u w:val="single"/>
        </w:rPr>
      </w:pPr>
      <w:r>
        <w:rPr>
          <w:rFonts w:hint="eastAsia" w:ascii="仿宋" w:hAnsi="仿宋" w:eastAsia="仿宋" w:cs="仿宋"/>
          <w:highlight w:val="none"/>
        </w:rPr>
        <w:t>6.投标文件的递交</w:t>
      </w:r>
      <w:bookmarkEnd w:id="7"/>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6.1发布招标公告时间（含本日）：详见网上公告。</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注：发布招标公告的时间为招标公告发出之日起至递交投标文件截止时间止。</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6.2递交投标文件时间：详见网上公告-日程安排。</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6.3开标时间：详见网上公告-日程安排。</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注：本项目截止投标的同时为开标时间，投标截止时间与开标时间是否有变化，请密切留意网上公告、招标答疑中的相关信息、日程安排等相关信息。</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6.4地点：广州公共资源交易中心（广州市天河区天润路333号）指定开标室，可在广州公共资源交易中心网站进行查询。</w:t>
      </w:r>
    </w:p>
    <w:p>
      <w:pPr>
        <w:pStyle w:val="4"/>
        <w:rPr>
          <w:rFonts w:hint="eastAsia" w:ascii="仿宋" w:hAnsi="仿宋" w:eastAsia="仿宋" w:cs="仿宋"/>
          <w:highlight w:val="none"/>
        </w:rPr>
      </w:pPr>
      <w:bookmarkStart w:id="8" w:name="_Toc57304319"/>
      <w:r>
        <w:rPr>
          <w:rFonts w:hint="eastAsia" w:ascii="仿宋" w:hAnsi="仿宋" w:eastAsia="仿宋" w:cs="仿宋"/>
          <w:highlight w:val="none"/>
        </w:rPr>
        <w:t>7.发布公告的媒介</w:t>
      </w:r>
      <w:bookmarkEnd w:id="8"/>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公告在广州公共资源交易中心网站（网址：http://www.gzggzy.cn）、广东省招标投标监管网（网址：http://zbtb.gd.gov.cn/）发布，本公告的修改、补充，在广州公共资源交易中心网站发布。本公告在各媒体发布的文本如有不同之处，以在广州公共资源交易中心网站发布的文本为准。</w:t>
      </w:r>
    </w:p>
    <w:p>
      <w:pPr>
        <w:pStyle w:val="4"/>
        <w:rPr>
          <w:rFonts w:hint="eastAsia" w:ascii="仿宋" w:hAnsi="仿宋" w:eastAsia="仿宋" w:cs="仿宋"/>
          <w:highlight w:val="none"/>
        </w:rPr>
      </w:pPr>
      <w:bookmarkStart w:id="9" w:name="_Toc57304320"/>
      <w:r>
        <w:rPr>
          <w:rFonts w:hint="eastAsia" w:ascii="仿宋" w:hAnsi="仿宋" w:eastAsia="仿宋" w:cs="仿宋"/>
          <w:highlight w:val="none"/>
        </w:rPr>
        <w:t>8.联系方式</w:t>
      </w:r>
      <w:bookmarkEnd w:id="9"/>
    </w:p>
    <w:p>
      <w:pPr>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招标人：</w:t>
      </w:r>
      <w:r>
        <w:rPr>
          <w:rFonts w:hint="eastAsia" w:ascii="仿宋" w:hAnsi="仿宋" w:eastAsia="仿宋" w:cs="仿宋"/>
          <w:szCs w:val="21"/>
          <w:highlight w:val="none"/>
          <w:lang w:eastAsia="zh-CN"/>
        </w:rPr>
        <w:t>广东汕尾红海湾经济开发区东洲街道办事处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地址：</w:t>
      </w:r>
      <w:r>
        <w:rPr>
          <w:rFonts w:hint="eastAsia" w:ascii="仿宋" w:hAnsi="仿宋" w:eastAsia="仿宋" w:cs="仿宋"/>
          <w:szCs w:val="21"/>
          <w:highlight w:val="none"/>
        </w:rPr>
        <w:t>广东汕尾红海湾经济开发区东洲街道办事处</w:t>
      </w:r>
    </w:p>
    <w:p>
      <w:pPr>
        <w:spacing w:line="360" w:lineRule="auto"/>
        <w:ind w:firstLine="420" w:firstLineChars="200"/>
        <w:rPr>
          <w:rFonts w:hint="eastAsia" w:ascii="仿宋" w:hAnsi="仿宋" w:eastAsia="仿宋" w:cs="仿宋"/>
          <w:highlight w:val="none"/>
          <w:lang w:eastAsia="zh-CN"/>
        </w:rPr>
      </w:pPr>
      <w:r>
        <w:rPr>
          <w:rFonts w:hint="eastAsia" w:ascii="仿宋" w:hAnsi="仿宋" w:eastAsia="仿宋" w:cs="仿宋"/>
          <w:highlight w:val="none"/>
        </w:rPr>
        <w:t>联系人：</w:t>
      </w:r>
      <w:r>
        <w:rPr>
          <w:rFonts w:hint="eastAsia" w:ascii="仿宋" w:hAnsi="仿宋" w:eastAsia="仿宋" w:cs="仿宋"/>
          <w:highlight w:val="none"/>
          <w:u w:val="single"/>
          <w:lang w:val="en-US" w:eastAsia="zh-CN"/>
        </w:rPr>
        <w:t>安</w:t>
      </w:r>
      <w:r>
        <w:rPr>
          <w:rFonts w:hint="eastAsia" w:ascii="仿宋" w:hAnsi="仿宋" w:eastAsia="仿宋" w:cs="仿宋"/>
          <w:highlight w:val="none"/>
          <w:u w:val="single"/>
          <w:lang w:eastAsia="zh-CN"/>
        </w:rPr>
        <w:t>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u w:val="single"/>
          <w:lang w:eastAsia="zh-CN"/>
        </w:rPr>
        <w:t>0660-3426999</w:t>
      </w:r>
    </w:p>
    <w:p>
      <w:pPr>
        <w:spacing w:line="360" w:lineRule="auto"/>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招标代理：</w:t>
      </w:r>
      <w:r>
        <w:rPr>
          <w:rFonts w:hint="eastAsia" w:ascii="仿宋" w:hAnsi="仿宋" w:eastAsia="仿宋" w:cs="仿宋"/>
          <w:highlight w:val="none"/>
          <w:lang w:eastAsia="zh-CN"/>
        </w:rPr>
        <w:t>广州兴华建设监理有限公司</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地址：广州市越秀区寺右新马路南二街18号</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u w:val="single"/>
          <w:lang w:eastAsia="zh-CN"/>
        </w:rPr>
        <w:t>方工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u w:val="single"/>
          <w:lang w:eastAsia="zh-CN"/>
        </w:rPr>
        <w:t>18124206513</w:t>
      </w:r>
    </w:p>
    <w:p>
      <w:pPr>
        <w:pStyle w:val="2"/>
        <w:tabs>
          <w:tab w:val="left" w:pos="3928"/>
          <w:tab w:val="left" w:pos="4048"/>
        </w:tabs>
        <w:kinsoku w:val="0"/>
        <w:overflowPunct w:val="0"/>
        <w:spacing w:line="360" w:lineRule="auto"/>
        <w:ind w:firstLine="449" w:firstLineChars="214"/>
        <w:rPr>
          <w:rFonts w:hint="eastAsia" w:ascii="仿宋" w:hAnsi="仿宋" w:eastAsia="仿宋" w:cs="仿宋"/>
          <w:szCs w:val="21"/>
          <w:highlight w:val="none"/>
        </w:rPr>
      </w:pPr>
      <w:r>
        <w:rPr>
          <w:rFonts w:hint="eastAsia" w:ascii="仿宋" w:hAnsi="仿宋" w:eastAsia="仿宋" w:cs="仿宋"/>
          <w:szCs w:val="21"/>
          <w:highlight w:val="none"/>
        </w:rPr>
        <w:t>日期：2022 年 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 xml:space="preserve"> 月  日</w:t>
      </w: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附件一：联合体协议书格式（参考格式）</w:t>
      </w:r>
      <w:bookmarkStart w:id="10" w:name="_Toc21938"/>
      <w:bookmarkStart w:id="11" w:name="_Toc20301"/>
      <w:bookmarkStart w:id="12" w:name="_Toc11909"/>
      <w:bookmarkStart w:id="13" w:name="_Toc21349"/>
    </w:p>
    <w:p>
      <w:pPr>
        <w:rPr>
          <w:rFonts w:hint="eastAsia" w:ascii="仿宋" w:hAnsi="仿宋" w:eastAsia="仿宋" w:cs="仿宋"/>
          <w:highlight w:val="none"/>
        </w:rPr>
      </w:pPr>
    </w:p>
    <w:p>
      <w:pPr>
        <w:rPr>
          <w:rFonts w:hint="eastAsia" w:ascii="仿宋" w:hAnsi="仿宋" w:eastAsia="仿宋" w:cs="仿宋"/>
          <w:highlight w:val="none"/>
        </w:rPr>
      </w:pPr>
    </w:p>
    <w:p>
      <w:pPr>
        <w:adjustRightInd w:val="0"/>
        <w:snapToGrid w:val="0"/>
        <w:spacing w:line="360" w:lineRule="auto"/>
        <w:jc w:val="center"/>
        <w:outlineLvl w:val="1"/>
        <w:rPr>
          <w:rFonts w:hint="eastAsia" w:ascii="仿宋" w:hAnsi="仿宋" w:eastAsia="仿宋" w:cs="仿宋"/>
          <w:b/>
          <w:bCs/>
          <w:szCs w:val="21"/>
          <w:highlight w:val="none"/>
        </w:rPr>
      </w:pPr>
      <w:bookmarkStart w:id="14" w:name="_Toc3635"/>
      <w:bookmarkStart w:id="15" w:name="_Toc98321423"/>
      <w:bookmarkStart w:id="16" w:name="_Toc99621424"/>
      <w:bookmarkStart w:id="17" w:name="_Toc105616045"/>
      <w:bookmarkStart w:id="18" w:name="_Toc105614322"/>
      <w:bookmarkStart w:id="19" w:name="_Toc98250950"/>
      <w:bookmarkStart w:id="20" w:name="_Toc98248942"/>
      <w:bookmarkStart w:id="21" w:name="_Toc105600695"/>
      <w:r>
        <w:rPr>
          <w:rFonts w:hint="eastAsia" w:ascii="仿宋" w:hAnsi="仿宋" w:eastAsia="仿宋" w:cs="仿宋"/>
          <w:b/>
          <w:bCs/>
          <w:szCs w:val="21"/>
          <w:highlight w:val="none"/>
        </w:rPr>
        <w:t>联合体协议书</w:t>
      </w:r>
      <w:bookmarkEnd w:id="10"/>
      <w:bookmarkEnd w:id="11"/>
      <w:bookmarkEnd w:id="12"/>
      <w:bookmarkEnd w:id="13"/>
      <w:bookmarkEnd w:id="14"/>
      <w:bookmarkEnd w:id="15"/>
      <w:bookmarkEnd w:id="16"/>
      <w:bookmarkEnd w:id="17"/>
      <w:bookmarkEnd w:id="18"/>
      <w:bookmarkEnd w:id="19"/>
      <w:bookmarkEnd w:id="20"/>
      <w:bookmarkEnd w:id="21"/>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（所有成员单位名称）自愿组成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（联合体名称）联合体，共同参加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汕尾红海湾经济开发区东洲街道美丽圩镇建设项目</w:t>
      </w:r>
      <w:r>
        <w:rPr>
          <w:rFonts w:hint="eastAsia" w:ascii="仿宋" w:hAnsi="仿宋" w:eastAsia="仿宋" w:cs="仿宋"/>
          <w:szCs w:val="21"/>
          <w:highlight w:val="none"/>
          <w:u w:val="single"/>
        </w:rPr>
        <w:t xml:space="preserve">勘察设计 </w:t>
      </w:r>
      <w:r>
        <w:rPr>
          <w:rFonts w:hint="eastAsia" w:ascii="仿宋" w:hAnsi="仿宋" w:eastAsia="仿宋" w:cs="仿宋"/>
          <w:szCs w:val="21"/>
          <w:highlight w:val="none"/>
        </w:rPr>
        <w:t>投标。现就联合体投标事宜订立如下协议。</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（某成员单位名称）为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（联合体名称）牵头人。</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3、联合体将严格按照招标文件的各项要求，递交投标文件，履行合同，并对外承担连带责任。</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4、联合体各成员单位内部的职责分工如下：</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5、本协议书自签署之日起生效，合同履行完毕后自动失效。 </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6、本协议书一式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份，联合体成员和招标人各执一份。</w:t>
      </w:r>
    </w:p>
    <w:p>
      <w:pPr>
        <w:topLinePunct/>
        <w:spacing w:line="360" w:lineRule="auto"/>
        <w:ind w:firstLine="420" w:firstLineChars="200"/>
        <w:rPr>
          <w:rFonts w:hint="eastAsia" w:ascii="仿宋" w:hAnsi="仿宋" w:eastAsia="仿宋" w:cs="仿宋"/>
          <w:szCs w:val="21"/>
          <w:highlight w:val="none"/>
        </w:rPr>
      </w:pP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注：本协议书由委托代理人签字的，应附法定代表人签字的授权委托书。</w:t>
      </w:r>
    </w:p>
    <w:p>
      <w:pPr>
        <w:topLinePunct/>
        <w:spacing w:line="360" w:lineRule="auto"/>
        <w:ind w:firstLine="420" w:firstLineChars="200"/>
        <w:rPr>
          <w:rFonts w:hint="eastAsia" w:ascii="仿宋" w:hAnsi="仿宋" w:eastAsia="仿宋" w:cs="仿宋"/>
          <w:szCs w:val="21"/>
          <w:highlight w:val="none"/>
        </w:rPr>
      </w:pP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牵头人名称：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p>
    <w:p>
      <w:pPr>
        <w:topLinePunct/>
        <w:spacing w:line="360" w:lineRule="auto"/>
        <w:ind w:firstLine="420" w:firstLineChars="200"/>
        <w:rPr>
          <w:rFonts w:hint="eastAsia" w:ascii="仿宋" w:hAnsi="仿宋" w:eastAsia="仿宋" w:cs="仿宋"/>
          <w:szCs w:val="21"/>
          <w:highlight w:val="none"/>
        </w:rPr>
      </w:pP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成员一名称：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hint="eastAsia" w:ascii="仿宋" w:hAnsi="仿宋" w:eastAsia="仿宋" w:cs="仿宋"/>
          <w:highlight w:val="none"/>
        </w:rPr>
      </w:pPr>
    </w:p>
    <w:p>
      <w:pPr>
        <w:pStyle w:val="3"/>
        <w:spacing w:before="62" w:beforeLines="20" w:after="62" w:afterLines="20" w:line="360" w:lineRule="auto"/>
        <w:jc w:val="center"/>
        <w:rPr>
          <w:rFonts w:hint="eastAsia" w:ascii="仿宋" w:hAnsi="仿宋" w:eastAsia="仿宋" w:cs="仿宋"/>
          <w:highlight w:val="none"/>
        </w:rPr>
      </w:pPr>
      <w:r>
        <w:rPr>
          <w:rFonts w:hint="eastAsia" w:ascii="仿宋" w:hAnsi="仿宋" w:eastAsia="仿宋" w:cs="仿宋"/>
          <w:highlight w:val="none"/>
        </w:rPr>
        <w:br w:type="page"/>
      </w:r>
      <w:bookmarkStart w:id="22" w:name="_Toc57732040"/>
      <w:r>
        <w:rPr>
          <w:rFonts w:hint="eastAsia" w:ascii="仿宋" w:hAnsi="仿宋" w:eastAsia="仿宋" w:cs="仿宋"/>
          <w:highlight w:val="none"/>
        </w:rPr>
        <w:t>第二章 投标人须知</w:t>
      </w:r>
      <w:bookmarkEnd w:id="22"/>
    </w:p>
    <w:p>
      <w:pPr>
        <w:pStyle w:val="4"/>
        <w:rPr>
          <w:rFonts w:hint="eastAsia" w:ascii="仿宋" w:hAnsi="仿宋" w:eastAsia="仿宋" w:cs="仿宋"/>
          <w:highlight w:val="none"/>
        </w:rPr>
      </w:pPr>
      <w:r>
        <w:rPr>
          <w:rFonts w:hint="eastAsia" w:ascii="仿宋" w:hAnsi="仿宋" w:eastAsia="仿宋" w:cs="仿宋"/>
          <w:highlight w:val="none"/>
        </w:rPr>
        <w:t>投标人须知前附表</w:t>
      </w:r>
    </w:p>
    <w:tbl>
      <w:tblPr>
        <w:tblStyle w:val="37"/>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1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8" w:type="dxa"/>
          </w:tcPr>
          <w:p>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条款号</w:t>
            </w:r>
          </w:p>
        </w:tc>
        <w:tc>
          <w:tcPr>
            <w:tcW w:w="2818" w:type="dxa"/>
          </w:tcPr>
          <w:p>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条款名称</w:t>
            </w:r>
          </w:p>
        </w:tc>
        <w:tc>
          <w:tcPr>
            <w:tcW w:w="5891" w:type="dxa"/>
          </w:tcPr>
          <w:p>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1.1.2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招标人</w:t>
            </w:r>
          </w:p>
        </w:tc>
        <w:tc>
          <w:tcPr>
            <w:tcW w:w="5891" w:type="dxa"/>
            <w:vAlign w:val="center"/>
          </w:tcPr>
          <w:p>
            <w:pPr>
              <w:spacing w:line="360" w:lineRule="auto"/>
              <w:rPr>
                <w:rFonts w:hint="eastAsia" w:ascii="仿宋" w:hAnsi="仿宋" w:eastAsia="仿宋" w:cs="仿宋"/>
                <w:szCs w:val="21"/>
                <w:highlight w:val="none"/>
                <w:u w:val="singl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u w:val="single"/>
                <w:lang w:eastAsia="zh-CN"/>
              </w:rPr>
              <w:t>广东汕尾红海湾经济开发区东洲街道办事处</w:t>
            </w:r>
          </w:p>
          <w:p>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u w:val="single"/>
                <w:lang w:eastAsia="zh-CN"/>
              </w:rPr>
              <w:t>广东汕尾红海湾经济开发区东洲街道办事处</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联系人：</w:t>
            </w:r>
            <w:r>
              <w:rPr>
                <w:rFonts w:hint="eastAsia" w:ascii="仿宋" w:hAnsi="仿宋" w:eastAsia="仿宋" w:cs="仿宋"/>
                <w:szCs w:val="21"/>
                <w:highlight w:val="none"/>
                <w:u w:val="single"/>
                <w:lang w:val="en-US" w:eastAsia="zh-CN"/>
              </w:rPr>
              <w:t>安</w:t>
            </w:r>
            <w:r>
              <w:rPr>
                <w:rFonts w:hint="eastAsia" w:ascii="仿宋" w:hAnsi="仿宋" w:eastAsia="仿宋" w:cs="仿宋"/>
                <w:szCs w:val="21"/>
                <w:highlight w:val="none"/>
                <w:u w:val="single"/>
                <w:lang w:eastAsia="zh-CN"/>
              </w:rPr>
              <w:t>工</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电话：</w:t>
            </w:r>
            <w:r>
              <w:rPr>
                <w:rFonts w:hint="eastAsia" w:ascii="仿宋" w:hAnsi="仿宋" w:eastAsia="仿宋" w:cs="仿宋"/>
                <w:szCs w:val="21"/>
                <w:highlight w:val="none"/>
                <w:u w:val="single"/>
              </w:rPr>
              <w:t>0660-3426999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1.1.3</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招标代理机构</w:t>
            </w:r>
          </w:p>
        </w:tc>
        <w:tc>
          <w:tcPr>
            <w:tcW w:w="5891" w:type="dxa"/>
            <w:vAlign w:val="center"/>
          </w:tcPr>
          <w:p>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u w:val="single"/>
                <w:lang w:eastAsia="zh-CN"/>
              </w:rPr>
              <w:t>广州兴华建设监理有限公司</w:t>
            </w:r>
          </w:p>
          <w:p>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u w:val="single"/>
                <w:lang w:eastAsia="zh-CN"/>
              </w:rPr>
              <w:t>广州市越秀区寺右新马路南二街18号</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联系人：</w:t>
            </w:r>
            <w:r>
              <w:rPr>
                <w:rFonts w:hint="eastAsia" w:ascii="仿宋" w:hAnsi="仿宋" w:eastAsia="仿宋" w:cs="仿宋"/>
                <w:highlight w:val="none"/>
                <w:u w:val="single"/>
                <w:lang w:eastAsia="zh-CN"/>
              </w:rPr>
              <w:t>方工</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电话：</w:t>
            </w:r>
            <w:r>
              <w:rPr>
                <w:rFonts w:hint="eastAsia" w:ascii="仿宋" w:hAnsi="仿宋" w:eastAsia="仿宋" w:cs="仿宋"/>
                <w:highlight w:val="none"/>
                <w:u w:val="single"/>
                <w:lang w:eastAsia="zh-CN"/>
              </w:rPr>
              <w:t>18124206513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1.1.4</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招标项目名称</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lang w:eastAsia="zh-CN"/>
              </w:rPr>
              <w:t>汕尾红海湾经济开发区东洲街道美丽圩镇建设项目</w:t>
            </w:r>
            <w:r>
              <w:rPr>
                <w:rFonts w:hint="eastAsia" w:ascii="仿宋" w:hAnsi="仿宋" w:eastAsia="仿宋" w:cs="仿宋"/>
                <w:szCs w:val="21"/>
                <w:highlight w:val="none"/>
                <w:u w:val="single"/>
              </w:rPr>
              <w:t>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1.1.5</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项目建设地点</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1.1.6</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项目建设规模</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1.1.7</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项目投资估算</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1.2.1</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资金来源及比例</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1.2.2</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资金落实情况</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1.3.1</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招标范围</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1.3.2</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服务期限</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服务期限详见招标公告。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1.3.3</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质量标准</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须满足国家相关规范及合同要求。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1.4.1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投标人资质条件、能力、</w:t>
            </w:r>
          </w:p>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信誉</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（1）资质要求：</w:t>
            </w:r>
            <w:r>
              <w:rPr>
                <w:rFonts w:hint="eastAsia" w:ascii="仿宋" w:hAnsi="仿宋" w:eastAsia="仿宋" w:cs="仿宋"/>
                <w:szCs w:val="21"/>
                <w:highlight w:val="none"/>
                <w:u w:val="single"/>
              </w:rPr>
              <w:t>见招标公告投标人资格要求。</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（2）财务要求：</w:t>
            </w:r>
            <w:r>
              <w:rPr>
                <w:rFonts w:hint="eastAsia" w:ascii="仿宋" w:hAnsi="仿宋" w:eastAsia="仿宋" w:cs="仿宋"/>
                <w:szCs w:val="21"/>
                <w:highlight w:val="none"/>
                <w:u w:val="single"/>
              </w:rPr>
              <w:t xml:space="preserve">            /           。</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（3）业绩要求：</w:t>
            </w:r>
            <w:r>
              <w:rPr>
                <w:rFonts w:hint="eastAsia" w:ascii="仿宋" w:hAnsi="仿宋" w:eastAsia="仿宋" w:cs="仿宋"/>
                <w:szCs w:val="21"/>
                <w:highlight w:val="none"/>
                <w:u w:val="single"/>
              </w:rPr>
              <w:t xml:space="preserve">            /           。</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（4）信誉要求：</w:t>
            </w:r>
            <w:r>
              <w:rPr>
                <w:rFonts w:hint="eastAsia" w:ascii="仿宋" w:hAnsi="仿宋" w:eastAsia="仿宋" w:cs="仿宋"/>
                <w:szCs w:val="21"/>
                <w:highlight w:val="none"/>
                <w:u w:val="single"/>
              </w:rPr>
              <w:t>见招标公告投标人资格要求。</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（5）项目负责人的资格要求：</w:t>
            </w:r>
            <w:r>
              <w:rPr>
                <w:rFonts w:hint="eastAsia" w:ascii="仿宋" w:hAnsi="仿宋" w:eastAsia="仿宋" w:cs="仿宋"/>
                <w:szCs w:val="21"/>
                <w:highlight w:val="none"/>
                <w:u w:val="single"/>
              </w:rPr>
              <w:t>见招标公告投标人资格要求。</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（6）其他主要人员要求：</w:t>
            </w:r>
            <w:r>
              <w:rPr>
                <w:rFonts w:hint="eastAsia" w:ascii="仿宋" w:hAnsi="仿宋" w:eastAsia="仿宋" w:cs="仿宋"/>
                <w:szCs w:val="21"/>
                <w:highlight w:val="none"/>
                <w:u w:val="single"/>
              </w:rPr>
              <w:t>/。</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（7）其他要求：</w:t>
            </w:r>
            <w:r>
              <w:rPr>
                <w:rFonts w:hint="eastAsia" w:ascii="仿宋" w:hAnsi="仿宋" w:eastAsia="仿宋" w:cs="仿宋"/>
                <w:szCs w:val="21"/>
                <w:highlight w:val="none"/>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1.4.2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是否接受联合体投标</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□不接受</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接受，应满足下列要求：</w:t>
            </w:r>
            <w:r>
              <w:rPr>
                <w:rFonts w:hint="eastAsia" w:ascii="仿宋" w:hAnsi="仿宋" w:eastAsia="仿宋" w:cs="仿宋"/>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1.4.3</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投标人不得存在的其他情形</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1.9.1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踏勘现场</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不组织</w:t>
            </w:r>
            <w:r>
              <w:rPr>
                <w:rFonts w:hint="eastAsia" w:ascii="仿宋" w:hAnsi="仿宋" w:eastAsia="仿宋" w:cs="仿宋"/>
                <w:szCs w:val="21"/>
                <w:highlight w:val="none"/>
                <w:u w:val="single"/>
              </w:rPr>
              <w:t>，不安排统一考察，由投标人自行考察。</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□组织，踏勘时间：</w:t>
            </w:r>
          </w:p>
          <w:p>
            <w:pPr>
              <w:spacing w:line="360" w:lineRule="auto"/>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1.10.1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投标预备会</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不召开</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□召开，召开时间：</w:t>
            </w:r>
          </w:p>
          <w:p>
            <w:pPr>
              <w:spacing w:line="360" w:lineRule="auto"/>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1.10.2</w:t>
            </w:r>
          </w:p>
        </w:tc>
        <w:tc>
          <w:tcPr>
            <w:tcW w:w="2818" w:type="dxa"/>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投标人在投标预备会前提出问题</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spacing w:line="360" w:lineRule="auto"/>
              <w:jc w:val="center"/>
              <w:rPr>
                <w:rFonts w:hint="eastAsia" w:ascii="仿宋" w:hAnsi="仿宋" w:eastAsia="仿宋" w:cs="仿宋"/>
                <w:szCs w:val="21"/>
                <w:highlight w:val="none"/>
              </w:rPr>
            </w:pPr>
          </w:p>
        </w:tc>
        <w:tc>
          <w:tcPr>
            <w:tcW w:w="2818" w:type="dxa"/>
            <w:vMerge w:val="continue"/>
            <w:vAlign w:val="center"/>
          </w:tcPr>
          <w:p>
            <w:pPr>
              <w:spacing w:line="360" w:lineRule="auto"/>
              <w:jc w:val="center"/>
              <w:rPr>
                <w:rFonts w:hint="eastAsia" w:ascii="仿宋" w:hAnsi="仿宋" w:eastAsia="仿宋" w:cs="仿宋"/>
                <w:szCs w:val="21"/>
                <w:highlight w:val="none"/>
              </w:rPr>
            </w:pP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形式：</w:t>
            </w: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1.10.3</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招标文件澄清发出的形式</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 xml:space="preserve">   /  （此为投标预备会的答疑澄清）。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1.11.1</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分包</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不允许</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□允许，分包内容要求：/</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分包金额要求：</w:t>
            </w:r>
            <w:r>
              <w:rPr>
                <w:rFonts w:hint="eastAsia" w:ascii="仿宋" w:hAnsi="仿宋" w:eastAsia="仿宋" w:cs="仿宋"/>
                <w:szCs w:val="21"/>
                <w:highlight w:val="none"/>
                <w:u w:val="single"/>
              </w:rPr>
              <w:t>/</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对分包人的资质要求：</w:t>
            </w:r>
            <w:r>
              <w:rPr>
                <w:rFonts w:hint="eastAsia" w:ascii="仿宋" w:hAnsi="仿宋" w:eastAsia="仿宋" w:cs="仿宋"/>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1.12.1</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实质性要求和条件</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1.12.3</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偏差</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不允许</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允许</w:t>
            </w:r>
          </w:p>
          <w:p>
            <w:pPr>
              <w:spacing w:line="360" w:lineRule="auto"/>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t>偏差幅度：</w:t>
            </w: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构成招标文件的其他资料</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2.2.1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投标人要求澄清招标文件</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 xml:space="preserve">详见招标公告-日程安排。 </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招标人澄清截止时间：投标截止时间至少 15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招标文件澄清发出的形式</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本项目的招标文件澄清及答疑文件在广州公共资源交易中心网站上发布，投标人自行下载。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88" w:type="dxa"/>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2.2.3</w:t>
            </w:r>
          </w:p>
        </w:tc>
        <w:tc>
          <w:tcPr>
            <w:tcW w:w="2818" w:type="dxa"/>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投标人确认收到招标文件</w:t>
            </w:r>
          </w:p>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澄清</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发出即视作收到。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88" w:type="dxa"/>
            <w:vMerge w:val="continue"/>
            <w:vAlign w:val="center"/>
          </w:tcPr>
          <w:p>
            <w:pPr>
              <w:spacing w:line="360" w:lineRule="auto"/>
              <w:jc w:val="center"/>
              <w:rPr>
                <w:rFonts w:hint="eastAsia" w:ascii="仿宋" w:hAnsi="仿宋" w:eastAsia="仿宋" w:cs="仿宋"/>
                <w:szCs w:val="21"/>
                <w:highlight w:val="none"/>
              </w:rPr>
            </w:pPr>
          </w:p>
        </w:tc>
        <w:tc>
          <w:tcPr>
            <w:tcW w:w="2818" w:type="dxa"/>
            <w:vMerge w:val="continue"/>
            <w:vAlign w:val="center"/>
          </w:tcPr>
          <w:p>
            <w:pPr>
              <w:spacing w:line="360" w:lineRule="auto"/>
              <w:jc w:val="center"/>
              <w:rPr>
                <w:rFonts w:hint="eastAsia" w:ascii="仿宋" w:hAnsi="仿宋" w:eastAsia="仿宋" w:cs="仿宋"/>
                <w:szCs w:val="21"/>
                <w:highlight w:val="none"/>
              </w:rPr>
            </w:pP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形式：</w:t>
            </w:r>
            <w:r>
              <w:rPr>
                <w:rFonts w:hint="eastAsia" w:ascii="仿宋" w:hAnsi="仿宋" w:eastAsia="仿宋" w:cs="仿宋"/>
                <w:szCs w:val="21"/>
                <w:highlight w:val="none"/>
                <w:u w:val="single"/>
              </w:rPr>
              <w:t>本项目的招标文件澄清及答疑文件一经在广州公共资源交易中心网站发布，视作已发放给所有投标人。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2.3.1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招标文件修改发出的形式</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88" w:type="dxa"/>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2.3.2</w:t>
            </w:r>
          </w:p>
        </w:tc>
        <w:tc>
          <w:tcPr>
            <w:tcW w:w="2818" w:type="dxa"/>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投标人确认收到招标文件</w:t>
            </w:r>
          </w:p>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修改</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发出即视作收到。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88" w:type="dxa"/>
            <w:vMerge w:val="continue"/>
            <w:vAlign w:val="center"/>
          </w:tcPr>
          <w:p>
            <w:pPr>
              <w:spacing w:line="360" w:lineRule="auto"/>
              <w:jc w:val="center"/>
              <w:rPr>
                <w:rFonts w:hint="eastAsia" w:ascii="仿宋" w:hAnsi="仿宋" w:eastAsia="仿宋" w:cs="仿宋"/>
                <w:szCs w:val="21"/>
                <w:highlight w:val="none"/>
              </w:rPr>
            </w:pPr>
          </w:p>
        </w:tc>
        <w:tc>
          <w:tcPr>
            <w:tcW w:w="2818" w:type="dxa"/>
            <w:vMerge w:val="continue"/>
            <w:vAlign w:val="center"/>
          </w:tcPr>
          <w:p>
            <w:pPr>
              <w:spacing w:line="360" w:lineRule="auto"/>
              <w:jc w:val="center"/>
              <w:rPr>
                <w:rFonts w:hint="eastAsia" w:ascii="仿宋" w:hAnsi="仿宋" w:eastAsia="仿宋" w:cs="仿宋"/>
                <w:szCs w:val="21"/>
                <w:highlight w:val="none"/>
              </w:rPr>
            </w:pP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形式：</w:t>
            </w:r>
            <w:r>
              <w:rPr>
                <w:rFonts w:hint="eastAsia" w:ascii="仿宋" w:hAnsi="仿宋" w:eastAsia="仿宋" w:cs="仿宋"/>
                <w:szCs w:val="21"/>
                <w:highlight w:val="none"/>
                <w:u w:val="single"/>
              </w:rPr>
              <w:t>招标文件修改一经在广州公共资源交易中心网站发布，视作已发放给所有投标人，无需确认。潜在投标人应自行关注招标公告公布的网站公告，招标人不再逐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3.2.3</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报价方式</w:t>
            </w:r>
          </w:p>
        </w:tc>
        <w:tc>
          <w:tcPr>
            <w:tcW w:w="5891" w:type="dxa"/>
            <w:vAlign w:val="center"/>
          </w:tcPr>
          <w:p>
            <w:pPr>
              <w:spacing w:line="360" w:lineRule="auto"/>
              <w:rPr>
                <w:rFonts w:hint="eastAsia" w:ascii="仿宋" w:hAnsi="仿宋" w:eastAsia="仿宋" w:cs="仿宋"/>
                <w:bCs/>
                <w:szCs w:val="21"/>
                <w:highlight w:val="none"/>
                <w:u w:val="single"/>
              </w:rPr>
            </w:pPr>
            <w:r>
              <w:rPr>
                <w:rFonts w:hint="eastAsia" w:ascii="仿宋" w:hAnsi="仿宋" w:eastAsia="仿宋" w:cs="仿宋"/>
                <w:bCs/>
                <w:szCs w:val="21"/>
                <w:highlight w:val="none"/>
                <w:u w:val="single"/>
              </w:rPr>
              <w:t>1.投标综合下浮率：各单项服务费暂定价乘以各单项下浮率得出各单项服务费下浮金额，各单项服务费下浮金额之和除以项目总暂定价。</w:t>
            </w:r>
          </w:p>
          <w:p>
            <w:pPr>
              <w:spacing w:line="360" w:lineRule="auto"/>
              <w:rPr>
                <w:rFonts w:hint="eastAsia" w:ascii="仿宋" w:hAnsi="仿宋" w:eastAsia="仿宋" w:cs="仿宋"/>
                <w:b/>
                <w:szCs w:val="21"/>
                <w:highlight w:val="none"/>
                <w:u w:val="single"/>
              </w:rPr>
            </w:pPr>
            <w:r>
              <w:rPr>
                <w:rFonts w:hint="eastAsia" w:ascii="仿宋" w:hAnsi="仿宋" w:eastAsia="仿宋" w:cs="仿宋"/>
                <w:bCs/>
                <w:szCs w:val="21"/>
                <w:highlight w:val="none"/>
                <w:u w:val="single"/>
              </w:rPr>
              <w:t>2.各单项服务报价以元为单位，各单项服务报价、下浮率小数点后保留二位小数，第三位小数四舍五入，如各单项服务报价与各单项下浮率计算结果不一致，以各单项下浮率与各单项服务暂定价修正各单项服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3.2.4</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最高投标限价</w:t>
            </w:r>
          </w:p>
        </w:tc>
        <w:tc>
          <w:tcPr>
            <w:tcW w:w="5891" w:type="dxa"/>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□无</w:t>
            </w:r>
          </w:p>
          <w:p>
            <w:pPr>
              <w:spacing w:line="360" w:lineRule="exact"/>
              <w:rPr>
                <w:rFonts w:hint="eastAsia" w:ascii="仿宋" w:hAnsi="仿宋" w:eastAsia="仿宋" w:cs="仿宋"/>
                <w:b/>
                <w:szCs w:val="21"/>
                <w:highlight w:val="none"/>
                <w:u w:val="singl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有，最高投标限价：</w:t>
            </w:r>
            <w:r>
              <w:rPr>
                <w:rFonts w:hint="eastAsia" w:ascii="仿宋" w:hAnsi="仿宋" w:eastAsia="仿宋" w:cs="仿宋"/>
                <w:b/>
                <w:highlight w:val="none"/>
                <w:u w:val="single"/>
              </w:rPr>
              <w:t>详见招标公告。</w:t>
            </w:r>
          </w:p>
          <w:p>
            <w:pPr>
              <w:spacing w:line="360" w:lineRule="exact"/>
              <w:rPr>
                <w:rFonts w:hint="eastAsia" w:ascii="仿宋" w:hAnsi="仿宋" w:eastAsia="仿宋" w:cs="仿宋"/>
                <w:szCs w:val="21"/>
                <w:highlight w:val="none"/>
                <w:u w:val="single"/>
              </w:rPr>
            </w:pPr>
            <w:r>
              <w:rPr>
                <w:rFonts w:hint="eastAsia" w:ascii="仿宋" w:hAnsi="仿宋" w:eastAsia="仿宋" w:cs="仿宋"/>
                <w:szCs w:val="21"/>
                <w:highlight w:val="none"/>
                <w:u w:val="single"/>
              </w:rPr>
              <w:t>注：投标总报价及分项投标报价不得超过最高投标限价及对应的分项最高投标限价。投标总报价及分项投标报价超过最高投标限价及对应的分项最高投标限价的投标文件将被拒绝。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3.2.5</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投标报价的其他要求</w:t>
            </w:r>
          </w:p>
        </w:tc>
        <w:tc>
          <w:tcPr>
            <w:tcW w:w="5891" w:type="dxa"/>
            <w:vAlign w:val="center"/>
          </w:tcPr>
          <w:p>
            <w:pPr>
              <w:spacing w:line="360" w:lineRule="auto"/>
              <w:rPr>
                <w:rFonts w:hint="eastAsia" w:ascii="仿宋" w:hAnsi="仿宋" w:eastAsia="仿宋" w:cs="仿宋"/>
                <w:b/>
                <w:szCs w:val="21"/>
                <w:highlight w:val="none"/>
                <w:u w:val="single"/>
              </w:rPr>
            </w:pPr>
            <w:r>
              <w:rPr>
                <w:rFonts w:hint="eastAsia" w:ascii="仿宋" w:hAnsi="仿宋" w:eastAsia="仿宋" w:cs="仿宋"/>
                <w:szCs w:val="21"/>
                <w:highlight w:val="none"/>
              </w:rPr>
              <w:t>投标人必须详细审阅全部招标文件及相关文件,充分考虑职责和义务,全面地理解招标文件对投标报价的要求,并按招标人提出的条件及内容进行报价。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3.3.1</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120日历天（从提交投标截止之日起计算。如出现异议或投诉，则投标有效期自动延长至异议或投诉处理结束）。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3.4.1</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投标保证金</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是否要求投标人递交投标保证金：</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sym w:font="Wingdings 2" w:char="F0A3"/>
            </w:r>
            <w:r>
              <w:rPr>
                <w:rFonts w:hint="eastAsia" w:ascii="仿宋" w:hAnsi="仿宋" w:eastAsia="仿宋" w:cs="仿宋"/>
                <w:szCs w:val="21"/>
                <w:highlight w:val="none"/>
              </w:rPr>
              <w:t>不要求递交投标保证金。</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sym w:font="Wingdings 2" w:char="F052"/>
            </w:r>
            <w:r>
              <w:rPr>
                <w:rFonts w:hint="eastAsia" w:ascii="仿宋" w:hAnsi="仿宋" w:eastAsia="仿宋" w:cs="仿宋"/>
                <w:szCs w:val="21"/>
                <w:highlight w:val="none"/>
              </w:rPr>
              <w:t>要求递交投标保证金。</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投标保证金的金额：</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万元人民币。</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投标保证金有效期：与投标有效期一致。</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具体要求：</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1、投标保证金的形式：银行转账（汇款）或保函或担保公司保函或保证保险；</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1.1投标人提交的投标保证金应以汇款或转账形式全额从其基本账户转入广州公共资源交易中心的投标保证金专用账户。投标人用汇款方式提交保证金的，必须从投标单位的基本账户汇入下面招标人指定的银行帐户。</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开户名称：广州交易集团有限公司</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开户银行：中国建设银行广州天润路支行</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帐 号：44001583404059333333</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投标保证金必须在开标截止前到帐，并将项目保证金确认回执复印件放入投标文件中，不能提供者按未缴纳投标保证金处理。</w:t>
            </w:r>
          </w:p>
          <w:p>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如是联合体，应从</w:t>
            </w:r>
            <w:r>
              <w:rPr>
                <w:rFonts w:hint="eastAsia" w:ascii="仿宋" w:hAnsi="仿宋" w:eastAsia="仿宋" w:cs="仿宋"/>
                <w:szCs w:val="21"/>
                <w:highlight w:val="none"/>
                <w:lang w:val="en-US" w:eastAsia="zh-CN"/>
              </w:rPr>
              <w:t>牵头方</w:t>
            </w:r>
            <w:r>
              <w:rPr>
                <w:rFonts w:hint="eastAsia" w:ascii="仿宋" w:hAnsi="仿宋" w:eastAsia="仿宋" w:cs="仿宋"/>
                <w:szCs w:val="21"/>
                <w:highlight w:val="none"/>
              </w:rPr>
              <w:t>的基本账户汇出</w:t>
            </w:r>
            <w:r>
              <w:rPr>
                <w:rFonts w:hint="eastAsia" w:ascii="仿宋" w:hAnsi="仿宋" w:eastAsia="仿宋" w:cs="仿宋"/>
                <w:szCs w:val="21"/>
                <w:highlight w:val="none"/>
                <w:lang w:eastAsia="zh-CN"/>
              </w:rPr>
              <w:t>。</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）投标人只能通过已在交易中心登记备案的基本户向中心 建设工程保证金结算账户汇入保证金。</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）汇入保证金需投标人在交易系统中完成项目绑定操作方 能被认定为完成缴交保证金义务。</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）具体操作流程：详见广州公共资源交易中心网站最新操作指引。</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1.2采用保函/保证保险形式的：</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（1）保函/保证保险需由银行/专业保险机构出具，格式自拟。 原件应在开标现场提交给招标人或招标代理机构。</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保函中须表明本招标文件的项目名称，所提供的的担保金额需等于本次招标所要求的投标担保数额，保函有效期须等于或大于本招标文件规定的投标有效期。如提供的保函不符合要求的，则视为无效投标担保，其递交的投标文件一律视作无效投标文件。</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2、投标保证金的退还：</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2.1招标人与中标人签订书面合同后的5日内，投标保证金及 银行同期存款利息由公共资源交易中心退还中标人和未中标 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3.5</w:t>
            </w:r>
          </w:p>
        </w:tc>
        <w:tc>
          <w:tcPr>
            <w:tcW w:w="2818"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资格审查资料的特殊要求</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□无</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有，具体要求：</w:t>
            </w:r>
            <w:r>
              <w:rPr>
                <w:rFonts w:hint="eastAsia" w:ascii="仿宋" w:hAnsi="仿宋" w:eastAsia="仿宋" w:cs="仿宋"/>
                <w:szCs w:val="21"/>
                <w:highlight w:val="none"/>
                <w:u w:val="single"/>
              </w:rPr>
              <w:t>按招标公告、招标文件相应章节的要求。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3.5.2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 xml:space="preserve"> 2020年或2021年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3.5.3</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近年完成的类似项目情况的时间要求</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3.5.5</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近年发生的诉讼及仲裁情况的时间要求</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3.6.1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不允许</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3.7.3（A）</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投标文件签字或盖章要求</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纸质投标文件：招标文件提供的投标格式中规定要求签名、盖章的地方均须由投标人的法定代表人或其授权代理人签名或盖章并加盖投标人公章，并加盖骑缝章。投标文件副本可以是经签署盖章后的正本的复印件。</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投标文件正、副本封面必须加盖投标人公章，并经投标人法定代表人或其授权代理人签名或盖章。</w:t>
            </w:r>
          </w:p>
          <w:p>
            <w:pPr>
              <w:spacing w:line="360" w:lineRule="auto"/>
              <w:rPr>
                <w:rFonts w:hint="eastAsia"/>
                <w:highlight w:val="none"/>
              </w:rPr>
            </w:pPr>
            <w:r>
              <w:rPr>
                <w:rFonts w:hint="eastAsia" w:ascii="仿宋" w:hAnsi="仿宋" w:eastAsia="仿宋" w:cs="仿宋"/>
                <w:szCs w:val="21"/>
                <w:highlight w:val="none"/>
              </w:rPr>
              <w:t>联合体投标的除联合体协议外，其他投标文件须签署与盖章部分(包括投标文件封面)可由联合体牵头人法定代表人或其授权代表签字、由联合体牵头人盖章。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3.7.3A（2）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投标文件份数及其他要求</w:t>
            </w:r>
          </w:p>
        </w:tc>
        <w:tc>
          <w:tcPr>
            <w:tcW w:w="5891" w:type="dxa"/>
          </w:tcPr>
          <w:p>
            <w:pPr>
              <w:pStyle w:val="50"/>
              <w:spacing w:before="142"/>
              <w:rPr>
                <w:rFonts w:hint="eastAsia" w:ascii="仿宋" w:hAnsi="仿宋" w:eastAsia="仿宋" w:cs="仿宋"/>
                <w:sz w:val="21"/>
                <w:szCs w:val="21"/>
                <w:highlight w:val="none"/>
              </w:rPr>
            </w:pPr>
            <w:r>
              <w:rPr>
                <w:rFonts w:hint="eastAsia" w:ascii="仿宋" w:hAnsi="仿宋" w:eastAsia="仿宋" w:cs="仿宋"/>
                <w:sz w:val="21"/>
                <w:szCs w:val="21"/>
                <w:highlight w:val="none"/>
              </w:rPr>
              <w:t>投标文件份数：正本一份，副本四份</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是否要求提交电子版文件：电子投标文件（U盘）一份</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其他要求：</w:t>
            </w:r>
            <w:r>
              <w:rPr>
                <w:rFonts w:hint="eastAsia" w:ascii="仿宋" w:hAnsi="仿宋" w:eastAsia="仿宋" w:cs="仿宋"/>
                <w:szCs w:val="21"/>
                <w:highlight w:val="none"/>
                <w:u w:val="single"/>
              </w:rPr>
              <w:t>电子投标文件（U盘）：投标人须将盖章签名后的投标文件商务文件和技术文件扫描成PDF版一并打包储存于U盘，不加密。随同投标文件一起提交。投标人应确保电子文件（U盘）内容与投标文件内容一致，U盘无损坏。若出现因递交的电子文件（U盘）损坏而无法读取其内容，后果由投标人自负（开标结束后投标文件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3.7.3A（3）</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投标文件是否需分册装订</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 xml:space="preserve">   /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4.1.1（A）</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投标文件的密封与标记</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1.为方便开标时唱标，投标人应将《</w:t>
            </w:r>
            <w:bookmarkStart w:id="23" w:name="_Hlk71358909"/>
            <w:r>
              <w:rPr>
                <w:rFonts w:hint="eastAsia" w:ascii="仿宋" w:hAnsi="仿宋" w:eastAsia="仿宋" w:cs="仿宋"/>
                <w:szCs w:val="21"/>
                <w:highlight w:val="none"/>
              </w:rPr>
              <w:t>投标一览表</w:t>
            </w:r>
            <w:bookmarkEnd w:id="23"/>
            <w:r>
              <w:rPr>
                <w:rFonts w:hint="eastAsia" w:ascii="仿宋" w:hAnsi="仿宋" w:eastAsia="仿宋" w:cs="仿宋"/>
                <w:szCs w:val="21"/>
                <w:highlight w:val="none"/>
              </w:rPr>
              <w:t>》一份单独密封提交，并在信封上清晰标明“开标信封”字样。</w:t>
            </w:r>
            <w:bookmarkStart w:id="24" w:name="_Hlk71622920"/>
            <w:r>
              <w:rPr>
                <w:rFonts w:hint="eastAsia" w:ascii="仿宋" w:hAnsi="仿宋" w:eastAsia="仿宋" w:cs="仿宋"/>
                <w:szCs w:val="21"/>
                <w:highlight w:val="none"/>
              </w:rPr>
              <w:t>投标文件的正本、副本、电子投标文件，均应密封在同一密封包中。若上述资料确实无法密封在同一密封包中，则可按实际情况分开密封，但须在密封包装上标明密封内容。</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4.1.2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封套上应载明的信息</w:t>
            </w:r>
          </w:p>
        </w:tc>
        <w:tc>
          <w:tcPr>
            <w:tcW w:w="5891" w:type="dxa"/>
            <w:vAlign w:val="center"/>
          </w:tcPr>
          <w:p>
            <w:pPr>
              <w:spacing w:line="360" w:lineRule="auto"/>
              <w:rPr>
                <w:rFonts w:hint="eastAsia" w:ascii="仿宋" w:hAnsi="仿宋" w:eastAsia="仿宋" w:cs="仿宋"/>
                <w:bCs/>
                <w:szCs w:val="21"/>
                <w:highlight w:val="none"/>
              </w:rPr>
            </w:pPr>
            <w:r>
              <w:rPr>
                <w:rFonts w:hint="eastAsia" w:ascii="仿宋" w:hAnsi="仿宋" w:eastAsia="仿宋" w:cs="仿宋"/>
                <w:szCs w:val="21"/>
                <w:highlight w:val="none"/>
              </w:rPr>
              <w:t>信封或外包装上应当注明项目名称和“在</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分（招标文件中规定的开标日期和时点）之前不得启封”的字样，封口处应加盖投标人公章或者由投标人的法定代表人或者其委托代理人签字。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4.2.1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投标截止时间</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截止时间：详见招标公告-日程安排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4.2.2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递交投标文件地点</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地点：广州公共资源交易中心（广州市天河区天润路333号），详见招标公告-日程安排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4.2.3</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投标文件是否退还</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否</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5.1（A）</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开标时间和地点</w:t>
            </w:r>
          </w:p>
        </w:tc>
        <w:tc>
          <w:tcPr>
            <w:tcW w:w="5891" w:type="dxa"/>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开标时间：详见招标公告-日程安排</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地点：广州公共资源交易中心（广州市天河区天润路333号）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开标程序</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5.2.1主持人按下列程序进行开标：</w:t>
            </w:r>
          </w:p>
          <w:p>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u w:val="single"/>
              </w:rPr>
              <w:t>（1）宣布开标纪律；</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（2）公布在投标截止时间前递交投标文件的投标人名称；</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（3）宣布开标人、唱标人、记录人、监标人等有关人员姓名；</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（4）</w:t>
            </w:r>
            <w:r>
              <w:rPr>
                <w:rFonts w:hint="eastAsia" w:ascii="仿宋" w:hAnsi="仿宋" w:eastAsia="仿宋" w:cs="仿宋"/>
                <w:highlight w:val="none"/>
                <w:u w:val="single"/>
              </w:rPr>
              <w:t>（</w:t>
            </w:r>
            <w:r>
              <w:rPr>
                <w:rFonts w:hint="eastAsia" w:ascii="仿宋" w:hAnsi="仿宋" w:eastAsia="仿宋" w:cs="仿宋"/>
                <w:spacing w:val="3"/>
                <w:highlight w:val="none"/>
                <w:u w:val="single"/>
              </w:rPr>
              <w:t>A</w:t>
            </w:r>
            <w:r>
              <w:rPr>
                <w:rFonts w:hint="eastAsia" w:ascii="仿宋" w:hAnsi="仿宋" w:eastAsia="仿宋" w:cs="仿宋"/>
                <w:highlight w:val="none"/>
                <w:u w:val="single"/>
              </w:rPr>
              <w:t>）检查投标文件的密封情况，按照投标人须知前附表规定的开标顺序当众开标，</w:t>
            </w:r>
            <w:r>
              <w:rPr>
                <w:rFonts w:hint="eastAsia" w:ascii="仿宋" w:hAnsi="仿宋" w:eastAsia="仿宋" w:cs="仿宋"/>
                <w:spacing w:val="-4"/>
                <w:highlight w:val="none"/>
                <w:u w:val="single"/>
              </w:rPr>
              <w:t>公布招标项目名称、投标人名称、投标保证金的递交情况、投标报价、设计服务期限及其他内</w:t>
            </w:r>
            <w:r>
              <w:rPr>
                <w:rFonts w:hint="eastAsia" w:ascii="仿宋" w:hAnsi="仿宋" w:eastAsia="仿宋" w:cs="仿宋"/>
                <w:spacing w:val="-3"/>
                <w:highlight w:val="none"/>
                <w:u w:val="single"/>
              </w:rPr>
              <w:t>容，并记录在案</w:t>
            </w:r>
            <w:r>
              <w:rPr>
                <w:rFonts w:hint="eastAsia" w:ascii="仿宋" w:hAnsi="仿宋" w:eastAsia="仿宋" w:cs="仿宋"/>
                <w:szCs w:val="21"/>
                <w:highlight w:val="none"/>
                <w:u w:val="single"/>
              </w:rPr>
              <w:t>；</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（5）（A）投标人代表、招标人代表、监标人、记录人等有关人员在开标记录上签字确认；</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（6）开标结束。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6.1.1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评标委员会的组建</w:t>
            </w:r>
          </w:p>
        </w:tc>
        <w:tc>
          <w:tcPr>
            <w:tcW w:w="5891" w:type="dxa"/>
            <w:vAlign w:val="center"/>
          </w:tcPr>
          <w:p>
            <w:pPr>
              <w:spacing w:line="360" w:lineRule="auto"/>
              <w:rPr>
                <w:rFonts w:hint="default" w:ascii="仿宋" w:hAnsi="仿宋" w:eastAsia="仿宋" w:cs="仿宋"/>
                <w:highlight w:val="none"/>
                <w:lang w:val="en-US" w:eastAsia="zh-CN"/>
              </w:rPr>
            </w:pPr>
            <w:r>
              <w:rPr>
                <w:rFonts w:hint="eastAsia" w:ascii="仿宋" w:hAnsi="仿宋" w:eastAsia="仿宋" w:cs="仿宋"/>
                <w:highlight w:val="none"/>
                <w:u w:val="single"/>
                <w:lang w:val="en-US" w:eastAsia="zh-CN"/>
              </w:rPr>
              <w:t>开标前由招标人依法组建评标委员会。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6.3.2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评标委员会推荐中标候选人的人数</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中标候选人公示媒介及期限</w:t>
            </w:r>
          </w:p>
        </w:tc>
        <w:tc>
          <w:tcPr>
            <w:tcW w:w="5891" w:type="dxa"/>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公示媒介：</w:t>
            </w:r>
            <w:r>
              <w:rPr>
                <w:rFonts w:hint="eastAsia" w:ascii="仿宋" w:hAnsi="仿宋" w:eastAsia="仿宋" w:cs="仿宋"/>
                <w:szCs w:val="21"/>
                <w:highlight w:val="none"/>
                <w:u w:val="single"/>
              </w:rPr>
              <w:t>广州公共资源交易中心网站、广东省招标投标监管网。</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公示期限：</w:t>
            </w:r>
            <w:r>
              <w:rPr>
                <w:rFonts w:hint="eastAsia" w:ascii="仿宋" w:hAnsi="仿宋" w:eastAsia="仿宋" w:cs="仿宋"/>
                <w:szCs w:val="21"/>
                <w:highlight w:val="none"/>
                <w:u w:val="single"/>
              </w:rPr>
              <w:t xml:space="preserve">    3    </w:t>
            </w:r>
            <w:r>
              <w:rPr>
                <w:rFonts w:hint="eastAsia" w:ascii="仿宋" w:hAnsi="仿宋" w:eastAsia="仿宋" w:cs="仿宋"/>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7.4</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fldChar w:fldCharType="begin"/>
            </w:r>
            <w:r>
              <w:rPr>
                <w:rFonts w:hint="eastAsia" w:ascii="仿宋" w:hAnsi="仿宋" w:eastAsia="仿宋" w:cs="仿宋"/>
                <w:szCs w:val="21"/>
                <w:highlight w:val="none"/>
                <w:u w:val="single"/>
              </w:rPr>
              <w:instrText xml:space="preserve"> eq \o\ac(□</w:instrText>
            </w:r>
            <w:r>
              <w:rPr>
                <w:rFonts w:hint="eastAsia" w:ascii="仿宋" w:hAnsi="仿宋" w:eastAsia="仿宋" w:cs="仿宋"/>
                <w:position w:val="1"/>
                <w:sz w:val="14"/>
                <w:szCs w:val="21"/>
                <w:highlight w:val="none"/>
                <w:u w:val="single"/>
              </w:rPr>
              <w:instrText xml:space="preserve">,</w:instrText>
            </w:r>
            <w:r>
              <w:rPr>
                <w:rFonts w:hint="eastAsia" w:ascii="仿宋" w:hAnsi="仿宋" w:eastAsia="仿宋" w:cs="仿宋"/>
                <w:szCs w:val="21"/>
                <w:highlight w:val="none"/>
                <w:u w:val="single"/>
              </w:rPr>
              <w:instrText xml:space="preserve">√)</w:instrText>
            </w:r>
            <w:r>
              <w:rPr>
                <w:rFonts w:hint="eastAsia" w:ascii="仿宋" w:hAnsi="仿宋" w:eastAsia="仿宋" w:cs="仿宋"/>
                <w:szCs w:val="21"/>
                <w:highlight w:val="none"/>
                <w:u w:val="single"/>
              </w:rPr>
              <w:fldChar w:fldCharType="end"/>
            </w:r>
            <w:r>
              <w:rPr>
                <w:rFonts w:hint="eastAsia" w:ascii="仿宋" w:hAnsi="仿宋" w:eastAsia="仿宋" w:cs="仿宋"/>
                <w:szCs w:val="21"/>
                <w:highlight w:val="none"/>
              </w:rPr>
              <w:t>是</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w:t>
            </w:r>
            <w:r>
              <w:rPr>
                <w:rFonts w:hint="eastAsia" w:ascii="仿宋" w:hAnsi="仿宋" w:eastAsia="仿宋" w:cs="仿宋"/>
                <w:szCs w:val="21"/>
                <w:highlight w:val="none"/>
                <w:u w:val="single"/>
              </w:rPr>
              <w:t>否：</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（1）招标人在评标委员会推荐的中标候选人中确定中标人。</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（2）依法必须进行公开招标的项目，招标人应当确定排名第一的中标候选人为中标人。</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3）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7.6</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技术成果经济补偿</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不补偿</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7.7.1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履约保证金</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是否要求中标人提交履约保证金：</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要求，履约保证金的形式：可采用银行转账、支票、投</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标保函、投标保证保险的形式。</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履约保证金的金额：中标人提供的履约担保金额为中标合同金额的5%；</w:t>
            </w:r>
          </w:p>
          <w:p>
            <w:pPr>
              <w:pStyle w:val="6"/>
              <w:spacing w:before="0" w:after="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履约保证金提交时限：在中标之后，签订合同前。</w:t>
            </w:r>
          </w:p>
          <w:p>
            <w:pPr>
              <w:pStyle w:val="6"/>
              <w:spacing w:before="0" w:after="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中标人应按中标价的5%向招标人提供履约担保。如果中标人的履约担保是以银行保函的形式提供，则该银行保函应由在中国注册的商业银行或担保公司开具并符合要求，如中标人提供虚假银行保函或未经招标人同意前提下不符合前述要求，招标人将取消其中标资格，并追究法律责任。</w:t>
            </w:r>
          </w:p>
          <w:p>
            <w:pPr>
              <w:pStyle w:val="6"/>
              <w:spacing w:before="0" w:after="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如中标人为联合体，则分别由联合体牵头人及各联合体成</w:t>
            </w:r>
          </w:p>
          <w:p>
            <w:pPr>
              <w:pStyle w:val="6"/>
              <w:spacing w:before="0" w:after="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员分别提供履约担保函。</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szCs w:val="21"/>
                <w:highlight w:val="none"/>
                <w:lang w:eastAsia="zh-CN"/>
              </w:rPr>
              <w:instrText xml:space="preserve">,</w:instrText>
            </w:r>
            <w:r>
              <w:rPr>
                <w:rFonts w:hint="eastAsia" w:ascii="仿宋" w:hAnsi="仿宋" w:eastAsia="仿宋" w:cs="仿宋"/>
                <w:position w:val="2"/>
                <w:sz w:val="13"/>
                <w:szCs w:val="21"/>
                <w:highlight w:val="none"/>
                <w:lang w:eastAsia="zh-CN"/>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是否采用电子招标投标</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eq \o\ac(□</w:instrText>
            </w:r>
            <w:r>
              <w:rPr>
                <w:rFonts w:hint="eastAsia" w:ascii="仿宋" w:hAnsi="仿宋" w:eastAsia="仿宋" w:cs="仿宋"/>
                <w:position w:val="1"/>
                <w:sz w:val="14"/>
                <w:szCs w:val="21"/>
                <w:highlight w:val="none"/>
              </w:rPr>
              <w:instrText xml:space="preserve">,</w:instrText>
            </w:r>
            <w:r>
              <w:rPr>
                <w:rFonts w:hint="eastAsia" w:ascii="仿宋" w:hAnsi="仿宋" w:eastAsia="仿宋" w:cs="仿宋"/>
                <w:szCs w:val="21"/>
                <w:highlight w:val="none"/>
              </w:rPr>
              <w:instrText xml:space="preserve">√)</w:instrText>
            </w:r>
            <w:r>
              <w:rPr>
                <w:rFonts w:hint="eastAsia" w:ascii="仿宋" w:hAnsi="仿宋" w:eastAsia="仿宋" w:cs="仿宋"/>
                <w:szCs w:val="21"/>
                <w:highlight w:val="none"/>
              </w:rPr>
              <w:fldChar w:fldCharType="end"/>
            </w:r>
            <w:r>
              <w:rPr>
                <w:rFonts w:hint="eastAsia" w:ascii="仿宋" w:hAnsi="仿宋" w:eastAsia="仿宋" w:cs="仿宋"/>
                <w:szCs w:val="21"/>
                <w:highlight w:val="none"/>
              </w:rPr>
              <w:t>否</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需要补充的其他内容</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u w:val="single"/>
              </w:rPr>
              <w:t>11.1</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u w:val="single"/>
              </w:rPr>
              <w:t>招标失败的情形</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本项目采用资格后审方式。满足资格审查合格条件的投标人不足3名或经评审有效的投标人不足3名或按要求递交投标文件的投标人不足3名时为招标失败。招标人分析招标失败原因，修正招标方案，重新组织招标。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u w:val="single"/>
              </w:rPr>
              <w:t>11.2</w:t>
            </w:r>
          </w:p>
        </w:tc>
        <w:tc>
          <w:tcPr>
            <w:tcW w:w="281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u w:val="single"/>
              </w:rPr>
              <w:t>交易服务费</w:t>
            </w:r>
          </w:p>
        </w:tc>
        <w:tc>
          <w:tcPr>
            <w:tcW w:w="5891"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中标人按《广州市发展改革委转发省发展改革委关于规范公共资源交易服务收费及有关问题的通知》（穗发改〔2017〕811号）文件的规定，向广州交易集团有限公司缴纳交易服务费，其费用包含在中标人投标报价中，招标人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u w:val="single"/>
              </w:rPr>
              <w:t>11.3</w:t>
            </w:r>
          </w:p>
        </w:tc>
        <w:tc>
          <w:tcPr>
            <w:tcW w:w="2818" w:type="dxa"/>
            <w:shd w:val="clear" w:color="auto" w:fill="auto"/>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u w:val="single"/>
              </w:rPr>
              <w:t>投标文件公开</w:t>
            </w:r>
          </w:p>
        </w:tc>
        <w:tc>
          <w:tcPr>
            <w:tcW w:w="5891" w:type="dxa"/>
            <w:shd w:val="clear" w:color="auto" w:fill="auto"/>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在产生中标候选人后，按广东省</w:t>
            </w:r>
            <w:r>
              <w:rPr>
                <w:rFonts w:hint="eastAsia" w:ascii="仿宋" w:hAnsi="仿宋" w:eastAsia="仿宋" w:cs="仿宋"/>
                <w:szCs w:val="21"/>
                <w:highlight w:val="none"/>
                <w:u w:val="single"/>
                <w:lang w:val="en-US" w:eastAsia="zh-CN"/>
              </w:rPr>
              <w:t>发</w:t>
            </w:r>
            <w:r>
              <w:rPr>
                <w:rFonts w:hint="eastAsia" w:ascii="仿宋" w:hAnsi="仿宋" w:eastAsia="仿宋" w:cs="仿宋"/>
                <w:szCs w:val="21"/>
                <w:highlight w:val="none"/>
                <w:u w:val="single"/>
              </w:rPr>
              <w:t>展和改革委员会关于房屋建筑和市政基础设施工程项目招标投标全过程信息公开的管理规定</w:t>
            </w:r>
            <w:r>
              <w:rPr>
                <w:rFonts w:hint="eastAsia" w:ascii="仿宋" w:hAnsi="仿宋" w:eastAsia="仿宋" w:cs="仿宋"/>
                <w:highlight w:val="none"/>
                <w:u w:val="single"/>
              </w:rPr>
              <w:t>在广州公共资源交易中心网站公开</w:t>
            </w:r>
            <w:r>
              <w:rPr>
                <w:rFonts w:hint="eastAsia" w:ascii="仿宋" w:hAnsi="仿宋" w:eastAsia="仿宋" w:cs="仿宋"/>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jc w:val="center"/>
              <w:rPr>
                <w:rFonts w:hint="eastAsia" w:ascii="仿宋" w:hAnsi="仿宋" w:eastAsia="仿宋" w:cs="仿宋"/>
                <w:szCs w:val="21"/>
                <w:highlight w:val="none"/>
                <w:u w:val="single"/>
              </w:rPr>
            </w:pPr>
            <w:r>
              <w:rPr>
                <w:rFonts w:hint="eastAsia" w:ascii="仿宋" w:hAnsi="仿宋" w:eastAsia="仿宋" w:cs="仿宋"/>
                <w:szCs w:val="21"/>
                <w:highlight w:val="none"/>
                <w:u w:val="single"/>
              </w:rPr>
              <w:t>11.4</w:t>
            </w:r>
          </w:p>
        </w:tc>
        <w:tc>
          <w:tcPr>
            <w:tcW w:w="2818" w:type="dxa"/>
            <w:shd w:val="clear" w:color="auto" w:fill="auto"/>
            <w:vAlign w:val="center"/>
          </w:tcPr>
          <w:p>
            <w:pPr>
              <w:spacing w:line="360" w:lineRule="auto"/>
              <w:jc w:val="center"/>
              <w:rPr>
                <w:rFonts w:hint="eastAsia" w:ascii="仿宋" w:hAnsi="仿宋" w:eastAsia="仿宋" w:cs="仿宋"/>
                <w:szCs w:val="21"/>
                <w:highlight w:val="none"/>
                <w:u w:val="single"/>
              </w:rPr>
            </w:pPr>
            <w:r>
              <w:rPr>
                <w:rFonts w:hint="eastAsia" w:ascii="仿宋" w:hAnsi="仿宋" w:eastAsia="仿宋" w:cs="仿宋"/>
                <w:szCs w:val="21"/>
                <w:highlight w:val="none"/>
              </w:rPr>
              <w:t>招标代理服务费</w:t>
            </w:r>
          </w:p>
        </w:tc>
        <w:tc>
          <w:tcPr>
            <w:tcW w:w="5891" w:type="dxa"/>
            <w:shd w:val="clear" w:color="auto" w:fill="auto"/>
            <w:vAlign w:val="center"/>
          </w:tcPr>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招标代理服务费由</w:t>
            </w:r>
            <w:r>
              <w:rPr>
                <w:rFonts w:hint="eastAsia" w:ascii="仿宋" w:hAnsi="仿宋" w:eastAsia="仿宋" w:cs="仿宋"/>
                <w:szCs w:val="21"/>
                <w:highlight w:val="none"/>
                <w:lang w:val="en-US" w:eastAsia="zh-CN"/>
              </w:rPr>
              <w:t>招标人</w:t>
            </w:r>
            <w:r>
              <w:rPr>
                <w:rFonts w:hint="eastAsia" w:ascii="仿宋" w:hAnsi="仿宋" w:eastAsia="仿宋" w:cs="仿宋"/>
                <w:szCs w:val="21"/>
                <w:highlight w:val="none"/>
              </w:rPr>
              <w:t>支付；</w:t>
            </w:r>
          </w:p>
        </w:tc>
      </w:tr>
    </w:tbl>
    <w:p>
      <w:pPr>
        <w:pStyle w:val="4"/>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1. 总则</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1.1 招标项目概况</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1.1.1 根据《中华人民共和国招标投标法》、《中华人民共和国招标投标法实施条例》等有关法律、法规和规章的规定，本招标项目已具备招标条件，现对</w:t>
      </w:r>
      <w:r>
        <w:rPr>
          <w:rFonts w:hint="eastAsia" w:ascii="仿宋" w:hAnsi="仿宋" w:eastAsia="仿宋" w:cs="仿宋"/>
          <w:highlight w:val="none"/>
          <w:u w:val="single"/>
        </w:rPr>
        <w:t>勘察设计</w:t>
      </w:r>
      <w:r>
        <w:rPr>
          <w:rFonts w:hint="eastAsia" w:ascii="仿宋" w:hAnsi="仿宋" w:eastAsia="仿宋" w:cs="仿宋"/>
          <w:highlight w:val="none"/>
        </w:rPr>
        <w:t>进行招标。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1.1.2 招标人：见投标人须知前附表。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1.1.3 招标代理机构：见投标人须知前附表。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1.1.4 招标项目名称：见投标人须知前附表。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1.1.5 项目建设地点：见投标人须知前附表。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1.1.6 项目建设规模：见投标人须知前附表。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1.1.7 项目投资估算：见投标人须知前附表。</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1.2 招标项目的资金来源和落实情况</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1.2.1 资金来源及比例：见投标人须知前附表。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1.2.2 资金落实情况：见投标人须知前附表。</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1.3 招标范围、服务期限和质量标准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1.3.1 招标范围：见投标人须知前附表。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1.3.2 服务期限：见投标人须知前附表。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1.3.3 质量标准：见投标人须知前附表。</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1.4 投标人资格要求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1.4.1 投标人应具备承担本招标项目资质条件、能力和信誉： </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（1）资质要求：见投标人须知前附表；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（2）财务要求：见投标人须知前附表；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（3）业绩要求：见投标人须知前附表；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（4）信誉要求：见投标人须知前附表；</w:t>
      </w:r>
    </w:p>
    <w:p>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（5）项目负责人的资格要求：</w:t>
      </w:r>
      <w:r>
        <w:rPr>
          <w:rFonts w:hint="eastAsia" w:ascii="仿宋" w:hAnsi="仿宋" w:eastAsia="仿宋" w:cs="仿宋"/>
          <w:highlight w:val="none"/>
          <w:u w:val="single"/>
        </w:rPr>
        <w:t>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（6）其他主要人员要求：见投标人须知前附表。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（7）其他要求：见投标人须知前附表。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需要提交的相关证明材料见本章第 3.5 款的规定。</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1.4.2 投标人须知前附表规定接受联合体投标的，联合体除应符合本章第 1.4.1 项和投标人须知前附表的要求外，还应遵守以下规定：</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（1）联合体各方应按招标文件提供的格式签订联合体协议书，明确联合体牵头人和各方权利义务，并承诺就中标项目向招标人承担连带责任；</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（2）由同一专业的单位组成的联合体，按照资质等级较低的单位确定资质等级；</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（3）联合体各方不得再以自己名义单独或参加其他联合体在本招标项目中投标，否则各相关投标均无效。</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1.4.3 投标人不得存在下列情形之一： </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（1）为招标人不具有独立法人资格的附属机构（单位）；</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（2）与招标人存在利害关系且可能影响招标公正性；</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（3）与本招标项目的其他投标人为同一个单位负责人；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（4）与本招标项目的其他投标人存在控股、管理关系；</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（5）为本招标项目的代建人；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（6）为本招标项目的招标代理机构；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（7）与本招标项目的代建人或招标代理机构同为一个法定代表人；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（8）与本招标项目的代建人或招标代理机构存在控股或参股关系；</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（9）被依法暂停或者取消投标资格；</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（10）被责令停产停业、暂扣或者吊销许可证、暂扣或者吊销执照；</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（11）进入清算程序，或被宣告破产，或其他丧失履约能力的情形；</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（12）在最近三年内发生重大设计质量问题（以相关行业主管部门的行政处罚决定或司法机关出具的有关法律文书为准）；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（13）被工商行政管理机关在全国企业信用信息公示系统中列入严重违法失信企业名单；</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（14）被最高人民法院在“信用中国”网站（www.creditchina.gov.cn）列入失信被执行人名单；</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（15）在近三年内投标人或其法定代表人、拟委任的项目负责人有行贿犯罪行为的；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（16）法律法规或投标人须知前附表规定的其他情形。</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1.5 费用承担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投标人准备和参加投标活动发生的费用自理。</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1.6 保密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参与招标投标活动的各方应对招标文件和投标文件中的商业和技术等秘密保密，否则应承担相应的法律责任。</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1.7 语言文字</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招标投标文件使用的语言文字为中文。专用术语使用外文的，应附有中文注释。</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1.8 计量单位</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所有计量均采用中华人民共和国法定计量单位。</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1.9 踏勘现场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1.9.2 投标人踏勘现场发生的费用自理。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1.9.3 除招标人的原因外，投标人自行负责在踏勘现场中所发生的人员伤亡和财产损失。</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1.9.4 招标人在踏勘现场中介绍的工程场地和相关的周边环境情况，供投标人在编制投标文件时参考，招标人不对投标人据此作出的判断和决策负责。</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1.10 投标预备会</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1.10.1 投标人须知前附表规定召开投标预备会的，招标人按投标人须知前附表规定的时间和地点召开投标预备会，澄清投标人提出的问题。</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1.10.2 投标人应按投标人须知前附表规定的时间和形式将提出的问题送达招标人，以便招标人在会议期间澄清。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1.10.3 投标预备会后，招标人将对投标人所提问题的澄清，以投标人须知前附表规定的形式通知所有投标人。该澄清内容为招标文件的组成部分。</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1.11 分包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1.11.2 中标人不得向他人转让中标项目，接受分包的人不得再次分包。中标人应当就分包项目向招标人负责，接受分包的人就分包项目承担连带责任。</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1.12 响应和偏差</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1.12.2 投标人应根据招标文件的要求提供投标设计方案等内容以对招标文件作出响应。</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1.12.3 投标人须知前附表允许投标文件偏离招标文件某些要求的，偏差应当符合招标文件规定的偏差范围和幅度。</w:t>
      </w:r>
    </w:p>
    <w:p>
      <w:pPr>
        <w:pStyle w:val="4"/>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 xml:space="preserve"> </w:t>
      </w:r>
      <w:r>
        <w:rPr>
          <w:rFonts w:hint="eastAsia" w:ascii="仿宋" w:hAnsi="仿宋" w:eastAsia="仿宋" w:cs="仿宋"/>
          <w:highlight w:val="none"/>
        </w:rPr>
        <w:t>招标文件</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2.1 招标文件的组成</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本招标文件包括：</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（1）招标公告；</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（2）投标人须知；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（3）评标办法；</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（4）合同条款及格式；</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（5）发包人要求；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（6）投标文件格式；</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（7）投标人须知前附表规定的其他资料。</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根据本章第 1.10 款、第 2.2 款和第 2.3 款对招标文件所作的澄清、修改，构成招标文件的组成部分。</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2.2 招标文件的澄清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2.2.2 招标文件的澄清以投标人须知前附表规定的形式发给所有投标人，但不指明澄清问题的来源。澄清发出的时间距本章第4.2.1项规定的投标截止时间不足15日的，并且澄清内容可能影响投标文件编制的，将相应延长投标截止时间。</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2.2.3 投标人在收到澄清后，应按投标人须知前附表规定的时间和形式通知招标人，确认已收到该澄清。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2.2.4 除非招标人认为确有必要答复，否则，招标人有权拒绝回复投标人在本章第2.2.1项规定的时间后的任何澄清要求。</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2.3 招标文件的修改</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2.3.1 招标人以投标人须知前附表规定的形式修改招标文件，并通知所有投标人。修改招标文件的时间距本章第4.2.1项规定的投标截止时间不足15日的，并且修改内容可能影响投标文件编制的，将相应延长投标截止时间。</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2.3.2 投标人收到修改内容后，应按投标人须知前附表规定的时间和形式通知招标人，确认已收到该修改。</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2.4 招标文件的异议</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投标人或者其他利害关系人对招标文件有异议的，应当在投标截止时间10日前以书面形式提出。招标人将在收到异议之日起3日内作出答复；作出答复前，将暂停招标投标活动。</w:t>
      </w:r>
    </w:p>
    <w:p>
      <w:pPr>
        <w:pStyle w:val="4"/>
        <w:rPr>
          <w:rFonts w:hint="eastAsia" w:ascii="仿宋" w:hAnsi="仿宋" w:eastAsia="仿宋" w:cs="仿宋"/>
          <w:highlight w:val="none"/>
        </w:rPr>
      </w:pPr>
      <w:r>
        <w:rPr>
          <w:rFonts w:hint="eastAsia" w:ascii="仿宋" w:hAnsi="仿宋" w:eastAsia="仿宋" w:cs="仿宋"/>
          <w:highlight w:val="none"/>
        </w:rPr>
        <w:t>3. 投标文件</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3.1 投标文件的组成</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3.1.1</w:t>
      </w:r>
      <w:r>
        <w:rPr>
          <w:rFonts w:hint="eastAsia" w:ascii="仿宋" w:hAnsi="仿宋" w:eastAsia="仿宋" w:cs="仿宋"/>
          <w:highlight w:val="none"/>
        </w:rPr>
        <w:t>投标文件应包括下列内容：</w:t>
      </w:r>
    </w:p>
    <w:p>
      <w:pPr>
        <w:pStyle w:val="57"/>
        <w:numPr>
          <w:ilvl w:val="0"/>
          <w:numId w:val="3"/>
        </w:numPr>
        <w:tabs>
          <w:tab w:val="left" w:pos="1190"/>
        </w:tabs>
        <w:autoSpaceDE w:val="0"/>
        <w:autoSpaceDN w:val="0"/>
        <w:spacing w:before="131"/>
        <w:ind w:firstLineChars="0"/>
        <w:jc w:val="left"/>
        <w:rPr>
          <w:rFonts w:hint="eastAsia" w:ascii="仿宋" w:hAnsi="仿宋" w:eastAsia="仿宋" w:cs="仿宋"/>
          <w:highlight w:val="none"/>
        </w:rPr>
      </w:pPr>
      <w:r>
        <w:rPr>
          <w:rFonts w:hint="eastAsia" w:ascii="仿宋" w:hAnsi="仿宋" w:eastAsia="仿宋" w:cs="仿宋"/>
          <w:spacing w:val="-3"/>
          <w:highlight w:val="none"/>
        </w:rPr>
        <w:t>投标函及投标函附录；</w:t>
      </w:r>
    </w:p>
    <w:p>
      <w:pPr>
        <w:pStyle w:val="57"/>
        <w:numPr>
          <w:ilvl w:val="0"/>
          <w:numId w:val="3"/>
        </w:numPr>
        <w:tabs>
          <w:tab w:val="left" w:pos="1190"/>
        </w:tabs>
        <w:autoSpaceDE w:val="0"/>
        <w:autoSpaceDN w:val="0"/>
        <w:spacing w:before="133"/>
        <w:ind w:firstLineChars="0"/>
        <w:jc w:val="left"/>
        <w:rPr>
          <w:rFonts w:hint="eastAsia" w:ascii="仿宋" w:hAnsi="仿宋" w:eastAsia="仿宋" w:cs="仿宋"/>
          <w:highlight w:val="none"/>
        </w:rPr>
      </w:pPr>
      <w:r>
        <w:rPr>
          <w:rFonts w:hint="eastAsia" w:ascii="仿宋" w:hAnsi="仿宋" w:eastAsia="仿宋" w:cs="仿宋"/>
          <w:spacing w:val="-3"/>
          <w:highlight w:val="none"/>
        </w:rPr>
        <w:t>法定代表人身份证明或授权委托书；</w:t>
      </w:r>
    </w:p>
    <w:p>
      <w:pPr>
        <w:pStyle w:val="57"/>
        <w:numPr>
          <w:ilvl w:val="0"/>
          <w:numId w:val="3"/>
        </w:numPr>
        <w:tabs>
          <w:tab w:val="left" w:pos="1190"/>
        </w:tabs>
        <w:autoSpaceDE w:val="0"/>
        <w:autoSpaceDN w:val="0"/>
        <w:spacing w:before="129"/>
        <w:ind w:firstLineChars="0"/>
        <w:jc w:val="left"/>
        <w:rPr>
          <w:rFonts w:hint="eastAsia" w:ascii="仿宋" w:hAnsi="仿宋" w:eastAsia="仿宋" w:cs="仿宋"/>
          <w:highlight w:val="none"/>
        </w:rPr>
      </w:pPr>
      <w:r>
        <w:rPr>
          <w:rFonts w:hint="eastAsia" w:ascii="仿宋" w:hAnsi="仿宋" w:eastAsia="仿宋" w:cs="仿宋"/>
          <w:spacing w:val="-3"/>
          <w:highlight w:val="none"/>
        </w:rPr>
        <w:t>联合体协议书；</w:t>
      </w:r>
    </w:p>
    <w:p>
      <w:pPr>
        <w:pStyle w:val="57"/>
        <w:numPr>
          <w:ilvl w:val="0"/>
          <w:numId w:val="3"/>
        </w:numPr>
        <w:tabs>
          <w:tab w:val="left" w:pos="1190"/>
        </w:tabs>
        <w:autoSpaceDE w:val="0"/>
        <w:autoSpaceDN w:val="0"/>
        <w:spacing w:before="132"/>
        <w:ind w:firstLineChars="0"/>
        <w:jc w:val="left"/>
        <w:rPr>
          <w:rFonts w:hint="eastAsia" w:ascii="仿宋" w:hAnsi="仿宋" w:eastAsia="仿宋" w:cs="仿宋"/>
          <w:highlight w:val="none"/>
        </w:rPr>
      </w:pPr>
      <w:r>
        <w:rPr>
          <w:rFonts w:hint="eastAsia" w:ascii="仿宋" w:hAnsi="仿宋" w:eastAsia="仿宋" w:cs="仿宋"/>
          <w:spacing w:val="-3"/>
          <w:highlight w:val="none"/>
        </w:rPr>
        <w:t>投标保证金；</w:t>
      </w:r>
    </w:p>
    <w:p>
      <w:pPr>
        <w:pStyle w:val="57"/>
        <w:numPr>
          <w:ilvl w:val="0"/>
          <w:numId w:val="3"/>
        </w:numPr>
        <w:tabs>
          <w:tab w:val="left" w:pos="1190"/>
        </w:tabs>
        <w:autoSpaceDE w:val="0"/>
        <w:autoSpaceDN w:val="0"/>
        <w:spacing w:before="129"/>
        <w:ind w:firstLineChars="0"/>
        <w:jc w:val="left"/>
        <w:rPr>
          <w:rFonts w:hint="eastAsia" w:ascii="仿宋" w:hAnsi="仿宋" w:eastAsia="仿宋" w:cs="仿宋"/>
          <w:highlight w:val="none"/>
        </w:rPr>
      </w:pPr>
      <w:r>
        <w:rPr>
          <w:rFonts w:hint="eastAsia" w:ascii="仿宋" w:hAnsi="仿宋" w:eastAsia="仿宋" w:cs="仿宋"/>
          <w:spacing w:val="-3"/>
          <w:highlight w:val="none"/>
        </w:rPr>
        <w:t>资格审查资料；</w:t>
      </w:r>
    </w:p>
    <w:p>
      <w:pPr>
        <w:pStyle w:val="57"/>
        <w:numPr>
          <w:ilvl w:val="0"/>
          <w:numId w:val="3"/>
        </w:numPr>
        <w:tabs>
          <w:tab w:val="left" w:pos="1190"/>
        </w:tabs>
        <w:autoSpaceDE w:val="0"/>
        <w:autoSpaceDN w:val="0"/>
        <w:spacing w:before="132"/>
        <w:ind w:firstLineChars="0"/>
        <w:jc w:val="left"/>
        <w:rPr>
          <w:rFonts w:hint="eastAsia" w:ascii="仿宋" w:hAnsi="仿宋" w:eastAsia="仿宋" w:cs="仿宋"/>
          <w:highlight w:val="none"/>
        </w:rPr>
      </w:pPr>
      <w:r>
        <w:rPr>
          <w:rFonts w:hint="eastAsia" w:ascii="仿宋" w:hAnsi="仿宋" w:eastAsia="仿宋" w:cs="仿宋"/>
          <w:spacing w:val="-3"/>
          <w:highlight w:val="none"/>
        </w:rPr>
        <w:t>勘察设计方案；</w:t>
      </w:r>
    </w:p>
    <w:p>
      <w:pPr>
        <w:pStyle w:val="57"/>
        <w:numPr>
          <w:ilvl w:val="0"/>
          <w:numId w:val="3"/>
        </w:numPr>
        <w:tabs>
          <w:tab w:val="left" w:pos="1190"/>
        </w:tabs>
        <w:autoSpaceDE w:val="0"/>
        <w:autoSpaceDN w:val="0"/>
        <w:spacing w:before="132"/>
        <w:ind w:firstLineChars="0"/>
        <w:jc w:val="left"/>
        <w:rPr>
          <w:rFonts w:hint="eastAsia" w:ascii="仿宋" w:hAnsi="仿宋" w:eastAsia="仿宋" w:cs="仿宋"/>
          <w:highlight w:val="none"/>
        </w:rPr>
      </w:pPr>
      <w:r>
        <w:rPr>
          <w:rFonts w:hint="eastAsia" w:ascii="仿宋" w:hAnsi="仿宋" w:eastAsia="仿宋" w:cs="仿宋"/>
          <w:spacing w:val="-3"/>
          <w:highlight w:val="none"/>
        </w:rPr>
        <w:t>投标一览表；</w:t>
      </w:r>
    </w:p>
    <w:p>
      <w:pPr>
        <w:pStyle w:val="57"/>
        <w:numPr>
          <w:ilvl w:val="0"/>
          <w:numId w:val="3"/>
        </w:numPr>
        <w:tabs>
          <w:tab w:val="left" w:pos="1190"/>
        </w:tabs>
        <w:autoSpaceDE w:val="0"/>
        <w:autoSpaceDN w:val="0"/>
        <w:spacing w:before="131"/>
        <w:ind w:firstLineChars="0"/>
        <w:jc w:val="left"/>
        <w:rPr>
          <w:rFonts w:hint="eastAsia" w:ascii="仿宋" w:hAnsi="仿宋" w:eastAsia="仿宋" w:cs="仿宋"/>
          <w:highlight w:val="none"/>
        </w:rPr>
      </w:pPr>
      <w:r>
        <w:rPr>
          <w:rFonts w:hint="eastAsia" w:ascii="仿宋" w:hAnsi="仿宋" w:eastAsia="仿宋" w:cs="仿宋"/>
          <w:spacing w:val="-3"/>
          <w:highlight w:val="none"/>
        </w:rPr>
        <w:t>投标人须知前附表规定的其他资料。</w:t>
      </w:r>
    </w:p>
    <w:p>
      <w:pPr>
        <w:pStyle w:val="2"/>
        <w:spacing w:before="130" w:line="355" w:lineRule="auto"/>
        <w:ind w:left="240" w:right="694" w:firstLine="419"/>
        <w:rPr>
          <w:rFonts w:hint="eastAsia" w:ascii="仿宋" w:hAnsi="仿宋" w:eastAsia="仿宋" w:cs="仿宋"/>
          <w:highlight w:val="none"/>
        </w:rPr>
      </w:pPr>
      <w:r>
        <w:rPr>
          <w:rFonts w:hint="eastAsia" w:ascii="仿宋" w:hAnsi="仿宋" w:eastAsia="仿宋" w:cs="仿宋"/>
          <w:highlight w:val="none"/>
        </w:rPr>
        <w:t>投标人在评标过程中作出的符合法律法规和招标文件规定的澄清确认，构成投标文件的组成部分。</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3.1.2投标人须知前附表规定不接受联合体投标的，或投标人没有组成联合体的，投标文件不包括本章第 3.1.1（3）目所指的联合体协议书。</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3.1.3投标人须知前附表未要求提交投标保证金的，投标文件不包括本章第3.1.1（4）目所指的投标保证金。</w:t>
      </w:r>
    </w:p>
    <w:p>
      <w:pPr>
        <w:rPr>
          <w:rFonts w:hint="eastAsia" w:ascii="仿宋" w:hAnsi="仿宋" w:eastAsia="仿宋" w:cs="仿宋"/>
          <w:highlight w:val="none"/>
        </w:rPr>
      </w:pP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3.2 投标报价</w:t>
      </w:r>
    </w:p>
    <w:p>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3.2.1 投标报价应包括国家规定的增值税税金，除投标人须知前附表另有规定外，增值税税金按一般计税方法计算。</w:t>
      </w:r>
      <w:r>
        <w:rPr>
          <w:rFonts w:hint="eastAsia" w:ascii="仿宋" w:hAnsi="仿宋" w:eastAsia="仿宋" w:cs="仿宋"/>
          <w:highlight w:val="none"/>
          <w:u w:val="single"/>
        </w:rPr>
        <w:t>投标人应按第六章“投标文件格式”的要求进行报价。</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3.2.2 投标人应充分了解该项目的总体情况以及影响投标报价的其他要素。</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3.2.3 本项目的报价方式见投标人须知前附表。</w:t>
      </w:r>
      <w:r>
        <w:rPr>
          <w:rFonts w:hint="eastAsia" w:ascii="仿宋" w:hAnsi="仿宋" w:eastAsia="仿宋" w:cs="仿宋"/>
          <w:highlight w:val="none"/>
          <w:u w:val="single"/>
        </w:rPr>
        <w:t>投标人在投标截止时间前修改投标报价总额的，应同时修改第六章“投标文件格式”中投标报价表的相应报价。</w:t>
      </w:r>
      <w:r>
        <w:rPr>
          <w:rFonts w:hint="eastAsia" w:ascii="仿宋" w:hAnsi="仿宋" w:eastAsia="仿宋" w:cs="仿宋"/>
          <w:highlight w:val="none"/>
        </w:rPr>
        <w:t>此修改须符合本章第4.3款的有关要求。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3.2.4 招标人设有最高投标限价的，投标人的投标报价不得超过最高投标限价，最高投标限价在投标人须知前附表中载明。</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3.2.5 投标报价的其他要求见投标人须知前附表。</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3.3 投标有效期</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3.3.1 除投标人须知前附表另有规定外，投标有效期为120天。</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3.3.2 在投标有效期内，投标人撤销投标文件的，应承担招标文件和法律规定的责任。</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3.4 投标保证金</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联合体投标的，其投标保证金可以由牵头人递交，并应符合投标人须知前附表的规定。</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3.4.2 投标人不按本章第3.4.1项要求提交投标保证金的，评标委员会将否决其投标。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3.4.3 中标候选人以外的投标人的投标保证金在中标通知书发出之日起五日内退还。中标人和其他中标候选人的投标保证金在书面合同订立之日起五日内退还。</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3.4.4 有下列情形之一的，投标保证金将不予退还：</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（1）投标人在投标有效期内撤销投标文件；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（2）中标人在收到中标通知书后，无正当理由不与招标人订立合同，在签订合同时向招标人提出附加条件，或者不按照招标文件要求提交履约保证金；</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（3）发生投标人须知前附表规定的其他可以不予退还投标保证金的情形。</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3.5 资格审查资料（适用于未进行资格预审的）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除投标人须知前附表另有规定外，投标人应按下列规定提供资格审查资料：</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3.5.1 “投标人基本情况表”（如有）。</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3.5.2 “近年财务状况表”（如有），</w:t>
      </w:r>
      <w:r>
        <w:rPr>
          <w:rFonts w:hint="eastAsia" w:ascii="仿宋" w:hAnsi="仿宋" w:eastAsia="仿宋" w:cs="仿宋"/>
          <w:spacing w:val="-3"/>
          <w:highlight w:val="none"/>
        </w:rPr>
        <w:t>具体年份要求见投标人须知前附表</w:t>
      </w:r>
      <w:r>
        <w:rPr>
          <w:rFonts w:hint="eastAsia" w:ascii="仿宋" w:hAnsi="仿宋" w:eastAsia="仿宋" w:cs="仿宋"/>
          <w:highlight w:val="none"/>
        </w:rPr>
        <w:t>。</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3.5.3 “近年完成的类似项目情况表”（如有）。</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3.5.4 “正在承接和新承接的项目情况表”（如有）。</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3.5.5 “近年发生的诉讼及仲裁情况”（如有）。</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3.5.6 “拟委任的主要人员汇总表”（如有）。</w:t>
      </w:r>
    </w:p>
    <w:p>
      <w:pPr>
        <w:spacing w:line="360" w:lineRule="auto"/>
        <w:ind w:firstLine="420" w:firstLineChars="200"/>
        <w:rPr>
          <w:rFonts w:hint="eastAsia" w:ascii="仿宋" w:hAnsi="仿宋" w:eastAsia="仿宋" w:cs="仿宋"/>
          <w:spacing w:val="-3"/>
          <w:highlight w:val="none"/>
        </w:rPr>
      </w:pPr>
      <w:r>
        <w:rPr>
          <w:rFonts w:hint="eastAsia" w:ascii="仿宋" w:hAnsi="仿宋" w:eastAsia="仿宋" w:cs="仿宋"/>
          <w:highlight w:val="none"/>
        </w:rPr>
        <w:t>3.5.7 投标人须知前附表规定接受联合体投标的，本章第 3.5.1 项至第 3.5.6 项规定的表格和资料应包括联合体各方相关情况</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3.6 备选投标方案</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3.6.1 除投标人须知前附表规定允许外，投标人不得递交备选投标方案，否则其投标将被否决。</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3.6.3 投标人提供两个或两个以上投标报价，或者在投标文件中提供一个报价，但同时提供两个或两个以上技术文件（暗标）的，视为提供备选方案。</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3.7 投标文件的编制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3.7.1 投标文件应按第六章“投标文件格式”进行编写，如有必要，可以增加附页，作为投标文件的组成部分。其中，</w:t>
      </w:r>
      <w:r>
        <w:rPr>
          <w:rFonts w:hint="eastAsia" w:ascii="仿宋" w:hAnsi="仿宋" w:eastAsia="仿宋" w:cs="仿宋"/>
          <w:highlight w:val="none"/>
          <w:u w:val="single"/>
        </w:rPr>
        <w:t>投标函</w:t>
      </w:r>
      <w:r>
        <w:rPr>
          <w:rFonts w:hint="eastAsia" w:ascii="仿宋" w:hAnsi="仿宋" w:eastAsia="仿宋" w:cs="仿宋"/>
          <w:highlight w:val="none"/>
        </w:rPr>
        <w:t>附录在满足招标文件实质性要求的基础上，可以提出比招标文件要求更有利于招标人的承诺。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3.7.2 投标文件应当对招标文件有关服务期限、投标有效期、发包人要求、招标范围等实质性内容作出响应。</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3.7.3（A）（1）投标文件应用不褪色的材料书写或打印，投标函、投标函附录及对投标文</w:t>
      </w:r>
      <w:r>
        <w:rPr>
          <w:rFonts w:hint="eastAsia" w:ascii="仿宋" w:hAnsi="仿宋" w:eastAsia="仿宋" w:cs="仿宋"/>
          <w:spacing w:val="-3"/>
          <w:highlight w:val="none"/>
        </w:rPr>
        <w:t>件的澄清、说明和补正应由投标人的法定代表人或其授权的代理人签字或盖单位章。由投标人</w:t>
      </w:r>
      <w:r>
        <w:rPr>
          <w:rFonts w:hint="eastAsia" w:ascii="仿宋" w:hAnsi="仿宋" w:eastAsia="仿宋" w:cs="仿宋"/>
          <w:spacing w:val="-4"/>
          <w:highlight w:val="none"/>
        </w:rPr>
        <w:t>的法定代表人签字的，应附法定代表人身份证明，由代理人签字的，应附授权委托书，身份证</w:t>
      </w:r>
      <w:r>
        <w:rPr>
          <w:rFonts w:hint="eastAsia" w:ascii="仿宋" w:hAnsi="仿宋" w:eastAsia="仿宋" w:cs="仿宋"/>
          <w:highlight w:val="none"/>
        </w:rPr>
        <w:t>明或授权委托书应符合第六章“投标文件格式”</w:t>
      </w:r>
      <w:r>
        <w:rPr>
          <w:rFonts w:hint="eastAsia" w:ascii="仿宋" w:hAnsi="仿宋" w:eastAsia="仿宋" w:cs="仿宋"/>
          <w:spacing w:val="-1"/>
          <w:highlight w:val="none"/>
        </w:rPr>
        <w:t>的要求。投标文件应尽量避免涂改、行间插字或</w:t>
      </w:r>
      <w:r>
        <w:rPr>
          <w:rFonts w:hint="eastAsia" w:ascii="仿宋" w:hAnsi="仿宋" w:eastAsia="仿宋" w:cs="仿宋"/>
          <w:spacing w:val="-4"/>
          <w:highlight w:val="none"/>
        </w:rPr>
        <w:t>删除。如果出现上述情况，改动之处应由投标人的法定代表人或其授权的代理人签字或盖单位</w:t>
      </w:r>
      <w:r>
        <w:rPr>
          <w:rFonts w:hint="eastAsia" w:ascii="仿宋" w:hAnsi="仿宋" w:eastAsia="仿宋" w:cs="仿宋"/>
          <w:highlight w:val="none"/>
        </w:rPr>
        <w:t>章。</w:t>
      </w:r>
    </w:p>
    <w:p>
      <w:pPr>
        <w:spacing w:line="360" w:lineRule="auto"/>
        <w:ind w:firstLine="404" w:firstLineChars="200"/>
        <w:rPr>
          <w:rFonts w:hint="eastAsia" w:ascii="仿宋" w:hAnsi="仿宋" w:eastAsia="仿宋" w:cs="仿宋"/>
          <w:spacing w:val="-4"/>
          <w:highlight w:val="none"/>
        </w:rPr>
      </w:pPr>
      <w:r>
        <w:rPr>
          <w:rFonts w:hint="eastAsia" w:ascii="仿宋" w:hAnsi="仿宋" w:eastAsia="仿宋" w:cs="仿宋"/>
          <w:spacing w:val="-4"/>
          <w:highlight w:val="none"/>
        </w:rPr>
        <w:t>（</w:t>
      </w:r>
      <w:r>
        <w:rPr>
          <w:rFonts w:hint="eastAsia" w:ascii="仿宋" w:hAnsi="仿宋" w:eastAsia="仿宋" w:cs="仿宋"/>
          <w:spacing w:val="-4"/>
          <w:highlight w:val="none"/>
          <w:lang w:val="en-US" w:eastAsia="zh-CN"/>
        </w:rPr>
        <w:t>2</w:t>
      </w:r>
      <w:r>
        <w:rPr>
          <w:rFonts w:hint="eastAsia" w:ascii="仿宋" w:hAnsi="仿宋" w:eastAsia="仿宋" w:cs="仿宋"/>
          <w:spacing w:val="-4"/>
          <w:highlight w:val="none"/>
        </w:rPr>
        <w:t>）联合体投标的除联合体协议外，其他投标文件须签署与盖章部分(包括投标文件封面)可由联合体牵头人法定代表人或其授权代表签字、由联合体牵头人盖章。</w:t>
      </w:r>
    </w:p>
    <w:p>
      <w:pPr>
        <w:spacing w:line="360" w:lineRule="auto"/>
        <w:ind w:firstLine="392" w:firstLineChars="200"/>
        <w:rPr>
          <w:rFonts w:hint="eastAsia" w:ascii="仿宋" w:hAnsi="仿宋" w:eastAsia="仿宋" w:cs="仿宋"/>
          <w:highlight w:val="none"/>
        </w:rPr>
      </w:pPr>
      <w:r>
        <w:rPr>
          <w:rFonts w:hint="eastAsia" w:ascii="仿宋" w:hAnsi="仿宋" w:eastAsia="仿宋" w:cs="仿宋"/>
          <w:spacing w:val="-7"/>
          <w:highlight w:val="none"/>
        </w:rPr>
        <w:t>（</w:t>
      </w:r>
      <w:r>
        <w:rPr>
          <w:rFonts w:hint="eastAsia" w:ascii="仿宋" w:hAnsi="仿宋" w:eastAsia="仿宋" w:cs="仿宋"/>
          <w:spacing w:val="-7"/>
          <w:highlight w:val="none"/>
          <w:lang w:val="en-US" w:eastAsia="zh-CN"/>
        </w:rPr>
        <w:t>3</w:t>
      </w:r>
      <w:r>
        <w:rPr>
          <w:rFonts w:hint="eastAsia" w:ascii="仿宋" w:hAnsi="仿宋" w:eastAsia="仿宋" w:cs="仿宋"/>
          <w:spacing w:val="-7"/>
          <w:highlight w:val="none"/>
        </w:rPr>
        <w:t>）投标文件正本一份，副本份数见投标人须知前附表。正本和副本的封面右上角上应</w:t>
      </w:r>
      <w:r>
        <w:rPr>
          <w:rFonts w:hint="eastAsia" w:ascii="仿宋" w:hAnsi="仿宋" w:eastAsia="仿宋" w:cs="仿宋"/>
          <w:highlight w:val="none"/>
        </w:rPr>
        <w:t>清楚地标记“正本”或“副本”的字样。投标人应根据投标人须知前附表要求提供电子版文件。当</w:t>
      </w:r>
      <w:r>
        <w:rPr>
          <w:rFonts w:hint="eastAsia" w:ascii="仿宋" w:hAnsi="仿宋" w:eastAsia="仿宋" w:cs="仿宋"/>
          <w:spacing w:val="-3"/>
          <w:highlight w:val="none"/>
        </w:rPr>
        <w:t>副本和正本不一致或电子版文件和纸质正本文件不一致时，以纸质正本文件为准。</w:t>
      </w:r>
    </w:p>
    <w:p>
      <w:pPr>
        <w:spacing w:line="360" w:lineRule="auto"/>
        <w:ind w:firstLine="392" w:firstLineChars="200"/>
        <w:rPr>
          <w:rFonts w:hint="eastAsia" w:ascii="仿宋" w:hAnsi="仿宋" w:eastAsia="仿宋" w:cs="仿宋"/>
          <w:highlight w:val="none"/>
        </w:rPr>
      </w:pPr>
      <w:r>
        <w:rPr>
          <w:rFonts w:hint="eastAsia" w:ascii="仿宋" w:hAnsi="仿宋" w:eastAsia="仿宋" w:cs="仿宋"/>
          <w:spacing w:val="-7"/>
          <w:highlight w:val="none"/>
        </w:rPr>
        <w:t>（</w:t>
      </w:r>
      <w:r>
        <w:rPr>
          <w:rFonts w:hint="eastAsia" w:ascii="仿宋" w:hAnsi="仿宋" w:eastAsia="仿宋" w:cs="仿宋"/>
          <w:spacing w:val="-7"/>
          <w:highlight w:val="none"/>
          <w:lang w:val="en-US" w:eastAsia="zh-CN"/>
        </w:rPr>
        <w:t>4</w:t>
      </w:r>
      <w:r>
        <w:rPr>
          <w:rFonts w:hint="eastAsia" w:ascii="仿宋" w:hAnsi="仿宋" w:eastAsia="仿宋" w:cs="仿宋"/>
          <w:spacing w:val="-7"/>
          <w:highlight w:val="none"/>
        </w:rPr>
        <w:t>）投标文件的正本与副本应分别装订，并编制目录，投标文件需分册装订的，具体分</w:t>
      </w:r>
      <w:r>
        <w:rPr>
          <w:rFonts w:hint="eastAsia" w:ascii="仿宋" w:hAnsi="仿宋" w:eastAsia="仿宋" w:cs="仿宋"/>
          <w:spacing w:val="-3"/>
          <w:highlight w:val="none"/>
        </w:rPr>
        <w:t>册装订要求见</w:t>
      </w:r>
      <w:r>
        <w:rPr>
          <w:rFonts w:hint="eastAsia" w:ascii="仿宋" w:hAnsi="仿宋" w:eastAsia="仿宋" w:cs="仿宋"/>
          <w:highlight w:val="none"/>
        </w:rPr>
        <w:t>投标人须知</w:t>
      </w:r>
      <w:r>
        <w:rPr>
          <w:rFonts w:hint="eastAsia" w:ascii="仿宋" w:hAnsi="仿宋" w:eastAsia="仿宋" w:cs="仿宋"/>
          <w:spacing w:val="-3"/>
          <w:highlight w:val="none"/>
        </w:rPr>
        <w:t>前附表规定。</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3.7.3（B）投标文件全部采用电子文档，除投标人须知前附表另有规定外，投标文件所附证书证件均为原件扫描件，并采用单位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numPr>
          <w:ilvl w:val="0"/>
          <w:numId w:val="4"/>
        </w:numPr>
        <w:rPr>
          <w:rFonts w:hint="eastAsia" w:ascii="仿宋" w:hAnsi="仿宋" w:eastAsia="仿宋" w:cs="仿宋"/>
          <w:highlight w:val="none"/>
        </w:rPr>
      </w:pPr>
      <w:r>
        <w:rPr>
          <w:rFonts w:hint="eastAsia" w:ascii="仿宋" w:hAnsi="仿宋" w:eastAsia="仿宋" w:cs="仿宋"/>
          <w:highlight w:val="none"/>
        </w:rPr>
        <w:t>投标</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4.1 投标文件的密封和标记</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4.1.1（A）投标文件应密封包装，并在封套的封口处加盖投标人单位章或由投标人的法定代表人或其授权的代理人签字。</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4.1.1（B）投标人应当按照招标文件和电子招标投标交易平台的要求加密投标文件，具体要求见投标人须知前附表。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4.1.2 投标文件封套上应写明的内容见投标人须知前附表。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4.1.3 未按本章第4.1.1项要求密封的投标文件，招标人将予以拒收。</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4.2 投标文件的递交</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4.2.1 投标人应在投标人须知前附表规定的投标截止时间前递交投标文件。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4.2.2（A）投标人递交投标文件的地点：见投标人须知前附表。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4.2.2（B）投标人通过下载招标文件的电子招标投标交易平台递交电子投标文件。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4.2.3 除投标人须知前附表另有规定外，投标人所递交的投标文件不予退还。</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4.2.4（A）招标人收到投标文件后，向投标人出具签收凭证。</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4.2.4（B）投标人完成电子投标文件上传后，电子招标投标交易平台即时向投标人发出递交回执通知。递交时间以递交回执通知载明的传输完成时间为准。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4.2.5（A）逾期送达的投标文件，招标人将予以拒收。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4.2.5（B）逾期送达的投标文件，电子招标投标交易平台将予以拒收。</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4.3 投标文件的修改与撤回</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4.3.1 在本章第4.2.1项规定的投标截止时间前，投标人可以修改或撤回已递交的投标文件，但应以书面形式通知招标人。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4.3.2 （A）投标人修改或撤回已递交投标文件的书面通知应按照本章第 3.7.3（A）项的要求签字或盖章。招标人收到书面通知后，向投标人出具签收凭证。</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4.3.2 （B）投标人修改或撤回已递交投标文件的通知，应按照本章第3.7.3（B）项的要求加盖电子印章。电子招标投标交易平台收到通知后，即时向投标人发出确认回执通知。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4.3.3 投标人撤回投标文件的，招标人自收到投标人书面撤回通知之日起 5 日内退还已收取的投标保证金。</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4.3.4 修改的内容为投标文件的组成部分。修改的投标文件应按照本章第 3 条、第 4 条的规定进行编制、密封、标记和递交，并标明“修改”字样。</w:t>
      </w:r>
    </w:p>
    <w:p>
      <w:pPr>
        <w:pStyle w:val="4"/>
        <w:rPr>
          <w:rFonts w:hint="eastAsia" w:ascii="仿宋" w:hAnsi="仿宋" w:eastAsia="仿宋" w:cs="仿宋"/>
          <w:highlight w:val="none"/>
        </w:rPr>
      </w:pPr>
      <w:r>
        <w:rPr>
          <w:rFonts w:hint="eastAsia" w:ascii="仿宋" w:hAnsi="仿宋" w:eastAsia="仿宋" w:cs="仿宋"/>
          <w:highlight w:val="none"/>
        </w:rPr>
        <w:t>5. 开标</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5.1 开标时间和地点（A）</w:t>
      </w:r>
    </w:p>
    <w:p>
      <w:pPr>
        <w:pStyle w:val="2"/>
        <w:spacing w:line="355" w:lineRule="auto"/>
        <w:ind w:left="240" w:right="693" w:firstLine="419"/>
        <w:rPr>
          <w:rFonts w:hint="eastAsia" w:ascii="仿宋" w:hAnsi="仿宋" w:eastAsia="仿宋" w:cs="仿宋"/>
          <w:kern w:val="0"/>
          <w:szCs w:val="21"/>
          <w:highlight w:val="none"/>
        </w:rPr>
      </w:pPr>
      <w:r>
        <w:rPr>
          <w:rFonts w:hint="eastAsia" w:ascii="仿宋" w:hAnsi="仿宋" w:eastAsia="仿宋" w:cs="仿宋"/>
          <w:spacing w:val="-7"/>
          <w:highlight w:val="none"/>
        </w:rPr>
        <w:t xml:space="preserve">招标人在本章第 </w:t>
      </w:r>
      <w:r>
        <w:rPr>
          <w:rFonts w:hint="eastAsia" w:ascii="仿宋" w:hAnsi="仿宋" w:eastAsia="仿宋" w:cs="仿宋"/>
          <w:highlight w:val="none"/>
        </w:rPr>
        <w:t xml:space="preserve">4.2.1 </w:t>
      </w:r>
      <w:r>
        <w:rPr>
          <w:rFonts w:hint="eastAsia" w:ascii="仿宋" w:hAnsi="仿宋" w:eastAsia="仿宋" w:cs="仿宋"/>
          <w:spacing w:val="-7"/>
          <w:highlight w:val="none"/>
        </w:rPr>
        <w:t>项规定的投标截止时间</w:t>
      </w:r>
      <w:r>
        <w:rPr>
          <w:rFonts w:hint="eastAsia" w:ascii="仿宋" w:hAnsi="仿宋" w:eastAsia="仿宋" w:cs="仿宋"/>
          <w:spacing w:val="-3"/>
          <w:highlight w:val="none"/>
        </w:rPr>
        <w:t>（</w:t>
      </w:r>
      <w:r>
        <w:rPr>
          <w:rFonts w:hint="eastAsia" w:ascii="仿宋" w:hAnsi="仿宋" w:eastAsia="仿宋" w:cs="仿宋"/>
          <w:spacing w:val="-2"/>
          <w:highlight w:val="none"/>
        </w:rPr>
        <w:t>开标时间</w:t>
      </w:r>
      <w:r>
        <w:rPr>
          <w:rFonts w:hint="eastAsia" w:ascii="仿宋" w:hAnsi="仿宋" w:eastAsia="仿宋" w:cs="仿宋"/>
          <w:spacing w:val="-41"/>
          <w:highlight w:val="none"/>
        </w:rPr>
        <w:t>）</w:t>
      </w:r>
      <w:r>
        <w:rPr>
          <w:rFonts w:hint="eastAsia" w:ascii="仿宋" w:hAnsi="仿宋" w:eastAsia="仿宋" w:cs="仿宋"/>
          <w:spacing w:val="-3"/>
          <w:highlight w:val="none"/>
        </w:rPr>
        <w:t>和投标人须知前附表规定的地点公开开标，并邀请所有投标人的法定代表人或其委托代理人准时参加。</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5.2 开标程序</w:t>
      </w:r>
    </w:p>
    <w:p>
      <w:pPr>
        <w:spacing w:line="360" w:lineRule="auto"/>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u w:val="none"/>
        </w:rPr>
        <w:t>5.2.1主持人按下列程序进行开标：</w:t>
      </w:r>
    </w:p>
    <w:p>
      <w:pPr>
        <w:spacing w:line="360" w:lineRule="auto"/>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u w:val="none"/>
        </w:rPr>
        <w:t>（1）宣布开标纪律；</w:t>
      </w:r>
    </w:p>
    <w:p>
      <w:pPr>
        <w:spacing w:line="360" w:lineRule="auto"/>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u w:val="none"/>
        </w:rPr>
        <w:t>（2）公布在投标截止时间前递交投标文件的投标人名称；</w:t>
      </w:r>
    </w:p>
    <w:p>
      <w:pPr>
        <w:spacing w:line="360" w:lineRule="auto"/>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u w:val="none"/>
        </w:rPr>
        <w:t>（3）宣布开标人、唱标人、记录人、监标人等有关人员姓名；</w:t>
      </w:r>
    </w:p>
    <w:p>
      <w:pPr>
        <w:spacing w:line="360" w:lineRule="auto"/>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u w:val="none"/>
        </w:rPr>
        <w:t>（4）</w:t>
      </w:r>
      <w:r>
        <w:rPr>
          <w:rFonts w:hint="eastAsia" w:ascii="仿宋" w:hAnsi="仿宋" w:eastAsia="仿宋" w:cs="仿宋"/>
          <w:highlight w:val="none"/>
          <w:u w:val="none"/>
        </w:rPr>
        <w:t>（</w:t>
      </w:r>
      <w:r>
        <w:rPr>
          <w:rFonts w:hint="eastAsia" w:ascii="仿宋" w:hAnsi="仿宋" w:eastAsia="仿宋" w:cs="仿宋"/>
          <w:spacing w:val="3"/>
          <w:highlight w:val="none"/>
          <w:u w:val="none"/>
        </w:rPr>
        <w:t>A</w:t>
      </w:r>
      <w:r>
        <w:rPr>
          <w:rFonts w:hint="eastAsia" w:ascii="仿宋" w:hAnsi="仿宋" w:eastAsia="仿宋" w:cs="仿宋"/>
          <w:highlight w:val="none"/>
          <w:u w:val="none"/>
        </w:rPr>
        <w:t>）检查投标文件的密封情况，按照投标人须知前附表规定的开标顺序当众开标，</w:t>
      </w:r>
      <w:r>
        <w:rPr>
          <w:rFonts w:hint="eastAsia" w:ascii="仿宋" w:hAnsi="仿宋" w:eastAsia="仿宋" w:cs="仿宋"/>
          <w:spacing w:val="-4"/>
          <w:highlight w:val="none"/>
          <w:u w:val="none"/>
        </w:rPr>
        <w:t>公布招标项目名称、投标人名称、投标保证金的递交情况、投标报价、设计服务期限及其他内</w:t>
      </w:r>
      <w:r>
        <w:rPr>
          <w:rFonts w:hint="eastAsia" w:ascii="仿宋" w:hAnsi="仿宋" w:eastAsia="仿宋" w:cs="仿宋"/>
          <w:spacing w:val="-3"/>
          <w:highlight w:val="none"/>
          <w:u w:val="none"/>
        </w:rPr>
        <w:t>容，并记录在案</w:t>
      </w:r>
      <w:r>
        <w:rPr>
          <w:rFonts w:hint="eastAsia" w:ascii="仿宋" w:hAnsi="仿宋" w:eastAsia="仿宋" w:cs="仿宋"/>
          <w:szCs w:val="21"/>
          <w:highlight w:val="none"/>
          <w:u w:val="none"/>
        </w:rPr>
        <w:t>；</w:t>
      </w:r>
    </w:p>
    <w:p>
      <w:pPr>
        <w:spacing w:line="360" w:lineRule="auto"/>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u w:val="none"/>
        </w:rPr>
        <w:t>（5）（A）投标人代表、招标人代表、监标人、记录人等有关人员在开标记录上签字确认；</w:t>
      </w:r>
    </w:p>
    <w:p>
      <w:pPr>
        <w:spacing w:line="360" w:lineRule="auto"/>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u w:val="none"/>
        </w:rPr>
        <w:t>（6）开标结束。</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5.3 开标异议</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投标人对开标有异议的，应当在开标现场提出，招标人当场作出答复，并制作记录。</w:t>
      </w:r>
    </w:p>
    <w:p>
      <w:pPr>
        <w:pStyle w:val="4"/>
        <w:rPr>
          <w:rFonts w:hint="eastAsia" w:ascii="仿宋" w:hAnsi="仿宋" w:eastAsia="仿宋" w:cs="仿宋"/>
          <w:highlight w:val="none"/>
        </w:rPr>
      </w:pPr>
      <w:r>
        <w:rPr>
          <w:rFonts w:hint="eastAsia" w:ascii="仿宋" w:hAnsi="仿宋" w:eastAsia="仿宋" w:cs="仿宋"/>
          <w:highlight w:val="none"/>
        </w:rPr>
        <w:t>6. 评标</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6.1 评标委员会</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6.1.2 评标委员会成员有下列情形之一的，应当回避：</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（1）投标人或投标人主要负责人的近亲属；</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（2）项目主管部门或者行政监督部门的人员；</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（3）与投标人有经济利益关系，可能影响对投标公正评审的；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（4）曾因在招标、评标以及其他与招标投标有关活动中从事违法行为而受过行政处罚或刑事处罚的；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（5）与投标人有其他利害关系。</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6.2 评标原则</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评标活动遵循公平、公正、科学和择优的原则。</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6.3 评标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6.3.2 评标完成后，评标委员会应当向招标人提交书面评标报告和中标候选人名单。评标委员会推荐中标候选人的人数见投标人须知前附表。</w:t>
      </w:r>
    </w:p>
    <w:p>
      <w:pPr>
        <w:pStyle w:val="4"/>
        <w:rPr>
          <w:rFonts w:hint="eastAsia" w:ascii="仿宋" w:hAnsi="仿宋" w:eastAsia="仿宋" w:cs="仿宋"/>
          <w:highlight w:val="none"/>
        </w:rPr>
      </w:pPr>
      <w:r>
        <w:rPr>
          <w:rFonts w:hint="eastAsia" w:ascii="仿宋" w:hAnsi="仿宋" w:eastAsia="仿宋" w:cs="仿宋"/>
          <w:highlight w:val="none"/>
        </w:rPr>
        <w:t>7. 合同授予</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7.1 中标候选人公示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招标人在收到评标报告之日起3日内，按照投标人须知前附表规定的公示媒介和期限公示中标候选人，公示期不得少于3天。</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7.2 评标结果异议</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投标人或者其他利害关系人对评标结果有异议的，应当在中标候选人公示期间提出。招标人将在收到异议之日起3日内作出答复；作出答复前，将暂停招标投标活动。</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7.3 中标候选人履约能力审查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7.4 定标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按照投标人须知前附表的规定，招标人或招标人授权的评标委员会依法确定中标人。</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7.5 中标通知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在本章第 3.3 款规定的投标有效期内，招标人以书面形式向中标人发出中标通知书，同时将中标结果通知未中标的投标人。</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7.6 技术成果经济补偿</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7.7 履约保证金</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5 %。联合体中标的，其履约保证金以联合体各方或者联合体中牵头人的名义提交。</w:t>
      </w:r>
    </w:p>
    <w:p>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7.7.2 中标人不能按本章第7.7.1项要求提交履约保证金的，视为放弃中标，其投标保证金不予退还，给招标人造成的损失超过投标保证金数额的，中标人还应当对超过部分予以赔偿。</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7.8 签订合同</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7.8.2 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7.8.3 联合体中标的，联合体各方应当共同与招标人签订合同，就中标项目向招标人承担连带责任。</w:t>
      </w:r>
    </w:p>
    <w:p>
      <w:pPr>
        <w:pStyle w:val="4"/>
        <w:rPr>
          <w:rFonts w:hint="eastAsia" w:ascii="仿宋" w:hAnsi="仿宋" w:eastAsia="仿宋" w:cs="仿宋"/>
          <w:highlight w:val="none"/>
        </w:rPr>
      </w:pPr>
      <w:r>
        <w:rPr>
          <w:rFonts w:hint="eastAsia" w:ascii="仿宋" w:hAnsi="仿宋" w:eastAsia="仿宋" w:cs="仿宋"/>
          <w:highlight w:val="none"/>
        </w:rPr>
        <w:t>8. 纪律和监督</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8.1 对招标人的纪律要求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招标人不得泄露招标投标活动中应当保密的情况和资料，不得与投标人串通损害国家利益、社会公共利益或者他人合法权益。</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8.2 对投标人的纪律要求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8.3 对评标委员会成员的纪律要求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8.4 对与评标活动有关的工作人员的纪律要求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spacing w:before="62" w:beforeLines="20" w:after="62" w:afterLines="20" w:line="360" w:lineRule="auto"/>
        <w:rPr>
          <w:rFonts w:hint="eastAsia" w:ascii="仿宋" w:hAnsi="仿宋" w:eastAsia="仿宋" w:cs="仿宋"/>
          <w:highlight w:val="none"/>
        </w:rPr>
      </w:pPr>
      <w:r>
        <w:rPr>
          <w:rFonts w:hint="eastAsia" w:ascii="仿宋" w:hAnsi="仿宋" w:eastAsia="仿宋" w:cs="仿宋"/>
          <w:highlight w:val="none"/>
        </w:rPr>
        <w:t>8.5 投诉</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8.5.2 投标人或者其他利害关系人对招标文件、开标和评标结果提出投诉的，应当按照投标人须知第2.4款、第5.3款和第7.2款的规定先向招标人提出异议。异议答复期间不计算在第8.5.1项规定的期限内。</w:t>
      </w:r>
    </w:p>
    <w:p>
      <w:pPr>
        <w:pStyle w:val="4"/>
        <w:rPr>
          <w:rFonts w:hint="eastAsia" w:ascii="仿宋" w:hAnsi="仿宋" w:eastAsia="仿宋" w:cs="仿宋"/>
          <w:highlight w:val="none"/>
        </w:rPr>
      </w:pPr>
      <w:r>
        <w:rPr>
          <w:rFonts w:hint="eastAsia" w:ascii="仿宋" w:hAnsi="仿宋" w:eastAsia="仿宋" w:cs="仿宋"/>
          <w:highlight w:val="none"/>
        </w:rPr>
        <w:t>9. 是否采用电子招标投标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本招标项目是否采用电子招标投标方式，见投标人须知前附表。</w:t>
      </w:r>
    </w:p>
    <w:p>
      <w:pPr>
        <w:pStyle w:val="4"/>
        <w:rPr>
          <w:rFonts w:hint="eastAsia" w:ascii="仿宋" w:hAnsi="仿宋" w:eastAsia="仿宋" w:cs="仿宋"/>
          <w:highlight w:val="none"/>
        </w:rPr>
      </w:pPr>
      <w:r>
        <w:rPr>
          <w:rFonts w:hint="eastAsia" w:ascii="仿宋" w:hAnsi="仿宋" w:eastAsia="仿宋" w:cs="仿宋"/>
          <w:highlight w:val="none"/>
        </w:rPr>
        <w:t>10. 需要补充的其他内容</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需要补充的其他内容：见投标人须知前附表。</w:t>
      </w:r>
    </w:p>
    <w:p>
      <w:pPr>
        <w:pStyle w:val="4"/>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附件一：开标记录表</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开标记录表</w:t>
      </w:r>
    </w:p>
    <w:p>
      <w:pPr>
        <w:spacing w:line="360" w:lineRule="auto"/>
        <w:jc w:val="right"/>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r>
        <w:rPr>
          <w:rFonts w:hint="eastAsia" w:ascii="仿宋" w:hAnsi="仿宋" w:eastAsia="仿宋" w:cs="仿宋"/>
          <w:highlight w:val="none"/>
          <w:u w:val="single"/>
        </w:rPr>
        <w:t xml:space="preserve">         </w:t>
      </w:r>
      <w:r>
        <w:rPr>
          <w:rFonts w:hint="eastAsia" w:ascii="仿宋" w:hAnsi="仿宋" w:eastAsia="仿宋" w:cs="仿宋"/>
          <w:highlight w:val="none"/>
        </w:rPr>
        <w:t>时</w:t>
      </w:r>
      <w:r>
        <w:rPr>
          <w:rFonts w:hint="eastAsia" w:ascii="仿宋" w:hAnsi="仿宋" w:eastAsia="仿宋" w:cs="仿宋"/>
          <w:highlight w:val="none"/>
          <w:u w:val="single"/>
        </w:rPr>
        <w:t xml:space="preserve">         </w:t>
      </w:r>
      <w:r>
        <w:rPr>
          <w:rFonts w:hint="eastAsia" w:ascii="仿宋" w:hAnsi="仿宋" w:eastAsia="仿宋" w:cs="仿宋"/>
          <w:highlight w:val="none"/>
        </w:rPr>
        <w:t>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15"/>
        <w:gridCol w:w="1095"/>
        <w:gridCol w:w="1249"/>
        <w:gridCol w:w="1181"/>
        <w:gridCol w:w="947"/>
        <w:gridCol w:w="1253"/>
        <w:gridCol w:w="66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序号</w:t>
            </w:r>
          </w:p>
        </w:tc>
        <w:tc>
          <w:tcPr>
            <w:tcW w:w="1015"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w:t>
            </w:r>
          </w:p>
        </w:tc>
        <w:tc>
          <w:tcPr>
            <w:tcW w:w="1095"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密封情况</w:t>
            </w:r>
          </w:p>
        </w:tc>
        <w:tc>
          <w:tcPr>
            <w:tcW w:w="1249"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投标保证金</w:t>
            </w:r>
          </w:p>
        </w:tc>
        <w:tc>
          <w:tcPr>
            <w:tcW w:w="1181"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投标总报价（万元）</w:t>
            </w:r>
          </w:p>
        </w:tc>
        <w:tc>
          <w:tcPr>
            <w:tcW w:w="947"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项目负责人</w:t>
            </w:r>
          </w:p>
        </w:tc>
        <w:tc>
          <w:tcPr>
            <w:tcW w:w="1253"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服务期限</w:t>
            </w:r>
          </w:p>
        </w:tc>
        <w:tc>
          <w:tcPr>
            <w:tcW w:w="665"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备注</w:t>
            </w:r>
          </w:p>
        </w:tc>
        <w:tc>
          <w:tcPr>
            <w:tcW w:w="1173"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360" w:lineRule="auto"/>
              <w:rPr>
                <w:rFonts w:hint="eastAsia" w:ascii="仿宋" w:hAnsi="仿宋" w:eastAsia="仿宋" w:cs="仿宋"/>
                <w:highlight w:val="none"/>
              </w:rPr>
            </w:pPr>
          </w:p>
        </w:tc>
        <w:tc>
          <w:tcPr>
            <w:tcW w:w="1015" w:type="dxa"/>
          </w:tcPr>
          <w:p>
            <w:pPr>
              <w:spacing w:line="360" w:lineRule="auto"/>
              <w:rPr>
                <w:rFonts w:hint="eastAsia" w:ascii="仿宋" w:hAnsi="仿宋" w:eastAsia="仿宋" w:cs="仿宋"/>
                <w:highlight w:val="none"/>
              </w:rPr>
            </w:pPr>
          </w:p>
        </w:tc>
        <w:tc>
          <w:tcPr>
            <w:tcW w:w="1095" w:type="dxa"/>
          </w:tcPr>
          <w:p>
            <w:pPr>
              <w:spacing w:line="360" w:lineRule="auto"/>
              <w:rPr>
                <w:rFonts w:hint="eastAsia" w:ascii="仿宋" w:hAnsi="仿宋" w:eastAsia="仿宋" w:cs="仿宋"/>
                <w:highlight w:val="none"/>
              </w:rPr>
            </w:pP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8" w:type="dxa"/>
            <w:gridSpan w:val="3"/>
          </w:tcPr>
          <w:p>
            <w:pPr>
              <w:spacing w:line="360" w:lineRule="auto"/>
              <w:rPr>
                <w:rFonts w:hint="eastAsia" w:ascii="仿宋" w:hAnsi="仿宋" w:eastAsia="仿宋" w:cs="仿宋"/>
                <w:highlight w:val="none"/>
              </w:rPr>
            </w:pPr>
            <w:r>
              <w:rPr>
                <w:rFonts w:hint="eastAsia" w:ascii="仿宋" w:hAnsi="仿宋" w:eastAsia="仿宋" w:cs="仿宋"/>
                <w:highlight w:val="none"/>
              </w:rPr>
              <w:t>最高投标限价：</w:t>
            </w:r>
          </w:p>
        </w:tc>
        <w:tc>
          <w:tcPr>
            <w:tcW w:w="1249" w:type="dxa"/>
          </w:tcPr>
          <w:p>
            <w:pPr>
              <w:spacing w:line="360" w:lineRule="auto"/>
              <w:rPr>
                <w:rFonts w:hint="eastAsia" w:ascii="仿宋" w:hAnsi="仿宋" w:eastAsia="仿宋" w:cs="仿宋"/>
                <w:highlight w:val="none"/>
              </w:rPr>
            </w:pPr>
          </w:p>
        </w:tc>
        <w:tc>
          <w:tcPr>
            <w:tcW w:w="1181" w:type="dxa"/>
          </w:tcPr>
          <w:p>
            <w:pPr>
              <w:spacing w:line="360" w:lineRule="auto"/>
              <w:rPr>
                <w:rFonts w:hint="eastAsia" w:ascii="仿宋" w:hAnsi="仿宋" w:eastAsia="仿宋" w:cs="仿宋"/>
                <w:highlight w:val="none"/>
              </w:rPr>
            </w:pPr>
          </w:p>
        </w:tc>
        <w:tc>
          <w:tcPr>
            <w:tcW w:w="947" w:type="dxa"/>
          </w:tcPr>
          <w:p>
            <w:pPr>
              <w:spacing w:line="360" w:lineRule="auto"/>
              <w:rPr>
                <w:rFonts w:hint="eastAsia" w:ascii="仿宋" w:hAnsi="仿宋" w:eastAsia="仿宋" w:cs="仿宋"/>
                <w:highlight w:val="none"/>
              </w:rPr>
            </w:pPr>
          </w:p>
        </w:tc>
        <w:tc>
          <w:tcPr>
            <w:tcW w:w="1253" w:type="dxa"/>
          </w:tcPr>
          <w:p>
            <w:pPr>
              <w:spacing w:line="360" w:lineRule="auto"/>
              <w:rPr>
                <w:rFonts w:hint="eastAsia" w:ascii="仿宋" w:hAnsi="仿宋" w:eastAsia="仿宋" w:cs="仿宋"/>
                <w:highlight w:val="none"/>
              </w:rPr>
            </w:pPr>
          </w:p>
        </w:tc>
        <w:tc>
          <w:tcPr>
            <w:tcW w:w="665" w:type="dxa"/>
          </w:tcPr>
          <w:p>
            <w:pPr>
              <w:spacing w:line="360" w:lineRule="auto"/>
              <w:rPr>
                <w:rFonts w:hint="eastAsia" w:ascii="仿宋" w:hAnsi="仿宋" w:eastAsia="仿宋" w:cs="仿宋"/>
                <w:highlight w:val="none"/>
              </w:rPr>
            </w:pPr>
          </w:p>
        </w:tc>
        <w:tc>
          <w:tcPr>
            <w:tcW w:w="1173" w:type="dxa"/>
          </w:tcPr>
          <w:p>
            <w:pPr>
              <w:spacing w:line="360" w:lineRule="auto"/>
              <w:rPr>
                <w:rFonts w:hint="eastAsia" w:ascii="仿宋" w:hAnsi="仿宋" w:eastAsia="仿宋" w:cs="仿宋"/>
                <w:highlight w:val="none"/>
              </w:rPr>
            </w:pPr>
          </w:p>
        </w:tc>
      </w:tr>
    </w:tbl>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r>
        <w:rPr>
          <w:rFonts w:hint="eastAsia" w:ascii="仿宋" w:hAnsi="仿宋" w:eastAsia="仿宋" w:cs="仿宋"/>
          <w:highlight w:val="none"/>
        </w:rPr>
        <w:t>招标人代表：</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记录人：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监标人：</w:t>
      </w:r>
      <w:r>
        <w:rPr>
          <w:rFonts w:hint="eastAsia" w:ascii="仿宋" w:hAnsi="仿宋" w:eastAsia="仿宋" w:cs="仿宋"/>
          <w:highlight w:val="none"/>
          <w:u w:val="single"/>
        </w:rPr>
        <w:t xml:space="preserve">          </w:t>
      </w:r>
    </w:p>
    <w:p>
      <w:pPr>
        <w:spacing w:line="360" w:lineRule="auto"/>
        <w:ind w:firstLine="420" w:firstLineChars="200"/>
        <w:jc w:val="right"/>
        <w:rPr>
          <w:rFonts w:hint="eastAsia"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pPr>
        <w:spacing w:line="360" w:lineRule="auto"/>
        <w:ind w:firstLine="420" w:firstLineChars="200"/>
        <w:jc w:val="right"/>
        <w:rPr>
          <w:rFonts w:hint="eastAsia" w:ascii="仿宋" w:hAnsi="仿宋" w:eastAsia="仿宋" w:cs="仿宋"/>
          <w:highlight w:val="none"/>
        </w:rPr>
      </w:pPr>
    </w:p>
    <w:p>
      <w:pPr>
        <w:spacing w:line="360" w:lineRule="auto"/>
        <w:rPr>
          <w:rFonts w:hint="eastAsia" w:ascii="仿宋" w:hAnsi="仿宋" w:eastAsia="仿宋" w:cs="仿宋"/>
          <w:highlight w:val="none"/>
          <w:u w:val="single"/>
        </w:rPr>
      </w:pPr>
      <w:r>
        <w:rPr>
          <w:rFonts w:hint="eastAsia" w:ascii="仿宋" w:hAnsi="仿宋" w:eastAsia="仿宋" w:cs="仿宋"/>
          <w:highlight w:val="none"/>
          <w:u w:val="single"/>
        </w:rPr>
        <w:t>本表仅供参考，具体以开标时的开标记录表为准。</w:t>
      </w:r>
    </w:p>
    <w:p>
      <w:pPr>
        <w:pStyle w:val="4"/>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附件二：问题澄清通知</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问题澄清通知</w:t>
      </w:r>
    </w:p>
    <w:p>
      <w:pPr>
        <w:spacing w:line="360" w:lineRule="auto"/>
        <w:jc w:val="center"/>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u w:val="single"/>
        </w:rPr>
        <w:t>（按广州公共资源交易中心的版式为准）</w:t>
      </w:r>
    </w:p>
    <w:p>
      <w:pPr>
        <w:pStyle w:val="4"/>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附件三：问题的澄清</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问题的澄清</w:t>
      </w:r>
    </w:p>
    <w:p>
      <w:pPr>
        <w:spacing w:line="360" w:lineRule="auto"/>
        <w:jc w:val="center"/>
        <w:rPr>
          <w:rFonts w:hint="eastAsia" w:ascii="仿宋" w:hAnsi="仿宋" w:eastAsia="仿宋" w:cs="仿宋"/>
          <w:highlight w:val="none"/>
          <w:u w:val="single"/>
        </w:rPr>
      </w:pPr>
      <w:r>
        <w:rPr>
          <w:rFonts w:hint="eastAsia" w:ascii="仿宋" w:hAnsi="仿宋" w:eastAsia="仿宋" w:cs="仿宋"/>
          <w:b/>
          <w:sz w:val="32"/>
          <w:szCs w:val="32"/>
          <w:highlight w:val="none"/>
          <w:u w:val="single"/>
        </w:rPr>
        <w:t>（按广州公共资源交易中心的版式为准）</w:t>
      </w:r>
    </w:p>
    <w:p>
      <w:pPr>
        <w:pStyle w:val="4"/>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附件四：中标通知书</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中标通知书</w:t>
      </w:r>
    </w:p>
    <w:p>
      <w:pPr>
        <w:spacing w:line="360" w:lineRule="auto"/>
        <w:jc w:val="center"/>
        <w:rPr>
          <w:rFonts w:hint="eastAsia" w:ascii="仿宋" w:hAnsi="仿宋" w:eastAsia="仿宋" w:cs="仿宋"/>
          <w:highlight w:val="none"/>
          <w:u w:val="single"/>
        </w:rPr>
      </w:pPr>
      <w:r>
        <w:rPr>
          <w:rFonts w:hint="eastAsia" w:ascii="仿宋" w:hAnsi="仿宋" w:eastAsia="仿宋" w:cs="仿宋"/>
          <w:b/>
          <w:sz w:val="32"/>
          <w:szCs w:val="32"/>
          <w:highlight w:val="none"/>
          <w:u w:val="single"/>
        </w:rPr>
        <w:t>（按广州公共资源交易中心的版式为准）</w:t>
      </w:r>
    </w:p>
    <w:p>
      <w:pPr>
        <w:pStyle w:val="3"/>
        <w:spacing w:before="62" w:beforeLines="20" w:after="62" w:afterLines="20" w:line="360" w:lineRule="auto"/>
        <w:jc w:val="center"/>
        <w:rPr>
          <w:rFonts w:hint="eastAsia" w:ascii="仿宋" w:hAnsi="仿宋" w:eastAsia="仿宋" w:cs="仿宋"/>
          <w:highlight w:val="none"/>
        </w:rPr>
      </w:pPr>
      <w:r>
        <w:rPr>
          <w:rFonts w:hint="eastAsia" w:ascii="仿宋" w:hAnsi="仿宋" w:eastAsia="仿宋" w:cs="仿宋"/>
          <w:highlight w:val="none"/>
        </w:rPr>
        <w:br w:type="page"/>
      </w:r>
      <w:bookmarkStart w:id="25" w:name="_Toc57732041"/>
      <w:r>
        <w:rPr>
          <w:rFonts w:hint="eastAsia" w:ascii="仿宋" w:hAnsi="仿宋" w:eastAsia="仿宋" w:cs="仿宋"/>
          <w:highlight w:val="none"/>
        </w:rPr>
        <w:t>第三章 评标办法（综合评估法）</w:t>
      </w:r>
      <w:bookmarkEnd w:id="25"/>
    </w:p>
    <w:p>
      <w:pPr>
        <w:pStyle w:val="4"/>
        <w:rPr>
          <w:rFonts w:hint="eastAsia" w:ascii="仿宋" w:hAnsi="仿宋" w:eastAsia="仿宋" w:cs="仿宋"/>
          <w:highlight w:val="none"/>
        </w:rPr>
      </w:pPr>
      <w:r>
        <w:rPr>
          <w:rFonts w:hint="eastAsia" w:ascii="仿宋" w:hAnsi="仿宋" w:eastAsia="仿宋" w:cs="仿宋"/>
          <w:highlight w:val="none"/>
        </w:rPr>
        <w:t>评标办法前附表</w:t>
      </w:r>
    </w:p>
    <w:tbl>
      <w:tblPr>
        <w:tblStyle w:val="37"/>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29"/>
        <w:gridCol w:w="2126"/>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80" w:type="dxa"/>
            <w:gridSpan w:val="2"/>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条款号</w:t>
            </w:r>
          </w:p>
        </w:tc>
        <w:tc>
          <w:tcPr>
            <w:tcW w:w="2126" w:type="dxa"/>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评审因素</w:t>
            </w:r>
          </w:p>
        </w:tc>
        <w:tc>
          <w:tcPr>
            <w:tcW w:w="5488" w:type="dxa"/>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851"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1129"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评标方法</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中标候选人排序方法</w:t>
            </w:r>
          </w:p>
        </w:tc>
        <w:tc>
          <w:tcPr>
            <w:tcW w:w="5488" w:type="dxa"/>
            <w:vAlign w:val="center"/>
          </w:tcPr>
          <w:p>
            <w:pPr>
              <w:spacing w:line="360" w:lineRule="auto"/>
              <w:rPr>
                <w:rFonts w:hint="eastAsia" w:ascii="仿宋" w:hAnsi="仿宋" w:eastAsia="仿宋" w:cs="仿宋"/>
                <w:highlight w:val="none"/>
                <w:u w:val="single"/>
              </w:rPr>
            </w:pPr>
            <w:r>
              <w:rPr>
                <w:rFonts w:hint="eastAsia" w:ascii="仿宋" w:hAnsi="仿宋" w:eastAsia="仿宋" w:cs="仿宋"/>
                <w:szCs w:val="21"/>
                <w:highlight w:val="none"/>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综合评分相等时，以投标报价低的优先；投标报价也相等的，由评标委员会推选的评标组长随机抽签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2.1.1</w:t>
            </w:r>
          </w:p>
        </w:tc>
        <w:tc>
          <w:tcPr>
            <w:tcW w:w="1129" w:type="dxa"/>
            <w:vMerge w:val="restart"/>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形式评审标准</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szCs w:val="21"/>
                <w:highlight w:val="none"/>
              </w:rPr>
              <w:t>投标人名称</w:t>
            </w:r>
          </w:p>
        </w:tc>
        <w:tc>
          <w:tcPr>
            <w:tcW w:w="5488" w:type="dxa"/>
            <w:vAlign w:val="center"/>
          </w:tcPr>
          <w:p>
            <w:pPr>
              <w:spacing w:line="360" w:lineRule="auto"/>
              <w:rPr>
                <w:rFonts w:hint="eastAsia" w:ascii="仿宋" w:hAnsi="仿宋" w:eastAsia="仿宋" w:cs="仿宋"/>
                <w:highlight w:val="none"/>
                <w:lang w:eastAsia="zh-CN"/>
              </w:rPr>
            </w:pPr>
            <w:r>
              <w:rPr>
                <w:rFonts w:hint="eastAsia" w:ascii="仿宋" w:hAnsi="仿宋" w:eastAsia="仿宋" w:cs="仿宋"/>
                <w:szCs w:val="21"/>
                <w:highlight w:val="none"/>
              </w:rPr>
              <w:t>与营业执照、资质证书一致</w:t>
            </w:r>
            <w:r>
              <w:rPr>
                <w:rFonts w:hint="eastAsia" w:ascii="仿宋" w:hAnsi="仿宋" w:eastAsia="仿宋" w:cs="仿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u w:val="single"/>
              </w:rPr>
            </w:pPr>
            <w:r>
              <w:rPr>
                <w:rFonts w:hint="eastAsia" w:ascii="仿宋" w:hAnsi="仿宋" w:eastAsia="仿宋" w:cs="仿宋"/>
                <w:szCs w:val="21"/>
                <w:highlight w:val="none"/>
              </w:rPr>
              <w:t>投标函及投标函附录签字盖章</w:t>
            </w:r>
          </w:p>
        </w:tc>
        <w:tc>
          <w:tcPr>
            <w:tcW w:w="5488" w:type="dxa"/>
            <w:vAlign w:val="center"/>
          </w:tcPr>
          <w:p>
            <w:pPr>
              <w:spacing w:line="360" w:lineRule="auto"/>
              <w:rPr>
                <w:rFonts w:hint="eastAsia" w:ascii="仿宋" w:hAnsi="仿宋" w:eastAsia="仿宋" w:cs="仿宋"/>
                <w:highlight w:val="none"/>
              </w:rPr>
            </w:pPr>
            <w:r>
              <w:rPr>
                <w:rFonts w:hint="eastAsia" w:ascii="仿宋" w:hAnsi="仿宋" w:eastAsia="仿宋" w:cs="仿宋"/>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u w:val="single"/>
              </w:rPr>
            </w:pPr>
            <w:r>
              <w:rPr>
                <w:rFonts w:hint="eastAsia" w:ascii="仿宋" w:hAnsi="仿宋" w:eastAsia="仿宋" w:cs="仿宋"/>
                <w:szCs w:val="21"/>
                <w:highlight w:val="none"/>
              </w:rPr>
              <w:t>投标文件格式</w:t>
            </w:r>
          </w:p>
        </w:tc>
        <w:tc>
          <w:tcPr>
            <w:tcW w:w="5488" w:type="dxa"/>
            <w:vAlign w:val="center"/>
          </w:tcPr>
          <w:p>
            <w:pPr>
              <w:spacing w:line="360" w:lineRule="auto"/>
              <w:rPr>
                <w:rFonts w:hint="eastAsia" w:ascii="仿宋" w:hAnsi="仿宋" w:eastAsia="仿宋" w:cs="仿宋"/>
                <w:highlight w:val="none"/>
                <w:u w:val="single"/>
              </w:rPr>
            </w:pPr>
            <w:r>
              <w:rPr>
                <w:rFonts w:hint="eastAsia" w:ascii="仿宋" w:hAnsi="仿宋" w:eastAsia="仿宋" w:cs="仿宋"/>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备选投标方案</w:t>
            </w:r>
          </w:p>
        </w:tc>
        <w:tc>
          <w:tcPr>
            <w:tcW w:w="5488" w:type="dxa"/>
            <w:vAlign w:val="center"/>
          </w:tcPr>
          <w:p>
            <w:pPr>
              <w:spacing w:line="360" w:lineRule="auto"/>
              <w:rPr>
                <w:rFonts w:hint="eastAsia" w:ascii="仿宋" w:hAnsi="仿宋" w:eastAsia="仿宋" w:cs="仿宋"/>
                <w:highlight w:val="none"/>
                <w:u w:val="single"/>
                <w:lang w:val="en-US" w:eastAsia="zh-CN"/>
              </w:rPr>
            </w:pPr>
            <w:r>
              <w:rPr>
                <w:rFonts w:hint="eastAsia" w:ascii="仿宋" w:hAnsi="仿宋" w:eastAsia="仿宋" w:cs="仿宋"/>
                <w:szCs w:val="21"/>
                <w:highlight w:val="none"/>
              </w:rPr>
              <w:t>本项目不允许提供备选方案</w:t>
            </w:r>
            <w:r>
              <w:rPr>
                <w:rFonts w:hint="eastAsia" w:ascii="仿宋" w:hAnsi="仿宋" w:eastAsia="仿宋" w:cs="仿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2.1.2</w:t>
            </w:r>
          </w:p>
        </w:tc>
        <w:tc>
          <w:tcPr>
            <w:tcW w:w="1129" w:type="dxa"/>
            <w:vMerge w:val="restart"/>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资格评审标准</w:t>
            </w:r>
          </w:p>
        </w:tc>
        <w:tc>
          <w:tcPr>
            <w:tcW w:w="2126" w:type="dxa"/>
            <w:vAlign w:val="center"/>
          </w:tcPr>
          <w:p>
            <w:pPr>
              <w:snapToGrid w:val="0"/>
              <w:jc w:val="center"/>
              <w:rPr>
                <w:rFonts w:hint="eastAsia" w:ascii="仿宋" w:hAnsi="仿宋" w:eastAsia="仿宋" w:cs="仿宋"/>
                <w:strike/>
                <w:szCs w:val="21"/>
                <w:highlight w:val="none"/>
              </w:rPr>
            </w:pPr>
            <w:r>
              <w:rPr>
                <w:rFonts w:hint="eastAsia" w:ascii="仿宋" w:hAnsi="仿宋" w:eastAsia="仿宋" w:cs="仿宋"/>
                <w:szCs w:val="21"/>
                <w:highlight w:val="none"/>
              </w:rPr>
              <w:t>营业执照和组织机构代码证</w:t>
            </w:r>
          </w:p>
        </w:tc>
        <w:tc>
          <w:tcPr>
            <w:tcW w:w="5488" w:type="dxa"/>
            <w:vAlign w:val="center"/>
          </w:tcPr>
          <w:p>
            <w:pPr>
              <w:spacing w:line="360" w:lineRule="auto"/>
              <w:rPr>
                <w:rFonts w:hint="eastAsia" w:ascii="仿宋" w:hAnsi="仿宋" w:eastAsia="仿宋" w:cs="仿宋"/>
                <w:strike/>
                <w:szCs w:val="21"/>
                <w:highlight w:val="none"/>
              </w:rPr>
            </w:pPr>
            <w:r>
              <w:rPr>
                <w:rFonts w:hint="eastAsia" w:ascii="仿宋" w:hAnsi="仿宋" w:eastAsia="仿宋" w:cs="仿宋"/>
                <w:szCs w:val="21"/>
                <w:highlight w:val="none"/>
              </w:rPr>
              <w:t>投标人应具有独立承担民事责任能力的中华人民共和国境内注册的法人或其他组织（或由法人授权的分支机构）。应附投标人营业执照、组织机构代码证的复印件（按照“三证合一”或“五证合一”登记制度进行登记的，可仅提供营业执照复印件），分支机构需提供法人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资质要求</w:t>
            </w:r>
          </w:p>
        </w:tc>
        <w:tc>
          <w:tcPr>
            <w:tcW w:w="5488" w:type="dxa"/>
            <w:vAlign w:val="center"/>
          </w:tcPr>
          <w:p>
            <w:pPr>
              <w:spacing w:line="360" w:lineRule="auto"/>
              <w:rPr>
                <w:rFonts w:hint="eastAsia" w:ascii="仿宋" w:hAnsi="仿宋" w:eastAsia="仿宋" w:cs="仿宋"/>
                <w:highlight w:val="none"/>
                <w:lang w:eastAsia="zh-CN"/>
              </w:rPr>
            </w:pPr>
            <w:r>
              <w:rPr>
                <w:rFonts w:hint="eastAsia" w:ascii="仿宋" w:hAnsi="仿宋" w:eastAsia="仿宋" w:cs="仿宋"/>
                <w:highlight w:val="none"/>
              </w:rPr>
              <w:t>投标人的资质满足招标公告规定</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u w:val="single"/>
              </w:rPr>
            </w:pPr>
            <w:r>
              <w:rPr>
                <w:rFonts w:hint="eastAsia" w:ascii="仿宋" w:hAnsi="仿宋" w:eastAsia="仿宋" w:cs="仿宋"/>
                <w:highlight w:val="none"/>
              </w:rPr>
              <w:t>拟派本项目主要负责人员</w:t>
            </w:r>
          </w:p>
        </w:tc>
        <w:tc>
          <w:tcPr>
            <w:tcW w:w="5488" w:type="dxa"/>
            <w:vAlign w:val="center"/>
          </w:tcPr>
          <w:p>
            <w:pPr>
              <w:spacing w:line="360" w:lineRule="auto"/>
              <w:rPr>
                <w:rFonts w:hint="eastAsia" w:ascii="仿宋" w:hAnsi="仿宋" w:eastAsia="仿宋" w:cs="仿宋"/>
                <w:highlight w:val="none"/>
                <w:lang w:eastAsia="zh-CN"/>
              </w:rPr>
            </w:pPr>
            <w:r>
              <w:rPr>
                <w:rFonts w:hint="eastAsia" w:ascii="仿宋" w:hAnsi="仿宋" w:eastAsia="仿宋" w:cs="仿宋"/>
                <w:highlight w:val="none"/>
              </w:rPr>
              <w:t>拟派本项目主要负责人员资格满足招标公告规定</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联合体投标人</w:t>
            </w:r>
          </w:p>
        </w:tc>
        <w:tc>
          <w:tcPr>
            <w:tcW w:w="5488" w:type="dxa"/>
            <w:vAlign w:val="center"/>
          </w:tcPr>
          <w:p>
            <w:pPr>
              <w:spacing w:line="360" w:lineRule="auto"/>
              <w:rPr>
                <w:rFonts w:hint="eastAsia" w:ascii="仿宋" w:hAnsi="仿宋" w:eastAsia="仿宋" w:cs="仿宋"/>
                <w:highlight w:val="none"/>
                <w:lang w:eastAsia="zh-CN"/>
              </w:rPr>
            </w:pPr>
            <w:r>
              <w:rPr>
                <w:rFonts w:hint="eastAsia" w:ascii="仿宋" w:hAnsi="仿宋" w:eastAsia="仿宋" w:cs="仿宋"/>
                <w:highlight w:val="none"/>
              </w:rPr>
              <w:t>以联合体形式投标的，已按要求向招标人提交《联合体共同投标协议》，且符合招标公告及招标文件第二章“投标人须知”第1.4.2项规定</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szCs w:val="21"/>
                <w:highlight w:val="none"/>
              </w:rPr>
              <w:t>投标申请人声明</w:t>
            </w:r>
          </w:p>
        </w:tc>
        <w:tc>
          <w:tcPr>
            <w:tcW w:w="5488"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投标人已按招标文件第六章投标文件格式一、投标函及投标函附录附件二的内容签署盖章的《投标申请人声明》。</w:t>
            </w:r>
          </w:p>
          <w:p>
            <w:pPr>
              <w:spacing w:line="360" w:lineRule="auto"/>
              <w:rPr>
                <w:rFonts w:hint="eastAsia" w:ascii="仿宋" w:hAnsi="仿宋" w:eastAsia="仿宋" w:cs="仿宋"/>
                <w:highlight w:val="none"/>
                <w:u w:val="single"/>
              </w:rPr>
            </w:pPr>
            <w:r>
              <w:rPr>
                <w:rFonts w:hint="eastAsia" w:ascii="仿宋" w:hAnsi="仿宋" w:eastAsia="仿宋" w:cs="仿宋"/>
                <w:szCs w:val="21"/>
                <w:highlight w:val="none"/>
              </w:rPr>
              <w:t>单位负责人为同一人或者存在控股、管理关系的不同单位，不得参加同一标段投标或者未划分标段的同一招标项目投标，须提供《投标申请人声明》，否则按否决其投标处理。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2.1.3</w:t>
            </w:r>
          </w:p>
        </w:tc>
        <w:tc>
          <w:tcPr>
            <w:tcW w:w="1129" w:type="dxa"/>
            <w:vMerge w:val="restart"/>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商务技术文件响应性评审标准</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投标报价</w:t>
            </w:r>
          </w:p>
        </w:tc>
        <w:tc>
          <w:tcPr>
            <w:tcW w:w="5488" w:type="dxa"/>
            <w:vAlign w:val="center"/>
          </w:tcPr>
          <w:p>
            <w:pPr>
              <w:spacing w:line="360" w:lineRule="auto"/>
              <w:rPr>
                <w:rFonts w:hint="eastAsia" w:ascii="仿宋" w:hAnsi="仿宋" w:eastAsia="仿宋" w:cs="仿宋"/>
                <w:highlight w:val="none"/>
                <w:lang w:eastAsia="zh-CN"/>
              </w:rPr>
            </w:pPr>
            <w:r>
              <w:rPr>
                <w:rFonts w:hint="eastAsia" w:ascii="仿宋" w:hAnsi="仿宋" w:eastAsia="仿宋" w:cs="仿宋"/>
                <w:szCs w:val="21"/>
                <w:highlight w:val="none"/>
              </w:rPr>
              <w:t>投标人的投标报价不得超过各分项最高投标限价，不允许提供备选报价</w:t>
            </w:r>
            <w:r>
              <w:rPr>
                <w:rFonts w:hint="eastAsia" w:ascii="仿宋" w:hAnsi="仿宋" w:eastAsia="仿宋" w:cs="仿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服务期限</w:t>
            </w:r>
          </w:p>
        </w:tc>
        <w:tc>
          <w:tcPr>
            <w:tcW w:w="5488" w:type="dxa"/>
            <w:vAlign w:val="center"/>
          </w:tcPr>
          <w:p>
            <w:pPr>
              <w:spacing w:line="360" w:lineRule="auto"/>
              <w:rPr>
                <w:rFonts w:hint="eastAsia" w:ascii="仿宋" w:hAnsi="仿宋" w:eastAsia="仿宋" w:cs="仿宋"/>
                <w:highlight w:val="none"/>
              </w:rPr>
            </w:pPr>
            <w:r>
              <w:rPr>
                <w:rFonts w:hint="eastAsia" w:ascii="仿宋" w:hAnsi="仿宋" w:eastAsia="仿宋" w:cs="仿宋"/>
                <w:highlight w:val="none"/>
              </w:rPr>
              <w:t>从合同签订之日开始起算，至按本合同约定承包人应承担的全部工作内容完成止。计划工期为150日历天，其中勘察30日历天，工程设计各阶段合计120日历天；具体可按业主要求进行协商。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质量标准</w:t>
            </w:r>
          </w:p>
        </w:tc>
        <w:tc>
          <w:tcPr>
            <w:tcW w:w="5488" w:type="dxa"/>
            <w:vAlign w:val="center"/>
          </w:tcPr>
          <w:p>
            <w:pPr>
              <w:spacing w:line="360" w:lineRule="auto"/>
              <w:rPr>
                <w:rFonts w:hint="eastAsia" w:ascii="仿宋" w:hAnsi="仿宋" w:eastAsia="仿宋" w:cs="仿宋"/>
                <w:highlight w:val="none"/>
                <w:lang w:eastAsia="zh-CN"/>
              </w:rPr>
            </w:pPr>
            <w:r>
              <w:rPr>
                <w:rFonts w:hint="eastAsia" w:ascii="仿宋" w:hAnsi="仿宋" w:eastAsia="仿宋" w:cs="仿宋"/>
                <w:highlight w:val="none"/>
              </w:rPr>
              <w:t>须满足国家相关规范及合同要求</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投标有效期</w:t>
            </w:r>
          </w:p>
        </w:tc>
        <w:tc>
          <w:tcPr>
            <w:tcW w:w="5488" w:type="dxa"/>
            <w:vAlign w:val="center"/>
          </w:tcPr>
          <w:p>
            <w:pPr>
              <w:spacing w:line="360" w:lineRule="auto"/>
              <w:rPr>
                <w:rFonts w:hint="eastAsia" w:ascii="仿宋" w:hAnsi="仿宋" w:eastAsia="仿宋" w:cs="仿宋"/>
                <w:highlight w:val="none"/>
                <w:lang w:eastAsia="zh-CN"/>
              </w:rPr>
            </w:pPr>
            <w:r>
              <w:rPr>
                <w:rFonts w:hint="eastAsia" w:ascii="仿宋" w:hAnsi="仿宋" w:eastAsia="仿宋" w:cs="仿宋"/>
                <w:highlight w:val="none"/>
              </w:rPr>
              <w:t>120日历天（从提交投标截止之日起计算。如出现异议或投诉，则投标有效期自动延长至异议或投诉处理结束）</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51" w:type="dxa"/>
            <w:vMerge w:val="continue"/>
            <w:vAlign w:val="center"/>
          </w:tcPr>
          <w:p>
            <w:pPr>
              <w:spacing w:line="360" w:lineRule="auto"/>
              <w:jc w:val="center"/>
              <w:rPr>
                <w:rFonts w:hint="eastAsia" w:ascii="仿宋" w:hAnsi="仿宋" w:eastAsia="仿宋" w:cs="仿宋"/>
                <w:highlight w:val="none"/>
              </w:rPr>
            </w:pPr>
          </w:p>
        </w:tc>
        <w:tc>
          <w:tcPr>
            <w:tcW w:w="1129" w:type="dxa"/>
            <w:vMerge w:val="continue"/>
            <w:vAlign w:val="center"/>
          </w:tcPr>
          <w:p>
            <w:pPr>
              <w:spacing w:line="360" w:lineRule="auto"/>
              <w:jc w:val="center"/>
              <w:rPr>
                <w:rFonts w:hint="eastAsia" w:ascii="仿宋" w:hAnsi="仿宋" w:eastAsia="仿宋" w:cs="仿宋"/>
                <w:highlight w:val="none"/>
              </w:rPr>
            </w:pP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szCs w:val="21"/>
                <w:highlight w:val="none"/>
              </w:rPr>
              <w:t>投标保证金</w:t>
            </w:r>
          </w:p>
        </w:tc>
        <w:tc>
          <w:tcPr>
            <w:tcW w:w="5488" w:type="dxa"/>
            <w:vAlign w:val="center"/>
          </w:tcPr>
          <w:p>
            <w:pPr>
              <w:spacing w:line="360" w:lineRule="auto"/>
              <w:rPr>
                <w:rFonts w:hint="eastAsia" w:ascii="仿宋" w:hAnsi="仿宋" w:eastAsia="仿宋" w:cs="仿宋"/>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0" w:type="dxa"/>
            <w:gridSpan w:val="2"/>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条款号</w:t>
            </w:r>
          </w:p>
        </w:tc>
        <w:tc>
          <w:tcPr>
            <w:tcW w:w="2126" w:type="dxa"/>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条款内容</w:t>
            </w:r>
          </w:p>
        </w:tc>
        <w:tc>
          <w:tcPr>
            <w:tcW w:w="5488" w:type="dxa"/>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gridSpan w:val="2"/>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2.2.1</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分值构成</w:t>
            </w:r>
          </w:p>
          <w:p>
            <w:pPr>
              <w:spacing w:line="360" w:lineRule="auto"/>
              <w:jc w:val="center"/>
              <w:rPr>
                <w:rFonts w:hint="eastAsia" w:ascii="仿宋" w:hAnsi="仿宋" w:eastAsia="仿宋" w:cs="仿宋"/>
                <w:highlight w:val="none"/>
              </w:rPr>
            </w:pPr>
            <w:r>
              <w:rPr>
                <w:rFonts w:hint="eastAsia" w:ascii="仿宋" w:hAnsi="仿宋" w:eastAsia="仿宋" w:cs="仿宋"/>
                <w:highlight w:val="none"/>
              </w:rPr>
              <w:t>(总分 100 分)</w:t>
            </w:r>
          </w:p>
        </w:tc>
        <w:tc>
          <w:tcPr>
            <w:tcW w:w="5488" w:type="dxa"/>
            <w:vAlign w:val="center"/>
          </w:tcPr>
          <w:p>
            <w:pPr>
              <w:spacing w:line="360" w:lineRule="auto"/>
              <w:rPr>
                <w:rFonts w:hint="eastAsia" w:ascii="仿宋" w:hAnsi="仿宋" w:eastAsia="仿宋" w:cs="仿宋"/>
                <w:b/>
                <w:highlight w:val="none"/>
                <w:u w:val="single"/>
              </w:rPr>
            </w:pPr>
            <w:r>
              <w:rPr>
                <w:rFonts w:hint="eastAsia" w:ascii="仿宋" w:hAnsi="仿宋" w:eastAsia="仿宋" w:cs="仿宋"/>
                <w:b/>
                <w:highlight w:val="none"/>
                <w:u w:val="single"/>
              </w:rPr>
              <w:t>商务技术部分：</w:t>
            </w:r>
            <w:r>
              <w:rPr>
                <w:rFonts w:hint="eastAsia" w:ascii="仿宋" w:hAnsi="仿宋" w:eastAsia="仿宋" w:cs="仿宋"/>
                <w:b/>
                <w:highlight w:val="none"/>
                <w:u w:val="single"/>
                <w:lang w:val="en-US" w:eastAsia="zh-CN"/>
              </w:rPr>
              <w:t>9</w:t>
            </w:r>
            <w:r>
              <w:rPr>
                <w:rFonts w:hint="eastAsia" w:ascii="仿宋" w:hAnsi="仿宋" w:eastAsia="仿宋" w:cs="仿宋"/>
                <w:b/>
                <w:highlight w:val="none"/>
                <w:u w:val="single"/>
              </w:rPr>
              <w:t>0分</w:t>
            </w:r>
          </w:p>
          <w:p>
            <w:pPr>
              <w:spacing w:line="360" w:lineRule="auto"/>
              <w:rPr>
                <w:rFonts w:hint="eastAsia" w:ascii="仿宋" w:hAnsi="仿宋" w:eastAsia="仿宋" w:cs="仿宋"/>
                <w:b/>
                <w:highlight w:val="none"/>
                <w:u w:val="single"/>
              </w:rPr>
            </w:pPr>
            <w:r>
              <w:rPr>
                <w:rFonts w:hint="eastAsia" w:ascii="仿宋" w:hAnsi="仿宋" w:eastAsia="仿宋" w:cs="仿宋"/>
                <w:b/>
                <w:highlight w:val="none"/>
                <w:u w:val="single"/>
              </w:rPr>
              <w:t>投标报价部分：</w:t>
            </w:r>
            <w:r>
              <w:rPr>
                <w:rFonts w:hint="eastAsia" w:ascii="仿宋" w:hAnsi="仿宋" w:eastAsia="仿宋" w:cs="仿宋"/>
                <w:b/>
                <w:highlight w:val="none"/>
                <w:u w:val="single"/>
                <w:lang w:val="en-US" w:eastAsia="zh-CN"/>
              </w:rPr>
              <w:t>1</w:t>
            </w:r>
            <w:r>
              <w:rPr>
                <w:rFonts w:hint="eastAsia" w:ascii="仿宋" w:hAnsi="仿宋" w:eastAsia="仿宋" w:cs="仿宋"/>
                <w:b/>
                <w:highlight w:val="none"/>
                <w:u w:val="single"/>
              </w:rPr>
              <w:t>0分</w:t>
            </w:r>
          </w:p>
          <w:p>
            <w:pPr>
              <w:spacing w:line="360" w:lineRule="auto"/>
              <w:rPr>
                <w:rFonts w:hint="eastAsia" w:ascii="仿宋" w:hAnsi="仿宋" w:eastAsia="仿宋" w:cs="仿宋"/>
                <w:b/>
                <w:highlight w:val="none"/>
                <w:u w:val="single"/>
              </w:rPr>
            </w:pPr>
            <w:r>
              <w:rPr>
                <w:rFonts w:hint="eastAsia" w:ascii="仿宋" w:hAnsi="仿宋" w:eastAsia="仿宋" w:cs="仿宋"/>
                <w:b/>
                <w:highlight w:val="none"/>
                <w:u w:val="single"/>
              </w:rPr>
              <w:t>投标人综合得分=商务技术部分得分+投标报价部分得分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gridSpan w:val="2"/>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2.2.2</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评标基准价计算方法</w:t>
            </w:r>
          </w:p>
        </w:tc>
        <w:tc>
          <w:tcPr>
            <w:tcW w:w="5488" w:type="dxa"/>
            <w:vAlign w:val="center"/>
          </w:tcPr>
          <w:p>
            <w:pPr>
              <w:spacing w:line="360" w:lineRule="auto"/>
              <w:rPr>
                <w:rFonts w:hint="eastAsia" w:ascii="仿宋" w:hAnsi="仿宋" w:eastAsia="仿宋" w:cs="仿宋"/>
                <w:highlight w:val="none"/>
                <w:u w:val="single"/>
              </w:rPr>
            </w:pPr>
            <w:r>
              <w:rPr>
                <w:rFonts w:hint="eastAsia" w:ascii="仿宋" w:hAnsi="仿宋" w:eastAsia="仿宋" w:cs="仿宋"/>
                <w:highlight w:val="none"/>
                <w:u w:val="single"/>
              </w:rPr>
              <w:t>当通过初步审查且投标综合下浮率在[0%,10%]区间范围的有效投标人有5家（包含5家）以上，则按去掉一个最低投标综合下浮率和一个最高投标综合下浮率后计算的算术平均值作为评标基准下浮率。如通过初步审查且投标综合下浮率范围在[0%,10%]区间的有效投标人少于5家，则按通过初步审查且投标综合下浮率符合前述范围的全部投标人的投标综合下浮率的算术平均值作为评标基准下浮率。</w:t>
            </w:r>
          </w:p>
          <w:p>
            <w:pPr>
              <w:spacing w:line="360" w:lineRule="auto"/>
              <w:rPr>
                <w:rFonts w:hint="eastAsia" w:ascii="仿宋" w:hAnsi="仿宋" w:eastAsia="仿宋" w:cs="仿宋"/>
                <w:highlight w:val="none"/>
              </w:rPr>
            </w:pPr>
            <w:r>
              <w:rPr>
                <w:rFonts w:hint="eastAsia" w:ascii="仿宋" w:hAnsi="仿宋" w:eastAsia="仿宋" w:cs="仿宋"/>
                <w:highlight w:val="none"/>
                <w:u w:val="single"/>
              </w:rPr>
              <w:t>注：有效投标综合下浮率不在[0%,10%]区间的不参与评标基准价的计算，如所有投标人投标综合下浮率均不在[0%,10%]区间范围，以下浮率10%作为评标基准下浮率。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2.2.3</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投标报价的偏差率</w:t>
            </w:r>
          </w:p>
          <w:p>
            <w:pPr>
              <w:spacing w:line="360" w:lineRule="auto"/>
              <w:jc w:val="center"/>
              <w:rPr>
                <w:rFonts w:hint="eastAsia" w:ascii="仿宋" w:hAnsi="仿宋" w:eastAsia="仿宋" w:cs="仿宋"/>
                <w:highlight w:val="none"/>
              </w:rPr>
            </w:pPr>
            <w:r>
              <w:rPr>
                <w:rFonts w:hint="eastAsia" w:ascii="仿宋" w:hAnsi="仿宋" w:eastAsia="仿宋" w:cs="仿宋"/>
                <w:highlight w:val="none"/>
              </w:rPr>
              <w:t>计算公式</w:t>
            </w:r>
          </w:p>
        </w:tc>
        <w:tc>
          <w:tcPr>
            <w:tcW w:w="5488" w:type="dxa"/>
            <w:vAlign w:val="center"/>
          </w:tcPr>
          <w:p>
            <w:pPr>
              <w:spacing w:line="360" w:lineRule="auto"/>
              <w:rPr>
                <w:rFonts w:hint="eastAsia" w:ascii="仿宋" w:hAnsi="仿宋" w:eastAsia="仿宋" w:cs="仿宋"/>
                <w:highlight w:val="none"/>
              </w:rPr>
            </w:pPr>
            <w:r>
              <w:rPr>
                <w:rFonts w:hint="eastAsia" w:ascii="仿宋" w:hAnsi="仿宋" w:eastAsia="仿宋" w:cs="仿宋"/>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0" w:type="dxa"/>
            <w:gridSpan w:val="2"/>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条款号</w:t>
            </w:r>
          </w:p>
        </w:tc>
        <w:tc>
          <w:tcPr>
            <w:tcW w:w="2126" w:type="dxa"/>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评分因素（偏差率）</w:t>
            </w:r>
          </w:p>
        </w:tc>
        <w:tc>
          <w:tcPr>
            <w:tcW w:w="5488" w:type="dxa"/>
            <w:vAlign w:val="center"/>
          </w:tcPr>
          <w:p>
            <w:pPr>
              <w:spacing w:line="360" w:lineRule="auto"/>
              <w:jc w:val="center"/>
              <w:rPr>
                <w:rFonts w:hint="eastAsia" w:ascii="仿宋" w:hAnsi="仿宋" w:eastAsia="仿宋" w:cs="仿宋"/>
                <w:b/>
                <w:highlight w:val="none"/>
              </w:rPr>
            </w:pPr>
            <w:r>
              <w:rPr>
                <w:rFonts w:hint="eastAsia" w:ascii="仿宋" w:hAnsi="仿宋" w:eastAsia="仿宋" w:cs="仿宋"/>
                <w:b/>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51"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2.2.4</w:t>
            </w:r>
          </w:p>
          <w:p>
            <w:pPr>
              <w:spacing w:line="36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1129"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u w:val="single"/>
              </w:rPr>
              <w:t>商务技术文件</w:t>
            </w:r>
            <w:r>
              <w:rPr>
                <w:rFonts w:hint="eastAsia" w:ascii="仿宋" w:hAnsi="仿宋" w:eastAsia="仿宋" w:cs="仿宋"/>
                <w:highlight w:val="none"/>
              </w:rPr>
              <w:t>评分标准</w:t>
            </w:r>
          </w:p>
        </w:tc>
        <w:tc>
          <w:tcPr>
            <w:tcW w:w="2126" w:type="dxa"/>
            <w:vAlign w:val="center"/>
          </w:tcPr>
          <w:p>
            <w:pPr>
              <w:spacing w:line="360" w:lineRule="auto"/>
              <w:jc w:val="center"/>
              <w:rPr>
                <w:rFonts w:hint="eastAsia" w:ascii="仿宋" w:hAnsi="仿宋" w:eastAsia="仿宋" w:cs="仿宋"/>
                <w:highlight w:val="none"/>
                <w:u w:val="single"/>
              </w:rPr>
            </w:pPr>
            <w:r>
              <w:rPr>
                <w:rFonts w:hint="eastAsia" w:ascii="仿宋" w:hAnsi="仿宋" w:eastAsia="仿宋" w:cs="仿宋"/>
                <w:highlight w:val="none"/>
                <w:u w:val="single"/>
              </w:rPr>
              <w:t>详见附表一：《商务文件综合评分表》</w:t>
            </w:r>
          </w:p>
        </w:tc>
        <w:tc>
          <w:tcPr>
            <w:tcW w:w="5488" w:type="dxa"/>
            <w:vAlign w:val="center"/>
          </w:tcPr>
          <w:p>
            <w:pPr>
              <w:spacing w:line="360" w:lineRule="auto"/>
              <w:rPr>
                <w:rFonts w:hint="eastAsia" w:ascii="仿宋" w:hAnsi="仿宋" w:eastAsia="仿宋" w:cs="仿宋"/>
                <w:highlight w:val="none"/>
                <w:u w:val="single"/>
              </w:rPr>
            </w:pPr>
            <w:r>
              <w:rPr>
                <w:rFonts w:hint="eastAsia" w:ascii="仿宋" w:hAnsi="仿宋" w:eastAsia="仿宋" w:cs="仿宋"/>
                <w:highlight w:val="none"/>
                <w:u w:val="single"/>
              </w:rPr>
              <w:t>详见附表一：《商务技术文件综合评分表》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851"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2.2.4</w:t>
            </w:r>
          </w:p>
          <w:p>
            <w:pPr>
              <w:spacing w:line="360" w:lineRule="auto"/>
              <w:jc w:val="center"/>
              <w:rPr>
                <w:rFonts w:hint="eastAsia" w:ascii="仿宋" w:hAnsi="仿宋" w:eastAsia="仿宋" w:cs="仿宋"/>
                <w:highlight w:val="none"/>
              </w:rPr>
            </w:pPr>
            <w:r>
              <w:rPr>
                <w:rFonts w:hint="eastAsia" w:ascii="仿宋" w:hAnsi="仿宋" w:eastAsia="仿宋" w:cs="仿宋"/>
                <w:highlight w:val="none"/>
              </w:rPr>
              <w:t>（2）</w:t>
            </w:r>
          </w:p>
        </w:tc>
        <w:tc>
          <w:tcPr>
            <w:tcW w:w="1129"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投标报价评分标准</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投标报价</w:t>
            </w:r>
          </w:p>
        </w:tc>
        <w:tc>
          <w:tcPr>
            <w:tcW w:w="5488" w:type="dxa"/>
            <w:vAlign w:val="center"/>
          </w:tcPr>
          <w:p>
            <w:pPr>
              <w:spacing w:line="360" w:lineRule="exact"/>
              <w:ind w:right="105" w:right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当有效投标综合下浮率等于评标基准下浮率时得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0分，投标综合下浮率每低于评标基准下浮率1个点，扣0.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分，每高于评标基准下浮率1个点，扣0.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分，得出报价得分，最多扣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0分。精确到小数点后两位。</w:t>
            </w:r>
          </w:p>
          <w:p>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（1）若投标人的投标综合下浮率等于评标基准下浮率，得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p>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（2）若投标人的投标综合下浮率&lt;评标基准下浮率，则报价得分=</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0-|评标基准下浮率–投标综合下浮率|×0.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×100；</w:t>
            </w:r>
          </w:p>
          <w:p>
            <w:pPr>
              <w:spacing w:line="360" w:lineRule="auto"/>
              <w:rPr>
                <w:rFonts w:hint="eastAsia" w:ascii="仿宋" w:hAnsi="仿宋" w:eastAsia="仿宋" w:cs="仿宋"/>
                <w:highlight w:val="none"/>
              </w:rPr>
            </w:pPr>
            <w:r>
              <w:rPr>
                <w:rFonts w:hint="eastAsia" w:ascii="仿宋" w:hAnsi="仿宋" w:eastAsia="仿宋" w:cs="仿宋"/>
                <w:color w:val="auto"/>
                <w:szCs w:val="21"/>
                <w:highlight w:val="none"/>
              </w:rPr>
              <w:t>（3）若投标人的投标综合下浮率&gt;评标基准下浮率，则报价得分=</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0-|投标综合下浮率–评标基准下浮率|×0.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2.2.4</w:t>
            </w:r>
          </w:p>
          <w:p>
            <w:pPr>
              <w:spacing w:line="360" w:lineRule="auto"/>
              <w:jc w:val="center"/>
              <w:rPr>
                <w:rFonts w:hint="eastAsia" w:ascii="仿宋" w:hAnsi="仿宋" w:eastAsia="仿宋" w:cs="仿宋"/>
                <w:highlight w:val="none"/>
              </w:rPr>
            </w:pPr>
            <w:r>
              <w:rPr>
                <w:rFonts w:hint="eastAsia" w:ascii="仿宋" w:hAnsi="仿宋" w:eastAsia="仿宋" w:cs="仿宋"/>
                <w:highlight w:val="none"/>
              </w:rPr>
              <w:t>（3）</w:t>
            </w:r>
          </w:p>
        </w:tc>
        <w:tc>
          <w:tcPr>
            <w:tcW w:w="1129"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其他因素 评分标准</w:t>
            </w:r>
          </w:p>
        </w:tc>
        <w:tc>
          <w:tcPr>
            <w:tcW w:w="2126"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highlight w:val="none"/>
              </w:rPr>
              <w:t>/</w:t>
            </w:r>
          </w:p>
        </w:tc>
        <w:tc>
          <w:tcPr>
            <w:tcW w:w="5488" w:type="dxa"/>
            <w:vAlign w:val="center"/>
          </w:tcPr>
          <w:p>
            <w:pPr>
              <w:spacing w:line="360" w:lineRule="auto"/>
              <w:rPr>
                <w:rFonts w:hint="eastAsia" w:ascii="仿宋" w:hAnsi="仿宋" w:eastAsia="仿宋" w:cs="仿宋"/>
                <w:highlight w:val="none"/>
              </w:rPr>
            </w:pPr>
            <w:r>
              <w:rPr>
                <w:rFonts w:hint="eastAsia" w:ascii="仿宋" w:hAnsi="仿宋" w:eastAsia="仿宋" w:cs="仿宋"/>
                <w:highlight w:val="none"/>
                <w:u w:val="single"/>
              </w:rPr>
              <w:t xml:space="preserve">     /    </w:t>
            </w:r>
          </w:p>
        </w:tc>
      </w:tr>
    </w:tbl>
    <w:p>
      <w:pPr>
        <w:rPr>
          <w:rFonts w:hint="eastAsia" w:ascii="仿宋" w:hAnsi="仿宋" w:eastAsia="仿宋" w:cs="仿宋"/>
          <w:b/>
          <w:highlight w:val="none"/>
          <w:u w:val="single"/>
        </w:rPr>
        <w:sectPr>
          <w:footerReference r:id="rId5" w:type="default"/>
          <w:pgSz w:w="11906" w:h="16838"/>
          <w:pgMar w:top="1440" w:right="1800" w:bottom="1440" w:left="1800" w:header="851" w:footer="992" w:gutter="0"/>
          <w:cols w:space="720" w:num="1"/>
          <w:docGrid w:type="lines" w:linePitch="312" w:charSpace="0"/>
        </w:sectPr>
      </w:pPr>
    </w:p>
    <w:p>
      <w:pPr>
        <w:rPr>
          <w:rFonts w:hint="eastAsia" w:ascii="仿宋" w:hAnsi="仿宋" w:eastAsia="仿宋" w:cs="仿宋"/>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u w:val="single"/>
        </w:rPr>
        <w:t>附表一：《商务技术文件综合评分表》</w:t>
      </w:r>
    </w:p>
    <w:tbl>
      <w:tblPr>
        <w:tblStyle w:val="3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73"/>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序号</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评分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因素</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商务部分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得分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（60分）</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企业资质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lang w:eastAsia="zh-CN"/>
              </w:rPr>
            </w:pPr>
            <w:r>
              <w:rPr>
                <w:rFonts w:hint="eastAsia" w:ascii="仿宋" w:hAnsi="仿宋" w:eastAsia="仿宋" w:cs="仿宋"/>
                <w:snapToGrid w:val="0"/>
                <w:color w:val="000000"/>
                <w:sz w:val="21"/>
                <w:szCs w:val="21"/>
                <w:highlight w:val="none"/>
              </w:rPr>
              <w:t>投标人（若为联合体，指联合体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方）具有</w:t>
            </w:r>
            <w:r>
              <w:rPr>
                <w:rFonts w:hint="eastAsia" w:ascii="仿宋" w:hAnsi="仿宋" w:eastAsia="仿宋" w:cs="仿宋"/>
                <w:snapToGrid w:val="0"/>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lang w:eastAsia="zh-CN"/>
              </w:rPr>
            </w:pP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rPr>
              <w:t>工程设计综合甲级资质</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得5分</w:t>
            </w:r>
            <w:r>
              <w:rPr>
                <w:rFonts w:hint="eastAsia" w:ascii="仿宋" w:hAnsi="仿宋" w:eastAsia="仿宋" w:cs="仿宋"/>
                <w:snapToGrid w:val="0"/>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val="en-US" w:eastAsia="zh-CN"/>
              </w:rPr>
              <w:t>2.</w:t>
            </w:r>
            <w:r>
              <w:rPr>
                <w:rFonts w:hint="eastAsia" w:ascii="仿宋" w:hAnsi="仿宋" w:eastAsia="仿宋" w:cs="仿宋"/>
                <w:snapToGrid w:val="0"/>
                <w:color w:val="000000"/>
                <w:sz w:val="21"/>
                <w:szCs w:val="21"/>
                <w:highlight w:val="none"/>
              </w:rPr>
              <w:t>同时具有工程设计市政行业甲级资质、工程设计建筑行业甲级资质及风景园林专项设计甲级资质</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得</w:t>
            </w: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rPr>
              <w:t>同时具有工程设计市政行业（道路、排水）专业甲级或以上资质、工程设计建筑行业（建筑工程）甲级或以上资质及风景园林专项设计甲级资质得2分；其他不得分。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1"/>
                <w:szCs w:val="21"/>
                <w:highlight w:val="none"/>
              </w:rPr>
            </w:pPr>
            <w:r>
              <w:rPr>
                <w:rFonts w:hint="eastAsia" w:ascii="仿宋" w:hAnsi="仿宋" w:eastAsia="仿宋" w:cs="仿宋"/>
                <w:snapToGrid w:val="0"/>
                <w:color w:val="000000"/>
                <w:sz w:val="21"/>
                <w:szCs w:val="21"/>
                <w:highlight w:val="none"/>
              </w:rPr>
              <w:t>(本项满分5分,需提供相关证书复印件。)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企业认证证书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w:t>
            </w:r>
            <w:r>
              <w:rPr>
                <w:rFonts w:hint="eastAsia" w:ascii="仿宋" w:hAnsi="仿宋" w:eastAsia="仿宋" w:cs="仿宋"/>
                <w:snapToGrid w:val="0"/>
                <w:sz w:val="21"/>
                <w:szCs w:val="21"/>
                <w:highlight w:val="none"/>
                <w:lang w:val="en-US" w:eastAsia="zh-CN"/>
              </w:rPr>
              <w:t>2</w:t>
            </w:r>
            <w:r>
              <w:rPr>
                <w:rFonts w:hint="eastAsia" w:ascii="仿宋" w:hAnsi="仿宋" w:eastAsia="仿宋" w:cs="仿宋"/>
                <w:snapToGrid w:val="0"/>
                <w:sz w:val="21"/>
                <w:szCs w:val="21"/>
                <w:highlight w:val="none"/>
              </w:rPr>
              <w:t>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①投标人（若为联合体，指联合体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方）同时具有：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GB/T28001职业安全管理体系认证书、ISO14001环境管理体系认证书和ISO9001质量管理体系认证证书，认证范围包含工程设计且证书在有效期内的得</w:t>
            </w:r>
            <w:r>
              <w:rPr>
                <w:rFonts w:hint="eastAsia" w:ascii="仿宋" w:hAnsi="仿宋" w:eastAsia="仿宋" w:cs="仿宋"/>
                <w:snapToGrid w:val="0"/>
                <w:color w:val="000000"/>
                <w:sz w:val="21"/>
                <w:szCs w:val="21"/>
                <w:highlight w:val="none"/>
                <w:lang w:val="en-US" w:eastAsia="zh-CN"/>
              </w:rPr>
              <w:t>2</w:t>
            </w:r>
            <w:r>
              <w:rPr>
                <w:rFonts w:hint="eastAsia" w:ascii="仿宋" w:hAnsi="仿宋" w:eastAsia="仿宋" w:cs="仿宋"/>
                <w:snapToGrid w:val="0"/>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企业荣誉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w:t>
            </w:r>
            <w:r>
              <w:rPr>
                <w:rFonts w:hint="eastAsia" w:ascii="仿宋" w:hAnsi="仿宋" w:eastAsia="仿宋" w:cs="仿宋"/>
                <w:snapToGrid w:val="0"/>
                <w:sz w:val="21"/>
                <w:szCs w:val="21"/>
                <w:highlight w:val="none"/>
                <w:lang w:val="en-US" w:eastAsia="zh-CN"/>
              </w:rPr>
              <w:t>8</w:t>
            </w:r>
            <w:r>
              <w:rPr>
                <w:rFonts w:hint="eastAsia" w:ascii="仿宋" w:hAnsi="仿宋" w:eastAsia="仿宋" w:cs="仿宋"/>
                <w:snapToGrid w:val="0"/>
                <w:sz w:val="21"/>
                <w:szCs w:val="21"/>
                <w:highlight w:val="none"/>
              </w:rPr>
              <w:t>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投标人（若为联合体，指联合体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方）具有：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1</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投标人（如为联合体投标，指联合体设计</w:t>
            </w:r>
            <w:r>
              <w:rPr>
                <w:rFonts w:hint="eastAsia" w:ascii="仿宋" w:hAnsi="仿宋" w:eastAsia="仿宋" w:cs="仿宋"/>
                <w:snapToGrid w:val="0"/>
                <w:color w:val="000000"/>
                <w:sz w:val="21"/>
                <w:szCs w:val="21"/>
                <w:highlight w:val="none"/>
                <w:lang w:val="en-US" w:eastAsia="zh-CN"/>
              </w:rPr>
              <w:t>方</w:t>
            </w:r>
            <w:r>
              <w:rPr>
                <w:rFonts w:hint="eastAsia" w:ascii="仿宋" w:hAnsi="仿宋" w:eastAsia="仿宋" w:cs="仿宋"/>
                <w:snapToGrid w:val="0"/>
                <w:color w:val="000000"/>
                <w:sz w:val="21"/>
                <w:szCs w:val="21"/>
                <w:highlight w:val="none"/>
              </w:rPr>
              <w:t>）近三年（即自201</w:t>
            </w:r>
            <w:r>
              <w:rPr>
                <w:rFonts w:hint="eastAsia" w:ascii="仿宋" w:hAnsi="仿宋" w:eastAsia="仿宋" w:cs="仿宋"/>
                <w:snapToGrid w:val="0"/>
                <w:color w:val="000000"/>
                <w:sz w:val="21"/>
                <w:szCs w:val="21"/>
                <w:highlight w:val="none"/>
                <w:lang w:eastAsia="zh-CN"/>
              </w:rPr>
              <w:t>9</w:t>
            </w:r>
            <w:r>
              <w:rPr>
                <w:rFonts w:hint="eastAsia" w:ascii="仿宋" w:hAnsi="仿宋" w:eastAsia="仿宋" w:cs="仿宋"/>
                <w:snapToGrid w:val="0"/>
                <w:color w:val="000000"/>
                <w:sz w:val="21"/>
                <w:szCs w:val="21"/>
                <w:highlight w:val="none"/>
              </w:rPr>
              <w:t>年1月1日至今，以获奖时间为准）获得省（部）级人民政府颁发优秀服务业企业表彰的得</w:t>
            </w:r>
            <w:r>
              <w:rPr>
                <w:rFonts w:hint="eastAsia" w:ascii="仿宋" w:hAnsi="仿宋" w:eastAsia="仿宋" w:cs="仿宋"/>
                <w:snapToGrid w:val="0"/>
                <w:color w:val="000000"/>
                <w:sz w:val="21"/>
                <w:szCs w:val="21"/>
                <w:highlight w:val="none"/>
                <w:lang w:val="en-US" w:eastAsia="zh-CN"/>
              </w:rPr>
              <w:t>6</w:t>
            </w:r>
            <w:r>
              <w:rPr>
                <w:rFonts w:hint="eastAsia" w:ascii="仿宋" w:hAnsi="仿宋" w:eastAsia="仿宋" w:cs="仿宋"/>
                <w:snapToGrid w:val="0"/>
                <w:color w:val="000000"/>
                <w:sz w:val="21"/>
                <w:szCs w:val="21"/>
                <w:highlight w:val="none"/>
              </w:rPr>
              <w:t>分；获得市级</w:t>
            </w:r>
            <w:r>
              <w:rPr>
                <w:rFonts w:hint="eastAsia" w:ascii="仿宋" w:hAnsi="仿宋" w:eastAsia="仿宋" w:cs="仿宋"/>
                <w:snapToGrid w:val="0"/>
                <w:color w:val="000000"/>
                <w:sz w:val="21"/>
                <w:szCs w:val="21"/>
                <w:highlight w:val="none"/>
                <w:lang w:val="en-US" w:eastAsia="zh-CN"/>
              </w:rPr>
              <w:t>人民</w:t>
            </w:r>
            <w:r>
              <w:rPr>
                <w:rFonts w:hint="eastAsia" w:ascii="仿宋" w:hAnsi="仿宋" w:eastAsia="仿宋" w:cs="仿宋"/>
                <w:snapToGrid w:val="0"/>
                <w:color w:val="000000"/>
                <w:sz w:val="21"/>
                <w:szCs w:val="21"/>
                <w:highlight w:val="none"/>
              </w:rPr>
              <w:t>政府颁发优秀服务业企业表彰的得</w:t>
            </w: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rPr>
              <w:t>分，其余情况不得分。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2</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获得有效期内的高新技术企业证书得2分。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sz w:val="21"/>
                <w:szCs w:val="21"/>
                <w:highlight w:val="none"/>
              </w:rPr>
            </w:pPr>
            <w:r>
              <w:rPr>
                <w:rFonts w:hint="eastAsia" w:ascii="仿宋" w:hAnsi="仿宋" w:eastAsia="仿宋" w:cs="仿宋"/>
                <w:snapToGrid w:val="0"/>
                <w:color w:val="000000"/>
                <w:sz w:val="21"/>
                <w:szCs w:val="21"/>
                <w:highlight w:val="none"/>
              </w:rPr>
              <w:t>(本项满分</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rPr>
              <w:t>分,需提供相关证书复印件。)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企业信誉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(5分)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投标人（若为联合体，指联合体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方）：自2020年起（须含2020年）往前顺推：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1</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连续5年或以上被国家税务总局评为纳税信用 A 级纳税人的，得</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2</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连续4年被国家税务总局评为纳税信用 A 级纳税人的，得3分；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3</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连续3年被国家税务总局评为纳税信用 A 级纳税人的，得1.5分；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4</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连续2年被国家税务总局评为纳税信用 A 级纳税人的，得0.5分；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1"/>
                <w:szCs w:val="21"/>
                <w:highlight w:val="none"/>
              </w:rPr>
            </w:pPr>
            <w:r>
              <w:rPr>
                <w:rFonts w:hint="eastAsia" w:ascii="仿宋" w:hAnsi="仿宋" w:eastAsia="仿宋" w:cs="仿宋"/>
                <w:snapToGrid w:val="0"/>
                <w:color w:val="000000"/>
                <w:sz w:val="21"/>
                <w:szCs w:val="21"/>
                <w:highlight w:val="none"/>
              </w:rPr>
              <w:t>(本项满分5分,需提供税务总局网站（网址http://hd.chinatax.gov.cn/）相关相关查询网页打印件。)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C00000"/>
                <w:sz w:val="21"/>
                <w:szCs w:val="21"/>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类似项目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业绩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napToGrid w:val="0"/>
                <w:sz w:val="21"/>
                <w:szCs w:val="21"/>
                <w:highlight w:val="none"/>
              </w:rPr>
              <w:t>(</w:t>
            </w:r>
            <w:r>
              <w:rPr>
                <w:rFonts w:hint="eastAsia" w:ascii="仿宋" w:hAnsi="仿宋" w:eastAsia="仿宋" w:cs="仿宋"/>
                <w:snapToGrid w:val="0"/>
                <w:sz w:val="21"/>
                <w:szCs w:val="21"/>
                <w:highlight w:val="none"/>
                <w:lang w:val="en-US" w:eastAsia="zh-CN"/>
              </w:rPr>
              <w:t>12</w:t>
            </w:r>
            <w:r>
              <w:rPr>
                <w:rFonts w:hint="eastAsia" w:ascii="仿宋" w:hAnsi="仿宋" w:eastAsia="仿宋" w:cs="仿宋"/>
                <w:snapToGrid w:val="0"/>
                <w:sz w:val="21"/>
                <w:szCs w:val="21"/>
                <w:highlight w:val="none"/>
              </w:rPr>
              <w:t>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2018年1月1日以来，投标人（若为联合体，指联合体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1</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承接过的类似项目的相关设计任务，且合同工程造价≥</w:t>
            </w:r>
            <w:r>
              <w:rPr>
                <w:rFonts w:hint="eastAsia" w:ascii="仿宋" w:hAnsi="仿宋" w:eastAsia="仿宋" w:cs="仿宋"/>
                <w:snapToGrid w:val="0"/>
                <w:color w:val="000000"/>
                <w:sz w:val="21"/>
                <w:szCs w:val="21"/>
                <w:highlight w:val="none"/>
                <w:lang w:val="en-US" w:eastAsia="zh-CN"/>
              </w:rPr>
              <w:t>2</w:t>
            </w:r>
            <w:r>
              <w:rPr>
                <w:rFonts w:hint="eastAsia" w:ascii="仿宋" w:hAnsi="仿宋" w:eastAsia="仿宋" w:cs="仿宋"/>
                <w:snapToGrid w:val="0"/>
                <w:color w:val="000000"/>
                <w:sz w:val="21"/>
                <w:szCs w:val="21"/>
                <w:highlight w:val="none"/>
              </w:rPr>
              <w:t>亿元的，每项得</w:t>
            </w: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rPr>
              <w:t>分，本小项最高得</w:t>
            </w:r>
            <w:r>
              <w:rPr>
                <w:rFonts w:hint="eastAsia" w:ascii="仿宋" w:hAnsi="仿宋" w:eastAsia="仿宋" w:cs="仿宋"/>
                <w:snapToGrid w:val="0"/>
                <w:color w:val="000000"/>
                <w:sz w:val="21"/>
                <w:szCs w:val="21"/>
                <w:highlight w:val="none"/>
                <w:lang w:val="en-US" w:eastAsia="zh-CN"/>
              </w:rPr>
              <w:t>9</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2</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承接过的类似项目的相关设计任务，且合同工程造价≥</w:t>
            </w: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rPr>
              <w:t>亿元每项得</w:t>
            </w: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rPr>
              <w:t>分，本小项最高得</w:t>
            </w: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lang w:val="en-US" w:eastAsia="zh-CN"/>
              </w:rPr>
            </w:pPr>
            <w:r>
              <w:rPr>
                <w:rFonts w:hint="eastAsia" w:ascii="仿宋" w:hAnsi="仿宋" w:eastAsia="仿宋" w:cs="仿宋"/>
                <w:snapToGrid w:val="0"/>
                <w:color w:val="000000"/>
                <w:sz w:val="21"/>
                <w:szCs w:val="21"/>
                <w:highlight w:val="none"/>
                <w:lang w:val="en-US" w:eastAsia="zh-CN"/>
              </w:rPr>
              <w:t>2018年1月1日以来，投标人（</w:t>
            </w:r>
            <w:r>
              <w:rPr>
                <w:rFonts w:hint="eastAsia" w:ascii="仿宋" w:hAnsi="仿宋" w:eastAsia="仿宋" w:cs="仿宋"/>
                <w:snapToGrid w:val="0"/>
                <w:color w:val="000000"/>
                <w:sz w:val="21"/>
                <w:szCs w:val="21"/>
                <w:highlight w:val="none"/>
              </w:rPr>
              <w:t>若为联合体，指联合体</w:t>
            </w:r>
            <w:r>
              <w:rPr>
                <w:rFonts w:hint="eastAsia" w:ascii="仿宋" w:hAnsi="仿宋" w:eastAsia="仿宋" w:cs="仿宋"/>
                <w:snapToGrid w:val="0"/>
                <w:color w:val="000000"/>
                <w:sz w:val="21"/>
                <w:szCs w:val="21"/>
                <w:highlight w:val="none"/>
                <w:lang w:val="en-US" w:eastAsia="zh-CN"/>
              </w:rPr>
              <w:t>勘察</w:t>
            </w:r>
            <w:r>
              <w:rPr>
                <w:rFonts w:hint="eastAsia" w:ascii="仿宋" w:hAnsi="仿宋" w:eastAsia="仿宋" w:cs="仿宋"/>
                <w:snapToGrid w:val="0"/>
                <w:color w:val="000000"/>
                <w:sz w:val="21"/>
                <w:szCs w:val="21"/>
                <w:highlight w:val="none"/>
              </w:rPr>
              <w:t>方</w:t>
            </w:r>
            <w:r>
              <w:rPr>
                <w:rFonts w:hint="eastAsia" w:ascii="仿宋" w:hAnsi="仿宋" w:eastAsia="仿宋" w:cs="仿宋"/>
                <w:snapToGrid w:val="0"/>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lang w:val="en-US" w:eastAsia="zh-CN"/>
              </w:rPr>
            </w:pPr>
            <w:r>
              <w:rPr>
                <w:rFonts w:hint="eastAsia" w:ascii="仿宋" w:hAnsi="仿宋" w:eastAsia="仿宋" w:cs="仿宋"/>
                <w:snapToGrid w:val="0"/>
                <w:color w:val="000000"/>
                <w:sz w:val="21"/>
                <w:szCs w:val="21"/>
                <w:highlight w:val="none"/>
                <w:lang w:val="en-US" w:eastAsia="zh-CN"/>
              </w:rPr>
              <w:t>1.投标人</w:t>
            </w:r>
            <w:r>
              <w:rPr>
                <w:rFonts w:hint="eastAsia" w:ascii="仿宋" w:hAnsi="仿宋" w:eastAsia="仿宋" w:cs="仿宋"/>
                <w:snapToGrid w:val="0"/>
                <w:color w:val="000000"/>
                <w:sz w:val="21"/>
                <w:szCs w:val="21"/>
                <w:highlight w:val="none"/>
                <w:lang w:val="zh-CN" w:eastAsia="zh-CN"/>
              </w:rPr>
              <w:t>提供</w:t>
            </w:r>
            <w:r>
              <w:rPr>
                <w:rFonts w:hint="eastAsia" w:ascii="仿宋" w:hAnsi="仿宋" w:eastAsia="仿宋" w:cs="仿宋"/>
                <w:snapToGrid w:val="0"/>
                <w:color w:val="000000"/>
                <w:sz w:val="21"/>
                <w:szCs w:val="21"/>
                <w:highlight w:val="none"/>
                <w:lang w:val="en-US" w:eastAsia="zh-CN"/>
              </w:rPr>
              <w:t>勘察项目</w:t>
            </w:r>
            <w:r>
              <w:rPr>
                <w:rFonts w:hint="eastAsia" w:ascii="仿宋" w:hAnsi="仿宋" w:eastAsia="仿宋" w:cs="仿宋"/>
                <w:snapToGrid w:val="0"/>
                <w:color w:val="000000"/>
                <w:sz w:val="21"/>
                <w:szCs w:val="21"/>
                <w:highlight w:val="none"/>
                <w:lang w:val="zh-CN" w:eastAsia="zh-CN"/>
              </w:rPr>
              <w:t>业绩的每个得</w:t>
            </w: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lang w:val="zh-CN" w:eastAsia="zh-CN"/>
              </w:rPr>
              <w:t>分，最多得</w:t>
            </w: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注：本项满分</w:t>
            </w:r>
            <w:r>
              <w:rPr>
                <w:rFonts w:hint="eastAsia" w:ascii="仿宋" w:hAnsi="仿宋" w:eastAsia="仿宋" w:cs="仿宋"/>
                <w:snapToGrid w:val="0"/>
                <w:color w:val="000000"/>
                <w:sz w:val="21"/>
                <w:szCs w:val="21"/>
                <w:highlight w:val="none"/>
                <w:lang w:val="en-US" w:eastAsia="zh-CN"/>
              </w:rPr>
              <w:t>12</w:t>
            </w:r>
            <w:r>
              <w:rPr>
                <w:rFonts w:hint="eastAsia" w:ascii="仿宋" w:hAnsi="仿宋" w:eastAsia="仿宋" w:cs="仿宋"/>
                <w:snapToGrid w:val="0"/>
                <w:color w:val="000000"/>
                <w:sz w:val="21"/>
                <w:szCs w:val="21"/>
                <w:highlight w:val="none"/>
              </w:rPr>
              <w:t>分。类似项目是指项目工程内容包括“乡村振兴”或“美丽圩镇”范围内容的工程建设项目。业绩证明须提供项目中标通知书和合同关键页（含签订合同双方的单位名称、合同项目名称与落款盖章、合同金额、签订日期等关键页）复印件等作为相应证明材料，</w:t>
            </w:r>
            <w:r>
              <w:rPr>
                <w:rFonts w:hint="eastAsia" w:ascii="仿宋" w:hAnsi="仿宋" w:eastAsia="仿宋" w:cs="仿宋"/>
                <w:snapToGrid w:val="0"/>
                <w:color w:val="000000"/>
                <w:sz w:val="21"/>
                <w:szCs w:val="21"/>
                <w:highlight w:val="none"/>
                <w:lang w:val="en-US" w:eastAsia="zh-CN"/>
              </w:rPr>
              <w:t>合同如不能反映工程规模的，需要提交业主证明，</w:t>
            </w:r>
            <w:r>
              <w:rPr>
                <w:rFonts w:hint="eastAsia" w:ascii="仿宋" w:hAnsi="仿宋" w:eastAsia="仿宋" w:cs="仿宋"/>
                <w:snapToGrid w:val="0"/>
                <w:color w:val="000000"/>
                <w:sz w:val="21"/>
                <w:szCs w:val="21"/>
                <w:highlight w:val="none"/>
              </w:rPr>
              <w:t>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C00000"/>
                <w:sz w:val="21"/>
                <w:szCs w:val="21"/>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napToGrid w:val="0"/>
                <w:sz w:val="21"/>
                <w:szCs w:val="21"/>
                <w:highlight w:val="none"/>
              </w:rPr>
              <w:t>企业获奖情况(</w:t>
            </w:r>
            <w:r>
              <w:rPr>
                <w:rFonts w:hint="eastAsia" w:ascii="仿宋" w:hAnsi="仿宋" w:eastAsia="仿宋" w:cs="仿宋"/>
                <w:snapToGrid w:val="0"/>
                <w:sz w:val="21"/>
                <w:szCs w:val="21"/>
                <w:highlight w:val="none"/>
                <w:lang w:val="en-US" w:eastAsia="zh-CN"/>
              </w:rPr>
              <w:t>8</w:t>
            </w:r>
            <w:r>
              <w:rPr>
                <w:rFonts w:hint="eastAsia" w:ascii="仿宋" w:hAnsi="仿宋" w:eastAsia="仿宋" w:cs="仿宋"/>
                <w:snapToGrid w:val="0"/>
                <w:sz w:val="21"/>
                <w:szCs w:val="21"/>
                <w:highlight w:val="none"/>
              </w:rPr>
              <w:t>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1</w:t>
            </w:r>
            <w:r>
              <w:rPr>
                <w:rFonts w:hint="eastAsia" w:ascii="仿宋" w:hAnsi="仿宋" w:eastAsia="仿宋" w:cs="仿宋"/>
                <w:snapToGrid w:val="0"/>
                <w:color w:val="000000"/>
                <w:sz w:val="21"/>
                <w:szCs w:val="21"/>
                <w:highlight w:val="none"/>
                <w:lang w:val="en-US" w:eastAsia="zh-CN"/>
              </w:rPr>
              <w:t>.</w:t>
            </w:r>
            <w:r>
              <w:rPr>
                <w:rFonts w:hint="eastAsia" w:ascii="仿宋" w:hAnsi="仿宋" w:eastAsia="仿宋" w:cs="仿宋"/>
                <w:snapToGrid w:val="0"/>
                <w:color w:val="000000"/>
                <w:sz w:val="21"/>
                <w:szCs w:val="21"/>
                <w:highlight w:val="none"/>
              </w:rPr>
              <w:t>自2018年1月1日以来，投标人（若为联合体，指联合体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方）企业：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①获得过国家级设计奖项的每个得2分，本项最高可得8分；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②获得过省级设计项目奖项的，每个得1分，获得过市级设计项目奖项的，每个得0.5分；本项最高可得4分。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注：本项满分</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rPr>
              <w:t>分。对同一项目奖项按最高奖项计取，不重复计算，获奖时间以证书颁发时间为准,投标时提供获奖证书复印件，否则不得分。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C00000"/>
                <w:sz w:val="21"/>
                <w:szCs w:val="21"/>
                <w:highlight w:val="none"/>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napToGrid w:val="0"/>
                <w:sz w:val="21"/>
                <w:szCs w:val="21"/>
                <w:highlight w:val="none"/>
              </w:rPr>
              <w:t>项目勘察设计造价机构人员配备(20分)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1</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项目技术负责人（若为联合体，指联合体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具有注册于投标人本单位的一级注册建筑师执业证书得1分；同时具有一级注册结构工程师执业资格</w:t>
            </w:r>
            <w:r>
              <w:rPr>
                <w:rFonts w:hint="eastAsia" w:ascii="仿宋" w:hAnsi="仿宋" w:eastAsia="仿宋" w:cs="仿宋"/>
                <w:snapToGrid w:val="0"/>
                <w:color w:val="000000"/>
                <w:sz w:val="21"/>
                <w:szCs w:val="21"/>
                <w:highlight w:val="none"/>
                <w:lang w:eastAsia="zh-CN"/>
              </w:rPr>
              <w:t>的加</w:t>
            </w:r>
            <w:r>
              <w:rPr>
                <w:rFonts w:hint="eastAsia" w:ascii="仿宋" w:hAnsi="仿宋" w:eastAsia="仿宋" w:cs="仿宋"/>
                <w:snapToGrid w:val="0"/>
                <w:color w:val="000000"/>
                <w:sz w:val="21"/>
                <w:szCs w:val="21"/>
                <w:highlight w:val="none"/>
              </w:rPr>
              <w:t>1分；同时具有建筑工程相关专业高级工程师或以上职称的加1分，得3分。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2</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具有注册于投标人本单位的一级注册建筑师执业证书或一级注册结构工程师执业证书得1分；同时具有建筑工程相关专业高级工程师或以上职称的加1分，得2分。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2</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项目负责人（若为联合体，指联合体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lang w:eastAsia="zh-CN"/>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lang w:eastAsia="zh-CN"/>
              </w:rPr>
              <w:t>）具有</w:t>
            </w:r>
            <w:r>
              <w:rPr>
                <w:rFonts w:hint="eastAsia" w:ascii="仿宋" w:hAnsi="仿宋" w:eastAsia="仿宋" w:cs="仿宋"/>
                <w:snapToGrid w:val="0"/>
                <w:color w:val="000000"/>
                <w:sz w:val="21"/>
                <w:szCs w:val="21"/>
                <w:highlight w:val="none"/>
                <w:lang w:val="en-US" w:eastAsia="zh-CN"/>
              </w:rPr>
              <w:t>建筑或</w:t>
            </w:r>
            <w:r>
              <w:rPr>
                <w:rFonts w:hint="eastAsia" w:ascii="仿宋" w:hAnsi="仿宋" w:eastAsia="仿宋" w:cs="仿宋"/>
                <w:snapToGrid w:val="0"/>
                <w:color w:val="000000"/>
                <w:sz w:val="21"/>
                <w:szCs w:val="21"/>
                <w:highlight w:val="none"/>
                <w:lang w:eastAsia="zh-CN"/>
              </w:rPr>
              <w:t>市政相关专业高级职称且设计经历在20年以上的得1分；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2</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具有注册工程师执业资格证的加1分；具有全过程工程项目管理师证书的加1分。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rPr>
              <w:t>各专业负责人配备情况（若为联合体，指联合体</w:t>
            </w:r>
            <w:r>
              <w:rPr>
                <w:rFonts w:hint="eastAsia" w:ascii="仿宋" w:hAnsi="仿宋" w:eastAsia="仿宋" w:cs="仿宋"/>
                <w:snapToGrid w:val="0"/>
                <w:color w:val="000000"/>
                <w:sz w:val="21"/>
                <w:szCs w:val="21"/>
                <w:highlight w:val="none"/>
                <w:lang w:val="en-US" w:eastAsia="zh-CN"/>
              </w:rPr>
              <w:t>设计</w:t>
            </w:r>
            <w:r>
              <w:rPr>
                <w:rFonts w:hint="eastAsia" w:ascii="仿宋" w:hAnsi="仿宋" w:eastAsia="仿宋" w:cs="仿宋"/>
                <w:snapToGrid w:val="0"/>
                <w:color w:val="000000"/>
                <w:sz w:val="21"/>
                <w:szCs w:val="21"/>
                <w:highlight w:val="none"/>
              </w:rPr>
              <w:t>方，勘察专业负责人除外）（14分）：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结构专业分项负责人（1名）：具有一级注册结构工程师资格证书，得1分；同时具有建筑工程相关专业高级工程师或以上职称，得1分；最高得2分。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2</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建筑专业分项负责人（1名）：具有一级注册建筑工程师资格证书，得1分；同时具有建筑工程相关专业高级工程师或以上职称的，得1分；最高得2分。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3</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电气专业分项负责人（1名）：具备注册电气工程师执业资格，得1分；同时具有电气相关专业高级工程师或以上职称，得1分；最高得2分。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4</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给水排水专业分项负责人（1名）：具有注册公用设备工程师（给排水）资格证书，得1分；同时具有给排水相关专业高级工程师或以上职称，得1分；最高得2分。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暖通专业分项负责人（1名）：具有注册公用设备工程师（暖通空调）执业资格证书，得1分；同时具有暖通相关专业高级工程师或以上职称，得1分；最高得2分。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6</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造价专业负责人（1名）：具备一级注册造价工程师资格证书，得1分；同时具有造价相关专业高级工程师或以上职称，得1分；最高得2分。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7</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园林绿化专业分项负责人（1名）：具有园林绿化工程相关专业高级工程师或以上职称，得1分。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lang w:eastAsia="zh-CN"/>
              </w:rPr>
              <w:t>）</w:t>
            </w:r>
            <w:r>
              <w:rPr>
                <w:rFonts w:hint="eastAsia" w:ascii="仿宋" w:hAnsi="仿宋" w:eastAsia="仿宋" w:cs="仿宋"/>
                <w:snapToGrid w:val="0"/>
                <w:color w:val="000000"/>
                <w:sz w:val="21"/>
                <w:szCs w:val="21"/>
                <w:highlight w:val="none"/>
              </w:rPr>
              <w:t>勘察专业负责人（1名）：具有副研究员一级岗位证书或职称证书，且具有注册土木工程师（岩土工程）证书的得</w:t>
            </w:r>
            <w:r>
              <w:rPr>
                <w:rFonts w:hint="eastAsia" w:ascii="仿宋" w:hAnsi="仿宋" w:eastAsia="仿宋" w:cs="仿宋"/>
                <w:snapToGrid w:val="0"/>
                <w:color w:val="000000"/>
                <w:sz w:val="21"/>
                <w:szCs w:val="21"/>
                <w:highlight w:val="none"/>
                <w:lang w:val="en-US" w:eastAsia="zh-CN"/>
              </w:rPr>
              <w:t>1</w:t>
            </w:r>
            <w:r>
              <w:rPr>
                <w:rFonts w:hint="eastAsia" w:ascii="仿宋" w:hAnsi="仿宋" w:eastAsia="仿宋" w:cs="仿宋"/>
                <w:snapToGrid w:val="0"/>
                <w:color w:val="000000"/>
                <w:sz w:val="21"/>
                <w:szCs w:val="21"/>
                <w:highlight w:val="none"/>
              </w:rPr>
              <w:t>分，其余的不得分。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注：1）上述人员必须是投标人本单位的在职员工，各专业人员岗位（包括项目负责人）之间不得互相兼任，相关专业以学历证或职称证专业为准。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2）需提供拟派人员身份证、职称证（如有）、注册执业资格证书（如有）等相关证明资料的复印件或扫描件加盖投标人（联合体牵头单位）公章，不提供或无效的不得分。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3）需提供投标人近期（扣除发布招标公告当月往前顺推6个月）为上述拟派人员缴纳社保资金的有效社保证明材料（如为退休人员则提供退休证及返聘证明）。以投标人（或其分支机构）所属当地社保管理部门出具的证明材料的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技术部分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得分（30分）</w:t>
            </w:r>
          </w:p>
        </w:tc>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r>
              <w:rPr>
                <w:rFonts w:hint="eastAsia" w:ascii="仿宋" w:hAnsi="仿宋" w:eastAsia="仿宋" w:cs="仿宋"/>
                <w:snapToGrid w:val="0"/>
                <w:sz w:val="21"/>
                <w:szCs w:val="21"/>
                <w:highlight w:val="none"/>
              </w:rPr>
              <w:t>勘察大纲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napToGrid w:val="0"/>
                <w:sz w:val="21"/>
                <w:szCs w:val="21"/>
                <w:highlight w:val="none"/>
              </w:rPr>
              <w:t>（10分）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服务纲要：根据投标人提交的勘察纲要、勘察目的和任务符合勘察相关规定要求进行评审，优得</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rPr>
              <w:t>分；良得</w:t>
            </w:r>
            <w:r>
              <w:rPr>
                <w:rFonts w:hint="eastAsia" w:ascii="仿宋" w:hAnsi="仿宋" w:eastAsia="仿宋" w:cs="仿宋"/>
                <w:snapToGrid w:val="0"/>
                <w:color w:val="000000"/>
                <w:sz w:val="21"/>
                <w:szCs w:val="21"/>
                <w:highlight w:val="none"/>
                <w:lang w:val="en-US" w:eastAsia="zh-CN"/>
              </w:rPr>
              <w:t>4</w:t>
            </w:r>
            <w:r>
              <w:rPr>
                <w:rFonts w:hint="eastAsia" w:ascii="仿宋" w:hAnsi="仿宋" w:eastAsia="仿宋" w:cs="仿宋"/>
                <w:snapToGrid w:val="0"/>
                <w:color w:val="000000"/>
                <w:sz w:val="21"/>
                <w:szCs w:val="21"/>
                <w:highlight w:val="none"/>
              </w:rPr>
              <w:t>.</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rPr>
              <w:t>分；一般得</w:t>
            </w:r>
            <w:r>
              <w:rPr>
                <w:rFonts w:hint="eastAsia" w:ascii="仿宋" w:hAnsi="仿宋" w:eastAsia="仿宋" w:cs="仿宋"/>
                <w:snapToGrid w:val="0"/>
                <w:color w:val="000000"/>
                <w:sz w:val="21"/>
                <w:szCs w:val="21"/>
                <w:highlight w:val="none"/>
                <w:lang w:val="en-US" w:eastAsia="zh-CN"/>
              </w:rPr>
              <w:t>4.6</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本小项最高得</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rPr>
              <w:t>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质量保证措施和安全措施：勘察安全质量保证措施明确、具体、可行、有针对性、各项措施易操作落实，优得</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rPr>
              <w:t>分；良得</w:t>
            </w:r>
            <w:r>
              <w:rPr>
                <w:rFonts w:hint="eastAsia" w:ascii="仿宋" w:hAnsi="仿宋" w:eastAsia="仿宋" w:cs="仿宋"/>
                <w:snapToGrid w:val="0"/>
                <w:color w:val="000000"/>
                <w:sz w:val="21"/>
                <w:szCs w:val="21"/>
                <w:highlight w:val="none"/>
                <w:lang w:val="en-US" w:eastAsia="zh-CN"/>
              </w:rPr>
              <w:t>4</w:t>
            </w:r>
            <w:r>
              <w:rPr>
                <w:rFonts w:hint="eastAsia" w:ascii="仿宋" w:hAnsi="仿宋" w:eastAsia="仿宋" w:cs="仿宋"/>
                <w:snapToGrid w:val="0"/>
                <w:color w:val="000000"/>
                <w:sz w:val="21"/>
                <w:szCs w:val="21"/>
                <w:highlight w:val="none"/>
              </w:rPr>
              <w:t>.</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rPr>
              <w:t>分；一般得</w:t>
            </w:r>
            <w:r>
              <w:rPr>
                <w:rFonts w:hint="eastAsia" w:ascii="仿宋" w:hAnsi="仿宋" w:eastAsia="仿宋" w:cs="仿宋"/>
                <w:snapToGrid w:val="0"/>
                <w:color w:val="000000"/>
                <w:sz w:val="21"/>
                <w:szCs w:val="21"/>
                <w:highlight w:val="none"/>
                <w:lang w:val="en-US" w:eastAsia="zh-CN"/>
              </w:rPr>
              <w:t>4.6</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本小项最高得</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rPr>
              <w:t>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napToGrid w:val="0"/>
                <w:sz w:val="21"/>
                <w:szCs w:val="21"/>
                <w:highlight w:val="none"/>
              </w:rPr>
              <w:t>设计方案（20分）</w:t>
            </w: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设计总体表达：技术文件说明全面，现状分析到位，有针对性，表述清晰，且相应完整涵盖各专业，优得5分；良得</w:t>
            </w:r>
            <w:r>
              <w:rPr>
                <w:rFonts w:hint="eastAsia" w:ascii="仿宋" w:hAnsi="仿宋" w:eastAsia="仿宋" w:cs="仿宋"/>
                <w:snapToGrid w:val="0"/>
                <w:color w:val="000000"/>
                <w:sz w:val="21"/>
                <w:szCs w:val="21"/>
                <w:highlight w:val="none"/>
                <w:lang w:val="en-US" w:eastAsia="zh-CN"/>
              </w:rPr>
              <w:t>4.8</w:t>
            </w:r>
            <w:r>
              <w:rPr>
                <w:rFonts w:hint="eastAsia" w:ascii="仿宋" w:hAnsi="仿宋" w:eastAsia="仿宋" w:cs="仿宋"/>
                <w:snapToGrid w:val="0"/>
                <w:color w:val="000000"/>
                <w:sz w:val="21"/>
                <w:szCs w:val="21"/>
                <w:highlight w:val="none"/>
              </w:rPr>
              <w:t>分；一般得</w:t>
            </w:r>
            <w:r>
              <w:rPr>
                <w:rFonts w:hint="eastAsia" w:ascii="仿宋" w:hAnsi="仿宋" w:eastAsia="仿宋" w:cs="仿宋"/>
                <w:snapToGrid w:val="0"/>
                <w:color w:val="000000"/>
                <w:sz w:val="21"/>
                <w:szCs w:val="21"/>
                <w:highlight w:val="none"/>
                <w:lang w:val="en-US" w:eastAsia="zh-CN"/>
              </w:rPr>
              <w:t>4.6</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本小项最高得5分，无相关描述不得分。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对项目的理解：对项目重点难点进行了分析（图纸及文本表达）、客观评价，优得5分；良得4</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rPr>
              <w:t>分；一般得</w:t>
            </w:r>
            <w:r>
              <w:rPr>
                <w:rFonts w:hint="eastAsia" w:ascii="仿宋" w:hAnsi="仿宋" w:eastAsia="仿宋" w:cs="仿宋"/>
                <w:snapToGrid w:val="0"/>
                <w:color w:val="000000"/>
                <w:sz w:val="21"/>
                <w:szCs w:val="21"/>
                <w:highlight w:val="none"/>
                <w:lang w:val="en-US" w:eastAsia="zh-CN"/>
              </w:rPr>
              <w:t>4.6</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本小项最高得5分，无相关描述不得分。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设计方案：设计方案能够深刻理解和满足设计任务书、设计要点、强制性规范，采用的技术先进、成熟、安全，具有较好的可操作性，在使用功能上达到工艺要求，优得5分；良得4</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rPr>
              <w:t>分；一般得</w:t>
            </w:r>
            <w:r>
              <w:rPr>
                <w:rFonts w:hint="eastAsia" w:ascii="仿宋" w:hAnsi="仿宋" w:eastAsia="仿宋" w:cs="仿宋"/>
                <w:snapToGrid w:val="0"/>
                <w:color w:val="000000"/>
                <w:sz w:val="21"/>
                <w:szCs w:val="21"/>
                <w:highlight w:val="none"/>
                <w:lang w:val="en-US" w:eastAsia="zh-CN"/>
              </w:rPr>
              <w:t>4.6</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本小项最高得5分，无相关描述不得分。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sz w:val="21"/>
                <w:szCs w:val="21"/>
                <w:highlight w:val="none"/>
              </w:rPr>
            </w:pPr>
          </w:p>
        </w:tc>
        <w:tc>
          <w:tcPr>
            <w:tcW w:w="7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质量保证措施、进度保证措施：进度计划具体，措施得力，能够满足按时交付成果文件的要求，技术质量保证体系健全，质量保证措施具体、可行，优得</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rPr>
              <w:t>分；良得</w:t>
            </w:r>
            <w:r>
              <w:rPr>
                <w:rFonts w:hint="eastAsia" w:ascii="仿宋" w:hAnsi="仿宋" w:eastAsia="仿宋" w:cs="仿宋"/>
                <w:snapToGrid w:val="0"/>
                <w:color w:val="000000"/>
                <w:sz w:val="21"/>
                <w:szCs w:val="21"/>
                <w:highlight w:val="none"/>
                <w:lang w:val="en-US" w:eastAsia="zh-CN"/>
              </w:rPr>
              <w:t>4</w:t>
            </w:r>
            <w:r>
              <w:rPr>
                <w:rFonts w:hint="eastAsia" w:ascii="仿宋" w:hAnsi="仿宋" w:eastAsia="仿宋" w:cs="仿宋"/>
                <w:snapToGrid w:val="0"/>
                <w:color w:val="000000"/>
                <w:sz w:val="21"/>
                <w:szCs w:val="21"/>
                <w:highlight w:val="none"/>
              </w:rPr>
              <w:t>.</w:t>
            </w:r>
            <w:r>
              <w:rPr>
                <w:rFonts w:hint="eastAsia" w:ascii="仿宋" w:hAnsi="仿宋" w:eastAsia="仿宋" w:cs="仿宋"/>
                <w:snapToGrid w:val="0"/>
                <w:color w:val="000000"/>
                <w:sz w:val="21"/>
                <w:szCs w:val="21"/>
                <w:highlight w:val="none"/>
                <w:lang w:val="en-US" w:eastAsia="zh-CN"/>
              </w:rPr>
              <w:t>8</w:t>
            </w:r>
            <w:r>
              <w:rPr>
                <w:rFonts w:hint="eastAsia" w:ascii="仿宋" w:hAnsi="仿宋" w:eastAsia="仿宋" w:cs="仿宋"/>
                <w:snapToGrid w:val="0"/>
                <w:color w:val="000000"/>
                <w:sz w:val="21"/>
                <w:szCs w:val="21"/>
                <w:highlight w:val="none"/>
              </w:rPr>
              <w:t>分；一般得</w:t>
            </w:r>
            <w:r>
              <w:rPr>
                <w:rFonts w:hint="eastAsia" w:ascii="仿宋" w:hAnsi="仿宋" w:eastAsia="仿宋" w:cs="仿宋"/>
                <w:snapToGrid w:val="0"/>
                <w:color w:val="000000"/>
                <w:sz w:val="21"/>
                <w:szCs w:val="21"/>
                <w:highlight w:val="none"/>
                <w:lang w:val="en-US" w:eastAsia="zh-CN"/>
              </w:rPr>
              <w:t>4</w:t>
            </w:r>
            <w:r>
              <w:rPr>
                <w:rFonts w:hint="eastAsia" w:ascii="仿宋" w:hAnsi="仿宋" w:eastAsia="仿宋" w:cs="仿宋"/>
                <w:snapToGrid w:val="0"/>
                <w:color w:val="000000"/>
                <w:sz w:val="21"/>
                <w:szCs w:val="21"/>
                <w:highlight w:val="none"/>
              </w:rPr>
              <w:t>.</w:t>
            </w:r>
            <w:r>
              <w:rPr>
                <w:rFonts w:hint="eastAsia" w:ascii="仿宋" w:hAnsi="仿宋" w:eastAsia="仿宋" w:cs="仿宋"/>
                <w:snapToGrid w:val="0"/>
                <w:color w:val="000000"/>
                <w:sz w:val="21"/>
                <w:szCs w:val="21"/>
                <w:highlight w:val="none"/>
                <w:lang w:val="en-US" w:eastAsia="zh-CN"/>
              </w:rPr>
              <w:t>6</w:t>
            </w:r>
            <w:r>
              <w:rPr>
                <w:rFonts w:hint="eastAsia" w:ascii="仿宋" w:hAnsi="仿宋" w:eastAsia="仿宋" w:cs="仿宋"/>
                <w:snapToGrid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000000"/>
                <w:sz w:val="21"/>
                <w:szCs w:val="21"/>
                <w:highlight w:val="none"/>
              </w:rPr>
            </w:pPr>
            <w:r>
              <w:rPr>
                <w:rFonts w:hint="eastAsia" w:ascii="仿宋" w:hAnsi="仿宋" w:eastAsia="仿宋" w:cs="仿宋"/>
                <w:snapToGrid w:val="0"/>
                <w:color w:val="000000"/>
                <w:sz w:val="21"/>
                <w:szCs w:val="21"/>
                <w:highlight w:val="none"/>
              </w:rPr>
              <w:t>本小项最高得</w:t>
            </w:r>
            <w:r>
              <w:rPr>
                <w:rFonts w:hint="eastAsia" w:ascii="仿宋" w:hAnsi="仿宋" w:eastAsia="仿宋" w:cs="仿宋"/>
                <w:snapToGrid w:val="0"/>
                <w:color w:val="000000"/>
                <w:sz w:val="21"/>
                <w:szCs w:val="21"/>
                <w:highlight w:val="none"/>
                <w:lang w:val="en-US" w:eastAsia="zh-CN"/>
              </w:rPr>
              <w:t>5</w:t>
            </w:r>
            <w:r>
              <w:rPr>
                <w:rFonts w:hint="eastAsia" w:ascii="仿宋" w:hAnsi="仿宋" w:eastAsia="仿宋" w:cs="仿宋"/>
                <w:snapToGrid w:val="0"/>
                <w:color w:val="000000"/>
                <w:sz w:val="21"/>
                <w:szCs w:val="21"/>
                <w:highlight w:val="none"/>
              </w:rPr>
              <w:t>分，无相关描述不得分。</w:t>
            </w:r>
          </w:p>
        </w:tc>
      </w:tr>
    </w:tbl>
    <w:p>
      <w:pPr>
        <w:rPr>
          <w:rFonts w:hint="eastAsia" w:ascii="仿宋" w:hAnsi="仿宋" w:eastAsia="仿宋" w:cs="仿宋"/>
          <w:highlight w:val="none"/>
        </w:rPr>
        <w:sectPr>
          <w:footerReference r:id="rId6" w:type="default"/>
          <w:pgSz w:w="11906" w:h="16838"/>
          <w:pgMar w:top="1440" w:right="851" w:bottom="1440" w:left="851" w:header="567" w:footer="567" w:gutter="0"/>
          <w:cols w:space="720" w:num="1"/>
          <w:docGrid w:type="linesAndChars" w:linePitch="312" w:charSpace="0"/>
        </w:sectPr>
      </w:pPr>
    </w:p>
    <w:p>
      <w:pPr>
        <w:pStyle w:val="4"/>
        <w:numPr>
          <w:ilvl w:val="0"/>
          <w:numId w:val="5"/>
        </w:numPr>
        <w:rPr>
          <w:rFonts w:hint="eastAsia" w:ascii="仿宋" w:hAnsi="仿宋" w:eastAsia="仿宋" w:cs="仿宋"/>
          <w:highlight w:val="none"/>
        </w:rPr>
      </w:pPr>
      <w:r>
        <w:rPr>
          <w:rFonts w:hint="eastAsia" w:ascii="仿宋" w:hAnsi="仿宋" w:eastAsia="仿宋" w:cs="仿宋"/>
          <w:highlight w:val="none"/>
        </w:rPr>
        <w:t>评标方法</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综合评分相等时，以投标报价低的优先；投标报价也相等的，由评标委员会推选的评标组长随机抽签确定排序。</w:t>
      </w:r>
    </w:p>
    <w:p>
      <w:pPr>
        <w:pStyle w:val="4"/>
        <w:numPr>
          <w:ilvl w:val="0"/>
          <w:numId w:val="5"/>
        </w:numPr>
        <w:ind w:left="0" w:leftChars="0" w:firstLine="0" w:firstLineChars="0"/>
        <w:rPr>
          <w:rFonts w:hint="eastAsia" w:ascii="仿宋" w:hAnsi="仿宋" w:eastAsia="仿宋" w:cs="仿宋"/>
          <w:highlight w:val="none"/>
        </w:rPr>
      </w:pPr>
      <w:r>
        <w:rPr>
          <w:rFonts w:hint="eastAsia" w:ascii="仿宋" w:hAnsi="仿宋" w:eastAsia="仿宋" w:cs="仿宋"/>
          <w:highlight w:val="none"/>
        </w:rPr>
        <w:t>评审标准</w:t>
      </w:r>
    </w:p>
    <w:p>
      <w:pPr>
        <w:pStyle w:val="5"/>
        <w:spacing w:before="48" w:beforeLines="20" w:after="48" w:afterLines="20" w:line="360" w:lineRule="auto"/>
        <w:rPr>
          <w:rFonts w:hint="eastAsia" w:ascii="仿宋" w:hAnsi="仿宋" w:eastAsia="仿宋" w:cs="仿宋"/>
          <w:highlight w:val="none"/>
        </w:rPr>
      </w:pPr>
      <w:r>
        <w:rPr>
          <w:rFonts w:hint="eastAsia" w:ascii="仿宋" w:hAnsi="仿宋" w:eastAsia="仿宋" w:cs="仿宋"/>
          <w:highlight w:val="none"/>
        </w:rPr>
        <w:t>2.1 初步评审标准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2.1.1 形式评审标准：见评标办法前附表。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2.1.2 资格评审标准：见评标办法前附表。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2.1.3 响应性评审标准：见评标办法前附表。</w:t>
      </w:r>
    </w:p>
    <w:p>
      <w:pPr>
        <w:pStyle w:val="5"/>
        <w:spacing w:before="48" w:beforeLines="20" w:after="48" w:afterLines="20" w:line="360" w:lineRule="auto"/>
        <w:rPr>
          <w:rFonts w:hint="eastAsia" w:ascii="仿宋" w:hAnsi="仿宋" w:eastAsia="仿宋" w:cs="仿宋"/>
          <w:highlight w:val="none"/>
        </w:rPr>
      </w:pPr>
      <w:r>
        <w:rPr>
          <w:rFonts w:hint="eastAsia" w:ascii="仿宋" w:hAnsi="仿宋" w:eastAsia="仿宋" w:cs="仿宋"/>
          <w:highlight w:val="none"/>
        </w:rPr>
        <w:t>2.2 分值构成与评分标准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2.2.1 分值构成</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商务技术</w:t>
      </w:r>
      <w:r>
        <w:rPr>
          <w:rFonts w:hint="eastAsia" w:ascii="仿宋" w:hAnsi="仿宋" w:eastAsia="仿宋" w:cs="仿宋"/>
          <w:highlight w:val="none"/>
        </w:rPr>
        <w:t>部分：见评标办法前附表；</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（2）投标报价：见评标办法前附表；</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（3）其他评分因素：见评标办法前附表。</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2.2.2 评标基准价计算</w:t>
      </w:r>
    </w:p>
    <w:p>
      <w:pPr>
        <w:spacing w:line="360" w:lineRule="auto"/>
        <w:ind w:firstLine="1050" w:firstLineChars="500"/>
        <w:rPr>
          <w:rFonts w:hint="eastAsia" w:ascii="仿宋" w:hAnsi="仿宋" w:eastAsia="仿宋" w:cs="仿宋"/>
          <w:szCs w:val="21"/>
          <w:highlight w:val="none"/>
        </w:rPr>
      </w:pPr>
      <w:r>
        <w:rPr>
          <w:rFonts w:hint="eastAsia" w:ascii="仿宋" w:hAnsi="仿宋" w:eastAsia="仿宋" w:cs="仿宋"/>
          <w:szCs w:val="21"/>
          <w:highlight w:val="none"/>
        </w:rPr>
        <w:t>评标基准价计算方法：见评标办法前附表。</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2.2.3 投标报价的偏差率计算</w:t>
      </w:r>
    </w:p>
    <w:p>
      <w:pPr>
        <w:spacing w:line="360" w:lineRule="auto"/>
        <w:ind w:firstLine="1050" w:firstLineChars="500"/>
        <w:rPr>
          <w:rFonts w:hint="eastAsia" w:ascii="仿宋" w:hAnsi="仿宋" w:eastAsia="仿宋" w:cs="仿宋"/>
          <w:szCs w:val="21"/>
          <w:highlight w:val="none"/>
        </w:rPr>
      </w:pPr>
      <w:r>
        <w:rPr>
          <w:rFonts w:hint="eastAsia" w:ascii="仿宋" w:hAnsi="仿宋" w:eastAsia="仿宋" w:cs="仿宋"/>
          <w:szCs w:val="21"/>
          <w:highlight w:val="none"/>
        </w:rPr>
        <w:t>投标报价的偏差率计算公式：见评标办法前附表。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2.2.4 评分标准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商务技术文件</w:t>
      </w:r>
      <w:r>
        <w:rPr>
          <w:rFonts w:hint="eastAsia" w:ascii="仿宋" w:hAnsi="仿宋" w:eastAsia="仿宋" w:cs="仿宋"/>
          <w:highlight w:val="none"/>
        </w:rPr>
        <w:t>评分标准：见评标办法前附表；</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（2）投标报价评分标准：见评标办法前附表；</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（3）其他因素评分标准：见评标办法前附表。</w:t>
      </w:r>
    </w:p>
    <w:p>
      <w:pPr>
        <w:pStyle w:val="4"/>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 xml:space="preserve"> </w:t>
      </w:r>
      <w:r>
        <w:rPr>
          <w:rFonts w:hint="eastAsia" w:ascii="仿宋" w:hAnsi="仿宋" w:eastAsia="仿宋" w:cs="仿宋"/>
          <w:highlight w:val="none"/>
        </w:rPr>
        <w:t>评标程序</w:t>
      </w:r>
    </w:p>
    <w:p>
      <w:pPr>
        <w:pStyle w:val="5"/>
        <w:spacing w:before="48" w:beforeLines="20" w:after="48" w:afterLines="20" w:line="360" w:lineRule="auto"/>
        <w:rPr>
          <w:rFonts w:hint="eastAsia" w:ascii="仿宋" w:hAnsi="仿宋" w:eastAsia="仿宋" w:cs="仿宋"/>
          <w:highlight w:val="none"/>
        </w:rPr>
      </w:pPr>
      <w:r>
        <w:rPr>
          <w:rFonts w:hint="eastAsia" w:ascii="仿宋" w:hAnsi="仿宋" w:eastAsia="仿宋" w:cs="仿宋"/>
          <w:highlight w:val="none"/>
        </w:rPr>
        <w:t>3.1 初步评审</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3.1.2 投标人有以下情形之一的，评标委员会应当否决其投标：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（1）投标文件没有对招标文件的实质性要求和条件作出响应，或者对招标文件的偏差超出招标文件规定的偏差范围或最高项数；</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（2）有串通投标、弄虚作假、行贿等违法行为。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（1）投标文件中的大写金额与小写金额不一致的，以大写金额为准；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（2）总价金额与单价金额不一致的，以单价金额为准，但单价金额小数点有明显错误的除外。</w:t>
      </w:r>
    </w:p>
    <w:p>
      <w:pPr>
        <w:pStyle w:val="5"/>
        <w:spacing w:before="48" w:beforeLines="20" w:after="48" w:afterLines="20" w:line="360" w:lineRule="auto"/>
        <w:rPr>
          <w:rFonts w:hint="eastAsia" w:ascii="仿宋" w:hAnsi="仿宋" w:eastAsia="仿宋" w:cs="仿宋"/>
          <w:highlight w:val="none"/>
        </w:rPr>
      </w:pPr>
      <w:r>
        <w:rPr>
          <w:rFonts w:hint="eastAsia" w:ascii="仿宋" w:hAnsi="仿宋" w:eastAsia="仿宋" w:cs="仿宋"/>
          <w:highlight w:val="none"/>
        </w:rPr>
        <w:t>3.2 详细评审</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3.2.1 评标委员会按本章第 2.2 款规定的量化因素和分值进行打分，并计算出综合评估得分。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 按本章第 2.2.4（1）目规定的评审因素和分值对商务技术部分计算出得分A；</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 按本章第 2.2.4（2）目规定的评审因素和分值对投标报价计算出得分B；</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3.2.2 评分分值计算保留小数点后两位，小数点后第三位“四舍五入”。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3.2.3 投标人得分=A+B。</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48" w:beforeLines="20" w:after="48" w:afterLines="20" w:line="360" w:lineRule="auto"/>
        <w:rPr>
          <w:rFonts w:hint="eastAsia" w:ascii="仿宋" w:hAnsi="仿宋" w:eastAsia="仿宋" w:cs="仿宋"/>
          <w:highlight w:val="none"/>
        </w:rPr>
      </w:pPr>
      <w:r>
        <w:rPr>
          <w:rFonts w:hint="eastAsia" w:ascii="仿宋" w:hAnsi="仿宋" w:eastAsia="仿宋" w:cs="仿宋"/>
          <w:highlight w:val="none"/>
        </w:rPr>
        <w:t>3.3 投标文件的澄清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3.3.2 澄清、说明或补正不得超出投标文件的范围且不得改变投标文件的实质性内容，并构成投标文件的组成部分。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3.3.3 评标委员会对投标人提交的澄清、说明或补正有疑问的，可以要求投标人进一步澄清、说明或补正，直至满足评标委员会的要求。</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若在评标期间，经评标委员会两人以上（含两人）以书面形式提出动议，评标委员会应当书面发出澄清通知，要求投标人对投标文件含义不明确的内容作出澄清。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投标人应以书面形式进行澄清，澄清中的承诺性意思表示在投标文件有效期内均对投标人有约束力。澄清不得超出投标文件的范围或改变投标文件的实质性内容，超出部分不作为评标委员会评审的依据。</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评标委员会均应当阅读投标人的澄清，但应独立参考澄清对投标文件进行评审。</w:t>
      </w:r>
    </w:p>
    <w:p>
      <w:pPr>
        <w:pStyle w:val="5"/>
        <w:spacing w:before="48" w:beforeLines="20" w:after="48" w:afterLines="20" w:line="360" w:lineRule="auto"/>
        <w:rPr>
          <w:rFonts w:hint="eastAsia" w:ascii="仿宋" w:hAnsi="仿宋" w:eastAsia="仿宋" w:cs="仿宋"/>
          <w:highlight w:val="none"/>
        </w:rPr>
      </w:pPr>
      <w:r>
        <w:rPr>
          <w:rFonts w:hint="eastAsia" w:ascii="仿宋" w:hAnsi="仿宋" w:eastAsia="仿宋" w:cs="仿宋"/>
          <w:highlight w:val="none"/>
        </w:rPr>
        <w:t>3.4 评标结果</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3.4.1 除第二章“投标人须知”前附表授权直接确定中标人外，评标委员会按照得分由高到低的顺序推荐中标候选人，并标明排序。</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3.4.2 评标委员会完成评标后，应当向招标人提交书面评标报告和中标候选人名单。</w:t>
      </w:r>
    </w:p>
    <w:p>
      <w:pPr>
        <w:pStyle w:val="3"/>
        <w:spacing w:before="48" w:beforeLines="20" w:after="48" w:afterLines="20" w:line="360" w:lineRule="auto"/>
        <w:jc w:val="center"/>
        <w:rPr>
          <w:rFonts w:hint="default" w:ascii="仿宋" w:hAnsi="仿宋" w:eastAsia="仿宋" w:cs="仿宋"/>
          <w:highlight w:val="none"/>
          <w:lang w:val="en-US" w:eastAsia="zh-CN"/>
        </w:rPr>
      </w:pPr>
      <w:r>
        <w:rPr>
          <w:rFonts w:hint="eastAsia" w:ascii="仿宋" w:hAnsi="仿宋" w:eastAsia="仿宋" w:cs="仿宋"/>
          <w:highlight w:val="none"/>
        </w:rPr>
        <w:br w:type="page"/>
      </w:r>
      <w:bookmarkStart w:id="26" w:name="_Toc57732042"/>
      <w:r>
        <w:rPr>
          <w:rFonts w:hint="eastAsia" w:ascii="仿宋" w:hAnsi="仿宋" w:eastAsia="仿宋" w:cs="仿宋"/>
          <w:highlight w:val="none"/>
        </w:rPr>
        <w:t>第四章 合同条款</w:t>
      </w:r>
      <w:bookmarkEnd w:id="26"/>
      <w:r>
        <w:rPr>
          <w:rFonts w:hint="eastAsia" w:ascii="仿宋" w:hAnsi="仿宋" w:eastAsia="仿宋" w:cs="仿宋"/>
          <w:highlight w:val="none"/>
          <w:lang w:val="en-US" w:eastAsia="zh-CN"/>
        </w:rPr>
        <w:t>及格式</w:t>
      </w:r>
    </w:p>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jc w:val="center"/>
        <w:rPr>
          <w:rFonts w:hint="eastAsia" w:ascii="宋体" w:hAnsi="宋体" w:eastAsia="宋体" w:cs="宋体"/>
          <w:b/>
          <w:bCs/>
          <w:color w:val="auto"/>
          <w:sz w:val="44"/>
          <w:szCs w:val="44"/>
          <w:highlight w:val="none"/>
        </w:rPr>
      </w:pPr>
      <w:bookmarkStart w:id="27" w:name="_Toc57732043"/>
    </w:p>
    <w:p>
      <w:pPr>
        <w:pStyle w:val="22"/>
        <w:ind w:left="0" w:leftChars="0" w:firstLine="0" w:firstLineChars="0"/>
        <w:rPr>
          <w:rFonts w:hint="eastAsia" w:ascii="仿宋" w:hAnsi="仿宋" w:eastAsia="仿宋" w:cs="仿宋"/>
          <w:b/>
          <w:bCs/>
          <w:color w:val="auto"/>
          <w:sz w:val="44"/>
          <w:szCs w:val="44"/>
          <w:highlight w:val="none"/>
        </w:rPr>
      </w:pPr>
    </w:p>
    <w:p>
      <w:pPr>
        <w:pStyle w:val="22"/>
        <w:ind w:left="0" w:leftChars="0" w:firstLine="0" w:firstLineChars="0"/>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建设工程勘察、设计合同</w:t>
      </w:r>
    </w:p>
    <w:p>
      <w:pPr>
        <w:widowControl/>
        <w:shd w:val="clear" w:color="auto" w:fill="FFFFFF"/>
        <w:tabs>
          <w:tab w:val="left" w:pos="420"/>
        </w:tabs>
        <w:spacing w:before="375" w:after="375" w:line="420" w:lineRule="atLeast"/>
        <w:ind w:left="237" w:leftChars="113" w:firstLine="240"/>
        <w:jc w:val="left"/>
        <w:textAlignment w:val="baseline"/>
        <w:rPr>
          <w:rFonts w:hint="eastAsia" w:ascii="仿宋" w:hAnsi="仿宋" w:eastAsia="仿宋" w:cs="仿宋"/>
          <w:color w:val="auto"/>
          <w:kern w:val="0"/>
          <w:sz w:val="24"/>
          <w:highlight w:val="none"/>
        </w:rPr>
      </w:pPr>
    </w:p>
    <w:p>
      <w:pPr>
        <w:widowControl/>
        <w:shd w:val="clear" w:color="auto" w:fill="FFFFFF"/>
        <w:tabs>
          <w:tab w:val="left" w:pos="420"/>
        </w:tabs>
        <w:spacing w:before="375" w:after="375" w:line="420" w:lineRule="atLeast"/>
        <w:ind w:left="237" w:leftChars="113" w:firstLine="240"/>
        <w:jc w:val="left"/>
        <w:textAlignment w:val="baseline"/>
        <w:rPr>
          <w:rFonts w:hint="eastAsia" w:ascii="仿宋" w:hAnsi="仿宋" w:eastAsia="仿宋" w:cs="仿宋"/>
          <w:color w:val="auto"/>
          <w:kern w:val="0"/>
          <w:sz w:val="24"/>
          <w:highlight w:val="none"/>
        </w:rPr>
      </w:pPr>
    </w:p>
    <w:p>
      <w:pPr>
        <w:widowControl/>
        <w:shd w:val="clear" w:color="auto" w:fill="FFFFFF"/>
        <w:tabs>
          <w:tab w:val="left" w:pos="420"/>
        </w:tabs>
        <w:spacing w:before="375" w:after="375" w:line="480" w:lineRule="auto"/>
        <w:ind w:left="237" w:leftChars="113" w:firstLine="240"/>
        <w:jc w:val="left"/>
        <w:textAlignment w:val="baseline"/>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工 程 名 称：</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工 程 地 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 xml:space="preserve">　合 同 编 号： </w:t>
      </w:r>
      <w:r>
        <w:rPr>
          <w:rFonts w:hint="eastAsia" w:ascii="仿宋" w:hAnsi="仿宋" w:eastAsia="仿宋" w:cs="仿宋"/>
          <w:color w:val="auto"/>
          <w:kern w:val="0"/>
          <w:sz w:val="28"/>
          <w:szCs w:val="28"/>
          <w:highlight w:val="none"/>
          <w:u w:val="single"/>
        </w:rPr>
        <w:t xml:space="preserve">                                      </w:t>
      </w:r>
    </w:p>
    <w:p>
      <w:pPr>
        <w:widowControl/>
        <w:shd w:val="clear" w:color="auto" w:fill="FFFFFF"/>
        <w:tabs>
          <w:tab w:val="left" w:pos="420"/>
        </w:tabs>
        <w:spacing w:line="480" w:lineRule="auto"/>
        <w:ind w:left="237" w:leftChars="113" w:firstLine="240"/>
        <w:jc w:val="left"/>
        <w:textAlignment w:val="baseline"/>
        <w:rPr>
          <w:rFonts w:hint="eastAsia" w:ascii="仿宋" w:hAnsi="仿宋" w:eastAsia="仿宋" w:cs="仿宋"/>
          <w:color w:val="auto"/>
          <w:kern w:val="0"/>
          <w:sz w:val="28"/>
          <w:szCs w:val="28"/>
          <w:highlight w:val="none"/>
        </w:rPr>
      </w:pPr>
    </w:p>
    <w:p>
      <w:pPr>
        <w:widowControl/>
        <w:shd w:val="clear" w:color="auto" w:fill="FFFFFF"/>
        <w:tabs>
          <w:tab w:val="left" w:pos="420"/>
        </w:tabs>
        <w:spacing w:line="480" w:lineRule="auto"/>
        <w:ind w:left="237" w:leftChars="113" w:firstLine="240"/>
        <w:jc w:val="left"/>
        <w:textAlignment w:val="baseline"/>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rPr>
        <w:t>（由勘察设计人编填）</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设计证书等级：</w:t>
      </w:r>
      <w:r>
        <w:rPr>
          <w:rFonts w:hint="eastAsia" w:ascii="仿宋" w:hAnsi="仿宋" w:eastAsia="仿宋" w:cs="仿宋"/>
          <w:color w:val="auto"/>
          <w:sz w:val="28"/>
          <w:szCs w:val="28"/>
          <w:highlight w:val="none"/>
          <w:u w:val="single"/>
        </w:rPr>
        <w:t xml:space="preserve">                                       </w:t>
      </w:r>
    </w:p>
    <w:p>
      <w:pPr>
        <w:spacing w:line="480" w:lineRule="auto"/>
        <w:ind w:firstLine="480"/>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rPr>
        <w:t>勘察证书等级：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　　发   包   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　　设   计   人：</w:t>
      </w:r>
      <w:r>
        <w:rPr>
          <w:rFonts w:hint="eastAsia" w:ascii="仿宋" w:hAnsi="仿宋" w:eastAsia="仿宋" w:cs="仿宋"/>
          <w:color w:val="auto"/>
          <w:sz w:val="28"/>
          <w:szCs w:val="28"/>
          <w:highlight w:val="none"/>
          <w:u w:val="single"/>
        </w:rPr>
        <w:t xml:space="preserve">                                       </w:t>
      </w:r>
    </w:p>
    <w:p>
      <w:pPr>
        <w:spacing w:line="480" w:lineRule="auto"/>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勘   察   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rPr>
        <w:t>　</w:t>
      </w:r>
    </w:p>
    <w:p>
      <w:pPr>
        <w:spacing w:line="480" w:lineRule="auto"/>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签  订 日 期：</w:t>
      </w:r>
      <w:r>
        <w:rPr>
          <w:rFonts w:hint="eastAsia" w:ascii="仿宋" w:hAnsi="仿宋" w:eastAsia="仿宋" w:cs="仿宋"/>
          <w:color w:val="auto"/>
          <w:kern w:val="0"/>
          <w:sz w:val="28"/>
          <w:szCs w:val="28"/>
          <w:highlight w:val="none"/>
          <w:u w:val="single"/>
        </w:rPr>
        <w:t xml:space="preserve">                                       </w:t>
      </w:r>
    </w:p>
    <w:p>
      <w:pPr>
        <w:pStyle w:val="32"/>
        <w:keepNext w:val="0"/>
        <w:keepLines w:val="0"/>
        <w:pageBreakBefore w:val="0"/>
        <w:widowControl/>
        <w:shd w:val="clear" w:color="auto" w:fill="FFFFFF"/>
        <w:kinsoku/>
        <w:wordWrap/>
        <w:overflowPunct/>
        <w:topLinePunct w:val="0"/>
        <w:autoSpaceDE/>
        <w:autoSpaceDN/>
        <w:bidi w:val="0"/>
        <w:adjustRightInd/>
        <w:snapToGrid/>
        <w:spacing w:before="60" w:after="60" w:line="460" w:lineRule="exact"/>
        <w:ind w:firstLine="420"/>
        <w:textAlignment w:val="auto"/>
        <w:rPr>
          <w:rFonts w:hint="eastAsia" w:ascii="仿宋" w:hAnsi="仿宋" w:eastAsia="仿宋" w:cs="仿宋"/>
          <w:color w:val="auto"/>
          <w:kern w:val="0"/>
          <w:sz w:val="24"/>
          <w:highlight w:val="none"/>
        </w:rPr>
      </w:pP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发包方委托承包方进行</w:t>
      </w:r>
      <w:r>
        <w:rPr>
          <w:rFonts w:hint="eastAsia" w:ascii="仿宋" w:hAnsi="仿宋" w:eastAsia="仿宋" w:cs="仿宋"/>
          <w:color w:val="auto"/>
          <w:kern w:val="0"/>
          <w:sz w:val="24"/>
          <w:highlight w:val="none"/>
          <w:u w:val="single"/>
        </w:rPr>
        <w:t>汕尾红海湾经济开发区东洲街道美丽圩镇建设项目勘察设计</w:t>
      </w:r>
      <w:r>
        <w:rPr>
          <w:rFonts w:hint="eastAsia" w:ascii="仿宋" w:hAnsi="仿宋" w:eastAsia="仿宋" w:cs="仿宋"/>
          <w:color w:val="auto"/>
          <w:kern w:val="0"/>
          <w:sz w:val="24"/>
          <w:highlight w:val="none"/>
        </w:rPr>
        <w:t>勘察设计任务。根据</w:t>
      </w:r>
      <w:r>
        <w:rPr>
          <w:rFonts w:hint="eastAsia" w:ascii="仿宋" w:hAnsi="仿宋" w:eastAsia="仿宋" w:cs="仿宋"/>
          <w:color w:val="auto"/>
          <w:kern w:val="0"/>
          <w:sz w:val="24"/>
          <w:highlight w:val="none"/>
          <w:lang w:eastAsia="zh-CN"/>
        </w:rPr>
        <w:t>《中华人民共和国民法典》</w:t>
      </w:r>
      <w:r>
        <w:rPr>
          <w:rFonts w:hint="eastAsia" w:ascii="仿宋" w:hAnsi="仿宋" w:eastAsia="仿宋" w:cs="仿宋"/>
          <w:color w:val="auto"/>
          <w:kern w:val="0"/>
          <w:sz w:val="24"/>
          <w:highlight w:val="none"/>
        </w:rPr>
        <w:t>和《建设工程勘察设计管理条例》等有关规定，结合该工程的具体情况，为明确责任，协作配合，搞好该工程勘察设计工作，经双方协商一致，就本工程</w:t>
      </w:r>
      <w:r>
        <w:rPr>
          <w:rFonts w:hint="eastAsia" w:ascii="仿宋" w:hAnsi="仿宋" w:eastAsia="仿宋" w:cs="仿宋"/>
          <w:color w:val="auto"/>
          <w:kern w:val="0"/>
          <w:sz w:val="24"/>
          <w:highlight w:val="none"/>
          <w:u w:val="single"/>
        </w:rPr>
        <w:t>汕尾红海湾经济开发区东洲街道美丽圩镇建设项目勘察设计</w:t>
      </w:r>
      <w:r>
        <w:rPr>
          <w:rFonts w:hint="eastAsia" w:ascii="仿宋" w:hAnsi="仿宋" w:eastAsia="仿宋" w:cs="仿宋"/>
          <w:color w:val="auto"/>
          <w:kern w:val="0"/>
          <w:sz w:val="24"/>
          <w:highlight w:val="none"/>
        </w:rPr>
        <w:t>勘察设计阶段的工作签订本合同，共同遵守。</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第一条</w:t>
      </w:r>
      <w:r>
        <w:rPr>
          <w:rFonts w:hint="eastAsia" w:ascii="仿宋" w:hAnsi="仿宋" w:eastAsia="仿宋" w:cs="仿宋"/>
          <w:color w:val="auto"/>
          <w:kern w:val="0"/>
          <w:sz w:val="24"/>
          <w:highlight w:val="none"/>
        </w:rPr>
        <w:t>　本合同签订依据</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《中华人民共和国民法典》</w:t>
      </w:r>
      <w:r>
        <w:rPr>
          <w:rFonts w:hint="eastAsia" w:ascii="仿宋" w:hAnsi="仿宋" w:eastAsia="仿宋" w:cs="仿宋"/>
          <w:color w:val="auto"/>
          <w:kern w:val="0"/>
          <w:sz w:val="24"/>
          <w:highlight w:val="none"/>
        </w:rPr>
        <w:t>、《中华人民共和国建筑法》和</w:t>
      </w:r>
      <w:r>
        <w:rPr>
          <w:rFonts w:hint="eastAsia" w:ascii="仿宋" w:hAnsi="仿宋" w:eastAsia="仿宋" w:cs="仿宋"/>
          <w:color w:val="auto"/>
          <w:sz w:val="24"/>
          <w:highlight w:val="none"/>
          <w:shd w:val="clear" w:color="auto" w:fill="FFFFFF"/>
        </w:rPr>
        <w:t>工程勘察设计市场管理的有关规定</w:t>
      </w:r>
      <w:r>
        <w:rPr>
          <w:rFonts w:hint="eastAsia" w:ascii="仿宋" w:hAnsi="仿宋" w:eastAsia="仿宋" w:cs="仿宋"/>
          <w:color w:val="auto"/>
          <w:kern w:val="0"/>
          <w:sz w:val="24"/>
          <w:highlight w:val="none"/>
        </w:rPr>
        <w:t>。</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2．国家及地方有关建设工程勘察设计管理法规和规章。</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3．建设工程批准文件。</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第二条</w:t>
      </w:r>
      <w:r>
        <w:rPr>
          <w:rFonts w:hint="eastAsia" w:ascii="仿宋" w:hAnsi="仿宋" w:eastAsia="仿宋" w:cs="仿宋"/>
          <w:color w:val="auto"/>
          <w:kern w:val="0"/>
          <w:sz w:val="24"/>
          <w:highlight w:val="none"/>
        </w:rPr>
        <w:t>　勘察设计依据</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1．发包方给承包方的委托书或勘察设计中标文件。</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2．发包方提交的基础资料。</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3．承包方采用的主要技术标准是：</w:t>
      </w:r>
      <w:r>
        <w:rPr>
          <w:rFonts w:hint="eastAsia" w:ascii="仿宋" w:hAnsi="仿宋" w:eastAsia="仿宋" w:cs="仿宋"/>
          <w:color w:val="auto"/>
          <w:kern w:val="0"/>
          <w:sz w:val="24"/>
          <w:highlight w:val="none"/>
          <w:u w:val="single"/>
        </w:rPr>
        <w:t>国家及行业设计规范和有关规范、标准。</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第三条</w:t>
      </w:r>
      <w:r>
        <w:rPr>
          <w:rFonts w:hint="eastAsia" w:ascii="仿宋" w:hAnsi="仿宋" w:eastAsia="仿宋" w:cs="仿宋"/>
          <w:color w:val="auto"/>
          <w:kern w:val="0"/>
          <w:sz w:val="24"/>
          <w:highlight w:val="none"/>
        </w:rPr>
        <w:t>　合同文件的优先次序</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构成本合同的文件可视为是能互相说明的，如果合同文件存在歧义或不一致，则根据如下优先次序来判断：</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1．合同书；</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2．中标函（文件）；</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3．发包方要求及委托书；</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4．投标书。</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第四条</w:t>
      </w:r>
      <w:r>
        <w:rPr>
          <w:rFonts w:hint="eastAsia" w:ascii="仿宋" w:hAnsi="仿宋" w:eastAsia="仿宋" w:cs="仿宋"/>
          <w:color w:val="auto"/>
          <w:kern w:val="0"/>
          <w:sz w:val="24"/>
          <w:highlight w:val="none"/>
        </w:rPr>
        <w:t>　工程概况</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1．工程名称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汕尾红海湾经济开发区东洲街道美丽圩镇建设项目勘察设计</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2．工程建设地点：</w:t>
      </w:r>
      <w:r>
        <w:rPr>
          <w:rFonts w:hint="eastAsia" w:ascii="仿宋" w:hAnsi="仿宋" w:eastAsia="仿宋" w:cs="仿宋"/>
          <w:color w:val="auto"/>
          <w:sz w:val="24"/>
          <w:szCs w:val="24"/>
          <w:highlight w:val="none"/>
          <w:u w:val="single"/>
          <w:shd w:val="clear" w:color="auto" w:fill="FFFFFF"/>
          <w:lang w:eastAsia="zh-CN"/>
        </w:rPr>
        <w:t>汕尾市红海湾经济开发区东洲街道镇区</w:t>
      </w:r>
      <w:r>
        <w:rPr>
          <w:rFonts w:hint="eastAsia" w:ascii="仿宋" w:hAnsi="仿宋" w:eastAsia="仿宋" w:cs="仿宋"/>
          <w:color w:val="auto"/>
          <w:kern w:val="0"/>
          <w:sz w:val="24"/>
          <w:szCs w:val="24"/>
          <w:highlight w:val="none"/>
        </w:rPr>
        <w:t>。</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3．工程规模、特征：</w:t>
      </w:r>
      <w:r>
        <w:rPr>
          <w:rFonts w:hint="eastAsia" w:ascii="仿宋" w:hAnsi="仿宋" w:eastAsia="仿宋" w:cs="仿宋"/>
          <w:color w:val="auto"/>
          <w:sz w:val="24"/>
          <w:szCs w:val="24"/>
          <w:highlight w:val="none"/>
          <w:u w:val="single"/>
          <w:shd w:val="clear" w:color="auto" w:fill="FFFFFF"/>
          <w:lang w:val="en-US" w:eastAsia="zh-CN"/>
        </w:rPr>
        <w:t>总建筑面积33250平方米。建设内容主要包括：镇区主要道路两边立面建筑外墙改造，三清三拆、排水防涝整治等人居环境整治建设；改建湖东农贸市场、东三农贸市场、农产品集散中心、物流仓储、卫生医疗站、居家养老护理站、托儿所等民生基础设施；改造建设人民广场、文化广场、东洲八音雕塑、文化景墙等公共文化设施；以及道路照明、消防系统、绿化工程、市政供水设施、监控系统等配套设施。</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4．工程勘察设计任务委托文号、日期：</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5．工程勘察设计任务（内容）与技术要求：</w:t>
      </w:r>
      <w:r>
        <w:rPr>
          <w:rFonts w:hint="eastAsia" w:ascii="仿宋" w:hAnsi="仿宋" w:eastAsia="仿宋" w:cs="仿宋"/>
          <w:color w:val="auto"/>
          <w:sz w:val="24"/>
          <w:szCs w:val="24"/>
          <w:highlight w:val="none"/>
          <w:shd w:val="clear" w:color="auto" w:fill="auto"/>
        </w:rPr>
        <w:t>包括但不限于方案设计、初步设计、概算编制、施工图设计、预算编制、岩土工程勘察、工程测量以及到竣工验收全过程按国家有关规程规范的要求应由勘察设计单位完成的勘察设计服务。</w:t>
      </w:r>
    </w:p>
    <w:p>
      <w:pPr>
        <w:pStyle w:val="3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6．承包方式：</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第五条</w:t>
      </w:r>
      <w:r>
        <w:rPr>
          <w:rFonts w:hint="eastAsia" w:ascii="仿宋" w:hAnsi="仿宋" w:eastAsia="仿宋" w:cs="仿宋"/>
          <w:color w:val="auto"/>
          <w:kern w:val="0"/>
          <w:sz w:val="24"/>
          <w:highlight w:val="none"/>
        </w:rPr>
        <w:t>　发包方向承包方提交的有关资料及文件：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95"/>
        <w:gridCol w:w="927"/>
        <w:gridCol w:w="2660"/>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资料及文件名称</w:t>
            </w:r>
          </w:p>
        </w:tc>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份数</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内容要求</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设计任务书</w:t>
            </w:r>
          </w:p>
        </w:tc>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符合规范要求</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可行性研究报告</w:t>
            </w:r>
          </w:p>
        </w:tc>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符合规范要求</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w:t>
            </w: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240" w:lineRule="auto"/>
        <w:ind w:left="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 xml:space="preserve">第六条 </w:t>
      </w:r>
      <w:r>
        <w:rPr>
          <w:rFonts w:hint="eastAsia" w:ascii="仿宋" w:hAnsi="仿宋" w:eastAsia="仿宋" w:cs="仿宋"/>
          <w:color w:val="auto"/>
          <w:kern w:val="0"/>
          <w:sz w:val="24"/>
          <w:highlight w:val="none"/>
        </w:rPr>
        <w:t>承包方向发包方交付的勘察设计文件：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395"/>
        <w:gridCol w:w="857"/>
        <w:gridCol w:w="2654"/>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资料及文件名称</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份数</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内容要求</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方案设计</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含项目估算</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初步设计</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含项目估算</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自收到</w:t>
            </w:r>
            <w:r>
              <w:rPr>
                <w:rFonts w:hint="eastAsia" w:ascii="仿宋" w:hAnsi="仿宋" w:eastAsia="仿宋" w:cs="仿宋"/>
                <w:color w:val="auto"/>
                <w:kern w:val="0"/>
                <w:sz w:val="24"/>
                <w:highlight w:val="none"/>
                <w:lang w:val="en-US" w:eastAsia="zh-CN"/>
              </w:rPr>
              <w:t>方案</w:t>
            </w:r>
            <w:r>
              <w:rPr>
                <w:rFonts w:hint="eastAsia" w:ascii="仿宋" w:hAnsi="仿宋" w:eastAsia="仿宋" w:cs="仿宋"/>
                <w:color w:val="auto"/>
                <w:kern w:val="0"/>
                <w:sz w:val="24"/>
                <w:highlight w:val="none"/>
              </w:rPr>
              <w:t>确认文件后</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勘察报告</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8份文本，1份PDF格式电子版光盘</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自签订合同后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个日历天</w:t>
            </w: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第七条</w:t>
      </w:r>
      <w:r>
        <w:rPr>
          <w:rFonts w:hint="eastAsia" w:ascii="仿宋" w:hAnsi="仿宋" w:eastAsia="仿宋" w:cs="仿宋"/>
          <w:color w:val="auto"/>
          <w:kern w:val="0"/>
          <w:sz w:val="24"/>
          <w:highlight w:val="none"/>
        </w:rPr>
        <w:t>　工期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计划工期为150日历天，其中勘察30日历天，工程设计各阶段合计120日历天；具体可按业主要求进行协商。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由于发包方或承包方的原因，勘察设计未能按期开工、完工或交付成果资料时，按本合同第十二条规定执行。</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b/>
          <w:color w:val="auto"/>
          <w:kern w:val="0"/>
          <w:sz w:val="24"/>
          <w:highlight w:val="none"/>
        </w:rPr>
        <w:t>第八条</w:t>
      </w:r>
      <w:r>
        <w:rPr>
          <w:rFonts w:hint="eastAsia" w:ascii="仿宋" w:hAnsi="仿宋" w:eastAsia="仿宋" w:cs="仿宋"/>
          <w:color w:val="auto"/>
          <w:kern w:val="0"/>
          <w:sz w:val="24"/>
          <w:highlight w:val="none"/>
        </w:rPr>
        <w:t>　收费标准及支付方式</w:t>
      </w:r>
    </w:p>
    <w:p>
      <w:pPr>
        <w:pStyle w:val="3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1、合同价=工程设计费+工程勘察费</w:t>
      </w:r>
    </w:p>
    <w:p>
      <w:pPr>
        <w:pStyle w:val="3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2、工程设计费(暂定价)281.55万元【最终设计费结算价格按财政预算审核定价格乘以（1-投标下浮率)】；工程勘察费(暂定价)79.44万元,【最终勘察费结算价格按财政预算审核定价格乘以（1-投标下浮率)】。</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bookmarkStart w:id="28" w:name="OLE_LINK2"/>
      <w:r>
        <w:rPr>
          <w:rFonts w:hint="eastAsia" w:ascii="仿宋" w:hAnsi="仿宋" w:eastAsia="仿宋" w:cs="仿宋"/>
          <w:color w:val="auto"/>
          <w:kern w:val="0"/>
          <w:sz w:val="24"/>
          <w:szCs w:val="24"/>
          <w:highlight w:val="none"/>
          <w:lang w:val="en-US" w:eastAsia="zh-CN" w:bidi="ar-SA"/>
        </w:rPr>
        <w:t>、工程勘察费支付</w:t>
      </w:r>
      <w:bookmarkEnd w:id="28"/>
      <w:r>
        <w:rPr>
          <w:rFonts w:hint="eastAsia" w:ascii="仿宋" w:hAnsi="仿宋" w:eastAsia="仿宋" w:cs="仿宋"/>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（1）签定合同后，经申请7个工作日内，支付工程勘察费暂定价的30%；</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（2）勘察方提交阶段性报告（测绘）成果后，经申请7个工作日内，支付工程勘察费暂定价的30%；</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（3）勘察方提交正式勘察报告成果经业主或第三方审图公司审查通过后，经申请7个工作日内，支付至工程勘察费结算价的95%（扣除①②期预付款项）。</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（4）工程竣工验收合格后，经申请7个工作日内，支付剩余工程勘察费。</w:t>
      </w:r>
    </w:p>
    <w:p>
      <w:pPr>
        <w:pStyle w:val="3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Style w:val="40"/>
          <w:rFonts w:hint="eastAsia" w:ascii="仿宋" w:hAnsi="仿宋" w:eastAsia="仿宋" w:cs="仿宋"/>
          <w:b w:val="0"/>
          <w:color w:val="auto"/>
          <w:highlight w:val="none"/>
        </w:rPr>
      </w:pPr>
      <w:r>
        <w:rPr>
          <w:rStyle w:val="40"/>
          <w:rFonts w:hint="eastAsia" w:ascii="仿宋" w:hAnsi="仿宋" w:eastAsia="仿宋" w:cs="仿宋"/>
          <w:b w:val="0"/>
          <w:color w:val="auto"/>
          <w:highlight w:val="none"/>
        </w:rPr>
        <w:t>4、工程方案及初步设计费支付：</w:t>
      </w:r>
    </w:p>
    <w:tbl>
      <w:tblPr>
        <w:tblStyle w:val="37"/>
        <w:tblW w:w="936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526"/>
        <w:gridCol w:w="1744"/>
        <w:gridCol w:w="174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526"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付费次序</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占总设计费%</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付费额（元） </w:t>
            </w:r>
          </w:p>
        </w:tc>
        <w:tc>
          <w:tcPr>
            <w:tcW w:w="435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526"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第一次付费</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p>
        </w:tc>
        <w:tc>
          <w:tcPr>
            <w:tcW w:w="435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签定合同后，经申请7个工作日内按合同价进行支付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526"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第二次付费</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p>
        </w:tc>
        <w:tc>
          <w:tcPr>
            <w:tcW w:w="435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方案设计通过专家评审后，经申请7个工作日内按合同价支付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526"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第三次付费</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p>
        </w:tc>
        <w:tc>
          <w:tcPr>
            <w:tcW w:w="435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初步设计通过专家评审且收到概算批复后经申请7个工作日内按合同价支付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26" w:hRule="atLeast"/>
        </w:trPr>
        <w:tc>
          <w:tcPr>
            <w:tcW w:w="1526"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次付费</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p>
        </w:tc>
        <w:tc>
          <w:tcPr>
            <w:tcW w:w="435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施工设计图纸审查完成合格后，经申请7个工作日内按合同价支付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26" w:hRule="atLeast"/>
        </w:trPr>
        <w:tc>
          <w:tcPr>
            <w:tcW w:w="1526"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次付费</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center"/>
              <w:textAlignment w:val="auto"/>
              <w:rPr>
                <w:rFonts w:hint="eastAsia" w:ascii="仿宋" w:hAnsi="仿宋" w:eastAsia="仿宋" w:cs="仿宋"/>
                <w:color w:val="auto"/>
                <w:sz w:val="24"/>
                <w:szCs w:val="24"/>
                <w:highlight w:val="none"/>
              </w:rPr>
            </w:pPr>
          </w:p>
        </w:tc>
        <w:tc>
          <w:tcPr>
            <w:tcW w:w="4350" w:type="dxa"/>
            <w:noWrap w:val="0"/>
            <w:vAlign w:val="center"/>
          </w:tcPr>
          <w:p>
            <w:pPr>
              <w:keepNext w:val="0"/>
              <w:keepLines w:val="0"/>
              <w:pageBreakBefore w:val="0"/>
              <w:kinsoku/>
              <w:wordWrap/>
              <w:overflowPunct/>
              <w:topLinePunct w:val="0"/>
              <w:autoSpaceDE/>
              <w:autoSpaceDN/>
              <w:bidi w:val="0"/>
              <w:adjustRightInd/>
              <w:snapToGrid/>
              <w:spacing w:line="480" w:lineRule="exact"/>
              <w:ind w:right="90" w:rightChars="43"/>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完成工程竣工结算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付清尾款</w:t>
            </w:r>
          </w:p>
        </w:tc>
      </w:tr>
    </w:tbl>
    <w:p>
      <w:pPr>
        <w:pStyle w:val="32"/>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若是联合体投标的，</w:t>
      </w:r>
      <w:r>
        <w:rPr>
          <w:rFonts w:hint="eastAsia" w:ascii="仿宋" w:hAnsi="仿宋" w:eastAsia="仿宋" w:cs="仿宋"/>
          <w:color w:val="auto"/>
          <w:sz w:val="24"/>
          <w:highlight w:val="none"/>
        </w:rPr>
        <w:t>勘察费方案及初步设计费支付按以上支付方法</w:t>
      </w:r>
      <w:r>
        <w:rPr>
          <w:rFonts w:hint="eastAsia" w:ascii="仿宋" w:hAnsi="仿宋" w:eastAsia="仿宋" w:cs="仿宋"/>
          <w:color w:val="auto"/>
          <w:kern w:val="0"/>
          <w:sz w:val="24"/>
          <w:highlight w:val="none"/>
        </w:rPr>
        <w:t>分别支付至联合体各成员单位。</w:t>
      </w:r>
    </w:p>
    <w:p>
      <w:pPr>
        <w:spacing w:line="360" w:lineRule="auto"/>
        <w:ind w:firstLine="424" w:firstLineChars="17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款</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支付期限：</w:t>
      </w:r>
      <w:r>
        <w:rPr>
          <w:rFonts w:hint="eastAsia" w:ascii="仿宋" w:hAnsi="仿宋" w:eastAsia="仿宋" w:cs="仿宋"/>
          <w:color w:val="auto"/>
          <w:sz w:val="24"/>
          <w:highlight w:val="none"/>
          <w:u w:val="single"/>
        </w:rPr>
        <w:t>支付申请表送至财政部门视为支付</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 xml:space="preserve">第九条  </w:t>
      </w:r>
      <w:r>
        <w:rPr>
          <w:rFonts w:hint="eastAsia" w:ascii="仿宋" w:hAnsi="仿宋" w:eastAsia="仿宋" w:cs="仿宋"/>
          <w:color w:val="auto"/>
          <w:kern w:val="0"/>
          <w:sz w:val="24"/>
          <w:highlight w:val="none"/>
        </w:rPr>
        <w:t>变更及工程费的调整</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1．本工程进行中，发包方对工程内容与技术要求提出变更，发包方应在变更前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天向承包方发出书面变更通知，否则承包方有权拒绝变更；承包方接通知后于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天内，提出变更方案的文件资料，发包方收到该文件资料之日起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天内予以确认，如不确认或不提出修改意见的，变更文件资料自送达之日起第</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天自行生效。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2．如本工程出现重大工程变更，则另行签订补充协议。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3．变更增加的工程费按如下方法（或标准）进行调整：</w:t>
      </w:r>
      <w:r>
        <w:rPr>
          <w:rFonts w:hint="eastAsia" w:ascii="仿宋" w:hAnsi="仿宋" w:eastAsia="仿宋" w:cs="仿宋"/>
          <w:color w:val="auto"/>
          <w:kern w:val="0"/>
          <w:sz w:val="24"/>
          <w:highlight w:val="none"/>
          <w:u w:val="single"/>
        </w:rPr>
        <w:t>按国家标准</w:t>
      </w:r>
      <w:r>
        <w:rPr>
          <w:rFonts w:hint="eastAsia" w:ascii="仿宋" w:hAnsi="仿宋" w:eastAsia="仿宋" w:cs="仿宋"/>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第十条</w:t>
      </w:r>
      <w:r>
        <w:rPr>
          <w:rFonts w:hint="eastAsia" w:ascii="仿宋" w:hAnsi="仿宋" w:eastAsia="仿宋" w:cs="仿宋"/>
          <w:color w:val="auto"/>
          <w:kern w:val="0"/>
          <w:sz w:val="24"/>
          <w:highlight w:val="none"/>
        </w:rPr>
        <w:t>　双方责任</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1．发包方责任</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（1）发包方按本合同规定的内容，向在承包方提供开展勘察设计工作所需的有关基础资料，并对提供的时间、进度与资料的可靠性负责。</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（2）发包方委托勘察工作的，在勘察工作开展前，应提出勘察技术要求及附图。</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（4）发包方委托施工图设计的，在施工图设计前，应提供经过批准的初步设计文件和能满足施工图设计要求的勘察资料、施工条件，以及有关设备的技术资料。</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（6）发包方变更委托勘察设计项目、规模、条件或因提交的资料错误，或所提交资料作较大修改，以致造成承包方勘察设计返工时，双方另行协商签订补充协议。</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（7）在未签订合同前发包方已同意，承包方为发包方所做的各项勘察设计工作，发包方应支付相应勘察设计费。</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在合同履行期间，发包方要求终止或解除合同，承包方未开始勘察设计工作的，不退还发包方已支付的合同款；已开始勘察设计工作的，发包方应根据承包方已进行的实际工作量，不足一半时，按该阶段勘察设计费的一半支付；超过一半时，按该阶段勘察设计费支付。</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（9）发包方的上级或勘察设计审批部门对勘察设计文件不审批或本合同项目停缓建，发包方均应支付应付的勘察设计费。</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（10）发包方要求承包方比合同规定时间提前交付勘察设计文件时，须征得承包方同意，不得严重背离合理勘察设计周期，且发包方应支付赶工费。</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（11）发包方应当将工程勘察设计业务委托给具有相应工程勘察设计资质证书且与其证书规定的业务范围相符的承包方。</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（12）发包方在委托业务中不得收受贿赂、索取回扣或者其他好处。</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（13）发包方不得指使承包方不按法律、法规、工程建设强制性标准和设计程序进行勘察设计。</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（14）未经承包方许可，发包方不得擅自修改勘察设计文件，或将承包方专有技术和设计文件用于本工程以外的工程。</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2．承包方责任</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（1）应按照现行的标准、规范、规程和技术条例，进行</w:t>
      </w:r>
      <w:r>
        <w:rPr>
          <w:rFonts w:hint="eastAsia" w:ascii="仿宋" w:hAnsi="仿宋" w:eastAsia="仿宋" w:cs="仿宋"/>
          <w:color w:val="auto"/>
          <w:kern w:val="0"/>
          <w:sz w:val="24"/>
          <w:highlight w:val="none"/>
          <w:lang w:eastAsia="zh-CN"/>
        </w:rPr>
        <w:t>地形测量</w:t>
      </w:r>
      <w:r>
        <w:rPr>
          <w:rFonts w:hint="eastAsia" w:ascii="仿宋" w:hAnsi="仿宋" w:eastAsia="仿宋" w:cs="仿宋"/>
          <w:color w:val="auto"/>
          <w:kern w:val="0"/>
          <w:sz w:val="24"/>
          <w:highlight w:val="none"/>
        </w:rPr>
        <w:t>、工程地质、水文地质等勘察工作，并按合同规定的进度、质量提交勘察成果。</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（2）勘察设计合理使用年限为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承包方对勘察设计文件出现的遗漏或错误负责修改或补充。由于承包方勘察设计错误造成工程质量事故损失，承包方除负责采取补救措施外，应免收受损失部分的勘察设计费，并根据损失程度向发包方支付赔偿金，损失严重的根据损失的程度和设计人责任大小由双方商定赔偿事项。</w:t>
      </w:r>
    </w:p>
    <w:p>
      <w:pPr>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（4）由于承包方原因，延误了勘察设计文件交付时间，每延误一天，应减收该项目应收勘察设计费的千分之二。</w:t>
      </w:r>
    </w:p>
    <w:p>
      <w:pPr>
        <w:keepNext w:val="0"/>
        <w:keepLines w:val="0"/>
        <w:pageBreakBefore w:val="0"/>
        <w:widowControl/>
        <w:kinsoku/>
        <w:wordWrap/>
        <w:overflowPunct/>
        <w:topLinePunct w:val="0"/>
        <w:autoSpaceDE/>
        <w:autoSpaceDN/>
        <w:bidi w:val="0"/>
        <w:adjustRightInd/>
        <w:snapToGrid/>
        <w:spacing w:line="480" w:lineRule="exact"/>
        <w:ind w:firstLine="360" w:firstLineChars="1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（5）合同生效后，承包方要求终止或解除合同，应向发包方赔偿相应的损失。</w:t>
      </w:r>
    </w:p>
    <w:p>
      <w:pPr>
        <w:keepNext w:val="0"/>
        <w:keepLines w:val="0"/>
        <w:pageBreakBefore w:val="0"/>
        <w:widowControl/>
        <w:kinsoku/>
        <w:wordWrap/>
        <w:overflowPunct/>
        <w:topLinePunct w:val="0"/>
        <w:autoSpaceDE/>
        <w:autoSpaceDN/>
        <w:bidi w:val="0"/>
        <w:adjustRightInd/>
        <w:snapToGrid/>
        <w:spacing w:line="480" w:lineRule="exact"/>
        <w:ind w:firstLine="360" w:firstLineChars="1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承包方交付设计资料及文件后，按规定参加有关的设计审查，并根据审查结论负责对不超出原定范围的内容做必要调整补充和报送已经完成的图纸给审图中心审查（审查费用由发包方负责）。承包方按合同规定时限交付设计资料及文件，本年内项目开始施工，负责向发包人及施工单位进行设计交底、处理有关设计问题和参加竣工验收。在一年内项目尚未开始施工，承包方仍负责上述工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）承包方必须持有由建设行政主管部门颁发的工程勘察资质证书或工程设计资质证书，在证书规定的业务范围内承接勘察设计业务，并对其提供的勘察设计文件的质量负责。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）承包方可以聘用技术劳务人员协助完成承接的勘察设计业务，但必须签订聘用合同。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）承包方不得以低于国家规定的最低收费标准进行不正当竞争承接勘察设计任务。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）承包方不得采用行贿、提供回扣或给予其它好处等手段进行不正当竞争。</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）承包方不得违反规定程序修改、变更勘察设计文件。</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）承包方不得使用或推荐使用不符合质量标准的材料或设备。</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）未经发包方同意，承包方不得擅自将勘察设计业务分委托给第三方，或者擅自向第三方扩散、转让发包方提交的产品图纸等技术经济资料。</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）勘察设计单位必须提供标后技术服务，遇须由勘察设计单位现场解决的技术问题，勘察设计单位须在24小时内派勘察设计技术人员到达施工现场配合解决相关问题。</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第十一条</w:t>
      </w:r>
      <w:r>
        <w:rPr>
          <w:rFonts w:hint="eastAsia" w:ascii="仿宋" w:hAnsi="仿宋" w:eastAsia="仿宋" w:cs="仿宋"/>
          <w:color w:val="auto"/>
          <w:kern w:val="0"/>
          <w:sz w:val="24"/>
          <w:highlight w:val="none"/>
        </w:rPr>
        <w:t>　工程勘察设计知识产权</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双方另有约定外，承包人完成的设计工作成果，除署名权以外的著作权和其他知识产权均归发包方享有。发包方有责任对此给予保护，不得将本工程的勘察设计造型、勘察设计文件、及有关数据进行修改、复制、描绘或提供给第三方使用，亦不得作为非本工程所属的其它工程建设之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第十二条</w:t>
      </w:r>
      <w:r>
        <w:rPr>
          <w:rFonts w:hint="eastAsia" w:ascii="仿宋" w:hAnsi="仿宋" w:eastAsia="仿宋" w:cs="仿宋"/>
          <w:color w:val="auto"/>
          <w:kern w:val="0"/>
          <w:sz w:val="24"/>
          <w:highlight w:val="none"/>
        </w:rPr>
        <w:t>　违约责任及违约金</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发包方不履行与承包方订立的合同的，应当返还承包方的履约保证金，并对承包方的损失承担相应的赔偿责任；因不可抗力不能履行合同的除外。承包方不履行与发包方订立的合同的，履约保证金不予退还，给发包方造成的损失超过履约保证金数额的，还应当对超过部分予以赔偿。</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方不按照与发包方订立的合同履行义务，情节严重的，发包人应报告有关行政监督部门，由行政监督部门取消其二至五年参加招标项目的投标资格并予以公告，直至由工商行政管理机关吊销营业执照。因不可抗力不能履行合同的除外。</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2．发包方因故要求停止勘察设计时，应及时用书面通知承包方，承包方应立即停止勘察设计，发包方已付的合同款不予偿还，已付的合同款不足勘察设计进度部分，按已完成的设计实际进度补交费用。</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3．由于承包方的勘察设计错误，给发包方造成较大经济损失时，承包方除负责积极采取补救措施外，要免收损失部分的勘察设计费。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4．勘察设计文件（图纸）交付时间按协议规定时间拖后时，由双方商定，每逾期一天，发包方可少付该阶段勘察设计费的</w:t>
      </w:r>
      <w:r>
        <w:rPr>
          <w:rFonts w:hint="eastAsia" w:ascii="仿宋" w:hAnsi="仿宋" w:eastAsia="仿宋" w:cs="仿宋"/>
          <w:color w:val="auto"/>
          <w:kern w:val="0"/>
          <w:sz w:val="24"/>
          <w:highlight w:val="none"/>
          <w:u w:val="single"/>
        </w:rPr>
        <w:t>千分之二</w:t>
      </w:r>
      <w:r>
        <w:rPr>
          <w:rFonts w:hint="eastAsia" w:ascii="仿宋" w:hAnsi="仿宋" w:eastAsia="仿宋" w:cs="仿宋"/>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5．发包方按约定时间向财政部门办理支付勘察设计费手续。</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6．承包方不及时到现场处理有关勘察设计问题，不及时按审批机关意见修改勘察设计时，每影响一天应减付勘察设计费</w:t>
      </w:r>
      <w:r>
        <w:rPr>
          <w:rFonts w:hint="eastAsia" w:ascii="仿宋" w:hAnsi="仿宋" w:eastAsia="仿宋" w:cs="仿宋"/>
          <w:color w:val="auto"/>
          <w:kern w:val="0"/>
          <w:sz w:val="24"/>
          <w:highlight w:val="none"/>
          <w:u w:val="single"/>
        </w:rPr>
        <w:t>千分之二</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第十三条</w:t>
      </w:r>
      <w:r>
        <w:rPr>
          <w:rFonts w:hint="eastAsia" w:ascii="仿宋" w:hAnsi="仿宋" w:eastAsia="仿宋" w:cs="仿宋"/>
          <w:color w:val="auto"/>
          <w:kern w:val="0"/>
          <w:sz w:val="24"/>
          <w:highlight w:val="none"/>
        </w:rPr>
        <w:t>　勘察设计的修改和停止</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1．发包方因故要求修改工程的勘察设计，经承包方同意后，除设计文件交付时间另定外，发包方应按承包方实际返工修改工日，每工日按</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元增付勘察设计费。</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2．原定任务书如有重大变更而重作或修改勘察设计时，须具有勘察设计审批机关或勘察设计任务书批准机关的意见书，经双方协商，另订合同。已经进行了的勘察设计费用的支付，按前条办法计算。</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3．发包方因故要求中途停止勘察设计时，应及时用书面通知承包方，已付勘察设计费不退，并按该阶段的实际耗工日，增付和结清勘察设计费，同时结束合同关系。</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第十四条</w:t>
      </w:r>
      <w:r>
        <w:rPr>
          <w:rFonts w:hint="eastAsia" w:ascii="仿宋" w:hAnsi="仿宋" w:eastAsia="仿宋" w:cs="仿宋"/>
          <w:color w:val="auto"/>
          <w:kern w:val="0"/>
          <w:sz w:val="24"/>
          <w:highlight w:val="none"/>
        </w:rPr>
        <w:t>　保密</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保密期限</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rPr>
        <w:t>年。</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第十五条</w:t>
      </w:r>
      <w:r>
        <w:rPr>
          <w:rFonts w:hint="eastAsia" w:ascii="仿宋" w:hAnsi="仿宋" w:eastAsia="仿宋" w:cs="仿宋"/>
          <w:color w:val="auto"/>
          <w:kern w:val="0"/>
          <w:sz w:val="24"/>
          <w:highlight w:val="none"/>
        </w:rPr>
        <w:t>　不可抗力</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1．如果本合同任何一方因受不可抗力事件影响而未能履行其在本合同下的全部或部分义务，该义务的履行在不可抗力事件妨碍其履行期间应予中止。</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2．声称受到不可抗力事件影响的一方应尽可能在最短的时间内通过书面形式将不可抗力事件的发生通知另一方，并在该不可抗力事件发生后 </w:t>
      </w:r>
      <w:r>
        <w:rPr>
          <w:rFonts w:hint="eastAsia" w:ascii="仿宋" w:hAnsi="仿宋" w:eastAsia="仿宋" w:cs="仿宋"/>
          <w:color w:val="auto"/>
          <w:kern w:val="0"/>
          <w:sz w:val="24"/>
          <w:highlight w:val="none"/>
          <w:u w:val="single"/>
        </w:rPr>
        <w:t xml:space="preserve"> 3  </w:t>
      </w:r>
      <w:r>
        <w:rPr>
          <w:rFonts w:hint="eastAsia" w:ascii="仿宋" w:hAnsi="仿宋" w:eastAsia="仿宋" w:cs="仿宋"/>
          <w:color w:val="auto"/>
          <w:kern w:val="0"/>
          <w:sz w:val="24"/>
          <w:highlight w:val="none"/>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第十六条</w:t>
      </w:r>
      <w:r>
        <w:rPr>
          <w:rFonts w:hint="eastAsia" w:ascii="仿宋" w:hAnsi="仿宋" w:eastAsia="仿宋" w:cs="仿宋"/>
          <w:color w:val="auto"/>
          <w:kern w:val="0"/>
          <w:sz w:val="24"/>
          <w:highlight w:val="none"/>
        </w:rPr>
        <w:t>　合同纠纷解决方式本合同在执行过程中发生纠纷，双方协商不成时，采取下列第</w:t>
      </w:r>
      <w:r>
        <w:rPr>
          <w:rFonts w:hint="eastAsia" w:ascii="仿宋" w:hAnsi="仿宋" w:eastAsia="仿宋" w:cs="仿宋"/>
          <w:color w:val="auto"/>
          <w:kern w:val="0"/>
          <w:sz w:val="24"/>
          <w:highlight w:val="none"/>
          <w:u w:val="single"/>
        </w:rPr>
        <w:t xml:space="preserve"> 3 </w:t>
      </w:r>
      <w:r>
        <w:rPr>
          <w:rFonts w:hint="eastAsia" w:ascii="仿宋" w:hAnsi="仿宋" w:eastAsia="仿宋" w:cs="仿宋"/>
          <w:color w:val="auto"/>
          <w:kern w:val="0"/>
          <w:sz w:val="24"/>
          <w:highlight w:val="none"/>
        </w:rPr>
        <w:t>种方式解决：</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1．向_________申请调解；</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2．向项目所在地仲裁委员会申请仲裁；</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3．向项目所在地的人民法院起诉；</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4．其它解决方式：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第十七条</w:t>
      </w:r>
      <w:r>
        <w:rPr>
          <w:rFonts w:hint="eastAsia" w:ascii="仿宋" w:hAnsi="仿宋" w:eastAsia="仿宋" w:cs="仿宋"/>
          <w:color w:val="auto"/>
          <w:kern w:val="0"/>
          <w:sz w:val="24"/>
          <w:highlight w:val="none"/>
        </w:rPr>
        <w:t>　未尽事宜与附加条款</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1．本合同未尽事宜由双方协商确定，并形成书面协议作为本合同附件执行。</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2．本合同附加条款如下：</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第十八条</w:t>
      </w:r>
      <w:r>
        <w:rPr>
          <w:rFonts w:hint="eastAsia" w:ascii="仿宋" w:hAnsi="仿宋" w:eastAsia="仿宋" w:cs="仿宋"/>
          <w:color w:val="auto"/>
          <w:kern w:val="0"/>
          <w:sz w:val="24"/>
          <w:highlight w:val="none"/>
        </w:rPr>
        <w:t>　合同生效、中止与结束</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1．本合同需经双方加盖单位法人公章，并且要有双方单位法人代表或由法定代表人授权的委托代理人的签字（或盖章）方为有效。本合同生效日期以双方中最后一方签字（或盖章）的日期为准。</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2．双方因故需变更或终止本勘察设计合同时，应提前一个月书面通知对方，对本合同中的遗留问题取得一致意见，形成书面协议作为本合同附件执行。未达成协议前，本合同继续有效。</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因发包方原因要求中途停止勘察设计工作的，已付的合同款不退还；当勘察设计工作进行相应勘察设计阶段不足一半时，发包方应支付该阶段勘察设计费的一半；勘察设计工作进行到超过该勘察设计阶段的一半时，发包方应支付该阶段的全部勘察设计费。同时，按本条第2项办理，结束本工程双方合同关系。</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4．本合同以承包方向发包方提供本合同中规定的全部工程勘察设计文件，发包方按本合同规定付清全部合同费用之日起，结束本合同关系，本合同另有条款约定的除外。</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第十九条</w:t>
      </w:r>
      <w:r>
        <w:rPr>
          <w:rFonts w:hint="eastAsia" w:ascii="仿宋" w:hAnsi="仿宋" w:eastAsia="仿宋" w:cs="仿宋"/>
          <w:color w:val="auto"/>
          <w:kern w:val="0"/>
          <w:sz w:val="24"/>
          <w:highlight w:val="none"/>
        </w:rPr>
        <w:t>　本合同自双方签字盖章后，在15日内报项目所在地市级建设行政主管部门规定的审查部门审查。双方认为必要时，到项目所在地工商行政管理部门申请鉴证。双方履行完合同规定的义务后，本合同即行废止。</w:t>
      </w:r>
    </w:p>
    <w:p>
      <w:pPr>
        <w:keepNext w:val="0"/>
        <w:keepLines w:val="0"/>
        <w:pageBreakBefore w:val="0"/>
        <w:kinsoku/>
        <w:wordWrap/>
        <w:overflowPunct/>
        <w:topLinePunct w:val="0"/>
        <w:autoSpaceDE/>
        <w:autoSpaceDN/>
        <w:bidi w:val="0"/>
        <w:adjustRightInd/>
        <w:snapToGrid/>
        <w:spacing w:line="480" w:lineRule="exact"/>
        <w:ind w:firstLine="455"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第二十条</w:t>
      </w:r>
      <w:r>
        <w:rPr>
          <w:rFonts w:hint="eastAsia" w:ascii="仿宋" w:hAnsi="仿宋" w:eastAsia="仿宋" w:cs="仿宋"/>
          <w:color w:val="auto"/>
          <w:kern w:val="0"/>
          <w:sz w:val="24"/>
          <w:highlight w:val="none"/>
        </w:rPr>
        <w:t>　附则</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本合同未言明事项，一律按</w:t>
      </w:r>
      <w:r>
        <w:rPr>
          <w:rFonts w:hint="eastAsia" w:ascii="仿宋" w:hAnsi="仿宋" w:eastAsia="仿宋" w:cs="仿宋"/>
          <w:color w:val="auto"/>
          <w:kern w:val="0"/>
          <w:sz w:val="24"/>
          <w:highlight w:val="none"/>
          <w:lang w:eastAsia="zh-CN"/>
        </w:rPr>
        <w:t>《中华人民共和国民法典》</w:t>
      </w:r>
      <w:r>
        <w:rPr>
          <w:rFonts w:hint="eastAsia" w:ascii="仿宋" w:hAnsi="仿宋" w:eastAsia="仿宋" w:cs="仿宋"/>
          <w:color w:val="auto"/>
          <w:kern w:val="0"/>
          <w:sz w:val="24"/>
          <w:highlight w:val="none"/>
        </w:rPr>
        <w:t>和《建设工程勘察设计管理条例》规定执行。</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本合同附件：</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 xml:space="preserve"> 等均为本合同的组成部分，具有同等的法律效力。</w:t>
      </w:r>
    </w:p>
    <w:p>
      <w:pPr>
        <w:keepNext w:val="0"/>
        <w:keepLines w:val="0"/>
        <w:pageBreakBefore w:val="0"/>
        <w:kinsoku/>
        <w:wordWrap/>
        <w:overflowPunct/>
        <w:topLinePunct w:val="0"/>
        <w:autoSpaceDE/>
        <w:autoSpaceDN/>
        <w:bidi w:val="0"/>
        <w:adjustRightInd/>
        <w:snapToGrid/>
        <w:spacing w:line="480" w:lineRule="exact"/>
        <w:ind w:firstLine="453" w:firstLineChars="189"/>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本合同自双方签字盖章之日起生效，正本</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份，发包方、承包方设计单位、承包方勘察单位各执</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份；副本</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份，发包方、承包方设计单位、承包方勘察单位各执</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spacing w:line="520" w:lineRule="exact"/>
        <w:ind w:firstLine="453" w:firstLineChars="189"/>
        <w:jc w:val="left"/>
        <w:rPr>
          <w:rFonts w:hint="eastAsia" w:ascii="仿宋" w:hAnsi="仿宋" w:eastAsia="仿宋" w:cs="仿宋"/>
          <w:color w:val="auto"/>
          <w:kern w:val="0"/>
          <w:sz w:val="24"/>
          <w:highlight w:val="none"/>
        </w:rPr>
      </w:pPr>
    </w:p>
    <w:tbl>
      <w:tblPr>
        <w:tblStyle w:val="37"/>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169"/>
        <w:gridCol w:w="439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5657" w:hRule="atLeast"/>
          <w:jc w:val="center"/>
        </w:trPr>
        <w:tc>
          <w:tcPr>
            <w:tcW w:w="4169" w:type="dxa"/>
            <w:noWrap w:val="0"/>
            <w:vAlign w:val="top"/>
          </w:tcPr>
          <w:p>
            <w:pPr>
              <w:snapToGrid w:val="0"/>
              <w:spacing w:line="460" w:lineRule="exact"/>
              <w:jc w:val="left"/>
              <w:rPr>
                <w:rFonts w:hint="eastAsia" w:ascii="仿宋" w:hAnsi="仿宋" w:eastAsia="仿宋" w:cs="仿宋"/>
                <w:color w:val="auto"/>
                <w:sz w:val="24"/>
                <w:highlight w:val="none"/>
              </w:rPr>
            </w:pPr>
          </w:p>
          <w:p>
            <w:pPr>
              <w:snapToGrid w:val="0"/>
              <w:spacing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发包方（盖章）：</w:t>
            </w:r>
            <w:r>
              <w:rPr>
                <w:rFonts w:hint="eastAsia" w:ascii="仿宋" w:hAnsi="仿宋" w:eastAsia="仿宋" w:cs="仿宋"/>
                <w:color w:val="auto"/>
                <w:sz w:val="24"/>
                <w:highlight w:val="none"/>
                <w:u w:val="single"/>
              </w:rPr>
              <w:t xml:space="preserve">                   </w:t>
            </w:r>
          </w:p>
          <w:p>
            <w:pPr>
              <w:snapToGrid w:val="0"/>
              <w:spacing w:line="460" w:lineRule="exact"/>
              <w:rPr>
                <w:rFonts w:hint="eastAsia" w:ascii="仿宋" w:hAnsi="仿宋" w:eastAsia="仿宋" w:cs="仿宋"/>
                <w:color w:val="auto"/>
                <w:sz w:val="24"/>
                <w:highlight w:val="none"/>
              </w:rPr>
            </w:pP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pPr>
              <w:snapToGrid w:val="0"/>
              <w:spacing w:line="460" w:lineRule="exact"/>
              <w:rPr>
                <w:rFonts w:hint="eastAsia" w:ascii="仿宋" w:hAnsi="仿宋" w:eastAsia="仿宋" w:cs="仿宋"/>
                <w:color w:val="auto"/>
                <w:sz w:val="24"/>
                <w:highlight w:val="none"/>
              </w:rPr>
            </w:pPr>
          </w:p>
          <w:p>
            <w:pPr>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kern w:val="0"/>
                <w:sz w:val="24"/>
                <w:highlight w:val="none"/>
              </w:rPr>
              <w:t xml:space="preserve"> </w:t>
            </w:r>
          </w:p>
          <w:p>
            <w:pPr>
              <w:snapToGrid w:val="0"/>
              <w:spacing w:line="460" w:lineRule="exact"/>
              <w:rPr>
                <w:rFonts w:hint="eastAsia" w:ascii="仿宋" w:hAnsi="仿宋" w:eastAsia="仿宋" w:cs="仿宋"/>
                <w:color w:val="auto"/>
                <w:kern w:val="0"/>
                <w:sz w:val="24"/>
                <w:highlight w:val="none"/>
              </w:rPr>
            </w:pPr>
          </w:p>
          <w:p>
            <w:pPr>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邮政编码：</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签订地点：</w:t>
            </w:r>
            <w:r>
              <w:rPr>
                <w:rFonts w:hint="eastAsia" w:ascii="仿宋" w:hAnsi="仿宋" w:eastAsia="仿宋" w:cs="仿宋"/>
                <w:color w:val="auto"/>
                <w:kern w:val="0"/>
                <w:sz w:val="24"/>
                <w:highlight w:val="none"/>
                <w:u w:val="single"/>
              </w:rPr>
              <w:t xml:space="preserve">                   </w:t>
            </w:r>
          </w:p>
          <w:p>
            <w:pPr>
              <w:spacing w:line="460" w:lineRule="exact"/>
              <w:rPr>
                <w:rFonts w:hint="eastAsia" w:ascii="仿宋" w:hAnsi="仿宋" w:eastAsia="仿宋" w:cs="仿宋"/>
                <w:color w:val="auto"/>
                <w:highlight w:val="none"/>
              </w:rPr>
            </w:pPr>
            <w:r>
              <w:rPr>
                <w:rFonts w:hint="eastAsia" w:ascii="仿宋" w:hAnsi="仿宋" w:eastAsia="仿宋" w:cs="仿宋"/>
                <w:color w:val="auto"/>
                <w:kern w:val="0"/>
                <w:sz w:val="24"/>
                <w:highlight w:val="none"/>
              </w:rPr>
              <w:t>_________年____月____日　</w:t>
            </w:r>
          </w:p>
        </w:tc>
        <w:tc>
          <w:tcPr>
            <w:tcW w:w="4391" w:type="dxa"/>
            <w:noWrap w:val="0"/>
            <w:vAlign w:val="top"/>
          </w:tcPr>
          <w:p>
            <w:pPr>
              <w:snapToGrid w:val="0"/>
              <w:spacing w:line="460" w:lineRule="exact"/>
              <w:rPr>
                <w:rFonts w:hint="eastAsia" w:ascii="仿宋" w:hAnsi="仿宋" w:eastAsia="仿宋" w:cs="仿宋"/>
                <w:color w:val="auto"/>
                <w:sz w:val="24"/>
                <w:highlight w:val="none"/>
              </w:rPr>
            </w:pP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承包方设计单位（盖章）：</w:t>
            </w:r>
            <w:r>
              <w:rPr>
                <w:rFonts w:hint="eastAsia" w:ascii="仿宋" w:hAnsi="仿宋" w:eastAsia="仿宋" w:cs="仿宋"/>
                <w:color w:val="auto"/>
                <w:sz w:val="24"/>
                <w:highlight w:val="none"/>
                <w:u w:val="single"/>
              </w:rPr>
              <w:t xml:space="preserve">             </w:t>
            </w:r>
          </w:p>
          <w:p>
            <w:pPr>
              <w:snapToGrid w:val="0"/>
              <w:spacing w:line="460" w:lineRule="exact"/>
              <w:rPr>
                <w:rFonts w:hint="eastAsia" w:ascii="仿宋" w:hAnsi="仿宋" w:eastAsia="仿宋" w:cs="仿宋"/>
                <w:color w:val="auto"/>
                <w:sz w:val="24"/>
                <w:highlight w:val="none"/>
              </w:rPr>
            </w:pP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pPr>
              <w:snapToGrid w:val="0"/>
              <w:spacing w:line="460" w:lineRule="exact"/>
              <w:rPr>
                <w:rFonts w:hint="eastAsia" w:ascii="仿宋" w:hAnsi="仿宋" w:eastAsia="仿宋" w:cs="仿宋"/>
                <w:color w:val="auto"/>
                <w:sz w:val="24"/>
                <w:highlight w:val="none"/>
              </w:rPr>
            </w:pP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p>
            <w:pPr>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开户银行：</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银行帐号：</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签订地点：</w:t>
            </w:r>
            <w:r>
              <w:rPr>
                <w:rFonts w:hint="eastAsia" w:ascii="仿宋" w:hAnsi="仿宋" w:eastAsia="仿宋" w:cs="仿宋"/>
                <w:color w:val="auto"/>
                <w:kern w:val="0"/>
                <w:sz w:val="24"/>
                <w:highlight w:val="none"/>
                <w:u w:val="single"/>
              </w:rPr>
              <w:t xml:space="preserve">                   </w:t>
            </w:r>
          </w:p>
          <w:p>
            <w:pPr>
              <w:spacing w:line="460" w:lineRule="exact"/>
              <w:rPr>
                <w:rFonts w:hint="eastAsia" w:ascii="仿宋" w:hAnsi="仿宋" w:eastAsia="仿宋" w:cs="仿宋"/>
                <w:color w:val="auto"/>
                <w:highlight w:val="none"/>
              </w:rPr>
            </w:pPr>
            <w:r>
              <w:rPr>
                <w:rFonts w:hint="eastAsia" w:ascii="仿宋" w:hAnsi="仿宋" w:eastAsia="仿宋" w:cs="仿宋"/>
                <w:color w:val="auto"/>
                <w:kern w:val="0"/>
                <w:sz w:val="24"/>
                <w:highlight w:val="none"/>
              </w:rPr>
              <w:t>_________年____月____日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49" w:hRule="atLeast"/>
          <w:jc w:val="center"/>
        </w:trPr>
        <w:tc>
          <w:tcPr>
            <w:tcW w:w="4169" w:type="dxa"/>
            <w:noWrap w:val="0"/>
            <w:vAlign w:val="top"/>
          </w:tcPr>
          <w:p>
            <w:pPr>
              <w:spacing w:line="460" w:lineRule="exact"/>
              <w:rPr>
                <w:rFonts w:hint="eastAsia" w:ascii="仿宋" w:hAnsi="仿宋" w:eastAsia="仿宋" w:cs="仿宋"/>
                <w:color w:val="auto"/>
                <w:highlight w:val="none"/>
              </w:rPr>
            </w:pPr>
          </w:p>
        </w:tc>
        <w:tc>
          <w:tcPr>
            <w:tcW w:w="4391" w:type="dxa"/>
            <w:noWrap w:val="0"/>
            <w:vAlign w:val="top"/>
          </w:tcPr>
          <w:p>
            <w:pPr>
              <w:snapToGrid w:val="0"/>
              <w:spacing w:line="460" w:lineRule="exact"/>
              <w:rPr>
                <w:rFonts w:hint="eastAsia" w:ascii="仿宋" w:hAnsi="仿宋" w:eastAsia="仿宋" w:cs="仿宋"/>
                <w:color w:val="auto"/>
                <w:sz w:val="24"/>
                <w:highlight w:val="none"/>
              </w:rPr>
            </w:pP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承包方勘察单位（盖章）：</w:t>
            </w:r>
            <w:r>
              <w:rPr>
                <w:rFonts w:hint="eastAsia" w:ascii="仿宋" w:hAnsi="仿宋" w:eastAsia="仿宋" w:cs="仿宋"/>
                <w:color w:val="auto"/>
                <w:sz w:val="24"/>
                <w:highlight w:val="none"/>
                <w:u w:val="single"/>
              </w:rPr>
              <w:t xml:space="preserve">              </w:t>
            </w:r>
          </w:p>
          <w:p>
            <w:pPr>
              <w:snapToGrid w:val="0"/>
              <w:spacing w:line="460" w:lineRule="exact"/>
              <w:rPr>
                <w:rFonts w:hint="eastAsia" w:ascii="仿宋" w:hAnsi="仿宋" w:eastAsia="仿宋" w:cs="仿宋"/>
                <w:color w:val="auto"/>
                <w:sz w:val="24"/>
                <w:highlight w:val="none"/>
              </w:rPr>
            </w:pP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银行帐号：</w:t>
            </w:r>
          </w:p>
          <w:p>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签订地点：</w:t>
            </w:r>
            <w:r>
              <w:rPr>
                <w:rFonts w:hint="eastAsia" w:ascii="仿宋" w:hAnsi="仿宋" w:eastAsia="仿宋" w:cs="仿宋"/>
                <w:color w:val="auto"/>
                <w:kern w:val="0"/>
                <w:sz w:val="24"/>
                <w:highlight w:val="none"/>
                <w:u w:val="single"/>
              </w:rPr>
              <w:t xml:space="preserve">                   </w:t>
            </w:r>
          </w:p>
          <w:p>
            <w:pPr>
              <w:spacing w:line="460" w:lineRule="exact"/>
              <w:rPr>
                <w:rFonts w:hint="eastAsia" w:ascii="仿宋" w:hAnsi="仿宋" w:eastAsia="仿宋" w:cs="仿宋"/>
                <w:color w:val="auto"/>
                <w:highlight w:val="none"/>
              </w:rPr>
            </w:pPr>
            <w:r>
              <w:rPr>
                <w:rFonts w:hint="eastAsia" w:ascii="仿宋" w:hAnsi="仿宋" w:eastAsia="仿宋" w:cs="仿宋"/>
                <w:color w:val="auto"/>
                <w:kern w:val="0"/>
                <w:sz w:val="24"/>
                <w:highlight w:val="none"/>
              </w:rPr>
              <w:t>_________年____月____日　</w:t>
            </w:r>
          </w:p>
        </w:tc>
      </w:tr>
    </w:tbl>
    <w:p>
      <w:pPr>
        <w:pStyle w:val="32"/>
        <w:ind w:firstLine="1446" w:firstLineChars="200"/>
        <w:jc w:val="center"/>
        <w:rPr>
          <w:rFonts w:hint="eastAsia" w:ascii="仿宋" w:hAnsi="仿宋" w:eastAsia="仿宋" w:cs="仿宋"/>
          <w:b/>
          <w:sz w:val="72"/>
          <w:szCs w:val="72"/>
          <w:highlight w:val="none"/>
        </w:rPr>
      </w:pPr>
    </w:p>
    <w:p>
      <w:pPr>
        <w:pStyle w:val="32"/>
        <w:ind w:firstLine="1446" w:firstLineChars="200"/>
        <w:jc w:val="center"/>
        <w:rPr>
          <w:rFonts w:hint="eastAsia" w:ascii="仿宋" w:hAnsi="仿宋" w:eastAsia="仿宋" w:cs="仿宋"/>
          <w:b/>
          <w:bCs/>
          <w:snapToGrid w:val="0"/>
          <w:sz w:val="44"/>
          <w:szCs w:val="44"/>
          <w:highlight w:val="none"/>
        </w:rPr>
      </w:pPr>
      <w:r>
        <w:rPr>
          <w:rFonts w:hint="eastAsia" w:ascii="仿宋" w:hAnsi="仿宋" w:eastAsia="仿宋" w:cs="仿宋"/>
          <w:b/>
          <w:sz w:val="72"/>
          <w:szCs w:val="72"/>
          <w:highlight w:val="none"/>
        </w:rPr>
        <w:br w:type="page"/>
      </w: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eastAsia="宋体"/>
          <w:highlight w:val="none"/>
          <w:lang w:val="en-US" w:eastAsia="zh-CN"/>
        </w:rPr>
      </w:pPr>
    </w:p>
    <w:p>
      <w:pPr>
        <w:pStyle w:val="2"/>
        <w:rPr>
          <w:rFonts w:hint="eastAsia"/>
          <w:highlight w:val="none"/>
          <w:lang w:val="en-US" w:eastAsia="zh-CN"/>
        </w:rPr>
      </w:pPr>
    </w:p>
    <w:p>
      <w:pPr>
        <w:pStyle w:val="3"/>
        <w:spacing w:before="65" w:beforeLines="20" w:after="65" w:afterLines="20" w:line="360" w:lineRule="auto"/>
        <w:jc w:val="center"/>
        <w:rPr>
          <w:rFonts w:hint="eastAsia" w:ascii="仿宋" w:hAnsi="仿宋" w:eastAsia="仿宋" w:cs="仿宋"/>
          <w:highlight w:val="none"/>
        </w:rPr>
      </w:pPr>
      <w:r>
        <w:rPr>
          <w:rFonts w:hint="eastAsia" w:ascii="仿宋" w:hAnsi="仿宋" w:eastAsia="仿宋" w:cs="仿宋"/>
          <w:highlight w:val="none"/>
        </w:rPr>
        <w:t>第二卷</w:t>
      </w:r>
      <w:bookmarkEnd w:id="27"/>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br w:type="page"/>
      </w:r>
    </w:p>
    <w:p>
      <w:pPr>
        <w:pStyle w:val="3"/>
        <w:spacing w:before="65" w:beforeLines="20" w:after="65" w:afterLines="20" w:line="360" w:lineRule="auto"/>
        <w:jc w:val="center"/>
        <w:rPr>
          <w:rFonts w:hint="eastAsia" w:ascii="仿宋" w:hAnsi="仿宋" w:eastAsia="仿宋" w:cs="仿宋"/>
          <w:highlight w:val="none"/>
        </w:rPr>
      </w:pPr>
      <w:bookmarkStart w:id="29" w:name="_Toc57732044"/>
      <w:r>
        <w:rPr>
          <w:rFonts w:hint="eastAsia" w:ascii="仿宋" w:hAnsi="仿宋" w:eastAsia="仿宋" w:cs="仿宋"/>
          <w:highlight w:val="none"/>
        </w:rPr>
        <w:t>第五章 发包人要求</w:t>
      </w:r>
      <w:bookmarkEnd w:id="29"/>
    </w:p>
    <w:p>
      <w:pPr>
        <w:spacing w:line="360" w:lineRule="auto"/>
        <w:ind w:firstLine="482" w:firstLineChars="200"/>
        <w:jc w:val="center"/>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详见可行性研究报告（另册）</w:t>
      </w:r>
    </w:p>
    <w:p>
      <w:pPr>
        <w:spacing w:line="360" w:lineRule="auto"/>
        <w:ind w:firstLine="420" w:firstLineChars="200"/>
        <w:jc w:val="left"/>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6"/>
        <w:rPr>
          <w:rFonts w:hint="eastAsia" w:ascii="仿宋" w:hAnsi="仿宋" w:eastAsia="仿宋" w:cs="仿宋"/>
          <w:highlight w:val="none"/>
        </w:rPr>
      </w:pPr>
    </w:p>
    <w:p>
      <w:pPr>
        <w:rPr>
          <w:rFonts w:hint="eastAsia" w:ascii="仿宋" w:hAnsi="仿宋" w:eastAsia="仿宋" w:cs="仿宋"/>
          <w:highlight w:val="none"/>
        </w:rPr>
      </w:pPr>
    </w:p>
    <w:p>
      <w:pPr>
        <w:pStyle w:val="6"/>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3"/>
        <w:spacing w:before="65" w:beforeLines="20" w:after="65" w:afterLines="20" w:line="360" w:lineRule="auto"/>
        <w:jc w:val="center"/>
        <w:rPr>
          <w:rFonts w:hint="eastAsia" w:ascii="仿宋" w:hAnsi="仿宋" w:eastAsia="仿宋" w:cs="仿宋"/>
          <w:highlight w:val="none"/>
        </w:rPr>
      </w:pPr>
      <w:bookmarkStart w:id="30" w:name="_Toc57732045"/>
      <w:r>
        <w:rPr>
          <w:rFonts w:hint="eastAsia" w:ascii="仿宋" w:hAnsi="仿宋" w:eastAsia="仿宋" w:cs="仿宋"/>
          <w:highlight w:val="none"/>
        </w:rPr>
        <w:t>第三卷</w:t>
      </w:r>
      <w:bookmarkEnd w:id="30"/>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br w:type="page"/>
      </w:r>
    </w:p>
    <w:p>
      <w:pPr>
        <w:pStyle w:val="3"/>
        <w:spacing w:before="65" w:beforeLines="20" w:after="65" w:afterLines="20" w:line="360" w:lineRule="auto"/>
        <w:jc w:val="center"/>
        <w:rPr>
          <w:rFonts w:hint="eastAsia" w:ascii="仿宋" w:hAnsi="仿宋" w:eastAsia="仿宋" w:cs="仿宋"/>
          <w:highlight w:val="none"/>
        </w:rPr>
      </w:pPr>
      <w:bookmarkStart w:id="31" w:name="_Toc57732046"/>
      <w:r>
        <w:rPr>
          <w:rFonts w:hint="eastAsia" w:ascii="仿宋" w:hAnsi="仿宋" w:eastAsia="仿宋" w:cs="仿宋"/>
          <w:highlight w:val="none"/>
        </w:rPr>
        <w:t>第六章 投标文件格式</w:t>
      </w:r>
      <w:bookmarkEnd w:id="31"/>
    </w:p>
    <w:p>
      <w:pPr>
        <w:rPr>
          <w:rFonts w:hint="eastAsia" w:ascii="仿宋" w:hAnsi="仿宋" w:eastAsia="仿宋" w:cs="仿宋"/>
          <w:highlight w:val="none"/>
        </w:rPr>
      </w:pPr>
    </w:p>
    <w:p>
      <w:pPr>
        <w:rPr>
          <w:rFonts w:hint="eastAsia" w:ascii="仿宋" w:hAnsi="仿宋" w:eastAsia="仿宋" w:cs="仿宋"/>
          <w:highlight w:val="none"/>
        </w:rPr>
      </w:pPr>
    </w:p>
    <w:p>
      <w:pPr>
        <w:pStyle w:val="5"/>
        <w:jc w:val="center"/>
        <w:rPr>
          <w:rFonts w:hint="eastAsia" w:ascii="仿宋" w:hAnsi="仿宋" w:eastAsia="仿宋" w:cs="仿宋"/>
          <w:highlight w:val="none"/>
        </w:rPr>
      </w:pPr>
      <w:r>
        <w:rPr>
          <w:rFonts w:hint="eastAsia" w:ascii="仿宋" w:hAnsi="仿宋" w:eastAsia="仿宋" w:cs="仿宋"/>
          <w:highlight w:val="none"/>
        </w:rPr>
        <w:br w:type="page"/>
      </w:r>
      <w:bookmarkStart w:id="32" w:name="_Toc71854391"/>
      <w:bookmarkStart w:id="33" w:name="_Toc71855308"/>
      <w:bookmarkStart w:id="34" w:name="_Toc71854995"/>
      <w:bookmarkStart w:id="35" w:name="_Toc102907946"/>
      <w:bookmarkStart w:id="36" w:name="_Toc103022835"/>
      <w:bookmarkStart w:id="37" w:name="_Toc71855653"/>
      <w:r>
        <w:rPr>
          <w:rFonts w:hint="eastAsia" w:ascii="仿宋" w:hAnsi="仿宋" w:eastAsia="仿宋" w:cs="仿宋"/>
          <w:highlight w:val="none"/>
        </w:rPr>
        <w:t>投标文件封面格式</w:t>
      </w:r>
      <w:bookmarkEnd w:id="32"/>
      <w:bookmarkEnd w:id="33"/>
      <w:bookmarkEnd w:id="34"/>
      <w:bookmarkEnd w:id="35"/>
      <w:bookmarkEnd w:id="36"/>
      <w:bookmarkEnd w:id="37"/>
    </w:p>
    <w:p>
      <w:pPr>
        <w:pStyle w:val="2"/>
        <w:kinsoku w:val="0"/>
        <w:overflowPunct w:val="0"/>
        <w:rPr>
          <w:rFonts w:hint="eastAsia" w:ascii="仿宋" w:hAnsi="仿宋" w:eastAsia="仿宋" w:cs="仿宋"/>
          <w:sz w:val="20"/>
          <w:szCs w:val="20"/>
          <w:highlight w:val="none"/>
        </w:rPr>
      </w:pPr>
    </w:p>
    <w:p>
      <w:pPr>
        <w:pStyle w:val="2"/>
        <w:kinsoku w:val="0"/>
        <w:overflowPunct w:val="0"/>
        <w:rPr>
          <w:rFonts w:hint="eastAsia" w:ascii="仿宋" w:hAnsi="仿宋" w:eastAsia="仿宋" w:cs="仿宋"/>
          <w:b/>
          <w:bCs/>
          <w:sz w:val="20"/>
          <w:szCs w:val="20"/>
          <w:highlight w:val="none"/>
        </w:rPr>
      </w:pPr>
    </w:p>
    <w:p>
      <w:pPr>
        <w:pStyle w:val="2"/>
        <w:kinsoku w:val="0"/>
        <w:overflowPunct w:val="0"/>
        <w:jc w:val="center"/>
        <w:rPr>
          <w:rFonts w:hint="eastAsia" w:ascii="仿宋" w:hAnsi="仿宋" w:eastAsia="仿宋" w:cs="仿宋"/>
          <w:sz w:val="50"/>
          <w:szCs w:val="50"/>
          <w:highlight w:val="none"/>
        </w:rPr>
      </w:pPr>
      <w:r>
        <w:rPr>
          <w:rFonts w:hint="eastAsia" w:ascii="仿宋" w:hAnsi="仿宋" w:eastAsia="仿宋" w:cs="仿宋"/>
          <w:sz w:val="48"/>
          <w:szCs w:val="48"/>
          <w:highlight w:val="none"/>
          <w:lang w:eastAsia="zh-CN"/>
        </w:rPr>
        <w:t>汕尾红海湾经济开发区东洲街道美丽圩镇建设项目</w:t>
      </w:r>
      <w:r>
        <w:rPr>
          <w:rFonts w:hint="eastAsia" w:ascii="仿宋" w:hAnsi="仿宋" w:eastAsia="仿宋" w:cs="仿宋"/>
          <w:sz w:val="48"/>
          <w:szCs w:val="48"/>
          <w:highlight w:val="none"/>
        </w:rPr>
        <w:t>勘察设计</w:t>
      </w:r>
    </w:p>
    <w:p>
      <w:pPr>
        <w:pStyle w:val="2"/>
        <w:kinsoku w:val="0"/>
        <w:overflowPunct w:val="0"/>
        <w:rPr>
          <w:rFonts w:hint="eastAsia" w:ascii="仿宋" w:hAnsi="仿宋" w:eastAsia="仿宋" w:cs="仿宋"/>
          <w:sz w:val="50"/>
          <w:szCs w:val="50"/>
          <w:highlight w:val="none"/>
        </w:rPr>
      </w:pPr>
    </w:p>
    <w:p>
      <w:pPr>
        <w:pStyle w:val="2"/>
        <w:kinsoku w:val="0"/>
        <w:overflowPunct w:val="0"/>
        <w:spacing w:before="3"/>
        <w:rPr>
          <w:rFonts w:hint="eastAsia" w:ascii="仿宋" w:hAnsi="仿宋" w:eastAsia="仿宋" w:cs="仿宋"/>
          <w:sz w:val="64"/>
          <w:szCs w:val="64"/>
          <w:highlight w:val="none"/>
        </w:rPr>
      </w:pPr>
    </w:p>
    <w:p>
      <w:pPr>
        <w:pStyle w:val="2"/>
        <w:kinsoku w:val="0"/>
        <w:overflowPunct w:val="0"/>
        <w:ind w:right="1"/>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投标文件</w:t>
      </w:r>
    </w:p>
    <w:p>
      <w:pPr>
        <w:pStyle w:val="2"/>
        <w:kinsoku w:val="0"/>
        <w:overflowPunct w:val="0"/>
        <w:jc w:val="center"/>
        <w:rPr>
          <w:rFonts w:hint="eastAsia" w:ascii="仿宋" w:hAnsi="仿宋" w:eastAsia="仿宋" w:cs="仿宋"/>
          <w:sz w:val="48"/>
          <w:szCs w:val="48"/>
          <w:highlight w:val="none"/>
        </w:rPr>
      </w:pPr>
      <w:r>
        <w:rPr>
          <w:rFonts w:hint="eastAsia" w:ascii="仿宋" w:hAnsi="仿宋" w:eastAsia="仿宋" w:cs="仿宋"/>
          <w:sz w:val="44"/>
          <w:szCs w:val="44"/>
          <w:highlight w:val="none"/>
        </w:rPr>
        <w:t>（商务部分）</w:t>
      </w:r>
    </w:p>
    <w:p>
      <w:pPr>
        <w:pStyle w:val="2"/>
        <w:kinsoku w:val="0"/>
        <w:overflowPunct w:val="0"/>
        <w:rPr>
          <w:rFonts w:hint="eastAsia" w:ascii="仿宋" w:hAnsi="仿宋" w:eastAsia="仿宋" w:cs="仿宋"/>
          <w:sz w:val="48"/>
          <w:szCs w:val="48"/>
          <w:highlight w:val="none"/>
        </w:rPr>
      </w:pPr>
    </w:p>
    <w:p>
      <w:pPr>
        <w:pStyle w:val="2"/>
        <w:kinsoku w:val="0"/>
        <w:overflowPunct w:val="0"/>
        <w:rPr>
          <w:rFonts w:hint="eastAsia" w:ascii="仿宋" w:hAnsi="仿宋" w:eastAsia="仿宋" w:cs="仿宋"/>
          <w:sz w:val="48"/>
          <w:szCs w:val="48"/>
          <w:highlight w:val="none"/>
        </w:rPr>
      </w:pPr>
    </w:p>
    <w:p>
      <w:pPr>
        <w:pStyle w:val="2"/>
        <w:kinsoku w:val="0"/>
        <w:overflowPunct w:val="0"/>
        <w:rPr>
          <w:rFonts w:hint="eastAsia" w:ascii="仿宋" w:hAnsi="仿宋" w:eastAsia="仿宋" w:cs="仿宋"/>
          <w:sz w:val="48"/>
          <w:szCs w:val="48"/>
          <w:highlight w:val="none"/>
        </w:rPr>
      </w:pPr>
    </w:p>
    <w:p>
      <w:pPr>
        <w:pStyle w:val="2"/>
        <w:kinsoku w:val="0"/>
        <w:overflowPunct w:val="0"/>
        <w:rPr>
          <w:rFonts w:hint="eastAsia" w:ascii="仿宋" w:hAnsi="仿宋" w:eastAsia="仿宋" w:cs="仿宋"/>
          <w:sz w:val="48"/>
          <w:szCs w:val="48"/>
          <w:highlight w:val="none"/>
        </w:rPr>
      </w:pPr>
    </w:p>
    <w:p>
      <w:pPr>
        <w:pStyle w:val="2"/>
        <w:tabs>
          <w:tab w:val="left" w:pos="6268"/>
        </w:tabs>
        <w:kinsoku w:val="0"/>
        <w:overflowPunct w:val="0"/>
        <w:spacing w:line="381" w:lineRule="auto"/>
        <w:ind w:left="120" w:right="175"/>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投 标</w:t>
      </w:r>
      <w:r>
        <w:rPr>
          <w:rFonts w:hint="eastAsia" w:ascii="仿宋" w:hAnsi="仿宋" w:eastAsia="仿宋" w:cs="仿宋"/>
          <w:spacing w:val="-2"/>
          <w:sz w:val="30"/>
          <w:szCs w:val="30"/>
          <w:highlight w:val="none"/>
        </w:rPr>
        <w:t xml:space="preserve"> </w:t>
      </w:r>
      <w:r>
        <w:rPr>
          <w:rFonts w:hint="eastAsia" w:ascii="仿宋" w:hAnsi="仿宋" w:eastAsia="仿宋" w:cs="仿宋"/>
          <w:sz w:val="30"/>
          <w:szCs w:val="30"/>
          <w:highlight w:val="none"/>
        </w:rPr>
        <w:t>人</w:t>
      </w:r>
      <w:r>
        <w:rPr>
          <w:rFonts w:hint="eastAsia" w:ascii="仿宋" w:hAnsi="仿宋" w:eastAsia="仿宋" w:cs="仿宋"/>
          <w:spacing w:val="-3"/>
          <w:sz w:val="30"/>
          <w:szCs w:val="30"/>
          <w:highlight w:val="none"/>
        </w:rPr>
        <w:t xml:space="preserve"> </w:t>
      </w:r>
      <w:r>
        <w:rPr>
          <w:rFonts w:hint="eastAsia" w:ascii="仿宋" w:hAnsi="仿宋" w:eastAsia="仿宋" w:cs="仿宋"/>
          <w:sz w:val="30"/>
          <w:szCs w:val="30"/>
          <w:highlight w:val="none"/>
        </w:rPr>
        <w:t xml:space="preserve">： </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 xml:space="preserve">（盖单位公章） </w:t>
      </w:r>
    </w:p>
    <w:p>
      <w:pPr>
        <w:pStyle w:val="2"/>
        <w:tabs>
          <w:tab w:val="left" w:pos="6268"/>
        </w:tabs>
        <w:kinsoku w:val="0"/>
        <w:overflowPunct w:val="0"/>
        <w:spacing w:line="381" w:lineRule="auto"/>
        <w:ind w:left="120" w:right="175"/>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法定代表人或其委托代理人</w:t>
      </w:r>
      <w:r>
        <w:rPr>
          <w:rFonts w:hint="eastAsia" w:ascii="仿宋" w:hAnsi="仿宋" w:eastAsia="仿宋" w:cs="仿宋"/>
          <w:spacing w:val="-3"/>
          <w:sz w:val="30"/>
          <w:szCs w:val="30"/>
          <w:highlight w:val="none"/>
        </w:rPr>
        <w:t xml:space="preserve"> </w:t>
      </w:r>
      <w:r>
        <w:rPr>
          <w:rFonts w:hint="eastAsia" w:ascii="仿宋" w:hAnsi="仿宋" w:eastAsia="仿宋" w:cs="仿宋"/>
          <w:sz w:val="30"/>
          <w:szCs w:val="30"/>
          <w:highlight w:val="none"/>
        </w:rPr>
        <w:t xml:space="preserve">： </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（签字或盖章）</w:t>
      </w:r>
    </w:p>
    <w:p>
      <w:pPr>
        <w:pStyle w:val="2"/>
        <w:tabs>
          <w:tab w:val="left" w:pos="3523"/>
          <w:tab w:val="left" w:pos="4571"/>
          <w:tab w:val="left" w:pos="5623"/>
        </w:tabs>
        <w:kinsoku w:val="0"/>
        <w:overflowPunct w:val="0"/>
        <w:spacing w:before="54"/>
        <w:ind w:left="2623"/>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r>
        <w:rPr>
          <w:rFonts w:hint="eastAsia" w:ascii="仿宋" w:hAnsi="仿宋" w:eastAsia="仿宋" w:cs="仿宋"/>
          <w:b/>
          <w:highlight w:val="none"/>
          <w:u w:val="single"/>
        </w:rPr>
        <w:t xml:space="preserve">       </w:t>
      </w:r>
      <w:r>
        <w:rPr>
          <w:rFonts w:hint="eastAsia" w:ascii="仿宋" w:hAnsi="仿宋" w:eastAsia="仿宋" w:cs="仿宋"/>
          <w:spacing w:val="-1"/>
          <w:sz w:val="30"/>
          <w:szCs w:val="30"/>
          <w:highlight w:val="none"/>
        </w:rPr>
        <w:t>年</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日</w:t>
      </w: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pStyle w:val="5"/>
        <w:jc w:val="center"/>
        <w:rPr>
          <w:rFonts w:hint="eastAsia" w:ascii="仿宋" w:hAnsi="仿宋" w:eastAsia="仿宋" w:cs="仿宋"/>
          <w:highlight w:val="none"/>
        </w:rPr>
      </w:pPr>
      <w:bookmarkStart w:id="38" w:name="_Toc71855654"/>
      <w:bookmarkStart w:id="39" w:name="_Toc71854392"/>
      <w:bookmarkStart w:id="40" w:name="_Toc71855309"/>
      <w:bookmarkStart w:id="41" w:name="_Toc71854996"/>
      <w:bookmarkStart w:id="42" w:name="_Toc102907947"/>
      <w:bookmarkStart w:id="43" w:name="_Toc103022836"/>
      <w:r>
        <w:rPr>
          <w:rFonts w:hint="eastAsia" w:ascii="仿宋" w:hAnsi="仿宋" w:eastAsia="仿宋" w:cs="仿宋"/>
          <w:highlight w:val="none"/>
        </w:rPr>
        <w:t>评分索引表</w:t>
      </w:r>
      <w:bookmarkEnd w:id="38"/>
      <w:bookmarkEnd w:id="39"/>
      <w:bookmarkEnd w:id="40"/>
      <w:bookmarkEnd w:id="41"/>
      <w:bookmarkEnd w:id="42"/>
      <w:bookmarkEnd w:id="43"/>
    </w:p>
    <w:p>
      <w:pPr>
        <w:jc w:val="center"/>
        <w:rPr>
          <w:rFonts w:hint="eastAsia" w:ascii="仿宋" w:hAnsi="仿宋" w:eastAsia="仿宋" w:cs="仿宋"/>
          <w:highlight w:val="none"/>
        </w:rPr>
      </w:pPr>
      <w:r>
        <w:rPr>
          <w:rFonts w:hint="eastAsia" w:ascii="仿宋" w:hAnsi="仿宋" w:eastAsia="仿宋" w:cs="仿宋"/>
          <w:highlight w:val="none"/>
        </w:rPr>
        <w:t>（注：</w:t>
      </w:r>
      <w:bookmarkStart w:id="44" w:name="_Hlk106903889"/>
      <w:r>
        <w:rPr>
          <w:rFonts w:hint="eastAsia" w:ascii="仿宋" w:hAnsi="仿宋" w:eastAsia="仿宋" w:cs="仿宋"/>
          <w:highlight w:val="none"/>
        </w:rPr>
        <w:t>以下为参考格式，格式可自拟，</w:t>
      </w:r>
      <w:bookmarkEnd w:id="44"/>
      <w:r>
        <w:rPr>
          <w:rFonts w:hint="eastAsia" w:ascii="仿宋" w:hAnsi="仿宋" w:eastAsia="仿宋" w:cs="仿宋"/>
          <w:highlight w:val="none"/>
        </w:rPr>
        <w:t>投标人参考评标办法前附表自行编制索引）</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6"/>
        <w:gridCol w:w="1914"/>
        <w:gridCol w:w="3291"/>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Align w:val="center"/>
          </w:tcPr>
          <w:p>
            <w:pPr>
              <w:pStyle w:val="50"/>
              <w:kinsoku w:val="0"/>
              <w:overflowPunct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评审</w:t>
            </w:r>
          </w:p>
        </w:tc>
        <w:tc>
          <w:tcPr>
            <w:tcW w:w="1059" w:type="pct"/>
            <w:vAlign w:val="center"/>
          </w:tcPr>
          <w:p>
            <w:pPr>
              <w:pStyle w:val="50"/>
              <w:kinsoku w:val="0"/>
              <w:overflowPunct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评审项目</w:t>
            </w:r>
          </w:p>
        </w:tc>
        <w:tc>
          <w:tcPr>
            <w:tcW w:w="1821" w:type="pct"/>
            <w:vAlign w:val="center"/>
          </w:tcPr>
          <w:p>
            <w:pPr>
              <w:pStyle w:val="50"/>
              <w:kinsoku w:val="0"/>
              <w:overflowPunct w:val="0"/>
              <w:spacing w:line="360" w:lineRule="auto"/>
              <w:jc w:val="center"/>
              <w:rPr>
                <w:rFonts w:hint="eastAsia" w:ascii="仿宋" w:hAnsi="仿宋" w:eastAsia="仿宋" w:cs="仿宋"/>
                <w:spacing w:val="-3"/>
                <w:sz w:val="21"/>
                <w:szCs w:val="21"/>
                <w:highlight w:val="none"/>
              </w:rPr>
            </w:pPr>
            <w:r>
              <w:rPr>
                <w:rFonts w:hint="eastAsia" w:ascii="仿宋" w:hAnsi="仿宋" w:eastAsia="仿宋" w:cs="仿宋"/>
                <w:spacing w:val="-3"/>
                <w:sz w:val="21"/>
                <w:szCs w:val="21"/>
                <w:highlight w:val="none"/>
              </w:rPr>
              <w:t>页码</w:t>
            </w:r>
          </w:p>
        </w:tc>
        <w:tc>
          <w:tcPr>
            <w:tcW w:w="1354" w:type="pct"/>
            <w:vAlign w:val="center"/>
          </w:tcPr>
          <w:p>
            <w:pPr>
              <w:pStyle w:val="50"/>
              <w:kinsoku w:val="0"/>
              <w:overflowPunct w:val="0"/>
              <w:spacing w:line="360" w:lineRule="auto"/>
              <w:jc w:val="center"/>
              <w:rPr>
                <w:rFonts w:hint="eastAsia" w:ascii="仿宋" w:hAnsi="仿宋" w:eastAsia="仿宋" w:cs="仿宋"/>
                <w:spacing w:val="-3"/>
                <w:sz w:val="21"/>
                <w:szCs w:val="21"/>
                <w:highlight w:val="none"/>
              </w:rPr>
            </w:pPr>
            <w:r>
              <w:rPr>
                <w:rFonts w:hint="eastAsia" w:ascii="仿宋" w:hAnsi="仿宋" w:eastAsia="仿宋" w:cs="仿宋"/>
                <w:spacing w:val="-3"/>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67" w:type="pct"/>
            <w:vMerge w:val="restart"/>
            <w:vAlign w:val="center"/>
          </w:tcPr>
          <w:p>
            <w:pPr>
              <w:pStyle w:val="50"/>
              <w:kinsoku w:val="0"/>
              <w:overflowPunct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商务标</w:t>
            </w:r>
          </w:p>
        </w:tc>
        <w:tc>
          <w:tcPr>
            <w:tcW w:w="1059"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pacing w:val="-3"/>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767" w:type="pct"/>
            <w:vMerge w:val="continue"/>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059"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highlight w:val="none"/>
              </w:rPr>
              <w:t>技术标</w:t>
            </w: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67" w:type="pct"/>
            <w:vMerge w:val="continue"/>
            <w:vAlign w:val="center"/>
          </w:tcPr>
          <w:p>
            <w:pPr>
              <w:spacing w:line="360" w:lineRule="auto"/>
              <w:jc w:val="center"/>
              <w:rPr>
                <w:rFonts w:hint="eastAsia" w:ascii="仿宋" w:hAnsi="仿宋" w:eastAsia="仿宋" w:cs="仿宋"/>
                <w:szCs w:val="21"/>
                <w:highlight w:val="none"/>
              </w:rPr>
            </w:pPr>
          </w:p>
        </w:tc>
        <w:tc>
          <w:tcPr>
            <w:tcW w:w="1059" w:type="pct"/>
            <w:vAlign w:val="center"/>
          </w:tcPr>
          <w:p>
            <w:pPr>
              <w:spacing w:line="360" w:lineRule="auto"/>
              <w:jc w:val="center"/>
              <w:rPr>
                <w:rFonts w:hint="eastAsia" w:ascii="仿宋" w:hAnsi="仿宋" w:eastAsia="仿宋" w:cs="仿宋"/>
                <w:szCs w:val="21"/>
                <w:highlight w:val="none"/>
              </w:rPr>
            </w:pPr>
          </w:p>
        </w:tc>
        <w:tc>
          <w:tcPr>
            <w:tcW w:w="1821"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c>
          <w:tcPr>
            <w:tcW w:w="1354" w:type="pct"/>
            <w:vAlign w:val="center"/>
          </w:tcPr>
          <w:p>
            <w:pPr>
              <w:pStyle w:val="50"/>
              <w:kinsoku w:val="0"/>
              <w:overflowPunct w:val="0"/>
              <w:spacing w:line="360" w:lineRule="auto"/>
              <w:jc w:val="center"/>
              <w:rPr>
                <w:rFonts w:hint="eastAsia" w:ascii="仿宋" w:hAnsi="仿宋" w:eastAsia="仿宋" w:cs="仿宋"/>
                <w:sz w:val="21"/>
                <w:szCs w:val="21"/>
                <w:highlight w:val="none"/>
              </w:rPr>
            </w:pPr>
          </w:p>
        </w:tc>
      </w:tr>
    </w:tbl>
    <w:p>
      <w:pPr>
        <w:widowControl/>
        <w:jc w:val="left"/>
        <w:rPr>
          <w:rFonts w:hint="eastAsia" w:ascii="仿宋" w:hAnsi="仿宋" w:eastAsia="仿宋" w:cs="仿宋"/>
          <w:b/>
          <w:bCs/>
          <w:sz w:val="32"/>
          <w:szCs w:val="32"/>
          <w:highlight w:val="none"/>
        </w:rPr>
      </w:pPr>
    </w:p>
    <w:p>
      <w:pPr>
        <w:widowControl/>
        <w:jc w:val="left"/>
        <w:rPr>
          <w:rFonts w:hint="eastAsia" w:ascii="仿宋" w:hAnsi="仿宋" w:eastAsia="仿宋" w:cs="仿宋"/>
          <w:highlight w:val="none"/>
        </w:rPr>
      </w:pPr>
    </w:p>
    <w:p>
      <w:pPr>
        <w:widowControl/>
        <w:jc w:val="left"/>
        <w:rPr>
          <w:rFonts w:hint="eastAsia" w:ascii="仿宋" w:hAnsi="仿宋" w:eastAsia="仿宋" w:cs="仿宋"/>
          <w:b/>
          <w:bCs/>
          <w:sz w:val="32"/>
          <w:szCs w:val="32"/>
          <w:highlight w:val="none"/>
        </w:rPr>
      </w:pPr>
      <w:r>
        <w:rPr>
          <w:rFonts w:hint="eastAsia" w:ascii="仿宋" w:hAnsi="仿宋" w:eastAsia="仿宋" w:cs="仿宋"/>
          <w:highlight w:val="none"/>
        </w:rPr>
        <w:br w:type="page"/>
      </w:r>
    </w:p>
    <w:p>
      <w:pPr>
        <w:pStyle w:val="4"/>
        <w:jc w:val="center"/>
        <w:rPr>
          <w:rFonts w:hint="eastAsia" w:ascii="仿宋" w:hAnsi="仿宋" w:eastAsia="仿宋" w:cs="仿宋"/>
          <w:highlight w:val="none"/>
        </w:rPr>
      </w:pPr>
      <w:r>
        <w:rPr>
          <w:rFonts w:hint="eastAsia" w:ascii="仿宋" w:hAnsi="仿宋" w:eastAsia="仿宋" w:cs="仿宋"/>
          <w:highlight w:val="none"/>
        </w:rPr>
        <w:t>一、投标函及投标函附录</w:t>
      </w:r>
    </w:p>
    <w:p>
      <w:pPr>
        <w:pStyle w:val="5"/>
        <w:spacing w:before="65" w:beforeLines="20" w:after="65" w:afterLines="20" w:line="360" w:lineRule="auto"/>
        <w:rPr>
          <w:rFonts w:hint="eastAsia" w:ascii="仿宋" w:hAnsi="仿宋" w:eastAsia="仿宋" w:cs="仿宋"/>
          <w:highlight w:val="none"/>
        </w:rPr>
      </w:pPr>
      <w:r>
        <w:rPr>
          <w:rFonts w:hint="eastAsia" w:ascii="仿宋" w:hAnsi="仿宋" w:eastAsia="仿宋" w:cs="仿宋"/>
          <w:highlight w:val="none"/>
        </w:rPr>
        <w:t>（一）投标函</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（招标人名称）:</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rPr>
        <w:tab/>
      </w:r>
      <w:r>
        <w:rPr>
          <w:rFonts w:hint="eastAsia" w:ascii="仿宋" w:hAnsi="仿宋" w:eastAsia="仿宋" w:cs="仿宋"/>
          <w:sz w:val="24"/>
          <w:highlight w:val="none"/>
        </w:rPr>
        <w:t>我方已仔细研究了</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（项目名称）招标项目招标文件的全部内容。据此，我方愿按这些文件的规定，按照本投标函，包括一并提交的所有文件材料和所附建议书，承担上述项目并修补其中任何缺陷。我方愿以人民币（大写）：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w:t>
      </w:r>
      <w:r>
        <w:rPr>
          <w:rFonts w:hint="eastAsia" w:ascii="仿宋" w:hAnsi="仿宋" w:eastAsia="仿宋" w:cs="仿宋"/>
          <w:sz w:val="24"/>
          <w:highlight w:val="none"/>
        </w:rPr>
        <w:t>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投标报价（取至小数点后两位），投标综合下浮率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%，承包本次招标所包含的工作，并承担质量缺陷责任。</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2.如我司成为本项目中标候选人，我司同意并授权招标人将我司投标文件商务部分进行公开。</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3.我方及联合体各成员完全响应招标文件有关招标范围、投标有效期、工期、质量标准等实质性内容。</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我方遵守本投标函直至投标有效期满，在该日期前，本投标函对我方一直具有约束力，随时可接受中标。我方承认所附投标文件资料为本投标函的一部分。如果我方投标函含有不符合招标文件规定的内容，我方同意按招标文件规定予以修正。我方接受你方关于任命争端裁决委员会的建议。</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5.我方认同招标文件规定的评审规则，遵守评标委员会的裁决结果，并且不会采取妨碍项目进展的行为。</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6.如果我方中标，我方将提供规定的履约担保，将在合同规定的日期开工，并在竣工时间内，按照上述文件完成项目。</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7.除非制订正式合同协议书并生效，本投标函以及你方中标通知书，应构成你我双方间具有约束力的合同。</w:t>
      </w:r>
    </w:p>
    <w:p>
      <w:pPr>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8.</w:t>
      </w:r>
      <w:r>
        <w:rPr>
          <w:rFonts w:hint="eastAsia" w:ascii="仿宋" w:hAnsi="仿宋" w:eastAsia="仿宋" w:cs="仿宋"/>
          <w:sz w:val="24"/>
          <w:highlight w:val="none"/>
          <w:u w:val="single"/>
        </w:rPr>
        <w:t>我方在此声明，所递交的投标文件及有关资料内容完整、真实和准确，且不存在第二章“投标人须知”第1.4.3项规定的任何一种情形。</w:t>
      </w:r>
    </w:p>
    <w:p>
      <w:pPr>
        <w:snapToGrid w:val="0"/>
        <w:spacing w:line="360" w:lineRule="exact"/>
        <w:ind w:firstLine="420" w:firstLineChars="200"/>
        <w:rPr>
          <w:rFonts w:hint="eastAsia" w:ascii="仿宋" w:hAnsi="仿宋" w:eastAsia="仿宋" w:cs="仿宋"/>
          <w:highlight w:val="none"/>
        </w:rPr>
      </w:pPr>
    </w:p>
    <w:p>
      <w:pPr>
        <w:pStyle w:val="2"/>
        <w:tabs>
          <w:tab w:val="left" w:pos="4039"/>
          <w:tab w:val="left" w:pos="4519"/>
          <w:tab w:val="left" w:pos="4999"/>
          <w:tab w:val="left" w:pos="7159"/>
          <w:tab w:val="left" w:pos="7778"/>
        </w:tabs>
        <w:kinsoku w:val="0"/>
        <w:overflowPunct w:val="0"/>
        <w:spacing w:line="357" w:lineRule="auto"/>
        <w:ind w:left="2959" w:right="105"/>
        <w:jc w:val="right"/>
        <w:rPr>
          <w:rFonts w:hint="eastAsia" w:ascii="仿宋" w:hAnsi="仿宋" w:eastAsia="仿宋" w:cs="仿宋"/>
          <w:sz w:val="24"/>
          <w:highlight w:val="none"/>
        </w:rPr>
      </w:pPr>
      <w:r>
        <w:rPr>
          <w:rFonts w:hint="eastAsia" w:ascii="仿宋" w:hAnsi="仿宋" w:eastAsia="仿宋" w:cs="仿宋"/>
          <w:sz w:val="24"/>
          <w:highlight w:val="none"/>
        </w:rPr>
        <w:t>投</w:t>
      </w:r>
      <w:r>
        <w:rPr>
          <w:rFonts w:hint="eastAsia" w:ascii="仿宋" w:hAnsi="仿宋" w:eastAsia="仿宋" w:cs="仿宋"/>
          <w:spacing w:val="-1"/>
          <w:sz w:val="24"/>
          <w:highlight w:val="none"/>
        </w:rPr>
        <w:t xml:space="preserve"> </w:t>
      </w:r>
      <w:r>
        <w:rPr>
          <w:rFonts w:hint="eastAsia" w:ascii="仿宋" w:hAnsi="仿宋" w:eastAsia="仿宋" w:cs="仿宋"/>
          <w:sz w:val="24"/>
          <w:highlight w:val="none"/>
        </w:rPr>
        <w:t>标</w:t>
      </w:r>
      <w:r>
        <w:rPr>
          <w:rFonts w:hint="eastAsia" w:ascii="仿宋" w:hAnsi="仿宋" w:eastAsia="仿宋" w:cs="仿宋"/>
          <w:spacing w:val="-1"/>
          <w:sz w:val="24"/>
          <w:highlight w:val="none"/>
        </w:rPr>
        <w:t xml:space="preserve"> </w:t>
      </w:r>
      <w:r>
        <w:rPr>
          <w:rFonts w:hint="eastAsia" w:ascii="仿宋" w:hAnsi="仿宋" w:eastAsia="仿宋" w:cs="仿宋"/>
          <w:sz w:val="24"/>
          <w:highlight w:val="none"/>
        </w:rPr>
        <w:t>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（盖章） </w:t>
      </w:r>
    </w:p>
    <w:p>
      <w:pPr>
        <w:pStyle w:val="2"/>
        <w:tabs>
          <w:tab w:val="left" w:pos="4039"/>
          <w:tab w:val="left" w:pos="4519"/>
          <w:tab w:val="left" w:pos="4999"/>
          <w:tab w:val="left" w:pos="7159"/>
          <w:tab w:val="left" w:pos="7778"/>
        </w:tabs>
        <w:kinsoku w:val="0"/>
        <w:overflowPunct w:val="0"/>
        <w:spacing w:line="357" w:lineRule="auto"/>
        <w:ind w:right="105"/>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（签字或盖章） </w:t>
      </w:r>
    </w:p>
    <w:p>
      <w:pPr>
        <w:pStyle w:val="2"/>
        <w:tabs>
          <w:tab w:val="left" w:pos="4039"/>
          <w:tab w:val="left" w:pos="4519"/>
          <w:tab w:val="left" w:pos="4999"/>
          <w:tab w:val="left" w:pos="7159"/>
          <w:tab w:val="left" w:pos="7778"/>
        </w:tabs>
        <w:kinsoku w:val="0"/>
        <w:overflowPunct w:val="0"/>
        <w:spacing w:line="357" w:lineRule="auto"/>
        <w:ind w:right="105"/>
        <w:jc w:val="right"/>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5"/>
        <w:spacing w:before="65" w:beforeLines="20" w:after="65" w:afterLines="20" w:line="360" w:lineRule="auto"/>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（二）投标函附录</w:t>
      </w:r>
    </w:p>
    <w:p>
      <w:pPr>
        <w:spacing w:line="360" w:lineRule="auto"/>
        <w:ind w:firstLine="420" w:firstLineChars="200"/>
        <w:rPr>
          <w:rFonts w:hint="eastAsia" w:ascii="仿宋" w:hAnsi="仿宋" w:eastAsia="仿宋" w:cs="仿宋"/>
          <w:highlight w:val="none"/>
        </w:rPr>
      </w:pPr>
    </w:p>
    <w:tbl>
      <w:tblPr>
        <w:tblStyle w:val="37"/>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360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条款名称</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内容</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项目负责人（兼设计负责人）</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姓名：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技术职称：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或注册证号：         </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勘察负责人</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姓名：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技术职称：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或注册证号：         </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服务期限</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合同价款确定方式</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质量标准</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tc>
      </w:tr>
    </w:tbl>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exact"/>
        <w:ind w:firstLine="2880" w:firstLineChars="1200"/>
        <w:rPr>
          <w:rFonts w:hint="eastAsia" w:ascii="仿宋" w:hAnsi="仿宋" w:eastAsia="仿宋" w:cs="仿宋"/>
          <w:sz w:val="24"/>
          <w:szCs w:val="24"/>
          <w:highlight w:val="none"/>
        </w:rPr>
      </w:pPr>
      <w:r>
        <w:rPr>
          <w:rFonts w:hint="eastAsia" w:ascii="仿宋" w:hAnsi="仿宋" w:eastAsia="仿宋" w:cs="仿宋"/>
          <w:sz w:val="24"/>
          <w:szCs w:val="24"/>
          <w:highlight w:val="none"/>
        </w:rPr>
        <w:t>投 标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spacing w:line="360" w:lineRule="exact"/>
        <w:ind w:firstLine="2640" w:firstLineChars="11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spacing w:line="360" w:lineRule="exact"/>
        <w:ind w:firstLine="5640" w:firstLineChars="235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widowControl/>
        <w:jc w:val="left"/>
        <w:rPr>
          <w:rFonts w:hint="eastAsia" w:ascii="仿宋" w:hAnsi="仿宋" w:eastAsia="仿宋" w:cs="仿宋"/>
          <w:kern w:val="0"/>
          <w:sz w:val="32"/>
          <w:szCs w:val="20"/>
          <w:highlight w:val="none"/>
        </w:rPr>
      </w:pPr>
      <w:bookmarkStart w:id="45" w:name="_Hlk70524713"/>
      <w:r>
        <w:rPr>
          <w:rFonts w:hint="eastAsia" w:ascii="仿宋" w:hAnsi="仿宋" w:eastAsia="仿宋" w:cs="仿宋"/>
          <w:highlight w:val="none"/>
        </w:rPr>
        <w:br w:type="page"/>
      </w:r>
    </w:p>
    <w:p>
      <w:pPr>
        <w:pStyle w:val="64"/>
        <w:spacing w:line="440" w:lineRule="exact"/>
        <w:ind w:left="418" w:leftChars="199" w:firstLine="0"/>
        <w:jc w:val="left"/>
        <w:rPr>
          <w:rFonts w:hint="eastAsia" w:ascii="仿宋" w:hAnsi="仿宋" w:eastAsia="仿宋" w:cs="仿宋"/>
          <w:color w:val="auto"/>
          <w:sz w:val="21"/>
          <w:szCs w:val="21"/>
          <w:highlight w:val="none"/>
        </w:rPr>
      </w:pPr>
      <w:r>
        <w:rPr>
          <w:rFonts w:hint="eastAsia" w:ascii="仿宋" w:hAnsi="仿宋" w:eastAsia="仿宋" w:cs="仿宋"/>
          <w:color w:val="auto"/>
          <w:highlight w:val="none"/>
        </w:rPr>
        <w:t>附件一：</w:t>
      </w:r>
    </w:p>
    <w:p>
      <w:pPr>
        <w:pStyle w:val="64"/>
        <w:spacing w:line="440" w:lineRule="exact"/>
        <w:ind w:left="418" w:leftChars="199" w:firstLine="0"/>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8"/>
          <w:szCs w:val="28"/>
          <w:highlight w:val="none"/>
        </w:rPr>
        <w:t>投标申请人声明</w:t>
      </w:r>
    </w:p>
    <w:p>
      <w:pPr>
        <w:pStyle w:val="64"/>
        <w:spacing w:line="440" w:lineRule="exact"/>
        <w:ind w:left="418" w:leftChars="199"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本招标项目招标人及招标监管机构：</w:t>
      </w:r>
    </w:p>
    <w:p>
      <w:pPr>
        <w:pStyle w:val="64"/>
        <w:spacing w:line="440" w:lineRule="exact"/>
        <w:ind w:left="418" w:leftChars="199"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本公司就参加</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投标工作，作出郑重声明：</w:t>
      </w:r>
    </w:p>
    <w:p>
      <w:pPr>
        <w:pStyle w:val="64"/>
        <w:spacing w:line="440" w:lineRule="exact"/>
        <w:ind w:left="418" w:leftChars="199" w:firstLine="458" w:firstLineChars="1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pPr>
        <w:pStyle w:val="64"/>
        <w:spacing w:line="440" w:lineRule="exact"/>
        <w:ind w:left="418" w:leftChars="199" w:firstLine="458" w:firstLineChars="1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公司承诺遵循公平公正、公开、诚实信用原则，如实投标，真实反映企业实力，公平竞争，不弄虚作假，不以低于企业成本价竞标而降低监理服务质量，不与任何建设单位订立违背企业成本取费标准及相关规定的“阴阳合同”进行恶性竞争，扰乱市场秩序，不与其他单位串通投标或以行贿手段谋取中标，不出借资质、转包或违法分包监理业务。</w:t>
      </w:r>
    </w:p>
    <w:p>
      <w:pPr>
        <w:pStyle w:val="64"/>
        <w:spacing w:line="440" w:lineRule="exact"/>
        <w:ind w:left="418" w:leftChars="199" w:firstLine="458" w:firstLineChars="1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三、本公司不存在招标文件第三章评标办法（综合评估法）3.1.2所规定的任何一种情形。</w:t>
      </w:r>
    </w:p>
    <w:p>
      <w:pPr>
        <w:pStyle w:val="64"/>
        <w:spacing w:line="440" w:lineRule="exact"/>
        <w:ind w:left="418" w:leftChars="199" w:firstLine="458" w:firstLineChars="1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四、本公司及其有隶属关系的机构，没有参加本项目招标文件的编写工作；本公司与本次招标的招标代理机构没有隶属关系或其他利害关系。</w:t>
      </w:r>
    </w:p>
    <w:p>
      <w:pPr>
        <w:pStyle w:val="64"/>
        <w:spacing w:line="440" w:lineRule="exact"/>
        <w:ind w:left="418" w:leftChars="199" w:firstLine="458" w:firstLineChars="1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五、本公司非招标人存在利害关系可能影响招标公正性的法人，且不存在单位负责人为同一人或者存在控股、管理关系的不同单位，不得参加同一标段投标或者未划分标段的同一招标项目投标。</w:t>
      </w:r>
    </w:p>
    <w:p>
      <w:pPr>
        <w:pStyle w:val="64"/>
        <w:spacing w:line="440" w:lineRule="exact"/>
        <w:ind w:left="418" w:leftChars="199" w:firstLine="458" w:firstLineChars="1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六、本公司承诺，中标后严格执行安全生产相关管理规定。</w:t>
      </w:r>
    </w:p>
    <w:p>
      <w:pPr>
        <w:pStyle w:val="64"/>
        <w:spacing w:line="440" w:lineRule="exact"/>
        <w:ind w:left="418" w:leftChars="19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违反上述承诺，或本声明陈述与事实不符，经查实，本公司愿意接受公开通报，愿意按照《建筑市场信用管理办法》的规定被记录为失信信息，承担由此带来的一切后果，并自愿停止参加汕尾市行政辖区内的招标投标活动三个月。</w:t>
      </w:r>
    </w:p>
    <w:p>
      <w:pPr>
        <w:pStyle w:val="64"/>
        <w:spacing w:line="440" w:lineRule="exact"/>
        <w:ind w:left="418" w:leftChars="19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pStyle w:val="64"/>
        <w:spacing w:line="440" w:lineRule="exact"/>
        <w:ind w:left="418" w:leftChars="199" w:firstLine="0"/>
        <w:jc w:val="center"/>
        <w:rPr>
          <w:rFonts w:hint="eastAsia" w:ascii="仿宋" w:hAnsi="仿宋" w:eastAsia="仿宋" w:cs="仿宋"/>
          <w:color w:val="auto"/>
          <w:sz w:val="21"/>
          <w:szCs w:val="21"/>
          <w:highlight w:val="none"/>
        </w:rPr>
      </w:pPr>
    </w:p>
    <w:bookmarkEnd w:id="45"/>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 标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keepNext w:val="0"/>
        <w:keepLines w:val="0"/>
        <w:pageBreakBefore w:val="0"/>
        <w:widowControl w:val="0"/>
        <w:kinsoku/>
        <w:wordWrap/>
        <w:overflowPunct/>
        <w:topLinePunct w:val="0"/>
        <w:autoSpaceDE/>
        <w:autoSpaceDN/>
        <w:bidi w:val="0"/>
        <w:adjustRightInd/>
        <w:snapToGrid/>
        <w:spacing w:line="360" w:lineRule="auto"/>
        <w:ind w:firstLine="5640" w:firstLineChars="23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rPr>
          <w:rFonts w:hint="eastAsia" w:ascii="仿宋" w:hAnsi="仿宋" w:eastAsia="仿宋" w:cs="仿宋"/>
          <w:highlight w:val="none"/>
        </w:rPr>
      </w:pPr>
    </w:p>
    <w:p>
      <w:pPr>
        <w:pStyle w:val="4"/>
        <w:jc w:val="center"/>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二、法定代表人身份证明</w:t>
      </w: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（投标人名称）的法定代表人。</w:t>
      </w:r>
    </w:p>
    <w:p>
      <w:pPr>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附：法定代表人身份证扫描件。</w:t>
      </w: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注：本身份证明需由投标人加盖单位公章。</w:t>
      </w: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p>
    <w:p>
      <w:pPr>
        <w:spacing w:line="36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rPr>
        <w:t>投 标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spacing w:line="360" w:lineRule="exact"/>
        <w:ind w:firstLine="4920" w:firstLineChars="2050"/>
        <w:rPr>
          <w:rFonts w:hint="eastAsia" w:ascii="仿宋" w:hAnsi="仿宋" w:eastAsia="仿宋" w:cs="仿宋"/>
          <w:sz w:val="24"/>
          <w:szCs w:val="24"/>
          <w:highlight w:val="none"/>
        </w:rPr>
      </w:pPr>
    </w:p>
    <w:p>
      <w:pPr>
        <w:spacing w:line="360" w:lineRule="exact"/>
        <w:ind w:firstLine="4920" w:firstLineChars="205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22"/>
        <w:rPr>
          <w:rFonts w:hint="eastAsia" w:ascii="仿宋" w:hAnsi="仿宋" w:eastAsia="仿宋" w:cs="仿宋"/>
          <w:highlight w:val="none"/>
        </w:rPr>
      </w:pPr>
    </w:p>
    <w:p>
      <w:pPr>
        <w:pStyle w:val="22"/>
        <w:rPr>
          <w:rFonts w:hint="eastAsia" w:ascii="仿宋" w:hAnsi="仿宋" w:eastAsia="仿宋" w:cs="仿宋"/>
          <w:highlight w:val="none"/>
        </w:rPr>
      </w:pPr>
    </w:p>
    <w:p>
      <w:pPr>
        <w:pStyle w:val="22"/>
        <w:rPr>
          <w:rFonts w:hint="eastAsia" w:ascii="仿宋" w:hAnsi="仿宋" w:eastAsia="仿宋" w:cs="仿宋"/>
          <w:highlight w:val="none"/>
        </w:rPr>
      </w:pPr>
    </w:p>
    <w:p>
      <w:pPr>
        <w:pStyle w:val="22"/>
        <w:rPr>
          <w:rFonts w:hint="eastAsia" w:ascii="仿宋" w:hAnsi="仿宋" w:eastAsia="仿宋" w:cs="仿宋"/>
          <w:highlight w:val="none"/>
        </w:rPr>
      </w:pPr>
    </w:p>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注：投标人为联合体的，</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val="en-US" w:eastAsia="zh-CN"/>
        </w:rPr>
        <w:t>牵头人</w:t>
      </w:r>
      <w:r>
        <w:rPr>
          <w:rFonts w:hint="eastAsia" w:ascii="仿宋" w:hAnsi="仿宋" w:eastAsia="仿宋" w:cs="仿宋"/>
          <w:color w:val="auto"/>
          <w:sz w:val="24"/>
          <w:szCs w:val="24"/>
          <w:highlight w:val="none"/>
        </w:rPr>
        <w:t>提交。</w:t>
      </w:r>
    </w:p>
    <w:p>
      <w:pPr>
        <w:pStyle w:val="22"/>
        <w:rPr>
          <w:rFonts w:hint="eastAsia" w:ascii="仿宋" w:hAnsi="仿宋" w:eastAsia="仿宋" w:cs="仿宋"/>
          <w:highlight w:val="none"/>
        </w:rPr>
      </w:pPr>
    </w:p>
    <w:p>
      <w:pPr>
        <w:pStyle w:val="4"/>
        <w:jc w:val="center"/>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三、授权委托书</w:t>
      </w:r>
    </w:p>
    <w:p>
      <w:pPr>
        <w:spacing w:line="360" w:lineRule="auto"/>
        <w:ind w:firstLine="420" w:firstLineChars="200"/>
        <w:rPr>
          <w:rFonts w:hint="eastAsia" w:ascii="仿宋" w:hAnsi="仿宋" w:eastAsia="仿宋" w:cs="仿宋"/>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（投标人名称）的法定代表人，现委托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（姓名）为我方代理人。代理人根据授权，以我方名义签署、澄清确认、递交、撤回、修改招标项目投标文件、签订合同和处理有关事宜，其法律后果由我方承担。</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委托期限：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附：法定代表人身份证扫描件及委托代理人身份证扫描件</w:t>
      </w:r>
    </w:p>
    <w:p>
      <w:pPr>
        <w:spacing w:line="360" w:lineRule="auto"/>
        <w:ind w:firstLine="480" w:firstLineChars="200"/>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注：本授权委托书需由投标人加盖单位公章并由其法定代表人和委托代理人签字或盖章。</w:t>
      </w: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p>
    <w:p>
      <w:pPr>
        <w:spacing w:line="360" w:lineRule="auto"/>
        <w:ind w:firstLine="2640" w:firstLineChars="1100"/>
        <w:rPr>
          <w:rFonts w:hint="eastAsia" w:ascii="仿宋" w:hAnsi="仿宋" w:eastAsia="仿宋" w:cs="仿宋"/>
          <w:sz w:val="24"/>
          <w:szCs w:val="24"/>
          <w:highlight w:val="none"/>
        </w:rPr>
      </w:pPr>
      <w:r>
        <w:rPr>
          <w:rFonts w:hint="eastAsia" w:ascii="仿宋" w:hAnsi="仿宋" w:eastAsia="仿宋" w:cs="仿宋"/>
          <w:sz w:val="24"/>
          <w:szCs w:val="24"/>
          <w:highlight w:val="none"/>
        </w:rPr>
        <w:t>投  标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spacing w:line="360" w:lineRule="auto"/>
        <w:ind w:firstLine="480" w:firstLineChars="200"/>
        <w:rPr>
          <w:rFonts w:hint="eastAsia" w:ascii="仿宋" w:hAnsi="仿宋" w:eastAsia="仿宋" w:cs="仿宋"/>
          <w:sz w:val="24"/>
          <w:szCs w:val="24"/>
          <w:highlight w:val="none"/>
        </w:rPr>
      </w:pPr>
    </w:p>
    <w:p>
      <w:pPr>
        <w:spacing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rPr>
      </w:pPr>
    </w:p>
    <w:p>
      <w:pPr>
        <w:spacing w:line="360" w:lineRule="auto"/>
        <w:ind w:firstLine="6480" w:firstLineChars="27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440" w:lineRule="exact"/>
        <w:jc w:val="left"/>
        <w:rPr>
          <w:rFonts w:hint="eastAsia" w:ascii="仿宋" w:hAnsi="仿宋" w:eastAsia="仿宋" w:cs="仿宋"/>
          <w:color w:val="auto"/>
          <w:sz w:val="24"/>
          <w:szCs w:val="24"/>
          <w:highlight w:val="none"/>
        </w:rPr>
      </w:pPr>
    </w:p>
    <w:p>
      <w:pPr>
        <w:spacing w:line="44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注：投标人为联合体的，</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val="en-US" w:eastAsia="zh-CN"/>
        </w:rPr>
        <w:t>牵头人</w:t>
      </w:r>
      <w:r>
        <w:rPr>
          <w:rFonts w:hint="eastAsia" w:ascii="仿宋" w:hAnsi="仿宋" w:eastAsia="仿宋" w:cs="仿宋"/>
          <w:color w:val="auto"/>
          <w:sz w:val="24"/>
          <w:szCs w:val="24"/>
          <w:highlight w:val="none"/>
        </w:rPr>
        <w:t>提交。</w:t>
      </w:r>
    </w:p>
    <w:p>
      <w:pPr>
        <w:pStyle w:val="4"/>
        <w:spacing w:line="525" w:lineRule="exact"/>
        <w:ind w:right="461"/>
        <w:jc w:val="center"/>
        <w:rPr>
          <w:rFonts w:hint="eastAsia" w:ascii="仿宋" w:hAnsi="仿宋" w:eastAsia="仿宋" w:cs="仿宋"/>
          <w:kern w:val="0"/>
          <w:highlight w:val="none"/>
        </w:rPr>
      </w:pPr>
      <w:r>
        <w:rPr>
          <w:rFonts w:hint="eastAsia" w:ascii="仿宋" w:hAnsi="仿宋" w:eastAsia="仿宋" w:cs="仿宋"/>
          <w:highlight w:val="none"/>
        </w:rPr>
        <w:br w:type="page"/>
      </w:r>
      <w:r>
        <w:rPr>
          <w:rFonts w:hint="eastAsia" w:ascii="仿宋" w:hAnsi="仿宋" w:eastAsia="仿宋" w:cs="仿宋"/>
          <w:highlight w:val="none"/>
          <w:lang w:val="en-US" w:eastAsia="zh-CN"/>
        </w:rPr>
        <w:t>四</w:t>
      </w:r>
      <w:r>
        <w:rPr>
          <w:rFonts w:hint="eastAsia" w:ascii="仿宋" w:hAnsi="仿宋" w:eastAsia="仿宋" w:cs="仿宋"/>
          <w:highlight w:val="none"/>
        </w:rPr>
        <w:t>、联合体协议书</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（所有成员单位名称）自愿组成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（联合体名称）联合体，共同参加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投标。现就联合体投标事宜订立如下协议。</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（某成员单位名称）为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（联合体名称）牵头人。</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3、联合体将严格按照招标文件的各项要求，递交投标文件，履行合同，并对外承担连带责任。</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4、联合体各成员单位内部的职责分工如下：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5、本协议书自签署之日起生效，合同履行完毕后自动失效。 </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6、本协议书一式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份，联合体成员和招标人各执一份。</w:t>
      </w:r>
    </w:p>
    <w:p>
      <w:pPr>
        <w:topLinePunct/>
        <w:spacing w:line="360" w:lineRule="auto"/>
        <w:ind w:firstLine="480" w:firstLineChars="200"/>
        <w:rPr>
          <w:rFonts w:hint="eastAsia" w:ascii="仿宋" w:hAnsi="仿宋" w:eastAsia="仿宋" w:cs="仿宋"/>
          <w:sz w:val="24"/>
          <w:szCs w:val="24"/>
          <w:highlight w:val="none"/>
        </w:rPr>
      </w:pP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注：本协议书由委托代理人签字的，应附法定代表人签字的授权委托书。</w:t>
      </w:r>
    </w:p>
    <w:p>
      <w:pPr>
        <w:topLinePunct/>
        <w:spacing w:line="360" w:lineRule="auto"/>
        <w:ind w:firstLine="480" w:firstLineChars="200"/>
        <w:rPr>
          <w:rFonts w:hint="eastAsia" w:ascii="仿宋" w:hAnsi="仿宋" w:eastAsia="仿宋" w:cs="仿宋"/>
          <w:sz w:val="24"/>
          <w:szCs w:val="24"/>
          <w:highlight w:val="none"/>
        </w:rPr>
      </w:pP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牵头人名称：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pPr>
        <w:topLinePunct/>
        <w:spacing w:line="360" w:lineRule="auto"/>
        <w:ind w:firstLine="480" w:firstLineChars="200"/>
        <w:rPr>
          <w:rFonts w:hint="eastAsia" w:ascii="仿宋" w:hAnsi="仿宋" w:eastAsia="仿宋" w:cs="仿宋"/>
          <w:sz w:val="24"/>
          <w:szCs w:val="24"/>
          <w:highlight w:val="none"/>
        </w:rPr>
      </w:pP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成员一名称：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pPr>
        <w:topLinePunct/>
        <w:spacing w:line="360" w:lineRule="auto"/>
        <w:ind w:firstLine="480" w:firstLineChars="200"/>
        <w:rPr>
          <w:rFonts w:hint="eastAsia" w:ascii="仿宋" w:hAnsi="仿宋" w:eastAsia="仿宋" w:cs="仿宋"/>
          <w:sz w:val="24"/>
          <w:szCs w:val="24"/>
          <w:highlight w:val="none"/>
        </w:rPr>
      </w:pPr>
    </w:p>
    <w:p>
      <w:pPr>
        <w:pStyle w:val="2"/>
        <w:tabs>
          <w:tab w:val="left" w:pos="4678"/>
          <w:tab w:val="left" w:pos="5624"/>
          <w:tab w:val="left" w:pos="6567"/>
        </w:tabs>
        <w:spacing w:before="184"/>
        <w:ind w:left="3941"/>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4"/>
        <w:jc w:val="center"/>
        <w:rPr>
          <w:rFonts w:hint="eastAsia" w:ascii="仿宋" w:hAnsi="仿宋" w:eastAsia="仿宋" w:cs="仿宋"/>
          <w:highlight w:val="none"/>
        </w:rPr>
        <w:sectPr>
          <w:headerReference r:id="rId7" w:type="default"/>
          <w:footerReference r:id="rId8" w:type="default"/>
          <w:pgSz w:w="11906" w:h="16838"/>
          <w:pgMar w:top="1417" w:right="1417" w:bottom="1417" w:left="1463" w:header="851" w:footer="992" w:gutter="0"/>
          <w:cols w:space="0" w:num="1"/>
          <w:rtlGutter w:val="0"/>
          <w:docGrid w:type="lines" w:linePitch="325" w:charSpace="0"/>
        </w:sectPr>
      </w:pPr>
    </w:p>
    <w:p>
      <w:pPr>
        <w:pStyle w:val="4"/>
        <w:jc w:val="center"/>
        <w:rPr>
          <w:rFonts w:hint="eastAsia" w:ascii="仿宋" w:hAnsi="仿宋" w:eastAsia="仿宋" w:cs="仿宋"/>
          <w:highlight w:val="none"/>
        </w:rPr>
      </w:pPr>
      <w:r>
        <w:rPr>
          <w:rFonts w:hint="eastAsia" w:ascii="仿宋" w:hAnsi="仿宋" w:eastAsia="仿宋" w:cs="仿宋"/>
          <w:highlight w:val="none"/>
        </w:rPr>
        <w:t>五、投标保证金</w:t>
      </w:r>
    </w:p>
    <w:p>
      <w:pPr>
        <w:pStyle w:val="2"/>
        <w:kinsoku w:val="0"/>
        <w:overflowPunct w:val="0"/>
        <w:ind w:left="120"/>
        <w:rPr>
          <w:rFonts w:hint="eastAsia" w:ascii="仿宋" w:hAnsi="仿宋" w:eastAsia="仿宋" w:cs="仿宋"/>
          <w:sz w:val="24"/>
          <w:szCs w:val="24"/>
          <w:highlight w:val="none"/>
        </w:rPr>
      </w:pPr>
      <w:r>
        <w:rPr>
          <w:rFonts w:hint="eastAsia" w:ascii="仿宋" w:hAnsi="仿宋" w:eastAsia="仿宋" w:cs="仿宋"/>
          <w:sz w:val="24"/>
          <w:szCs w:val="24"/>
          <w:highlight w:val="none"/>
        </w:rPr>
        <w:t>1.投标保证金提交凭证复印件</w:t>
      </w:r>
    </w:p>
    <w:p>
      <w:pPr>
        <w:pStyle w:val="2"/>
        <w:kinsoku w:val="0"/>
        <w:overflowPunct w:val="0"/>
        <w:spacing w:before="9"/>
        <w:rPr>
          <w:rFonts w:hint="eastAsia" w:ascii="仿宋" w:hAnsi="仿宋" w:eastAsia="仿宋" w:cs="仿宋"/>
          <w:sz w:val="24"/>
          <w:szCs w:val="24"/>
          <w:highlight w:val="none"/>
        </w:rPr>
      </w:pPr>
    </w:p>
    <w:p>
      <w:pPr>
        <w:pStyle w:val="2"/>
        <w:kinsoku w:val="0"/>
        <w:overflowPunct w:val="0"/>
        <w:ind w:left="120"/>
        <w:rPr>
          <w:rFonts w:hint="eastAsia" w:ascii="仿宋" w:hAnsi="仿宋" w:eastAsia="仿宋" w:cs="仿宋"/>
          <w:sz w:val="24"/>
          <w:szCs w:val="24"/>
          <w:highlight w:val="none"/>
        </w:rPr>
      </w:pPr>
      <w:r>
        <w:rPr>
          <w:rFonts w:hint="eastAsia" w:ascii="仿宋" w:hAnsi="仿宋" w:eastAsia="仿宋" w:cs="仿宋"/>
          <w:sz w:val="24"/>
          <w:szCs w:val="24"/>
          <w:highlight w:val="none"/>
        </w:rPr>
        <w:t>2.企业账户开户许可证或银行存款账号信息复印件</w:t>
      </w:r>
    </w:p>
    <w:p>
      <w:pPr>
        <w:pStyle w:val="2"/>
        <w:kinsoku w:val="0"/>
        <w:overflowPunct w:val="0"/>
        <w:ind w:left="120"/>
        <w:rPr>
          <w:rFonts w:hint="eastAsia" w:ascii="仿宋" w:hAnsi="仿宋" w:eastAsia="仿宋" w:cs="仿宋"/>
          <w:szCs w:val="21"/>
          <w:highlight w:val="none"/>
        </w:rPr>
      </w:pPr>
    </w:p>
    <w:p>
      <w:pPr>
        <w:pStyle w:val="2"/>
        <w:kinsoku w:val="0"/>
        <w:overflowPunct w:val="0"/>
        <w:ind w:left="120"/>
        <w:rPr>
          <w:rFonts w:hint="eastAsia" w:ascii="仿宋" w:hAnsi="仿宋" w:eastAsia="仿宋" w:cs="仿宋"/>
          <w:szCs w:val="21"/>
          <w:highlight w:val="none"/>
        </w:rPr>
      </w:pPr>
    </w:p>
    <w:p>
      <w:pPr>
        <w:pStyle w:val="2"/>
        <w:kinsoku w:val="0"/>
        <w:overflowPunct w:val="0"/>
        <w:ind w:left="120"/>
        <w:rPr>
          <w:rFonts w:hint="eastAsia" w:ascii="仿宋" w:hAnsi="仿宋" w:eastAsia="仿宋" w:cs="仿宋"/>
          <w:szCs w:val="21"/>
          <w:highlight w:val="none"/>
        </w:rPr>
      </w:pPr>
    </w:p>
    <w:p>
      <w:pPr>
        <w:pStyle w:val="2"/>
        <w:kinsoku w:val="0"/>
        <w:overflowPunct w:val="0"/>
        <w:ind w:left="120"/>
        <w:rPr>
          <w:rFonts w:hint="eastAsia" w:ascii="仿宋" w:hAnsi="仿宋" w:eastAsia="仿宋" w:cs="仿宋"/>
          <w:szCs w:val="21"/>
          <w:highlight w:val="none"/>
        </w:rPr>
      </w:pPr>
    </w:p>
    <w:p>
      <w:pPr>
        <w:pStyle w:val="2"/>
        <w:tabs>
          <w:tab w:val="left" w:pos="4039"/>
          <w:tab w:val="left" w:pos="4519"/>
          <w:tab w:val="left" w:pos="4999"/>
          <w:tab w:val="left" w:pos="7159"/>
          <w:tab w:val="left" w:pos="7778"/>
        </w:tabs>
        <w:kinsoku w:val="0"/>
        <w:overflowPunct w:val="0"/>
        <w:spacing w:line="357" w:lineRule="auto"/>
        <w:ind w:right="105"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 xml:space="preserve">（盖章） </w:t>
      </w:r>
    </w:p>
    <w:p>
      <w:pPr>
        <w:pStyle w:val="2"/>
        <w:tabs>
          <w:tab w:val="left" w:pos="4039"/>
          <w:tab w:val="left" w:pos="4519"/>
          <w:tab w:val="left" w:pos="4999"/>
          <w:tab w:val="left" w:pos="7159"/>
          <w:tab w:val="left" w:pos="7778"/>
        </w:tabs>
        <w:kinsoku w:val="0"/>
        <w:overflowPunct w:val="0"/>
        <w:spacing w:line="357" w:lineRule="auto"/>
        <w:ind w:right="105"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 xml:space="preserve">（签字或盖章） </w:t>
      </w:r>
    </w:p>
    <w:p>
      <w:pPr>
        <w:pStyle w:val="2"/>
        <w:tabs>
          <w:tab w:val="left" w:pos="4039"/>
          <w:tab w:val="left" w:pos="4519"/>
          <w:tab w:val="left" w:pos="4999"/>
          <w:tab w:val="left" w:pos="7159"/>
          <w:tab w:val="left" w:pos="7778"/>
        </w:tabs>
        <w:kinsoku w:val="0"/>
        <w:overflowPunct w:val="0"/>
        <w:spacing w:line="357" w:lineRule="auto"/>
        <w:ind w:right="105"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日</w:t>
      </w:r>
    </w:p>
    <w:p>
      <w:pPr>
        <w:rPr>
          <w:rFonts w:hint="eastAsia" w:ascii="仿宋" w:hAnsi="仿宋" w:eastAsia="仿宋" w:cs="仿宋"/>
          <w:highlight w:val="none"/>
        </w:rPr>
        <w:sectPr>
          <w:pgSz w:w="11906" w:h="16838"/>
          <w:pgMar w:top="1440" w:right="1383" w:bottom="1440" w:left="1803" w:header="851" w:footer="992" w:gutter="0"/>
          <w:cols w:space="720" w:num="1"/>
          <w:docGrid w:type="lines" w:linePitch="332" w:charSpace="0"/>
        </w:sectPr>
      </w:pPr>
      <w:r>
        <w:rPr>
          <w:rFonts w:hint="eastAsia" w:ascii="仿宋" w:hAnsi="仿宋" w:eastAsia="仿宋" w:cs="仿宋"/>
          <w:highlight w:val="none"/>
        </w:rPr>
        <w:t xml:space="preserve">   </w:t>
      </w:r>
    </w:p>
    <w:p>
      <w:pPr>
        <w:pStyle w:val="4"/>
        <w:spacing w:line="538" w:lineRule="exact"/>
        <w:ind w:right="461"/>
        <w:jc w:val="center"/>
        <w:rPr>
          <w:rFonts w:hint="eastAsia" w:ascii="仿宋" w:hAnsi="仿宋" w:eastAsia="仿宋" w:cs="仿宋"/>
          <w:b/>
          <w:sz w:val="10"/>
          <w:highlight w:val="none"/>
        </w:rPr>
      </w:pPr>
      <w:r>
        <w:rPr>
          <w:rFonts w:hint="eastAsia" w:ascii="仿宋" w:hAnsi="仿宋" w:eastAsia="仿宋" w:cs="仿宋"/>
          <w:highlight w:val="none"/>
        </w:rPr>
        <w:t>六、资格审查资料</w:t>
      </w:r>
    </w:p>
    <w:p>
      <w:pPr>
        <w:pStyle w:val="5"/>
        <w:spacing w:before="0" w:after="0" w:line="360" w:lineRule="auto"/>
        <w:rPr>
          <w:rFonts w:hint="eastAsia" w:ascii="仿宋" w:hAnsi="仿宋" w:eastAsia="仿宋" w:cs="仿宋"/>
          <w:b w:val="0"/>
          <w:sz w:val="24"/>
          <w:highlight w:val="none"/>
        </w:rPr>
      </w:pPr>
      <w:bookmarkStart w:id="46" w:name="_bookmark204"/>
      <w:bookmarkEnd w:id="46"/>
      <w:r>
        <w:rPr>
          <w:rFonts w:hint="eastAsia" w:ascii="仿宋" w:hAnsi="仿宋" w:eastAsia="仿宋" w:cs="仿宋"/>
          <w:sz w:val="28"/>
          <w:highlight w:val="none"/>
        </w:rPr>
        <w:t>（一）基本情况表</w:t>
      </w:r>
    </w:p>
    <w:tbl>
      <w:tblPr>
        <w:tblStyle w:val="5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投标人名称</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注册地址</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邮政编码</w:t>
            </w:r>
          </w:p>
        </w:tc>
        <w:tc>
          <w:tcPr>
            <w:tcW w:w="2344"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联系人</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电 话</w:t>
            </w:r>
          </w:p>
        </w:tc>
        <w:tc>
          <w:tcPr>
            <w:tcW w:w="2344"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zh-CN" w:eastAsia="en-US" w:bidi="zh-CN"/>
              </w:rPr>
            </w:pP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50"/>
              <w:tabs>
                <w:tab w:val="left" w:pos="432"/>
              </w:tabs>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传</w:t>
            </w:r>
            <w:r>
              <w:rPr>
                <w:rFonts w:hint="eastAsia" w:ascii="仿宋" w:hAnsi="仿宋" w:eastAsia="仿宋" w:cs="仿宋"/>
                <w:sz w:val="24"/>
                <w:szCs w:val="24"/>
                <w:highlight w:val="none"/>
                <w:lang w:eastAsia="en-US"/>
              </w:rPr>
              <w:tab/>
            </w:r>
            <w:r>
              <w:rPr>
                <w:rFonts w:hint="eastAsia" w:ascii="仿宋" w:hAnsi="仿宋" w:eastAsia="仿宋" w:cs="仿宋"/>
                <w:sz w:val="24"/>
                <w:szCs w:val="24"/>
                <w:highlight w:val="none"/>
                <w:lang w:eastAsia="en-US"/>
              </w:rPr>
              <w:t>真</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rPr>
              <w:t>邮 箱</w:t>
            </w:r>
          </w:p>
        </w:tc>
        <w:tc>
          <w:tcPr>
            <w:tcW w:w="2344"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姓名</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技术职称</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姓名</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技术职称</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val="en-US" w:eastAsia="zh-CN"/>
              </w:rPr>
              <w:t>企业</w:t>
            </w:r>
            <w:r>
              <w:rPr>
                <w:rFonts w:hint="eastAsia" w:ascii="仿宋" w:hAnsi="仿宋" w:eastAsia="仿宋" w:cs="仿宋"/>
                <w:sz w:val="24"/>
                <w:szCs w:val="24"/>
                <w:highlight w:val="none"/>
                <w:lang w:eastAsia="en-US"/>
              </w:rPr>
              <w:t>资质证书</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pStyle w:val="50"/>
              <w:tabs>
                <w:tab w:val="left" w:pos="3790"/>
                <w:tab w:val="left" w:pos="505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类型：</w:t>
            </w:r>
            <w:r>
              <w:rPr>
                <w:rFonts w:hint="eastAsia" w:ascii="仿宋" w:hAnsi="仿宋" w:eastAsia="仿宋" w:cs="仿宋"/>
                <w:sz w:val="24"/>
                <w:szCs w:val="24"/>
                <w:highlight w:val="none"/>
              </w:rPr>
              <w:tab/>
            </w:r>
            <w:r>
              <w:rPr>
                <w:rFonts w:hint="eastAsia" w:ascii="仿宋" w:hAnsi="仿宋" w:eastAsia="仿宋" w:cs="仿宋"/>
                <w:spacing w:val="-3"/>
                <w:sz w:val="24"/>
                <w:szCs w:val="24"/>
                <w:highlight w:val="none"/>
              </w:rPr>
              <w:t>等</w:t>
            </w:r>
            <w:r>
              <w:rPr>
                <w:rFonts w:hint="eastAsia" w:ascii="仿宋" w:hAnsi="仿宋" w:eastAsia="仿宋" w:cs="仿宋"/>
                <w:sz w:val="24"/>
                <w:szCs w:val="24"/>
                <w:highlight w:val="none"/>
              </w:rPr>
              <w:t>级：</w:t>
            </w:r>
            <w:r>
              <w:rPr>
                <w:rFonts w:hint="eastAsia" w:ascii="仿宋" w:hAnsi="仿宋" w:eastAsia="仿宋" w:cs="仿宋"/>
                <w:sz w:val="24"/>
                <w:szCs w:val="24"/>
                <w:highlight w:val="none"/>
              </w:rPr>
              <w:tab/>
            </w:r>
            <w:r>
              <w:rPr>
                <w:rFonts w:hint="eastAsia" w:ascii="仿宋" w:hAnsi="仿宋" w:eastAsia="仿宋" w:cs="仿宋"/>
                <w:spacing w:val="-3"/>
                <w:sz w:val="24"/>
                <w:szCs w:val="24"/>
                <w:highlight w:val="none"/>
              </w:rPr>
              <w:t>证</w:t>
            </w:r>
            <w:r>
              <w:rPr>
                <w:rFonts w:hint="eastAsia" w:ascii="仿宋" w:hAnsi="仿宋" w:eastAsia="仿宋" w:cs="仿宋"/>
                <w:sz w:val="24"/>
                <w:szCs w:val="24"/>
                <w:highlight w:val="none"/>
              </w:rPr>
              <w:t>书</w:t>
            </w:r>
            <w:r>
              <w:rPr>
                <w:rFonts w:hint="eastAsia" w:ascii="仿宋" w:hAnsi="仿宋" w:eastAsia="仿宋" w:cs="仿宋"/>
                <w:spacing w:val="-3"/>
                <w:sz w:val="24"/>
                <w:szCs w:val="24"/>
                <w:highlight w:val="none"/>
              </w:rPr>
              <w:t>号</w:t>
            </w:r>
            <w:r>
              <w:rPr>
                <w:rFonts w:hint="eastAsia" w:ascii="仿宋" w:hAnsi="仿宋" w:eastAsia="仿宋" w:cs="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质量管理体系证书</w:t>
            </w:r>
          </w:p>
          <w:p>
            <w:pPr>
              <w:pStyle w:val="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pStyle w:val="50"/>
              <w:tabs>
                <w:tab w:val="left" w:pos="3790"/>
                <w:tab w:val="left" w:pos="505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类型：</w:t>
            </w:r>
            <w:r>
              <w:rPr>
                <w:rFonts w:hint="eastAsia" w:ascii="仿宋" w:hAnsi="仿宋" w:eastAsia="仿宋" w:cs="仿宋"/>
                <w:sz w:val="24"/>
                <w:szCs w:val="24"/>
                <w:highlight w:val="none"/>
              </w:rPr>
              <w:tab/>
            </w:r>
            <w:r>
              <w:rPr>
                <w:rFonts w:hint="eastAsia" w:ascii="仿宋" w:hAnsi="仿宋" w:eastAsia="仿宋" w:cs="仿宋"/>
                <w:spacing w:val="-3"/>
                <w:sz w:val="24"/>
                <w:szCs w:val="24"/>
                <w:highlight w:val="none"/>
              </w:rPr>
              <w:t>等</w:t>
            </w:r>
            <w:r>
              <w:rPr>
                <w:rFonts w:hint="eastAsia" w:ascii="仿宋" w:hAnsi="仿宋" w:eastAsia="仿宋" w:cs="仿宋"/>
                <w:sz w:val="24"/>
                <w:szCs w:val="24"/>
                <w:highlight w:val="none"/>
              </w:rPr>
              <w:t>级：</w:t>
            </w:r>
            <w:r>
              <w:rPr>
                <w:rFonts w:hint="eastAsia" w:ascii="仿宋" w:hAnsi="仿宋" w:eastAsia="仿宋" w:cs="仿宋"/>
                <w:sz w:val="24"/>
                <w:szCs w:val="24"/>
                <w:highlight w:val="none"/>
              </w:rPr>
              <w:tab/>
            </w:r>
            <w:r>
              <w:rPr>
                <w:rFonts w:hint="eastAsia" w:ascii="仿宋" w:hAnsi="仿宋" w:eastAsia="仿宋" w:cs="仿宋"/>
                <w:spacing w:val="-3"/>
                <w:sz w:val="24"/>
                <w:szCs w:val="24"/>
                <w:highlight w:val="none"/>
              </w:rPr>
              <w:t>证</w:t>
            </w:r>
            <w:r>
              <w:rPr>
                <w:rFonts w:hint="eastAsia" w:ascii="仿宋" w:hAnsi="仿宋" w:eastAsia="仿宋" w:cs="仿宋"/>
                <w:sz w:val="24"/>
                <w:szCs w:val="24"/>
                <w:highlight w:val="none"/>
              </w:rPr>
              <w:t>书</w:t>
            </w:r>
            <w:r>
              <w:rPr>
                <w:rFonts w:hint="eastAsia" w:ascii="仿宋" w:hAnsi="仿宋" w:eastAsia="仿宋" w:cs="仿宋"/>
                <w:spacing w:val="-3"/>
                <w:sz w:val="24"/>
                <w:szCs w:val="24"/>
                <w:highlight w:val="none"/>
              </w:rPr>
              <w:t>号</w:t>
            </w:r>
            <w:r>
              <w:rPr>
                <w:rFonts w:hint="eastAsia" w:ascii="仿宋" w:hAnsi="仿宋" w:eastAsia="仿宋" w:cs="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630" w:type="dxa"/>
            <w:gridSpan w:val="5"/>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注册资本</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415" w:type="dxa"/>
            <w:vMerge w:val="restart"/>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p>
            <w:pPr>
              <w:pStyle w:val="50"/>
              <w:jc w:val="center"/>
              <w:rPr>
                <w:rFonts w:hint="eastAsia" w:ascii="仿宋" w:hAnsi="仿宋" w:eastAsia="仿宋" w:cs="仿宋"/>
                <w:sz w:val="24"/>
                <w:szCs w:val="24"/>
                <w:highlight w:val="none"/>
                <w:lang w:eastAsia="en-US"/>
              </w:rPr>
            </w:pPr>
          </w:p>
          <w:p>
            <w:pPr>
              <w:pStyle w:val="50"/>
              <w:spacing w:line="388" w:lineRule="auto"/>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其中</w:t>
            </w: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高级职称人员</w:t>
            </w: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成立日期</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zh-CN" w:eastAsia="en-US" w:bidi="zh-CN"/>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中级职称人员</w:t>
            </w: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zh-CN" w:eastAsia="en-US" w:bidi="zh-CN"/>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技术人员数量</w:t>
            </w: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zh-CN" w:eastAsia="en-US" w:bidi="zh-CN"/>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各类注册人员</w:t>
            </w: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经营范围</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spacing w:line="391" w:lineRule="auto"/>
              <w:ind w:hanging="3"/>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投标人关联企业情 </w:t>
            </w:r>
            <w:r>
              <w:rPr>
                <w:rFonts w:hint="eastAsia" w:ascii="仿宋" w:hAnsi="仿宋" w:eastAsia="仿宋" w:cs="仿宋"/>
                <w:sz w:val="24"/>
                <w:szCs w:val="24"/>
                <w:highlight w:val="none"/>
              </w:rPr>
              <w:t>（</w:t>
            </w:r>
            <w:r>
              <w:rPr>
                <w:rFonts w:hint="eastAsia" w:ascii="仿宋" w:hAnsi="仿宋" w:eastAsia="仿宋" w:cs="仿宋"/>
                <w:spacing w:val="-5"/>
                <w:sz w:val="24"/>
                <w:szCs w:val="24"/>
                <w:highlight w:val="none"/>
              </w:rPr>
              <w:t>包括但不限于与</w:t>
            </w:r>
            <w:r>
              <w:rPr>
                <w:rFonts w:hint="eastAsia" w:ascii="仿宋" w:hAnsi="仿宋" w:eastAsia="仿宋" w:cs="仿宋"/>
                <w:spacing w:val="-3"/>
                <w:sz w:val="24"/>
                <w:szCs w:val="24"/>
                <w:highlight w:val="none"/>
              </w:rPr>
              <w:t>投标人法定代表人为同一人或者存在</w:t>
            </w:r>
            <w:r>
              <w:rPr>
                <w:rFonts w:hint="eastAsia" w:ascii="仿宋" w:hAnsi="仿宋" w:eastAsia="仿宋" w:cs="仿宋"/>
                <w:spacing w:val="-12"/>
                <w:sz w:val="24"/>
                <w:szCs w:val="24"/>
                <w:highlight w:val="none"/>
              </w:rPr>
              <w:t>控股、管理关系的不</w:t>
            </w:r>
            <w:r>
              <w:rPr>
                <w:rFonts w:hint="eastAsia" w:ascii="仿宋" w:hAnsi="仿宋" w:eastAsia="仿宋" w:cs="仿宋"/>
                <w:sz w:val="24"/>
                <w:szCs w:val="24"/>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备注</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bl>
    <w:p>
      <w:pPr>
        <w:pStyle w:val="2"/>
        <w:spacing w:before="109" w:line="355" w:lineRule="auto"/>
        <w:ind w:left="240" w:right="693"/>
        <w:rPr>
          <w:rFonts w:hint="eastAsia" w:ascii="仿宋" w:hAnsi="仿宋" w:eastAsia="仿宋" w:cs="仿宋"/>
          <w:szCs w:val="21"/>
          <w:highlight w:val="none"/>
          <w:lang w:val="zh-CN" w:bidi="zh-CN"/>
        </w:rPr>
      </w:pPr>
      <w:r>
        <w:rPr>
          <w:rFonts w:hint="eastAsia" w:ascii="仿宋" w:hAnsi="仿宋" w:eastAsia="仿宋" w:cs="仿宋"/>
          <w:spacing w:val="-10"/>
          <w:sz w:val="24"/>
          <w:szCs w:val="24"/>
          <w:highlight w:val="none"/>
        </w:rPr>
        <w:t>注：本表后须附企业营业执照、企业资质证书等的复印件并加盖投标人单位公章（如以联合体形式投标，此表须由联合体各方出具</w:t>
      </w:r>
      <w:r>
        <w:rPr>
          <w:rFonts w:hint="eastAsia" w:ascii="仿宋" w:hAnsi="仿宋" w:eastAsia="仿宋" w:cs="仿宋"/>
          <w:spacing w:val="-10"/>
          <w:sz w:val="24"/>
          <w:szCs w:val="24"/>
          <w:highlight w:val="none"/>
          <w:lang w:eastAsia="zh-CN"/>
        </w:rPr>
        <w:t>）</w:t>
      </w:r>
      <w:r>
        <w:rPr>
          <w:rFonts w:hint="eastAsia" w:ascii="仿宋" w:hAnsi="仿宋" w:eastAsia="仿宋" w:cs="仿宋"/>
          <w:spacing w:val="-6"/>
          <w:highlight w:val="none"/>
        </w:rPr>
        <w:t>。</w:t>
      </w:r>
    </w:p>
    <w:p>
      <w:pPr>
        <w:widowControl/>
        <w:spacing w:line="355" w:lineRule="auto"/>
        <w:rPr>
          <w:rFonts w:hint="eastAsia" w:ascii="仿宋" w:hAnsi="仿宋" w:eastAsia="仿宋" w:cs="仿宋"/>
          <w:highlight w:val="none"/>
        </w:rPr>
        <w:sectPr>
          <w:pgSz w:w="12240" w:h="15840"/>
          <w:pgMar w:top="1500" w:right="1100" w:bottom="1120" w:left="1560" w:header="0" w:footer="841" w:gutter="0"/>
          <w:cols w:space="720" w:num="1"/>
        </w:sectPr>
      </w:pPr>
    </w:p>
    <w:p>
      <w:pPr>
        <w:pStyle w:val="5"/>
        <w:spacing w:before="0" w:after="0" w:line="360" w:lineRule="auto"/>
        <w:rPr>
          <w:rFonts w:hint="eastAsia" w:ascii="仿宋" w:hAnsi="仿宋" w:eastAsia="仿宋" w:cs="仿宋"/>
          <w:sz w:val="28"/>
          <w:highlight w:val="none"/>
        </w:rPr>
      </w:pPr>
      <w:bookmarkStart w:id="47" w:name="_bookmark205"/>
      <w:bookmarkEnd w:id="47"/>
      <w:r>
        <w:rPr>
          <w:rFonts w:hint="eastAsia" w:ascii="仿宋" w:hAnsi="仿宋" w:eastAsia="仿宋" w:cs="仿宋"/>
          <w:sz w:val="28"/>
          <w:highlight w:val="none"/>
        </w:rPr>
        <w:t>（二）近年财务状况表</w:t>
      </w:r>
    </w:p>
    <w:p>
      <w:pPr>
        <w:pStyle w:val="2"/>
        <w:rPr>
          <w:rFonts w:hint="eastAsia" w:ascii="仿宋" w:hAnsi="仿宋" w:eastAsia="仿宋" w:cs="仿宋"/>
          <w:sz w:val="24"/>
          <w:szCs w:val="24"/>
          <w:highlight w:val="none"/>
        </w:rPr>
      </w:pPr>
      <w:r>
        <w:rPr>
          <w:rFonts w:hint="eastAsia" w:ascii="仿宋" w:hAnsi="仿宋" w:eastAsia="仿宋" w:cs="仿宋"/>
          <w:sz w:val="24"/>
          <w:szCs w:val="24"/>
          <w:highlight w:val="none"/>
        </w:rPr>
        <w:t>（投标人自行补充证明文件）</w:t>
      </w:r>
    </w:p>
    <w:p>
      <w:pPr>
        <w:widowControl/>
        <w:rPr>
          <w:rFonts w:hint="eastAsia" w:ascii="仿宋" w:hAnsi="仿宋" w:eastAsia="仿宋" w:cs="仿宋"/>
          <w:sz w:val="24"/>
          <w:szCs w:val="24"/>
          <w:highlight w:val="none"/>
        </w:rPr>
        <w:sectPr>
          <w:pgSz w:w="12240" w:h="15840"/>
          <w:pgMar w:top="1400" w:right="1100" w:bottom="1120" w:left="1560" w:header="0" w:footer="841" w:gutter="0"/>
          <w:cols w:space="720" w:num="1"/>
        </w:sectPr>
      </w:pPr>
    </w:p>
    <w:p>
      <w:pPr>
        <w:pStyle w:val="5"/>
        <w:spacing w:before="0" w:after="0" w:line="360" w:lineRule="auto"/>
        <w:rPr>
          <w:rFonts w:hint="eastAsia" w:ascii="仿宋" w:hAnsi="仿宋" w:eastAsia="仿宋" w:cs="仿宋"/>
          <w:sz w:val="28"/>
          <w:highlight w:val="none"/>
        </w:rPr>
      </w:pPr>
      <w:bookmarkStart w:id="48" w:name="_bookmark206"/>
      <w:bookmarkEnd w:id="48"/>
      <w:r>
        <w:rPr>
          <w:rFonts w:hint="eastAsia" w:ascii="仿宋" w:hAnsi="仿宋" w:eastAsia="仿宋" w:cs="仿宋"/>
          <w:sz w:val="28"/>
          <w:highlight w:val="none"/>
        </w:rPr>
        <w:t>（三）承接项目业绩一览表</w:t>
      </w:r>
    </w:p>
    <w:tbl>
      <w:tblPr>
        <w:tblStyle w:val="38"/>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9"/>
        <w:gridCol w:w="1399"/>
        <w:gridCol w:w="1400"/>
        <w:gridCol w:w="1400"/>
        <w:gridCol w:w="191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7"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399"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399"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合同价格</w:t>
            </w:r>
          </w:p>
        </w:tc>
        <w:tc>
          <w:tcPr>
            <w:tcW w:w="1400"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发包人名称</w:t>
            </w:r>
          </w:p>
        </w:tc>
        <w:tc>
          <w:tcPr>
            <w:tcW w:w="1400"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设计内容</w:t>
            </w:r>
          </w:p>
        </w:tc>
        <w:tc>
          <w:tcPr>
            <w:tcW w:w="1915"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合同签订时间</w:t>
            </w:r>
          </w:p>
        </w:tc>
        <w:tc>
          <w:tcPr>
            <w:tcW w:w="1400"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915"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915"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915"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399"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c>
          <w:tcPr>
            <w:tcW w:w="1915" w:type="dxa"/>
            <w:vAlign w:val="center"/>
          </w:tcPr>
          <w:p>
            <w:pPr>
              <w:jc w:val="center"/>
              <w:rPr>
                <w:rFonts w:hint="eastAsia" w:ascii="仿宋" w:hAnsi="仿宋" w:eastAsia="仿宋" w:cs="仿宋"/>
                <w:sz w:val="24"/>
                <w:szCs w:val="24"/>
                <w:highlight w:val="none"/>
              </w:rPr>
            </w:pPr>
          </w:p>
        </w:tc>
        <w:tc>
          <w:tcPr>
            <w:tcW w:w="1400" w:type="dxa"/>
            <w:vAlign w:val="center"/>
          </w:tcPr>
          <w:p>
            <w:pPr>
              <w:jc w:val="center"/>
              <w:rPr>
                <w:rFonts w:hint="eastAsia" w:ascii="仿宋" w:hAnsi="仿宋" w:eastAsia="仿宋" w:cs="仿宋"/>
                <w:sz w:val="24"/>
                <w:szCs w:val="24"/>
                <w:highlight w:val="none"/>
              </w:rPr>
            </w:pPr>
          </w:p>
        </w:tc>
      </w:tr>
    </w:tbl>
    <w:p>
      <w:pPr>
        <w:pStyle w:val="2"/>
        <w:spacing w:before="142"/>
        <w:ind w:left="240"/>
        <w:rPr>
          <w:rFonts w:hint="eastAsia" w:ascii="仿宋" w:hAnsi="仿宋" w:eastAsia="仿宋" w:cs="仿宋"/>
          <w:sz w:val="24"/>
          <w:szCs w:val="24"/>
          <w:highlight w:val="none"/>
        </w:rPr>
        <w:sectPr>
          <w:pgSz w:w="12240" w:h="15840"/>
          <w:pgMar w:top="1400" w:right="1100" w:bottom="1120" w:left="1560" w:header="0" w:footer="841" w:gutter="0"/>
          <w:cols w:space="720" w:num="1"/>
        </w:sectPr>
      </w:pPr>
      <w:r>
        <w:rPr>
          <w:rFonts w:hint="eastAsia" w:ascii="仿宋" w:hAnsi="仿宋" w:eastAsia="仿宋" w:cs="仿宋"/>
          <w:sz w:val="24"/>
          <w:szCs w:val="24"/>
          <w:highlight w:val="none"/>
        </w:rPr>
        <w:t>注：投标人应根据第三章评标办法的要求在本表后附相关证明材料。</w:t>
      </w:r>
      <w:bookmarkStart w:id="49" w:name="_bookmark207"/>
      <w:bookmarkEnd w:id="49"/>
    </w:p>
    <w:p>
      <w:pPr>
        <w:pStyle w:val="5"/>
        <w:spacing w:before="0" w:after="0" w:line="360" w:lineRule="auto"/>
        <w:rPr>
          <w:rFonts w:hint="eastAsia" w:ascii="仿宋" w:hAnsi="仿宋" w:eastAsia="仿宋" w:cs="仿宋"/>
          <w:sz w:val="28"/>
          <w:highlight w:val="none"/>
        </w:rPr>
      </w:pPr>
      <w:bookmarkStart w:id="50" w:name="_bookmark208"/>
      <w:bookmarkEnd w:id="50"/>
      <w:bookmarkStart w:id="51" w:name="_bookmark209"/>
      <w:bookmarkEnd w:id="51"/>
      <w:r>
        <w:rPr>
          <w:rFonts w:hint="eastAsia" w:ascii="仿宋" w:hAnsi="仿宋" w:eastAsia="仿宋" w:cs="仿宋"/>
          <w:highlight w:val="none"/>
        </w:rPr>
        <w:t>（</w:t>
      </w:r>
      <w:r>
        <w:rPr>
          <w:rFonts w:hint="eastAsia" w:ascii="仿宋" w:hAnsi="仿宋" w:eastAsia="仿宋" w:cs="仿宋"/>
          <w:sz w:val="28"/>
          <w:highlight w:val="none"/>
        </w:rPr>
        <w:t>四）项目服务机构人员组成表</w:t>
      </w:r>
    </w:p>
    <w:p>
      <w:pPr>
        <w:jc w:val="center"/>
        <w:rPr>
          <w:rFonts w:hint="eastAsia" w:ascii="仿宋" w:hAnsi="仿宋" w:eastAsia="仿宋" w:cs="仿宋"/>
          <w:highlight w:val="none"/>
        </w:rPr>
      </w:pPr>
      <w:r>
        <w:rPr>
          <w:rFonts w:hint="eastAsia" w:ascii="仿宋" w:hAnsi="仿宋" w:eastAsia="仿宋" w:cs="仿宋"/>
          <w:sz w:val="28"/>
          <w:highlight w:val="none"/>
        </w:rPr>
        <w:t>项目服务机构人员组成表</w:t>
      </w:r>
    </w:p>
    <w:p>
      <w:pPr>
        <w:pStyle w:val="2"/>
        <w:kinsoku w:val="0"/>
        <w:overflowPunct w:val="0"/>
        <w:spacing w:before="1"/>
        <w:rPr>
          <w:rFonts w:hint="eastAsia" w:ascii="仿宋" w:hAnsi="仿宋" w:eastAsia="仿宋" w:cs="仿宋"/>
          <w:sz w:val="13"/>
          <w:szCs w:val="13"/>
          <w:highlight w:val="none"/>
        </w:rPr>
      </w:pPr>
    </w:p>
    <w:tbl>
      <w:tblPr>
        <w:tblStyle w:val="37"/>
        <w:tblW w:w="5000" w:type="pct"/>
        <w:tblInd w:w="0" w:type="dxa"/>
        <w:tblLayout w:type="autofit"/>
        <w:tblCellMar>
          <w:top w:w="0" w:type="dxa"/>
          <w:left w:w="0" w:type="dxa"/>
          <w:bottom w:w="0" w:type="dxa"/>
          <w:right w:w="0" w:type="dxa"/>
        </w:tblCellMar>
      </w:tblPr>
      <w:tblGrid>
        <w:gridCol w:w="820"/>
        <w:gridCol w:w="1140"/>
        <w:gridCol w:w="1267"/>
        <w:gridCol w:w="1357"/>
        <w:gridCol w:w="1114"/>
        <w:gridCol w:w="1326"/>
        <w:gridCol w:w="1900"/>
        <w:gridCol w:w="1267"/>
        <w:gridCol w:w="1437"/>
        <w:gridCol w:w="1602"/>
      </w:tblGrid>
      <w:tr>
        <w:tblPrEx>
          <w:tblCellMar>
            <w:top w:w="0" w:type="dxa"/>
            <w:left w:w="0" w:type="dxa"/>
            <w:bottom w:w="0" w:type="dxa"/>
            <w:right w:w="0" w:type="dxa"/>
          </w:tblCellMar>
        </w:tblPrEx>
        <w:trPr>
          <w:trHeight w:val="510" w:hRule="exact"/>
        </w:trPr>
        <w:tc>
          <w:tcPr>
            <w:tcW w:w="310" w:type="pct"/>
            <w:vMerge w:val="restar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31" w:type="pct"/>
            <w:vMerge w:val="restar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479" w:type="pct"/>
            <w:vMerge w:val="restar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934" w:type="pct"/>
            <w:gridSpan w:val="2"/>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职称证</w:t>
            </w:r>
          </w:p>
        </w:tc>
        <w:tc>
          <w:tcPr>
            <w:tcW w:w="501" w:type="pct"/>
            <w:vMerge w:val="restar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拟任职务</w:t>
            </w:r>
          </w:p>
        </w:tc>
        <w:tc>
          <w:tcPr>
            <w:tcW w:w="1739" w:type="pct"/>
            <w:gridSpan w:val="3"/>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执业或职业资格证明</w:t>
            </w:r>
          </w:p>
        </w:tc>
        <w:tc>
          <w:tcPr>
            <w:tcW w:w="606" w:type="pct"/>
            <w:vMerge w:val="restar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p>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CellMar>
            <w:top w:w="0" w:type="dxa"/>
            <w:left w:w="0" w:type="dxa"/>
            <w:bottom w:w="0" w:type="dxa"/>
            <w:right w:w="0" w:type="dxa"/>
          </w:tblCellMar>
        </w:tblPrEx>
        <w:trPr>
          <w:trHeight w:val="510" w:hRule="exact"/>
        </w:trPr>
        <w:tc>
          <w:tcPr>
            <w:tcW w:w="310" w:type="pct"/>
            <w:vMerge w:val="continue"/>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p>
        </w:tc>
        <w:tc>
          <w:tcPr>
            <w:tcW w:w="431" w:type="pct"/>
            <w:vMerge w:val="continue"/>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c>
          <w:tcPr>
            <w:tcW w:w="421"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等级</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证书名称</w:t>
            </w:r>
          </w:p>
        </w:tc>
        <w:tc>
          <w:tcPr>
            <w:tcW w:w="479"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543"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c>
          <w:tcPr>
            <w:tcW w:w="606" w:type="pct"/>
            <w:vMerge w:val="continue"/>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p>
        </w:tc>
      </w:tr>
      <w:tr>
        <w:trPr>
          <w:trHeight w:val="510" w:hRule="exact"/>
        </w:trPr>
        <w:tc>
          <w:tcPr>
            <w:tcW w:w="310"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3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r>
      <w:tr>
        <w:trPr>
          <w:trHeight w:val="510" w:hRule="exact"/>
        </w:trPr>
        <w:tc>
          <w:tcPr>
            <w:tcW w:w="310"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r>
      <w:tr>
        <w:trPr>
          <w:trHeight w:val="510" w:hRule="exact"/>
        </w:trPr>
        <w:tc>
          <w:tcPr>
            <w:tcW w:w="310"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3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r>
      <w:tr>
        <w:trPr>
          <w:trHeight w:val="510" w:hRule="exact"/>
        </w:trPr>
        <w:tc>
          <w:tcPr>
            <w:tcW w:w="310"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3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r>
      <w:tr>
        <w:trPr>
          <w:trHeight w:val="510" w:hRule="exact"/>
        </w:trPr>
        <w:tc>
          <w:tcPr>
            <w:tcW w:w="310"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43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r>
      <w:tr>
        <w:trPr>
          <w:trHeight w:val="510" w:hRule="exact"/>
        </w:trPr>
        <w:tc>
          <w:tcPr>
            <w:tcW w:w="310"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43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r>
      <w:tr>
        <w:trPr>
          <w:trHeight w:val="510" w:hRule="exact"/>
        </w:trPr>
        <w:tc>
          <w:tcPr>
            <w:tcW w:w="310" w:type="pct"/>
            <w:tcBorders>
              <w:top w:val="single" w:color="000000" w:sz="4" w:space="0"/>
              <w:left w:val="single" w:color="000000" w:sz="4" w:space="0"/>
              <w:bottom w:val="single" w:color="000000" w:sz="4" w:space="0"/>
              <w:right w:val="single" w:color="000000" w:sz="4" w:space="0"/>
            </w:tcBorders>
            <w:vAlign w:val="center"/>
          </w:tcPr>
          <w:p>
            <w:pPr>
              <w:pStyle w:val="50"/>
              <w:kinsoku w:val="0"/>
              <w:overflowPunct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43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7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47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r>
    </w:tbl>
    <w:p>
      <w:pPr>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pacing w:val="-3"/>
          <w:sz w:val="24"/>
          <w:szCs w:val="24"/>
          <w:highlight w:val="none"/>
        </w:rPr>
        <w:t>根据评标办法（综合评估法）要求提供相关证明材料，格式自拟。</w:t>
      </w:r>
    </w:p>
    <w:p>
      <w:pPr>
        <w:widowControl/>
        <w:rPr>
          <w:rFonts w:hint="eastAsia" w:ascii="仿宋" w:hAnsi="仿宋" w:eastAsia="仿宋" w:cs="仿宋"/>
          <w:sz w:val="24"/>
          <w:szCs w:val="24"/>
          <w:highlight w:val="none"/>
        </w:rPr>
        <w:sectPr>
          <w:headerReference r:id="rId9" w:type="default"/>
          <w:footerReference r:id="rId10" w:type="default"/>
          <w:pgSz w:w="15840" w:h="12240" w:orient="landscape"/>
          <w:pgMar w:top="1100" w:right="1120" w:bottom="1560" w:left="1500" w:header="850" w:footer="841" w:gutter="0"/>
          <w:cols w:space="720" w:num="1"/>
          <w:docGrid w:linePitch="286" w:charSpace="0"/>
        </w:sectPr>
      </w:pPr>
    </w:p>
    <w:p>
      <w:pPr>
        <w:pStyle w:val="5"/>
        <w:spacing w:before="0" w:after="0" w:line="360" w:lineRule="auto"/>
        <w:rPr>
          <w:rFonts w:hint="eastAsia" w:ascii="仿宋" w:hAnsi="仿宋" w:eastAsia="仿宋" w:cs="仿宋"/>
          <w:sz w:val="28"/>
          <w:highlight w:val="none"/>
        </w:rPr>
      </w:pPr>
      <w:bookmarkStart w:id="52" w:name="_bookmark210"/>
      <w:bookmarkEnd w:id="52"/>
      <w:r>
        <w:rPr>
          <w:rFonts w:hint="eastAsia" w:ascii="仿宋" w:hAnsi="仿宋" w:eastAsia="仿宋" w:cs="仿宋"/>
          <w:sz w:val="28"/>
          <w:highlight w:val="none"/>
        </w:rPr>
        <w:t>（五）主要人员简历表（项目负责人（兼设计负责人）、勘察负责人）</w:t>
      </w:r>
    </w:p>
    <w:p>
      <w:pPr>
        <w:pStyle w:val="2"/>
        <w:rPr>
          <w:rFonts w:hint="eastAsia" w:ascii="仿宋" w:hAnsi="仿宋" w:eastAsia="仿宋" w:cs="仿宋"/>
          <w:sz w:val="15"/>
          <w:highlight w:val="none"/>
        </w:rPr>
      </w:pPr>
    </w:p>
    <w:tbl>
      <w:tblPr>
        <w:tblStyle w:val="56"/>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1186" w:type="dxa"/>
            <w:tcBorders>
              <w:top w:val="single" w:color="000000" w:sz="4" w:space="0"/>
              <w:left w:val="single" w:color="000000" w:sz="4" w:space="0"/>
              <w:bottom w:val="single" w:color="000000" w:sz="4" w:space="0"/>
              <w:right w:val="single" w:color="000000" w:sz="4" w:space="0"/>
            </w:tcBorders>
            <w:vAlign w:val="center"/>
          </w:tcPr>
          <w:p>
            <w:pPr>
              <w:pStyle w:val="50"/>
              <w:tabs>
                <w:tab w:val="left" w:pos="436"/>
              </w:tabs>
              <w:ind w:left="13"/>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姓名</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958" w:type="dxa"/>
            <w:tcBorders>
              <w:top w:val="single" w:color="000000" w:sz="4" w:space="0"/>
              <w:left w:val="single" w:color="000000" w:sz="4" w:space="0"/>
              <w:bottom w:val="single" w:color="000000" w:sz="4" w:space="0"/>
              <w:right w:val="single" w:color="000000" w:sz="4" w:space="0"/>
            </w:tcBorders>
            <w:vAlign w:val="center"/>
          </w:tcPr>
          <w:p>
            <w:pPr>
              <w:pStyle w:val="50"/>
              <w:ind w:right="256"/>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368" w:type="dxa"/>
            <w:gridSpan w:val="3"/>
            <w:tcBorders>
              <w:top w:val="single" w:color="000000" w:sz="4" w:space="0"/>
              <w:left w:val="single" w:color="000000" w:sz="4" w:space="0"/>
              <w:bottom w:val="single" w:color="000000" w:sz="4" w:space="0"/>
              <w:right w:val="single" w:color="000000" w:sz="4" w:space="0"/>
            </w:tcBorders>
            <w:vAlign w:val="center"/>
          </w:tcPr>
          <w:p>
            <w:pPr>
              <w:pStyle w:val="50"/>
              <w:spacing w:before="3" w:line="440" w:lineRule="exact"/>
              <w:ind w:right="12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执业资格证书（或上岗证书）名称</w:t>
            </w:r>
          </w:p>
        </w:tc>
        <w:tc>
          <w:tcPr>
            <w:tcW w:w="1897"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86" w:type="dxa"/>
            <w:tcBorders>
              <w:top w:val="single" w:color="000000" w:sz="4" w:space="0"/>
              <w:left w:val="single" w:color="000000" w:sz="4" w:space="0"/>
              <w:bottom w:val="single" w:color="000000" w:sz="4" w:space="0"/>
              <w:right w:val="single" w:color="000000" w:sz="4" w:space="0"/>
            </w:tcBorders>
            <w:vAlign w:val="center"/>
          </w:tcPr>
          <w:p>
            <w:pPr>
              <w:pStyle w:val="50"/>
              <w:tabs>
                <w:tab w:val="left" w:pos="436"/>
              </w:tabs>
              <w:ind w:left="13"/>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职称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958" w:type="dxa"/>
            <w:tcBorders>
              <w:top w:val="single" w:color="000000" w:sz="4" w:space="0"/>
              <w:left w:val="single" w:color="000000" w:sz="4" w:space="0"/>
              <w:bottom w:val="single" w:color="000000" w:sz="4" w:space="0"/>
              <w:right w:val="single" w:color="000000" w:sz="4" w:space="0"/>
            </w:tcBorders>
            <w:vAlign w:val="center"/>
          </w:tcPr>
          <w:p>
            <w:pPr>
              <w:pStyle w:val="50"/>
              <w:ind w:right="256"/>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学历</w:t>
            </w:r>
          </w:p>
        </w:tc>
        <w:tc>
          <w:tcPr>
            <w:tcW w:w="1066"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368"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拟在本项目任职</w:t>
            </w:r>
          </w:p>
        </w:tc>
        <w:tc>
          <w:tcPr>
            <w:tcW w:w="1897"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1" w:hRule="atLeast"/>
        </w:trPr>
        <w:tc>
          <w:tcPr>
            <w:tcW w:w="1186" w:type="dxa"/>
            <w:tcBorders>
              <w:top w:val="single" w:color="000000" w:sz="4" w:space="0"/>
              <w:left w:val="single" w:color="000000" w:sz="4" w:space="0"/>
              <w:bottom w:val="single" w:color="000000" w:sz="4" w:space="0"/>
              <w:right w:val="single" w:color="000000" w:sz="4" w:space="0"/>
            </w:tcBorders>
            <w:vAlign w:val="center"/>
          </w:tcPr>
          <w:p>
            <w:pPr>
              <w:pStyle w:val="50"/>
              <w:ind w:left="11"/>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工作年限</w:t>
            </w:r>
          </w:p>
        </w:tc>
        <w:tc>
          <w:tcPr>
            <w:tcW w:w="3074"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368" w:type="dxa"/>
            <w:gridSpan w:val="3"/>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工作年限</w:t>
            </w:r>
          </w:p>
        </w:tc>
        <w:tc>
          <w:tcPr>
            <w:tcW w:w="1897"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186" w:type="dxa"/>
            <w:tcBorders>
              <w:top w:val="single" w:color="000000" w:sz="4" w:space="0"/>
              <w:left w:val="single" w:color="000000" w:sz="4" w:space="0"/>
              <w:bottom w:val="single" w:color="000000" w:sz="4" w:space="0"/>
              <w:right w:val="single" w:color="000000" w:sz="4" w:space="0"/>
            </w:tcBorders>
            <w:vAlign w:val="center"/>
          </w:tcPr>
          <w:p>
            <w:pPr>
              <w:pStyle w:val="50"/>
              <w:ind w:left="11"/>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毕业学校</w:t>
            </w:r>
          </w:p>
        </w:tc>
        <w:tc>
          <w:tcPr>
            <w:tcW w:w="7339" w:type="dxa"/>
            <w:gridSpan w:val="8"/>
            <w:tcBorders>
              <w:top w:val="single" w:color="000000" w:sz="4" w:space="0"/>
              <w:left w:val="single" w:color="000000" w:sz="4" w:space="0"/>
              <w:bottom w:val="single" w:color="000000" w:sz="4" w:space="0"/>
              <w:right w:val="single" w:color="000000" w:sz="4" w:space="0"/>
            </w:tcBorders>
            <w:vAlign w:val="center"/>
          </w:tcPr>
          <w:p>
            <w:pPr>
              <w:pStyle w:val="50"/>
              <w:spacing w:before="3"/>
              <w:jc w:val="center"/>
              <w:rPr>
                <w:rFonts w:hint="eastAsia" w:ascii="仿宋" w:hAnsi="仿宋" w:eastAsia="仿宋" w:cs="仿宋"/>
                <w:sz w:val="24"/>
                <w:szCs w:val="24"/>
                <w:highlight w:val="none"/>
                <w:lang w:eastAsia="en-US"/>
              </w:rPr>
            </w:pPr>
          </w:p>
          <w:p>
            <w:pPr>
              <w:pStyle w:val="50"/>
              <w:tabs>
                <w:tab w:val="left" w:pos="3364"/>
                <w:tab w:val="left" w:pos="4625"/>
              </w:tabs>
              <w:ind w:left="1262"/>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年毕</w:t>
            </w:r>
            <w:r>
              <w:rPr>
                <w:rFonts w:hint="eastAsia" w:ascii="仿宋" w:hAnsi="仿宋" w:eastAsia="仿宋" w:cs="仿宋"/>
                <w:spacing w:val="-3"/>
                <w:sz w:val="24"/>
                <w:szCs w:val="24"/>
                <w:highlight w:val="none"/>
                <w:lang w:eastAsia="en-US"/>
              </w:rPr>
              <w:t>业</w:t>
            </w:r>
            <w:r>
              <w:rPr>
                <w:rFonts w:hint="eastAsia" w:ascii="仿宋" w:hAnsi="仿宋" w:eastAsia="仿宋" w:cs="仿宋"/>
                <w:sz w:val="24"/>
                <w:szCs w:val="24"/>
                <w:highlight w:val="none"/>
                <w:lang w:eastAsia="en-US"/>
              </w:rPr>
              <w:t>于</w:t>
            </w:r>
            <w:r>
              <w:rPr>
                <w:rFonts w:hint="eastAsia" w:ascii="仿宋" w:hAnsi="仿宋" w:eastAsia="仿宋" w:cs="仿宋"/>
                <w:sz w:val="24"/>
                <w:szCs w:val="24"/>
                <w:highlight w:val="none"/>
                <w:lang w:eastAsia="en-US"/>
              </w:rPr>
              <w:tab/>
            </w:r>
            <w:r>
              <w:rPr>
                <w:rFonts w:hint="eastAsia" w:ascii="仿宋" w:hAnsi="仿宋" w:eastAsia="仿宋" w:cs="仿宋"/>
                <w:spacing w:val="-3"/>
                <w:sz w:val="24"/>
                <w:szCs w:val="24"/>
                <w:highlight w:val="none"/>
                <w:lang w:eastAsia="en-US"/>
              </w:rPr>
              <w:t>学</w:t>
            </w:r>
            <w:r>
              <w:rPr>
                <w:rFonts w:hint="eastAsia" w:ascii="仿宋" w:hAnsi="仿宋" w:eastAsia="仿宋" w:cs="仿宋"/>
                <w:sz w:val="24"/>
                <w:szCs w:val="24"/>
                <w:highlight w:val="none"/>
                <w:lang w:eastAsia="en-US"/>
              </w:rPr>
              <w:t>校</w:t>
            </w:r>
            <w:r>
              <w:rPr>
                <w:rFonts w:hint="eastAsia" w:ascii="仿宋" w:hAnsi="仿宋" w:eastAsia="仿宋" w:cs="仿宋"/>
                <w:sz w:val="24"/>
                <w:szCs w:val="24"/>
                <w:highlight w:val="none"/>
                <w:lang w:eastAsia="en-US"/>
              </w:rPr>
              <w:tab/>
            </w:r>
            <w:r>
              <w:rPr>
                <w:rFonts w:hint="eastAsia" w:ascii="仿宋" w:hAnsi="仿宋" w:eastAsia="仿宋" w:cs="仿宋"/>
                <w:sz w:val="24"/>
                <w:szCs w:val="24"/>
                <w:highlight w:val="none"/>
                <w:lang w:eastAsia="en-US"/>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hRule="atLeast"/>
        </w:trPr>
        <w:tc>
          <w:tcPr>
            <w:tcW w:w="8525" w:type="dxa"/>
            <w:gridSpan w:val="9"/>
            <w:tcBorders>
              <w:top w:val="single" w:color="000000" w:sz="4" w:space="0"/>
              <w:left w:val="single" w:color="000000" w:sz="4" w:space="0"/>
              <w:bottom w:val="single" w:color="000000" w:sz="4" w:space="0"/>
              <w:right w:val="single" w:color="000000" w:sz="4" w:space="0"/>
            </w:tcBorders>
            <w:vAlign w:val="center"/>
          </w:tcPr>
          <w:p>
            <w:pPr>
              <w:pStyle w:val="50"/>
              <w:ind w:left="107"/>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tabs>
                <w:tab w:val="left" w:pos="878"/>
              </w:tabs>
              <w:spacing w:before="1"/>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时间</w:t>
            </w: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spacing w:before="1"/>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参加过的类似项目</w:t>
            </w: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spacing w:before="1"/>
              <w:ind w:left="206"/>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担任职务</w:t>
            </w: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before="1"/>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3422" w:type="dxa"/>
            <w:gridSpan w:val="4"/>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1261" w:type="dxa"/>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c>
          <w:tcPr>
            <w:tcW w:w="2298" w:type="dxa"/>
            <w:gridSpan w:val="2"/>
            <w:tcBorders>
              <w:top w:val="single" w:color="000000" w:sz="4" w:space="0"/>
              <w:left w:val="single" w:color="000000" w:sz="4" w:space="0"/>
              <w:bottom w:val="single" w:color="000000" w:sz="4" w:space="0"/>
              <w:right w:val="single" w:color="000000" w:sz="4" w:space="0"/>
            </w:tcBorders>
            <w:vAlign w:val="center"/>
          </w:tcPr>
          <w:p>
            <w:pPr>
              <w:pStyle w:val="50"/>
              <w:jc w:val="center"/>
              <w:rPr>
                <w:rFonts w:hint="eastAsia" w:ascii="仿宋" w:hAnsi="仿宋" w:eastAsia="仿宋" w:cs="仿宋"/>
                <w:sz w:val="24"/>
                <w:szCs w:val="24"/>
                <w:highlight w:val="none"/>
                <w:lang w:eastAsia="en-US"/>
              </w:rPr>
            </w:pPr>
          </w:p>
        </w:tc>
      </w:tr>
    </w:tbl>
    <w:p>
      <w:pPr>
        <w:pStyle w:val="2"/>
        <w:spacing w:before="143"/>
        <w:ind w:left="240"/>
        <w:rPr>
          <w:rFonts w:hint="eastAsia" w:ascii="仿宋" w:hAnsi="仿宋" w:eastAsia="仿宋" w:cs="仿宋"/>
          <w:szCs w:val="21"/>
          <w:highlight w:val="none"/>
          <w:lang w:val="zh-CN" w:bidi="zh-CN"/>
        </w:rPr>
      </w:pPr>
      <w:r>
        <w:rPr>
          <w:rFonts w:hint="eastAsia" w:ascii="仿宋" w:hAnsi="仿宋" w:eastAsia="仿宋" w:cs="仿宋"/>
          <w:highlight w:val="none"/>
        </w:rPr>
        <w:t>注：根据评标办法（综合评估法）要求提供相关证明材料，格式自拟。</w:t>
      </w:r>
    </w:p>
    <w:p>
      <w:pPr>
        <w:widowControl/>
        <w:rPr>
          <w:rFonts w:hint="eastAsia" w:ascii="仿宋" w:hAnsi="仿宋" w:eastAsia="仿宋" w:cs="仿宋"/>
          <w:highlight w:val="none"/>
        </w:rPr>
        <w:sectPr>
          <w:pgSz w:w="12240" w:h="15840"/>
          <w:pgMar w:top="1400" w:right="1100" w:bottom="1120" w:left="1560" w:header="0" w:footer="841" w:gutter="0"/>
          <w:cols w:space="720" w:num="1"/>
        </w:sectPr>
      </w:pPr>
    </w:p>
    <w:p>
      <w:pPr>
        <w:pStyle w:val="4"/>
        <w:jc w:val="center"/>
        <w:rPr>
          <w:rFonts w:hint="eastAsia" w:ascii="仿宋" w:hAnsi="仿宋" w:eastAsia="仿宋" w:cs="仿宋"/>
          <w:highlight w:val="none"/>
        </w:rPr>
      </w:pPr>
      <w:r>
        <w:rPr>
          <w:rFonts w:hint="eastAsia" w:ascii="仿宋" w:hAnsi="仿宋" w:eastAsia="仿宋" w:cs="仿宋"/>
          <w:highlight w:val="none"/>
        </w:rPr>
        <w:t>七、投标一览表</w:t>
      </w:r>
    </w:p>
    <w:p>
      <w:pPr>
        <w:pStyle w:val="2"/>
        <w:kinsoku w:val="0"/>
        <w:overflowPunct w:val="0"/>
        <w:ind w:left="840" w:right="206"/>
        <w:rPr>
          <w:rFonts w:hint="eastAsia" w:ascii="仿宋" w:hAnsi="仿宋" w:eastAsia="仿宋" w:cs="仿宋"/>
          <w:highlight w:val="none"/>
        </w:rPr>
      </w:pPr>
    </w:p>
    <w:tbl>
      <w:tblPr>
        <w:tblStyle w:val="37"/>
        <w:tblW w:w="5000" w:type="pct"/>
        <w:jc w:val="center"/>
        <w:tblLayout w:type="autofit"/>
        <w:tblCellMar>
          <w:top w:w="0" w:type="dxa"/>
          <w:left w:w="0" w:type="dxa"/>
          <w:bottom w:w="0" w:type="dxa"/>
          <w:right w:w="0" w:type="dxa"/>
        </w:tblCellMar>
      </w:tblPr>
      <w:tblGrid>
        <w:gridCol w:w="576"/>
        <w:gridCol w:w="3141"/>
        <w:gridCol w:w="2367"/>
        <w:gridCol w:w="1408"/>
        <w:gridCol w:w="818"/>
      </w:tblGrid>
      <w:tr>
        <w:trPr>
          <w:trHeight w:val="1082" w:hRule="exac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序 号</w:t>
            </w:r>
          </w:p>
        </w:tc>
        <w:tc>
          <w:tcPr>
            <w:tcW w:w="189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bookmarkStart w:id="53" w:name="_Hlk71321093"/>
            <w:r>
              <w:rPr>
                <w:rFonts w:hint="eastAsia" w:ascii="仿宋" w:hAnsi="仿宋" w:eastAsia="仿宋" w:cs="仿宋"/>
                <w:szCs w:val="21"/>
                <w:highlight w:val="none"/>
              </w:rPr>
              <w:t>分项服务费</w:t>
            </w:r>
            <w:bookmarkEnd w:id="53"/>
            <w:r>
              <w:rPr>
                <w:rFonts w:hint="eastAsia" w:ascii="仿宋" w:hAnsi="仿宋" w:eastAsia="仿宋" w:cs="仿宋"/>
                <w:szCs w:val="21"/>
                <w:highlight w:val="none"/>
              </w:rPr>
              <w:t>名称</w:t>
            </w:r>
          </w:p>
        </w:tc>
        <w:tc>
          <w:tcPr>
            <w:tcW w:w="142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投标报价（单位：元）</w:t>
            </w:r>
          </w:p>
          <w:p>
            <w:pPr>
              <w:jc w:val="center"/>
              <w:rPr>
                <w:rFonts w:hint="eastAsia" w:ascii="仿宋" w:hAnsi="仿宋" w:eastAsia="仿宋" w:cs="仿宋"/>
                <w:szCs w:val="21"/>
                <w:highlight w:val="none"/>
              </w:rPr>
            </w:pPr>
            <w:r>
              <w:rPr>
                <w:rFonts w:hint="eastAsia" w:ascii="仿宋" w:hAnsi="仿宋" w:eastAsia="仿宋" w:cs="仿宋"/>
                <w:szCs w:val="21"/>
                <w:highlight w:val="none"/>
              </w:rPr>
              <w:t>（各专业投标报价）</w:t>
            </w:r>
          </w:p>
        </w:tc>
        <w:tc>
          <w:tcPr>
            <w:tcW w:w="8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下浮率</w:t>
            </w:r>
          </w:p>
        </w:tc>
        <w:tc>
          <w:tcPr>
            <w:tcW w:w="49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tblPrEx>
          <w:tblCellMar>
            <w:top w:w="0" w:type="dxa"/>
            <w:left w:w="0" w:type="dxa"/>
            <w:bottom w:w="0" w:type="dxa"/>
            <w:right w:w="0" w:type="dxa"/>
          </w:tblCellMar>
        </w:tblPrEx>
        <w:trPr>
          <w:trHeight w:val="627" w:hRule="exac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89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设计费</w:t>
            </w:r>
          </w:p>
        </w:tc>
        <w:tc>
          <w:tcPr>
            <w:tcW w:w="142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p>
        </w:tc>
        <w:tc>
          <w:tcPr>
            <w:tcW w:w="8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49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570" w:hRule="exac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89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勘察费</w:t>
            </w:r>
          </w:p>
        </w:tc>
        <w:tc>
          <w:tcPr>
            <w:tcW w:w="142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p>
        </w:tc>
        <w:tc>
          <w:tcPr>
            <w:tcW w:w="8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49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570" w:hRule="exact"/>
          <w:jc w:val="center"/>
        </w:trPr>
        <w:tc>
          <w:tcPr>
            <w:tcW w:w="223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合计</w:t>
            </w:r>
          </w:p>
        </w:tc>
        <w:tc>
          <w:tcPr>
            <w:tcW w:w="142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p>
        </w:tc>
        <w:tc>
          <w:tcPr>
            <w:tcW w:w="8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49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570" w:hRule="exact"/>
          <w:jc w:val="center"/>
        </w:trPr>
        <w:tc>
          <w:tcPr>
            <w:tcW w:w="366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投标综合下浮率</w:t>
            </w:r>
          </w:p>
        </w:tc>
        <w:tc>
          <w:tcPr>
            <w:tcW w:w="84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49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highlight w:val="none"/>
              </w:rPr>
            </w:pPr>
          </w:p>
        </w:tc>
      </w:tr>
    </w:tbl>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注：</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各单项服务报价以元为单位，各单项服务报价、下浮率小数点后保留二位小数，第三位小数四舍五入），如各单项服务报价与各单项下浮率计算结果不一致，以各单项下浮率与各单项服务暂定价修正各单项服务报价。下浮率填写范围为[0,100%]。</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（2）投标综合下浮率：各单项服务费暂定价乘以各单项下浮率得出各单项服务费下浮金额，各单项服务费下浮金额之和除以项目总暂定价。</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（3）各投标人的各单项报价均不得超过暂定价。</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（4）结算价格最终以财政审核为准。</w:t>
      </w:r>
    </w:p>
    <w:p>
      <w:pPr>
        <w:rPr>
          <w:rFonts w:hint="eastAsia" w:ascii="仿宋" w:hAnsi="仿宋" w:eastAsia="仿宋" w:cs="仿宋"/>
          <w:highlight w:val="none"/>
        </w:rPr>
      </w:pPr>
    </w:p>
    <w:p>
      <w:pPr>
        <w:rPr>
          <w:rFonts w:hint="eastAsia" w:ascii="仿宋" w:hAnsi="仿宋" w:eastAsia="仿宋" w:cs="仿宋"/>
          <w:highlight w:val="none"/>
        </w:rPr>
      </w:pPr>
    </w:p>
    <w:p>
      <w:pPr>
        <w:pStyle w:val="2"/>
        <w:tabs>
          <w:tab w:val="left" w:pos="4039"/>
          <w:tab w:val="left" w:pos="4519"/>
          <w:tab w:val="left" w:pos="4999"/>
          <w:tab w:val="left" w:pos="7159"/>
          <w:tab w:val="left" w:pos="7778"/>
        </w:tabs>
        <w:kinsoku w:val="0"/>
        <w:overflowPunct w:val="0"/>
        <w:spacing w:line="357" w:lineRule="auto"/>
        <w:ind w:left="2959" w:right="105"/>
        <w:rPr>
          <w:rFonts w:hint="eastAsia" w:ascii="仿宋" w:hAnsi="仿宋" w:eastAsia="仿宋" w:cs="仿宋"/>
          <w:szCs w:val="21"/>
          <w:highlight w:val="none"/>
        </w:rPr>
      </w:pPr>
      <w:r>
        <w:rPr>
          <w:rFonts w:hint="eastAsia" w:ascii="仿宋" w:hAnsi="仿宋" w:eastAsia="仿宋" w:cs="仿宋"/>
          <w:szCs w:val="21"/>
          <w:highlight w:val="none"/>
        </w:rPr>
        <w:t>投</w:t>
      </w:r>
      <w:r>
        <w:rPr>
          <w:rFonts w:hint="eastAsia" w:ascii="仿宋" w:hAnsi="仿宋" w:eastAsia="仿宋" w:cs="仿宋"/>
          <w:spacing w:val="-1"/>
          <w:szCs w:val="21"/>
          <w:highlight w:val="none"/>
        </w:rPr>
        <w:t xml:space="preserve"> </w:t>
      </w:r>
      <w:r>
        <w:rPr>
          <w:rFonts w:hint="eastAsia" w:ascii="仿宋" w:hAnsi="仿宋" w:eastAsia="仿宋" w:cs="仿宋"/>
          <w:szCs w:val="21"/>
          <w:highlight w:val="none"/>
        </w:rPr>
        <w:t>标</w:t>
      </w:r>
      <w:r>
        <w:rPr>
          <w:rFonts w:hint="eastAsia" w:ascii="仿宋" w:hAnsi="仿宋" w:eastAsia="仿宋" w:cs="仿宋"/>
          <w:spacing w:val="-1"/>
          <w:szCs w:val="21"/>
          <w:highlight w:val="none"/>
        </w:rPr>
        <w:t xml:space="preserve"> </w:t>
      </w:r>
      <w:r>
        <w:rPr>
          <w:rFonts w:hint="eastAsia" w:ascii="仿宋" w:hAnsi="仿宋" w:eastAsia="仿宋" w:cs="仿宋"/>
          <w:szCs w:val="21"/>
          <w:highlight w:val="none"/>
        </w:rPr>
        <w:t xml:space="preserve">人： </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 xml:space="preserve">（盖章） </w:t>
      </w:r>
    </w:p>
    <w:p>
      <w:pPr>
        <w:pStyle w:val="2"/>
        <w:tabs>
          <w:tab w:val="left" w:pos="4039"/>
          <w:tab w:val="left" w:pos="4519"/>
          <w:tab w:val="left" w:pos="4999"/>
          <w:tab w:val="left" w:pos="7159"/>
          <w:tab w:val="left" w:pos="7778"/>
        </w:tabs>
        <w:kinsoku w:val="0"/>
        <w:overflowPunct w:val="0"/>
        <w:spacing w:line="357" w:lineRule="auto"/>
        <w:ind w:left="2959" w:right="105"/>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 xml:space="preserve">（签字或盖章） </w:t>
      </w:r>
    </w:p>
    <w:p>
      <w:pPr>
        <w:pStyle w:val="2"/>
        <w:tabs>
          <w:tab w:val="left" w:pos="4039"/>
          <w:tab w:val="left" w:pos="4519"/>
          <w:tab w:val="left" w:pos="4999"/>
          <w:tab w:val="left" w:pos="7159"/>
          <w:tab w:val="left" w:pos="7778"/>
        </w:tabs>
        <w:kinsoku w:val="0"/>
        <w:overflowPunct w:val="0"/>
        <w:spacing w:line="357" w:lineRule="auto"/>
        <w:ind w:left="2959" w:right="105"/>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日</w:t>
      </w:r>
    </w:p>
    <w:p>
      <w:pPr>
        <w:spacing w:line="360" w:lineRule="auto"/>
        <w:rPr>
          <w:rFonts w:hint="eastAsia" w:ascii="仿宋" w:hAnsi="仿宋" w:eastAsia="仿宋" w:cs="仿宋"/>
          <w:highlight w:val="none"/>
        </w:rPr>
      </w:pP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pStyle w:val="4"/>
        <w:jc w:val="center"/>
        <w:rPr>
          <w:rFonts w:hint="eastAsia" w:ascii="仿宋" w:hAnsi="仿宋" w:eastAsia="仿宋" w:cs="仿宋"/>
          <w:highlight w:val="none"/>
        </w:rPr>
      </w:pPr>
      <w:r>
        <w:rPr>
          <w:rFonts w:hint="eastAsia" w:ascii="仿宋" w:hAnsi="仿宋" w:eastAsia="仿宋" w:cs="仿宋"/>
          <w:highlight w:val="none"/>
        </w:rPr>
        <w:t>八、其他资料</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格式自拟。</w:t>
      </w:r>
    </w:p>
    <w:p>
      <w:pPr>
        <w:snapToGrid w:val="0"/>
        <w:spacing w:line="360" w:lineRule="auto"/>
        <w:rPr>
          <w:rFonts w:hint="eastAsia" w:ascii="仿宋" w:hAnsi="仿宋" w:eastAsia="仿宋" w:cs="仿宋"/>
          <w:highlight w:val="none"/>
        </w:rPr>
      </w:pP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pStyle w:val="2"/>
        <w:kinsoku w:val="0"/>
        <w:overflowPunct w:val="0"/>
        <w:jc w:val="center"/>
        <w:rPr>
          <w:rFonts w:hint="eastAsia" w:ascii="仿宋" w:hAnsi="仿宋" w:eastAsia="仿宋" w:cs="仿宋"/>
          <w:sz w:val="50"/>
          <w:szCs w:val="50"/>
          <w:highlight w:val="none"/>
        </w:rPr>
      </w:pPr>
      <w:r>
        <w:rPr>
          <w:rFonts w:hint="eastAsia" w:ascii="仿宋" w:hAnsi="仿宋" w:eastAsia="仿宋" w:cs="仿宋"/>
          <w:sz w:val="48"/>
          <w:szCs w:val="48"/>
          <w:highlight w:val="none"/>
          <w:lang w:eastAsia="zh-CN"/>
        </w:rPr>
        <w:t>汕尾红海湾经济开发区东洲街道美丽圩镇建设项目</w:t>
      </w:r>
      <w:r>
        <w:rPr>
          <w:rFonts w:hint="eastAsia" w:ascii="仿宋" w:hAnsi="仿宋" w:eastAsia="仿宋" w:cs="仿宋"/>
          <w:sz w:val="48"/>
          <w:szCs w:val="48"/>
          <w:highlight w:val="none"/>
        </w:rPr>
        <w:t>勘察设计</w:t>
      </w:r>
    </w:p>
    <w:p>
      <w:pPr>
        <w:pStyle w:val="2"/>
        <w:kinsoku w:val="0"/>
        <w:overflowPunct w:val="0"/>
        <w:rPr>
          <w:rFonts w:hint="eastAsia" w:ascii="仿宋" w:hAnsi="仿宋" w:eastAsia="仿宋" w:cs="仿宋"/>
          <w:sz w:val="50"/>
          <w:szCs w:val="50"/>
          <w:highlight w:val="none"/>
        </w:rPr>
      </w:pPr>
    </w:p>
    <w:p>
      <w:pPr>
        <w:pStyle w:val="2"/>
        <w:kinsoku w:val="0"/>
        <w:overflowPunct w:val="0"/>
        <w:spacing w:before="3"/>
        <w:rPr>
          <w:rFonts w:hint="eastAsia" w:ascii="仿宋" w:hAnsi="仿宋" w:eastAsia="仿宋" w:cs="仿宋"/>
          <w:sz w:val="64"/>
          <w:szCs w:val="64"/>
          <w:highlight w:val="none"/>
        </w:rPr>
      </w:pPr>
    </w:p>
    <w:p>
      <w:pPr>
        <w:pStyle w:val="2"/>
        <w:kinsoku w:val="0"/>
        <w:overflowPunct w:val="0"/>
        <w:ind w:right="1"/>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投标文件</w:t>
      </w:r>
    </w:p>
    <w:p>
      <w:pPr>
        <w:rPr>
          <w:rFonts w:hint="eastAsia" w:ascii="仿宋" w:hAnsi="仿宋" w:eastAsia="仿宋" w:cs="仿宋"/>
          <w:highlight w:val="none"/>
        </w:rPr>
      </w:pPr>
      <w:r>
        <w:rPr>
          <w:rFonts w:hint="eastAsia" w:ascii="仿宋" w:hAnsi="仿宋" w:eastAsia="仿宋" w:cs="仿宋"/>
          <w:sz w:val="48"/>
          <w:szCs w:val="48"/>
          <w:highlight w:val="none"/>
        </w:rPr>
        <w:t xml:space="preserve">        </w:t>
      </w:r>
      <w:r>
        <w:rPr>
          <w:rFonts w:hint="eastAsia" w:ascii="仿宋" w:hAnsi="仿宋" w:eastAsia="仿宋" w:cs="仿宋"/>
          <w:color w:val="C00000"/>
          <w:sz w:val="48"/>
          <w:szCs w:val="48"/>
          <w:highlight w:val="none"/>
        </w:rPr>
        <w:t xml:space="preserve"> </w:t>
      </w:r>
      <w:r>
        <w:rPr>
          <w:rFonts w:hint="eastAsia" w:ascii="仿宋" w:hAnsi="仿宋" w:eastAsia="仿宋" w:cs="仿宋"/>
          <w:sz w:val="44"/>
          <w:szCs w:val="44"/>
          <w:highlight w:val="none"/>
        </w:rPr>
        <w:t xml:space="preserve">   （技术部分）</w:t>
      </w:r>
    </w:p>
    <w:p>
      <w:pPr>
        <w:pStyle w:val="2"/>
        <w:kinsoku w:val="0"/>
        <w:overflowPunct w:val="0"/>
        <w:rPr>
          <w:rFonts w:hint="eastAsia" w:ascii="仿宋" w:hAnsi="仿宋" w:eastAsia="仿宋" w:cs="仿宋"/>
          <w:sz w:val="48"/>
          <w:szCs w:val="48"/>
          <w:highlight w:val="none"/>
        </w:rPr>
      </w:pPr>
    </w:p>
    <w:p>
      <w:pPr>
        <w:pStyle w:val="2"/>
        <w:kinsoku w:val="0"/>
        <w:overflowPunct w:val="0"/>
        <w:rPr>
          <w:rFonts w:hint="eastAsia" w:ascii="仿宋" w:hAnsi="仿宋" w:eastAsia="仿宋" w:cs="仿宋"/>
          <w:sz w:val="48"/>
          <w:szCs w:val="48"/>
          <w:highlight w:val="none"/>
        </w:rPr>
      </w:pPr>
    </w:p>
    <w:p>
      <w:pPr>
        <w:pStyle w:val="2"/>
        <w:kinsoku w:val="0"/>
        <w:overflowPunct w:val="0"/>
        <w:rPr>
          <w:rFonts w:hint="eastAsia" w:ascii="仿宋" w:hAnsi="仿宋" w:eastAsia="仿宋" w:cs="仿宋"/>
          <w:sz w:val="48"/>
          <w:szCs w:val="48"/>
          <w:highlight w:val="none"/>
        </w:rPr>
      </w:pPr>
    </w:p>
    <w:p>
      <w:pPr>
        <w:pStyle w:val="2"/>
        <w:kinsoku w:val="0"/>
        <w:overflowPunct w:val="0"/>
        <w:rPr>
          <w:rFonts w:hint="eastAsia" w:ascii="仿宋" w:hAnsi="仿宋" w:eastAsia="仿宋" w:cs="仿宋"/>
          <w:sz w:val="48"/>
          <w:szCs w:val="48"/>
          <w:highlight w:val="none"/>
        </w:rPr>
      </w:pPr>
    </w:p>
    <w:p>
      <w:pPr>
        <w:pStyle w:val="2"/>
        <w:kinsoku w:val="0"/>
        <w:overflowPunct w:val="0"/>
        <w:rPr>
          <w:rFonts w:hint="eastAsia" w:ascii="仿宋" w:hAnsi="仿宋" w:eastAsia="仿宋" w:cs="仿宋"/>
          <w:sz w:val="48"/>
          <w:szCs w:val="48"/>
          <w:highlight w:val="none"/>
        </w:rPr>
      </w:pPr>
    </w:p>
    <w:p>
      <w:pPr>
        <w:pStyle w:val="2"/>
        <w:tabs>
          <w:tab w:val="left" w:pos="6268"/>
        </w:tabs>
        <w:kinsoku w:val="0"/>
        <w:overflowPunct w:val="0"/>
        <w:spacing w:line="381" w:lineRule="auto"/>
        <w:ind w:left="120" w:right="175"/>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投 标</w:t>
      </w:r>
      <w:r>
        <w:rPr>
          <w:rFonts w:hint="eastAsia" w:ascii="仿宋" w:hAnsi="仿宋" w:eastAsia="仿宋" w:cs="仿宋"/>
          <w:spacing w:val="-2"/>
          <w:sz w:val="30"/>
          <w:szCs w:val="30"/>
          <w:highlight w:val="none"/>
        </w:rPr>
        <w:t xml:space="preserve"> </w:t>
      </w:r>
      <w:r>
        <w:rPr>
          <w:rFonts w:hint="eastAsia" w:ascii="仿宋" w:hAnsi="仿宋" w:eastAsia="仿宋" w:cs="仿宋"/>
          <w:sz w:val="30"/>
          <w:szCs w:val="30"/>
          <w:highlight w:val="none"/>
        </w:rPr>
        <w:t>人</w:t>
      </w:r>
      <w:r>
        <w:rPr>
          <w:rFonts w:hint="eastAsia" w:ascii="仿宋" w:hAnsi="仿宋" w:eastAsia="仿宋" w:cs="仿宋"/>
          <w:spacing w:val="-3"/>
          <w:sz w:val="30"/>
          <w:szCs w:val="30"/>
          <w:highlight w:val="none"/>
        </w:rPr>
        <w:t xml:space="preserve"> </w:t>
      </w:r>
      <w:r>
        <w:rPr>
          <w:rFonts w:hint="eastAsia" w:ascii="仿宋" w:hAnsi="仿宋" w:eastAsia="仿宋" w:cs="仿宋"/>
          <w:sz w:val="30"/>
          <w:szCs w:val="30"/>
          <w:highlight w:val="none"/>
        </w:rPr>
        <w:t xml:space="preserve">： </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 xml:space="preserve">（盖单位公章） </w:t>
      </w:r>
    </w:p>
    <w:p>
      <w:pPr>
        <w:pStyle w:val="2"/>
        <w:tabs>
          <w:tab w:val="left" w:pos="6268"/>
        </w:tabs>
        <w:kinsoku w:val="0"/>
        <w:overflowPunct w:val="0"/>
        <w:spacing w:line="381" w:lineRule="auto"/>
        <w:ind w:left="120" w:right="175"/>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法定代表人或其委托代理人</w:t>
      </w:r>
      <w:r>
        <w:rPr>
          <w:rFonts w:hint="eastAsia" w:ascii="仿宋" w:hAnsi="仿宋" w:eastAsia="仿宋" w:cs="仿宋"/>
          <w:spacing w:val="-3"/>
          <w:sz w:val="30"/>
          <w:szCs w:val="30"/>
          <w:highlight w:val="none"/>
        </w:rPr>
        <w:t xml:space="preserve"> </w:t>
      </w:r>
      <w:r>
        <w:rPr>
          <w:rFonts w:hint="eastAsia" w:ascii="仿宋" w:hAnsi="仿宋" w:eastAsia="仿宋" w:cs="仿宋"/>
          <w:sz w:val="30"/>
          <w:szCs w:val="30"/>
          <w:highlight w:val="none"/>
        </w:rPr>
        <w:t xml:space="preserve">： </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（签字或盖章）</w:t>
      </w:r>
    </w:p>
    <w:p>
      <w:pPr>
        <w:pStyle w:val="2"/>
        <w:tabs>
          <w:tab w:val="left" w:pos="3523"/>
          <w:tab w:val="left" w:pos="4571"/>
          <w:tab w:val="left" w:pos="5623"/>
        </w:tabs>
        <w:kinsoku w:val="0"/>
        <w:overflowPunct w:val="0"/>
        <w:spacing w:before="54"/>
        <w:ind w:left="2623"/>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r>
        <w:rPr>
          <w:rFonts w:hint="eastAsia" w:ascii="仿宋" w:hAnsi="仿宋" w:eastAsia="仿宋" w:cs="仿宋"/>
          <w:b/>
          <w:highlight w:val="none"/>
          <w:u w:val="single"/>
        </w:rPr>
        <w:t xml:space="preserve">       </w:t>
      </w:r>
      <w:r>
        <w:rPr>
          <w:rFonts w:hint="eastAsia" w:ascii="仿宋" w:hAnsi="仿宋" w:eastAsia="仿宋" w:cs="仿宋"/>
          <w:spacing w:val="-1"/>
          <w:sz w:val="30"/>
          <w:szCs w:val="30"/>
          <w:highlight w:val="none"/>
        </w:rPr>
        <w:t>年</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b/>
          <w:highlight w:val="none"/>
          <w:u w:val="single"/>
        </w:rPr>
        <w:t xml:space="preserve">    </w:t>
      </w:r>
      <w:r>
        <w:rPr>
          <w:rFonts w:hint="eastAsia" w:ascii="仿宋" w:hAnsi="仿宋" w:eastAsia="仿宋" w:cs="仿宋"/>
          <w:sz w:val="30"/>
          <w:szCs w:val="30"/>
          <w:highlight w:val="none"/>
        </w:rPr>
        <w:t>日</w:t>
      </w:r>
    </w:p>
    <w:p>
      <w:pPr>
        <w:rPr>
          <w:rFonts w:hint="eastAsia" w:ascii="仿宋" w:hAnsi="仿宋" w:eastAsia="仿宋" w:cs="仿宋"/>
          <w:highlight w:val="none"/>
        </w:rPr>
      </w:pP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highlight w:val="none"/>
        </w:rPr>
      </w:pPr>
    </w:p>
    <w:p>
      <w:pPr>
        <w:pStyle w:val="4"/>
        <w:spacing w:line="525" w:lineRule="exact"/>
        <w:ind w:left="2977"/>
        <w:rPr>
          <w:rFonts w:hint="eastAsia" w:ascii="仿宋" w:hAnsi="仿宋" w:eastAsia="仿宋" w:cs="仿宋"/>
          <w:kern w:val="0"/>
          <w:highlight w:val="none"/>
        </w:rPr>
      </w:pPr>
      <w:r>
        <w:rPr>
          <w:rFonts w:hint="eastAsia" w:ascii="仿宋" w:hAnsi="仿宋" w:eastAsia="仿宋" w:cs="仿宋"/>
          <w:highlight w:val="none"/>
        </w:rPr>
        <w:t>九、勘察设计方案</w:t>
      </w:r>
    </w:p>
    <w:p>
      <w:pPr>
        <w:pStyle w:val="2"/>
        <w:spacing w:after="0"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（格式自拟）</w:t>
      </w:r>
    </w:p>
    <w:p>
      <w:pPr>
        <w:widowControl/>
        <w:spacing w:line="362" w:lineRule="auto"/>
        <w:jc w:val="cente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
        <w:tabs>
          <w:tab w:val="left" w:pos="4039"/>
          <w:tab w:val="left" w:pos="4519"/>
          <w:tab w:val="left" w:pos="4999"/>
          <w:tab w:val="left" w:pos="7159"/>
          <w:tab w:val="left" w:pos="7778"/>
        </w:tabs>
        <w:kinsoku w:val="0"/>
        <w:overflowPunct w:val="0"/>
        <w:spacing w:line="357" w:lineRule="auto"/>
        <w:ind w:right="105"/>
        <w:rPr>
          <w:rFonts w:hint="eastAsia" w:ascii="仿宋" w:hAnsi="仿宋" w:eastAsia="仿宋" w:cs="仿宋"/>
          <w:sz w:val="24"/>
          <w:szCs w:val="24"/>
          <w:highlight w:val="none"/>
        </w:rPr>
      </w:pPr>
      <w:r>
        <w:rPr>
          <w:rFonts w:hint="eastAsia" w:ascii="仿宋" w:hAnsi="仿宋" w:eastAsia="仿宋" w:cs="仿宋"/>
          <w:sz w:val="24"/>
          <w:szCs w:val="24"/>
          <w:highlight w:val="none"/>
        </w:rPr>
        <w:t>投</w:t>
      </w:r>
      <w:r>
        <w:rPr>
          <w:rFonts w:hint="eastAsia" w:ascii="仿宋" w:hAnsi="仿宋" w:eastAsia="仿宋" w:cs="仿宋"/>
          <w:spacing w:val="-1"/>
          <w:sz w:val="24"/>
          <w:szCs w:val="24"/>
          <w:highlight w:val="none"/>
        </w:rPr>
        <w:t xml:space="preserve"> </w:t>
      </w:r>
      <w:r>
        <w:rPr>
          <w:rFonts w:hint="eastAsia" w:ascii="仿宋" w:hAnsi="仿宋" w:eastAsia="仿宋" w:cs="仿宋"/>
          <w:sz w:val="24"/>
          <w:szCs w:val="24"/>
          <w:highlight w:val="none"/>
        </w:rPr>
        <w:t>标</w:t>
      </w:r>
      <w:r>
        <w:rPr>
          <w:rFonts w:hint="eastAsia" w:ascii="仿宋" w:hAnsi="仿宋" w:eastAsia="仿宋" w:cs="仿宋"/>
          <w:spacing w:val="-1"/>
          <w:sz w:val="24"/>
          <w:szCs w:val="24"/>
          <w:highlight w:val="none"/>
        </w:rPr>
        <w:t xml:space="preserve"> </w:t>
      </w:r>
      <w:r>
        <w:rPr>
          <w:rFonts w:hint="eastAsia" w:ascii="仿宋" w:hAnsi="仿宋" w:eastAsia="仿宋" w:cs="仿宋"/>
          <w:sz w:val="24"/>
          <w:szCs w:val="24"/>
          <w:highlight w:val="none"/>
        </w:rPr>
        <w:t xml:space="preserve">人： </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 xml:space="preserve">（盖章） </w:t>
      </w:r>
    </w:p>
    <w:p>
      <w:pPr>
        <w:pStyle w:val="2"/>
        <w:tabs>
          <w:tab w:val="left" w:pos="4039"/>
          <w:tab w:val="left" w:pos="4519"/>
          <w:tab w:val="left" w:pos="4999"/>
          <w:tab w:val="left" w:pos="7159"/>
          <w:tab w:val="left" w:pos="7778"/>
        </w:tabs>
        <w:kinsoku w:val="0"/>
        <w:overflowPunct w:val="0"/>
        <w:spacing w:line="357" w:lineRule="auto"/>
        <w:ind w:right="10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 xml:space="preserve">（签字或盖章） </w:t>
      </w:r>
    </w:p>
    <w:p>
      <w:pPr>
        <w:pStyle w:val="2"/>
        <w:tabs>
          <w:tab w:val="left" w:pos="4039"/>
          <w:tab w:val="left" w:pos="4519"/>
          <w:tab w:val="left" w:pos="4999"/>
          <w:tab w:val="left" w:pos="7159"/>
          <w:tab w:val="left" w:pos="7778"/>
        </w:tabs>
        <w:kinsoku w:val="0"/>
        <w:overflowPunct w:val="0"/>
        <w:spacing w:line="357" w:lineRule="auto"/>
        <w:ind w:right="10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日</w:t>
      </w:r>
    </w:p>
    <w:sectPr>
      <w:pgSz w:w="11906" w:h="16838"/>
      <w:pgMar w:top="1440" w:right="1803" w:bottom="1440" w:left="1803" w:header="851" w:footer="992"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69</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15875">
                        <a:noFill/>
                      </a:ln>
                    </wps:spPr>
                    <wps:txbx>
                      <w:txbxContent>
                        <w:p>
                          <w:pPr>
                            <w:pStyle w:val="24"/>
                            <w:rPr>
                              <w:rStyle w:val="41"/>
                            </w:rPr>
                          </w:pPr>
                          <w:r>
                            <w:fldChar w:fldCharType="begin"/>
                          </w:r>
                          <w:r>
                            <w:rPr>
                              <w:rStyle w:val="41"/>
                            </w:rPr>
                            <w:instrText xml:space="preserve">PAGE  </w:instrText>
                          </w:r>
                          <w:r>
                            <w:fldChar w:fldCharType="separate"/>
                          </w:r>
                          <w:r>
                            <w:rPr>
                              <w:rStyle w:val="41"/>
                            </w:rPr>
                            <w:t>55</w:t>
                          </w:r>
                          <w:r>
                            <w:fldChar w:fldCharType="end"/>
                          </w:r>
                        </w:p>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F0iHvTAAAAAwEAAA8AAAAAAAAAAQAgAAAA&#10;IgAAAGRycy9kb3ducmV2LnhtbFBLAQIUABQAAAAIAIdO4kBUX+nw1wEAAKIDAAAOAAAAAAAAAAEA&#10;IAAAACIBAABkcnMvZTJvRG9jLnhtbFBLBQYAAAAABgAGAFkBAABrBQAAAAA=&#10;">
              <v:fill on="f" focussize="0,0"/>
              <v:stroke on="f" weight="1.25pt"/>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55</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69</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69</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219B4"/>
    <w:multiLevelType w:val="singleLevel"/>
    <w:tmpl w:val="A33219B4"/>
    <w:lvl w:ilvl="0" w:tentative="0">
      <w:start w:val="1"/>
      <w:numFmt w:val="decimal"/>
      <w:lvlText w:val="%1."/>
      <w:lvlJc w:val="left"/>
      <w:pPr>
        <w:tabs>
          <w:tab w:val="left" w:pos="312"/>
        </w:tabs>
      </w:pPr>
    </w:lvl>
  </w:abstractNum>
  <w:abstractNum w:abstractNumId="1">
    <w:nsid w:val="0569513F"/>
    <w:multiLevelType w:val="singleLevel"/>
    <w:tmpl w:val="0569513F"/>
    <w:lvl w:ilvl="0" w:tentative="0">
      <w:start w:val="1"/>
      <w:numFmt w:val="decimal"/>
      <w:suff w:val="space"/>
      <w:lvlText w:val="%1."/>
      <w:lvlJc w:val="left"/>
    </w:lvl>
  </w:abstractNum>
  <w:abstractNum w:abstractNumId="2">
    <w:nsid w:val="082FD54B"/>
    <w:multiLevelType w:val="singleLevel"/>
    <w:tmpl w:val="082FD54B"/>
    <w:lvl w:ilvl="0" w:tentative="0">
      <w:start w:val="4"/>
      <w:numFmt w:val="decimal"/>
      <w:suff w:val="nothing"/>
      <w:lvlText w:val="（%1）"/>
      <w:lvlJc w:val="left"/>
    </w:lvl>
  </w:abstractNum>
  <w:abstractNum w:abstractNumId="3">
    <w:nsid w:val="4D61037F"/>
    <w:multiLevelType w:val="singleLevel"/>
    <w:tmpl w:val="4D61037F"/>
    <w:lvl w:ilvl="0" w:tentative="0">
      <w:start w:val="4"/>
      <w:numFmt w:val="decimal"/>
      <w:suff w:val="space"/>
      <w:lvlText w:val="%1."/>
      <w:lvlJc w:val="left"/>
    </w:lvl>
  </w:abstractNum>
  <w:abstractNum w:abstractNumId="4">
    <w:nsid w:val="72FC0291"/>
    <w:multiLevelType w:val="multilevel"/>
    <w:tmpl w:val="72FC0291"/>
    <w:lvl w:ilvl="0" w:tentative="0">
      <w:start w:val="1"/>
      <w:numFmt w:val="decimal"/>
      <w:lvlText w:val="（%1）"/>
      <w:lvlJc w:val="left"/>
      <w:pPr>
        <w:ind w:left="1097" w:hanging="529"/>
      </w:pPr>
      <w:rPr>
        <w:rFonts w:hint="eastAsia"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lang w:val="zh-CN" w:eastAsia="zh-CN" w:bidi="zh-CN"/>
      </w:rPr>
    </w:lvl>
    <w:lvl w:ilvl="2" w:tentative="0">
      <w:start w:val="0"/>
      <w:numFmt w:val="bullet"/>
      <w:lvlText w:val="•"/>
      <w:lvlJc w:val="left"/>
      <w:pPr>
        <w:ind w:left="2860" w:hanging="529"/>
      </w:pPr>
      <w:rPr>
        <w:lang w:val="zh-CN" w:eastAsia="zh-CN" w:bidi="zh-CN"/>
      </w:rPr>
    </w:lvl>
    <w:lvl w:ilvl="3" w:tentative="0">
      <w:start w:val="0"/>
      <w:numFmt w:val="bullet"/>
      <w:lvlText w:val="•"/>
      <w:lvlJc w:val="left"/>
      <w:pPr>
        <w:ind w:left="3700" w:hanging="529"/>
      </w:pPr>
      <w:rPr>
        <w:lang w:val="zh-CN" w:eastAsia="zh-CN" w:bidi="zh-CN"/>
      </w:rPr>
    </w:lvl>
    <w:lvl w:ilvl="4" w:tentative="0">
      <w:start w:val="0"/>
      <w:numFmt w:val="bullet"/>
      <w:lvlText w:val="•"/>
      <w:lvlJc w:val="left"/>
      <w:pPr>
        <w:ind w:left="4540" w:hanging="529"/>
      </w:pPr>
      <w:rPr>
        <w:lang w:val="zh-CN" w:eastAsia="zh-CN" w:bidi="zh-CN"/>
      </w:rPr>
    </w:lvl>
    <w:lvl w:ilvl="5" w:tentative="0">
      <w:start w:val="0"/>
      <w:numFmt w:val="bullet"/>
      <w:lvlText w:val="•"/>
      <w:lvlJc w:val="left"/>
      <w:pPr>
        <w:ind w:left="5380" w:hanging="529"/>
      </w:pPr>
      <w:rPr>
        <w:lang w:val="zh-CN" w:eastAsia="zh-CN" w:bidi="zh-CN"/>
      </w:rPr>
    </w:lvl>
    <w:lvl w:ilvl="6" w:tentative="0">
      <w:start w:val="0"/>
      <w:numFmt w:val="bullet"/>
      <w:lvlText w:val="•"/>
      <w:lvlJc w:val="left"/>
      <w:pPr>
        <w:ind w:left="6220" w:hanging="529"/>
      </w:pPr>
      <w:rPr>
        <w:lang w:val="zh-CN" w:eastAsia="zh-CN" w:bidi="zh-CN"/>
      </w:rPr>
    </w:lvl>
    <w:lvl w:ilvl="7" w:tentative="0">
      <w:start w:val="0"/>
      <w:numFmt w:val="bullet"/>
      <w:lvlText w:val="•"/>
      <w:lvlJc w:val="left"/>
      <w:pPr>
        <w:ind w:left="7060" w:hanging="529"/>
      </w:pPr>
      <w:rPr>
        <w:lang w:val="zh-CN" w:eastAsia="zh-CN" w:bidi="zh-CN"/>
      </w:rPr>
    </w:lvl>
    <w:lvl w:ilvl="8" w:tentative="0">
      <w:start w:val="0"/>
      <w:numFmt w:val="bullet"/>
      <w:lvlText w:val="•"/>
      <w:lvlJc w:val="left"/>
      <w:pPr>
        <w:ind w:left="7900" w:hanging="529"/>
      </w:pPr>
      <w:rPr>
        <w:lang w:val="zh-CN" w:eastAsia="zh-CN" w:bidi="zh-CN"/>
      </w:rPr>
    </w:lvl>
  </w:abstractNum>
  <w:abstractNum w:abstractNumId="5">
    <w:nsid w:val="7F8DDD1E"/>
    <w:multiLevelType w:val="singleLevel"/>
    <w:tmpl w:val="7F8DDD1E"/>
    <w:lvl w:ilvl="0" w:tentative="0">
      <w:start w:val="5"/>
      <w:numFmt w:val="decimal"/>
      <w:suff w:val="nothing"/>
      <w:lvlText w:val="%1、"/>
      <w:lvlJc w:val="left"/>
    </w:lvl>
  </w:abstractNum>
  <w:num w:numId="1">
    <w:abstractNumId w:val="2"/>
  </w:num>
  <w:num w:numId="2">
    <w:abstractNumId w:val="0"/>
  </w:num>
  <w:num w:numId="3">
    <w:abstractNumId w:val="4"/>
    <w:lvlOverride w:ilvl="0">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DBiMTlkODBkNDg2Mzg2OGY4NzUxZjQ3OWViMWMifQ=="/>
  </w:docVars>
  <w:rsids>
    <w:rsidRoot w:val="00E03282"/>
    <w:rsid w:val="000068AC"/>
    <w:rsid w:val="0001154E"/>
    <w:rsid w:val="000121D6"/>
    <w:rsid w:val="00013D16"/>
    <w:rsid w:val="00014329"/>
    <w:rsid w:val="00014646"/>
    <w:rsid w:val="00015983"/>
    <w:rsid w:val="00016B16"/>
    <w:rsid w:val="00020A83"/>
    <w:rsid w:val="0002242E"/>
    <w:rsid w:val="00023448"/>
    <w:rsid w:val="000234B4"/>
    <w:rsid w:val="00023C9F"/>
    <w:rsid w:val="00027054"/>
    <w:rsid w:val="0003001F"/>
    <w:rsid w:val="0003127C"/>
    <w:rsid w:val="00036DC7"/>
    <w:rsid w:val="0003711C"/>
    <w:rsid w:val="00042A41"/>
    <w:rsid w:val="00042EF4"/>
    <w:rsid w:val="00046949"/>
    <w:rsid w:val="00047663"/>
    <w:rsid w:val="000477ED"/>
    <w:rsid w:val="00051290"/>
    <w:rsid w:val="0005531E"/>
    <w:rsid w:val="00066724"/>
    <w:rsid w:val="00067B39"/>
    <w:rsid w:val="00073288"/>
    <w:rsid w:val="000740D1"/>
    <w:rsid w:val="00075F69"/>
    <w:rsid w:val="00077C76"/>
    <w:rsid w:val="00082B9D"/>
    <w:rsid w:val="00083E32"/>
    <w:rsid w:val="000845E6"/>
    <w:rsid w:val="00087305"/>
    <w:rsid w:val="0009258D"/>
    <w:rsid w:val="00095786"/>
    <w:rsid w:val="00095C8E"/>
    <w:rsid w:val="000A518E"/>
    <w:rsid w:val="000A574F"/>
    <w:rsid w:val="000A62F7"/>
    <w:rsid w:val="000B1887"/>
    <w:rsid w:val="000B7EC2"/>
    <w:rsid w:val="000C2DA8"/>
    <w:rsid w:val="000C3FAB"/>
    <w:rsid w:val="000C5BB6"/>
    <w:rsid w:val="000D61EC"/>
    <w:rsid w:val="000D73C1"/>
    <w:rsid w:val="000E56A6"/>
    <w:rsid w:val="000F1C76"/>
    <w:rsid w:val="000F2375"/>
    <w:rsid w:val="000F6A27"/>
    <w:rsid w:val="000F76B2"/>
    <w:rsid w:val="001126FD"/>
    <w:rsid w:val="00114A68"/>
    <w:rsid w:val="00115072"/>
    <w:rsid w:val="001173BD"/>
    <w:rsid w:val="00120260"/>
    <w:rsid w:val="0012284E"/>
    <w:rsid w:val="00124086"/>
    <w:rsid w:val="00126004"/>
    <w:rsid w:val="00134672"/>
    <w:rsid w:val="001425AE"/>
    <w:rsid w:val="00142D12"/>
    <w:rsid w:val="001455DC"/>
    <w:rsid w:val="00145BFF"/>
    <w:rsid w:val="00150DDF"/>
    <w:rsid w:val="001513F8"/>
    <w:rsid w:val="00152AAC"/>
    <w:rsid w:val="001608D8"/>
    <w:rsid w:val="001650B5"/>
    <w:rsid w:val="00167108"/>
    <w:rsid w:val="0017067A"/>
    <w:rsid w:val="00171774"/>
    <w:rsid w:val="0017190E"/>
    <w:rsid w:val="00173CB3"/>
    <w:rsid w:val="00177741"/>
    <w:rsid w:val="00180D9C"/>
    <w:rsid w:val="001821AD"/>
    <w:rsid w:val="001832BB"/>
    <w:rsid w:val="00184D74"/>
    <w:rsid w:val="00186300"/>
    <w:rsid w:val="001902E8"/>
    <w:rsid w:val="00190F9A"/>
    <w:rsid w:val="001914A0"/>
    <w:rsid w:val="001941CB"/>
    <w:rsid w:val="001954D6"/>
    <w:rsid w:val="001A292D"/>
    <w:rsid w:val="001A7ECD"/>
    <w:rsid w:val="001A7ED5"/>
    <w:rsid w:val="001B09BA"/>
    <w:rsid w:val="001B107B"/>
    <w:rsid w:val="001B307E"/>
    <w:rsid w:val="001B533B"/>
    <w:rsid w:val="001B6143"/>
    <w:rsid w:val="001C1737"/>
    <w:rsid w:val="001C1C08"/>
    <w:rsid w:val="001C33AC"/>
    <w:rsid w:val="001D38F2"/>
    <w:rsid w:val="001D45DB"/>
    <w:rsid w:val="001D6365"/>
    <w:rsid w:val="001D6569"/>
    <w:rsid w:val="001E0DBC"/>
    <w:rsid w:val="001E1A80"/>
    <w:rsid w:val="001E45A1"/>
    <w:rsid w:val="001E49AB"/>
    <w:rsid w:val="001E6F5D"/>
    <w:rsid w:val="001E7A64"/>
    <w:rsid w:val="001F3A42"/>
    <w:rsid w:val="001F4589"/>
    <w:rsid w:val="001F5344"/>
    <w:rsid w:val="002108D0"/>
    <w:rsid w:val="00214A09"/>
    <w:rsid w:val="002166AB"/>
    <w:rsid w:val="0022265E"/>
    <w:rsid w:val="002226C9"/>
    <w:rsid w:val="00224396"/>
    <w:rsid w:val="00226844"/>
    <w:rsid w:val="00232A3D"/>
    <w:rsid w:val="00234DA9"/>
    <w:rsid w:val="0023666F"/>
    <w:rsid w:val="00240EB7"/>
    <w:rsid w:val="00244193"/>
    <w:rsid w:val="002451B1"/>
    <w:rsid w:val="00247387"/>
    <w:rsid w:val="00250439"/>
    <w:rsid w:val="00255A16"/>
    <w:rsid w:val="00256860"/>
    <w:rsid w:val="00260FAB"/>
    <w:rsid w:val="002626E8"/>
    <w:rsid w:val="002627EB"/>
    <w:rsid w:val="00262FCA"/>
    <w:rsid w:val="0026797D"/>
    <w:rsid w:val="00281835"/>
    <w:rsid w:val="00281F00"/>
    <w:rsid w:val="002840A0"/>
    <w:rsid w:val="00286779"/>
    <w:rsid w:val="002962F9"/>
    <w:rsid w:val="002A18D9"/>
    <w:rsid w:val="002A1E66"/>
    <w:rsid w:val="002A2E01"/>
    <w:rsid w:val="002A4E94"/>
    <w:rsid w:val="002A524E"/>
    <w:rsid w:val="002A572C"/>
    <w:rsid w:val="002A5ED7"/>
    <w:rsid w:val="002B7FE9"/>
    <w:rsid w:val="002C3E0A"/>
    <w:rsid w:val="002C65FF"/>
    <w:rsid w:val="002C69E8"/>
    <w:rsid w:val="002D0FF2"/>
    <w:rsid w:val="002D261F"/>
    <w:rsid w:val="002D2A84"/>
    <w:rsid w:val="002D57DF"/>
    <w:rsid w:val="002E05CE"/>
    <w:rsid w:val="002E1358"/>
    <w:rsid w:val="002E64C1"/>
    <w:rsid w:val="002F50D5"/>
    <w:rsid w:val="003019CA"/>
    <w:rsid w:val="00301E96"/>
    <w:rsid w:val="003048DA"/>
    <w:rsid w:val="00304CE8"/>
    <w:rsid w:val="00306E31"/>
    <w:rsid w:val="00307663"/>
    <w:rsid w:val="00310780"/>
    <w:rsid w:val="0031188D"/>
    <w:rsid w:val="0031554F"/>
    <w:rsid w:val="00315BFE"/>
    <w:rsid w:val="00321DAE"/>
    <w:rsid w:val="0032717F"/>
    <w:rsid w:val="0033179D"/>
    <w:rsid w:val="003321C0"/>
    <w:rsid w:val="00332750"/>
    <w:rsid w:val="00332D3C"/>
    <w:rsid w:val="00335CC7"/>
    <w:rsid w:val="00336FBA"/>
    <w:rsid w:val="003407FB"/>
    <w:rsid w:val="0034356F"/>
    <w:rsid w:val="00344355"/>
    <w:rsid w:val="003457BD"/>
    <w:rsid w:val="003507C7"/>
    <w:rsid w:val="00350C55"/>
    <w:rsid w:val="003523C7"/>
    <w:rsid w:val="00352A3C"/>
    <w:rsid w:val="00353446"/>
    <w:rsid w:val="003538D4"/>
    <w:rsid w:val="003544FE"/>
    <w:rsid w:val="0036719A"/>
    <w:rsid w:val="003770B3"/>
    <w:rsid w:val="003805A8"/>
    <w:rsid w:val="00381D1D"/>
    <w:rsid w:val="00383AC9"/>
    <w:rsid w:val="0038737A"/>
    <w:rsid w:val="00390196"/>
    <w:rsid w:val="00394820"/>
    <w:rsid w:val="00395C43"/>
    <w:rsid w:val="00397E6F"/>
    <w:rsid w:val="003B3748"/>
    <w:rsid w:val="003B77FF"/>
    <w:rsid w:val="003C05F9"/>
    <w:rsid w:val="003C3295"/>
    <w:rsid w:val="003C4E16"/>
    <w:rsid w:val="003D5525"/>
    <w:rsid w:val="003D6E4F"/>
    <w:rsid w:val="003E35B5"/>
    <w:rsid w:val="003E3EB3"/>
    <w:rsid w:val="003E506F"/>
    <w:rsid w:val="003F352E"/>
    <w:rsid w:val="003F3832"/>
    <w:rsid w:val="003F6294"/>
    <w:rsid w:val="004006C0"/>
    <w:rsid w:val="004063F5"/>
    <w:rsid w:val="004065AE"/>
    <w:rsid w:val="00407602"/>
    <w:rsid w:val="004102DA"/>
    <w:rsid w:val="004152AD"/>
    <w:rsid w:val="00417C56"/>
    <w:rsid w:val="00421D0D"/>
    <w:rsid w:val="00427A06"/>
    <w:rsid w:val="00433776"/>
    <w:rsid w:val="00433C44"/>
    <w:rsid w:val="004356B3"/>
    <w:rsid w:val="00436FE3"/>
    <w:rsid w:val="00437BA6"/>
    <w:rsid w:val="00437D85"/>
    <w:rsid w:val="00444C4D"/>
    <w:rsid w:val="00452788"/>
    <w:rsid w:val="00455313"/>
    <w:rsid w:val="00456F90"/>
    <w:rsid w:val="0046425D"/>
    <w:rsid w:val="00465A34"/>
    <w:rsid w:val="00475ED3"/>
    <w:rsid w:val="004841E8"/>
    <w:rsid w:val="00485FDE"/>
    <w:rsid w:val="00487C60"/>
    <w:rsid w:val="00491366"/>
    <w:rsid w:val="0049370D"/>
    <w:rsid w:val="004967F6"/>
    <w:rsid w:val="004A3A63"/>
    <w:rsid w:val="004A505E"/>
    <w:rsid w:val="004B0BFD"/>
    <w:rsid w:val="004B19BC"/>
    <w:rsid w:val="004B202C"/>
    <w:rsid w:val="004B2587"/>
    <w:rsid w:val="004B51A7"/>
    <w:rsid w:val="004B60D9"/>
    <w:rsid w:val="004C3E2D"/>
    <w:rsid w:val="004C45D5"/>
    <w:rsid w:val="004C4C08"/>
    <w:rsid w:val="004C7A45"/>
    <w:rsid w:val="004E05C4"/>
    <w:rsid w:val="004E3A1C"/>
    <w:rsid w:val="004E4709"/>
    <w:rsid w:val="004F17B0"/>
    <w:rsid w:val="004F3A9D"/>
    <w:rsid w:val="004F4536"/>
    <w:rsid w:val="004F5001"/>
    <w:rsid w:val="004F7B97"/>
    <w:rsid w:val="005047A8"/>
    <w:rsid w:val="00511EE9"/>
    <w:rsid w:val="00512011"/>
    <w:rsid w:val="00513EB2"/>
    <w:rsid w:val="00514B8F"/>
    <w:rsid w:val="005162BB"/>
    <w:rsid w:val="00516F3C"/>
    <w:rsid w:val="00520155"/>
    <w:rsid w:val="0052084A"/>
    <w:rsid w:val="00520B28"/>
    <w:rsid w:val="0052286F"/>
    <w:rsid w:val="00522DF7"/>
    <w:rsid w:val="00523034"/>
    <w:rsid w:val="005249B2"/>
    <w:rsid w:val="00525BA3"/>
    <w:rsid w:val="005276F7"/>
    <w:rsid w:val="00537A76"/>
    <w:rsid w:val="005412AB"/>
    <w:rsid w:val="00542239"/>
    <w:rsid w:val="00543DFA"/>
    <w:rsid w:val="00544944"/>
    <w:rsid w:val="0055176B"/>
    <w:rsid w:val="00553028"/>
    <w:rsid w:val="00554873"/>
    <w:rsid w:val="0056179E"/>
    <w:rsid w:val="005632EA"/>
    <w:rsid w:val="00565D08"/>
    <w:rsid w:val="00567B31"/>
    <w:rsid w:val="00571E79"/>
    <w:rsid w:val="00572976"/>
    <w:rsid w:val="0057317E"/>
    <w:rsid w:val="00573FA3"/>
    <w:rsid w:val="00580DF6"/>
    <w:rsid w:val="00581C46"/>
    <w:rsid w:val="005836A1"/>
    <w:rsid w:val="00584CCA"/>
    <w:rsid w:val="00584E51"/>
    <w:rsid w:val="00590636"/>
    <w:rsid w:val="005A33B1"/>
    <w:rsid w:val="005B0EF1"/>
    <w:rsid w:val="005B5704"/>
    <w:rsid w:val="005B5D01"/>
    <w:rsid w:val="005C427D"/>
    <w:rsid w:val="005D0E90"/>
    <w:rsid w:val="005D15B4"/>
    <w:rsid w:val="005D190B"/>
    <w:rsid w:val="005D27D3"/>
    <w:rsid w:val="005D3099"/>
    <w:rsid w:val="005D6670"/>
    <w:rsid w:val="005D7C5D"/>
    <w:rsid w:val="005E0EBC"/>
    <w:rsid w:val="005E14F8"/>
    <w:rsid w:val="005E16F0"/>
    <w:rsid w:val="005E4F64"/>
    <w:rsid w:val="005F03EB"/>
    <w:rsid w:val="005F0555"/>
    <w:rsid w:val="005F0E35"/>
    <w:rsid w:val="005F2EC1"/>
    <w:rsid w:val="005F499F"/>
    <w:rsid w:val="005F57B6"/>
    <w:rsid w:val="005F739E"/>
    <w:rsid w:val="00602AE1"/>
    <w:rsid w:val="0060398F"/>
    <w:rsid w:val="006137C1"/>
    <w:rsid w:val="006170F5"/>
    <w:rsid w:val="00617E5B"/>
    <w:rsid w:val="0063027D"/>
    <w:rsid w:val="006305BA"/>
    <w:rsid w:val="0063570D"/>
    <w:rsid w:val="006421FF"/>
    <w:rsid w:val="006438EA"/>
    <w:rsid w:val="00644DB3"/>
    <w:rsid w:val="00647018"/>
    <w:rsid w:val="00672ADF"/>
    <w:rsid w:val="006805E1"/>
    <w:rsid w:val="00681366"/>
    <w:rsid w:val="00686C6A"/>
    <w:rsid w:val="006955C9"/>
    <w:rsid w:val="0069644B"/>
    <w:rsid w:val="006A07C7"/>
    <w:rsid w:val="006A08E5"/>
    <w:rsid w:val="006B14C1"/>
    <w:rsid w:val="006B2149"/>
    <w:rsid w:val="006B26D4"/>
    <w:rsid w:val="006C10C0"/>
    <w:rsid w:val="006C2603"/>
    <w:rsid w:val="006C4364"/>
    <w:rsid w:val="006C6C45"/>
    <w:rsid w:val="006C7206"/>
    <w:rsid w:val="006D1D62"/>
    <w:rsid w:val="006D29EC"/>
    <w:rsid w:val="006E26C7"/>
    <w:rsid w:val="006E52DA"/>
    <w:rsid w:val="006E5BAB"/>
    <w:rsid w:val="006F12B6"/>
    <w:rsid w:val="006F4F66"/>
    <w:rsid w:val="006F6DA4"/>
    <w:rsid w:val="006F6DB7"/>
    <w:rsid w:val="00701875"/>
    <w:rsid w:val="00706B01"/>
    <w:rsid w:val="00706F03"/>
    <w:rsid w:val="00710CDF"/>
    <w:rsid w:val="00710ED7"/>
    <w:rsid w:val="00711B19"/>
    <w:rsid w:val="00712A34"/>
    <w:rsid w:val="0071400A"/>
    <w:rsid w:val="00716CD3"/>
    <w:rsid w:val="007212FC"/>
    <w:rsid w:val="00722969"/>
    <w:rsid w:val="007279D1"/>
    <w:rsid w:val="00730D76"/>
    <w:rsid w:val="00731FEE"/>
    <w:rsid w:val="00732CF7"/>
    <w:rsid w:val="00733FC2"/>
    <w:rsid w:val="00736127"/>
    <w:rsid w:val="00736702"/>
    <w:rsid w:val="00740447"/>
    <w:rsid w:val="007427B5"/>
    <w:rsid w:val="00743633"/>
    <w:rsid w:val="00746D28"/>
    <w:rsid w:val="007512B2"/>
    <w:rsid w:val="007603BB"/>
    <w:rsid w:val="00765214"/>
    <w:rsid w:val="00765A45"/>
    <w:rsid w:val="00771573"/>
    <w:rsid w:val="00771A1B"/>
    <w:rsid w:val="00775462"/>
    <w:rsid w:val="00775DC4"/>
    <w:rsid w:val="0078305B"/>
    <w:rsid w:val="00785EC3"/>
    <w:rsid w:val="00786B6A"/>
    <w:rsid w:val="00790501"/>
    <w:rsid w:val="00791029"/>
    <w:rsid w:val="00791430"/>
    <w:rsid w:val="00791C15"/>
    <w:rsid w:val="00792320"/>
    <w:rsid w:val="00796D99"/>
    <w:rsid w:val="007A02A8"/>
    <w:rsid w:val="007A14A6"/>
    <w:rsid w:val="007A276D"/>
    <w:rsid w:val="007A4A81"/>
    <w:rsid w:val="007B2CCF"/>
    <w:rsid w:val="007B2F46"/>
    <w:rsid w:val="007B7DCC"/>
    <w:rsid w:val="007C0ABA"/>
    <w:rsid w:val="007D0059"/>
    <w:rsid w:val="007D2A17"/>
    <w:rsid w:val="007D464C"/>
    <w:rsid w:val="007E072E"/>
    <w:rsid w:val="007E0F11"/>
    <w:rsid w:val="007E5351"/>
    <w:rsid w:val="007E6D16"/>
    <w:rsid w:val="007F0611"/>
    <w:rsid w:val="007F1D3B"/>
    <w:rsid w:val="007F302A"/>
    <w:rsid w:val="007F32AA"/>
    <w:rsid w:val="00801FC6"/>
    <w:rsid w:val="008027E6"/>
    <w:rsid w:val="00803AB2"/>
    <w:rsid w:val="0080432B"/>
    <w:rsid w:val="008100C9"/>
    <w:rsid w:val="0081055E"/>
    <w:rsid w:val="00811F3C"/>
    <w:rsid w:val="00812E53"/>
    <w:rsid w:val="00812EA9"/>
    <w:rsid w:val="0081552F"/>
    <w:rsid w:val="00815A5A"/>
    <w:rsid w:val="00821966"/>
    <w:rsid w:val="00822D98"/>
    <w:rsid w:val="0082539D"/>
    <w:rsid w:val="00827391"/>
    <w:rsid w:val="00827B66"/>
    <w:rsid w:val="00830F75"/>
    <w:rsid w:val="00833CDE"/>
    <w:rsid w:val="00844E5E"/>
    <w:rsid w:val="00847360"/>
    <w:rsid w:val="00850B18"/>
    <w:rsid w:val="00850C7A"/>
    <w:rsid w:val="008514BF"/>
    <w:rsid w:val="00855517"/>
    <w:rsid w:val="00855984"/>
    <w:rsid w:val="0085666D"/>
    <w:rsid w:val="00856CD3"/>
    <w:rsid w:val="008604AA"/>
    <w:rsid w:val="00860A09"/>
    <w:rsid w:val="00863EA1"/>
    <w:rsid w:val="00867E3F"/>
    <w:rsid w:val="008707CE"/>
    <w:rsid w:val="008716B9"/>
    <w:rsid w:val="00871D78"/>
    <w:rsid w:val="00873AF2"/>
    <w:rsid w:val="00874934"/>
    <w:rsid w:val="00880100"/>
    <w:rsid w:val="00883A2E"/>
    <w:rsid w:val="00884DD9"/>
    <w:rsid w:val="00887ADE"/>
    <w:rsid w:val="0089370A"/>
    <w:rsid w:val="0089499F"/>
    <w:rsid w:val="00894E81"/>
    <w:rsid w:val="0089703E"/>
    <w:rsid w:val="008A7FAD"/>
    <w:rsid w:val="008B09C2"/>
    <w:rsid w:val="008B1E28"/>
    <w:rsid w:val="008B2160"/>
    <w:rsid w:val="008B32F8"/>
    <w:rsid w:val="008B4758"/>
    <w:rsid w:val="008C0044"/>
    <w:rsid w:val="008C006F"/>
    <w:rsid w:val="008C1134"/>
    <w:rsid w:val="008C77F1"/>
    <w:rsid w:val="008D2C96"/>
    <w:rsid w:val="008D3022"/>
    <w:rsid w:val="008E1E3C"/>
    <w:rsid w:val="008E2B28"/>
    <w:rsid w:val="008E333E"/>
    <w:rsid w:val="008F1004"/>
    <w:rsid w:val="008F2972"/>
    <w:rsid w:val="008F7BBF"/>
    <w:rsid w:val="00901943"/>
    <w:rsid w:val="00902615"/>
    <w:rsid w:val="0090269D"/>
    <w:rsid w:val="009042A4"/>
    <w:rsid w:val="00913B58"/>
    <w:rsid w:val="00916C00"/>
    <w:rsid w:val="0092079E"/>
    <w:rsid w:val="00920BBD"/>
    <w:rsid w:val="00921B5F"/>
    <w:rsid w:val="00923A1A"/>
    <w:rsid w:val="00926486"/>
    <w:rsid w:val="00927085"/>
    <w:rsid w:val="00930746"/>
    <w:rsid w:val="0093208C"/>
    <w:rsid w:val="009339AF"/>
    <w:rsid w:val="00934BDD"/>
    <w:rsid w:val="00934CA8"/>
    <w:rsid w:val="00934CFD"/>
    <w:rsid w:val="0093569B"/>
    <w:rsid w:val="00937B5E"/>
    <w:rsid w:val="0094090E"/>
    <w:rsid w:val="009453F1"/>
    <w:rsid w:val="009457A1"/>
    <w:rsid w:val="009504F5"/>
    <w:rsid w:val="00954610"/>
    <w:rsid w:val="0095625C"/>
    <w:rsid w:val="00962915"/>
    <w:rsid w:val="00967187"/>
    <w:rsid w:val="00967C31"/>
    <w:rsid w:val="00967EE9"/>
    <w:rsid w:val="00972094"/>
    <w:rsid w:val="009809CD"/>
    <w:rsid w:val="00982BB2"/>
    <w:rsid w:val="0098333C"/>
    <w:rsid w:val="00985C33"/>
    <w:rsid w:val="00985E36"/>
    <w:rsid w:val="0098730B"/>
    <w:rsid w:val="00997093"/>
    <w:rsid w:val="009A23DA"/>
    <w:rsid w:val="009A36E4"/>
    <w:rsid w:val="009A5D1B"/>
    <w:rsid w:val="009A7524"/>
    <w:rsid w:val="009B61EF"/>
    <w:rsid w:val="009B78BC"/>
    <w:rsid w:val="009C0828"/>
    <w:rsid w:val="009C2870"/>
    <w:rsid w:val="009C556A"/>
    <w:rsid w:val="009C5EB9"/>
    <w:rsid w:val="009D0708"/>
    <w:rsid w:val="009D0D3D"/>
    <w:rsid w:val="009D1D91"/>
    <w:rsid w:val="009D2CC1"/>
    <w:rsid w:val="009D424E"/>
    <w:rsid w:val="009D5784"/>
    <w:rsid w:val="009D5F08"/>
    <w:rsid w:val="009D7B00"/>
    <w:rsid w:val="009D7ED4"/>
    <w:rsid w:val="009E51CA"/>
    <w:rsid w:val="009F0398"/>
    <w:rsid w:val="009F0B8B"/>
    <w:rsid w:val="009F393B"/>
    <w:rsid w:val="009F55A5"/>
    <w:rsid w:val="009F6237"/>
    <w:rsid w:val="00A00497"/>
    <w:rsid w:val="00A01E0B"/>
    <w:rsid w:val="00A03759"/>
    <w:rsid w:val="00A05561"/>
    <w:rsid w:val="00A10952"/>
    <w:rsid w:val="00A11F54"/>
    <w:rsid w:val="00A124A2"/>
    <w:rsid w:val="00A1741F"/>
    <w:rsid w:val="00A2011C"/>
    <w:rsid w:val="00A20D09"/>
    <w:rsid w:val="00A211C8"/>
    <w:rsid w:val="00A233E1"/>
    <w:rsid w:val="00A25108"/>
    <w:rsid w:val="00A2624F"/>
    <w:rsid w:val="00A32C80"/>
    <w:rsid w:val="00A341E6"/>
    <w:rsid w:val="00A35AA9"/>
    <w:rsid w:val="00A36486"/>
    <w:rsid w:val="00A42E55"/>
    <w:rsid w:val="00A47BE6"/>
    <w:rsid w:val="00A518B6"/>
    <w:rsid w:val="00A52D47"/>
    <w:rsid w:val="00A53192"/>
    <w:rsid w:val="00A53397"/>
    <w:rsid w:val="00A63B25"/>
    <w:rsid w:val="00A674D5"/>
    <w:rsid w:val="00A72D52"/>
    <w:rsid w:val="00A75153"/>
    <w:rsid w:val="00A81903"/>
    <w:rsid w:val="00A81FAE"/>
    <w:rsid w:val="00A83AD2"/>
    <w:rsid w:val="00A851DD"/>
    <w:rsid w:val="00A92ACE"/>
    <w:rsid w:val="00A93B13"/>
    <w:rsid w:val="00A954BA"/>
    <w:rsid w:val="00A9685E"/>
    <w:rsid w:val="00AB24C6"/>
    <w:rsid w:val="00AB5879"/>
    <w:rsid w:val="00AB601B"/>
    <w:rsid w:val="00AB6E6C"/>
    <w:rsid w:val="00AC0527"/>
    <w:rsid w:val="00AC1D5C"/>
    <w:rsid w:val="00AC59B6"/>
    <w:rsid w:val="00AD30CF"/>
    <w:rsid w:val="00AE1E67"/>
    <w:rsid w:val="00AE4775"/>
    <w:rsid w:val="00AF26A6"/>
    <w:rsid w:val="00AF4A97"/>
    <w:rsid w:val="00AF4E15"/>
    <w:rsid w:val="00B021EC"/>
    <w:rsid w:val="00B056DE"/>
    <w:rsid w:val="00B07FCF"/>
    <w:rsid w:val="00B10D26"/>
    <w:rsid w:val="00B1361F"/>
    <w:rsid w:val="00B13C06"/>
    <w:rsid w:val="00B1672C"/>
    <w:rsid w:val="00B20CF8"/>
    <w:rsid w:val="00B21B21"/>
    <w:rsid w:val="00B2620C"/>
    <w:rsid w:val="00B30A3A"/>
    <w:rsid w:val="00B33FC6"/>
    <w:rsid w:val="00B345EA"/>
    <w:rsid w:val="00B36334"/>
    <w:rsid w:val="00B404FB"/>
    <w:rsid w:val="00B43AFD"/>
    <w:rsid w:val="00B43D97"/>
    <w:rsid w:val="00B44F44"/>
    <w:rsid w:val="00B50C00"/>
    <w:rsid w:val="00B51A5A"/>
    <w:rsid w:val="00B5354E"/>
    <w:rsid w:val="00B6235C"/>
    <w:rsid w:val="00B63DD2"/>
    <w:rsid w:val="00B64AA3"/>
    <w:rsid w:val="00B70025"/>
    <w:rsid w:val="00B7412C"/>
    <w:rsid w:val="00B80814"/>
    <w:rsid w:val="00B834A1"/>
    <w:rsid w:val="00B901D5"/>
    <w:rsid w:val="00B91BF6"/>
    <w:rsid w:val="00B93AF6"/>
    <w:rsid w:val="00B96453"/>
    <w:rsid w:val="00BA2F1B"/>
    <w:rsid w:val="00BA4712"/>
    <w:rsid w:val="00BA51A6"/>
    <w:rsid w:val="00BA62BB"/>
    <w:rsid w:val="00BA7CC1"/>
    <w:rsid w:val="00BB3E0F"/>
    <w:rsid w:val="00BB45E1"/>
    <w:rsid w:val="00BB624E"/>
    <w:rsid w:val="00BB7FA5"/>
    <w:rsid w:val="00BC1C4B"/>
    <w:rsid w:val="00BC2384"/>
    <w:rsid w:val="00BC4B58"/>
    <w:rsid w:val="00BC4E43"/>
    <w:rsid w:val="00BC7234"/>
    <w:rsid w:val="00BD10E5"/>
    <w:rsid w:val="00BD45C1"/>
    <w:rsid w:val="00BD4F5C"/>
    <w:rsid w:val="00BD6822"/>
    <w:rsid w:val="00BD6B45"/>
    <w:rsid w:val="00BE0B69"/>
    <w:rsid w:val="00BE674E"/>
    <w:rsid w:val="00BE753A"/>
    <w:rsid w:val="00BF282F"/>
    <w:rsid w:val="00BF2EC1"/>
    <w:rsid w:val="00BF680D"/>
    <w:rsid w:val="00C00575"/>
    <w:rsid w:val="00C00741"/>
    <w:rsid w:val="00C01A92"/>
    <w:rsid w:val="00C01BA2"/>
    <w:rsid w:val="00C10069"/>
    <w:rsid w:val="00C20C07"/>
    <w:rsid w:val="00C25DF6"/>
    <w:rsid w:val="00C26BB8"/>
    <w:rsid w:val="00C27397"/>
    <w:rsid w:val="00C354D5"/>
    <w:rsid w:val="00C365DE"/>
    <w:rsid w:val="00C378C0"/>
    <w:rsid w:val="00C3792B"/>
    <w:rsid w:val="00C408E5"/>
    <w:rsid w:val="00C40E05"/>
    <w:rsid w:val="00C500C8"/>
    <w:rsid w:val="00C5080E"/>
    <w:rsid w:val="00C526C3"/>
    <w:rsid w:val="00C52B8C"/>
    <w:rsid w:val="00C54AD3"/>
    <w:rsid w:val="00C5659C"/>
    <w:rsid w:val="00C574D5"/>
    <w:rsid w:val="00C61158"/>
    <w:rsid w:val="00C62912"/>
    <w:rsid w:val="00C62A45"/>
    <w:rsid w:val="00C65631"/>
    <w:rsid w:val="00C677D1"/>
    <w:rsid w:val="00C74FB9"/>
    <w:rsid w:val="00C776D4"/>
    <w:rsid w:val="00C80543"/>
    <w:rsid w:val="00C85261"/>
    <w:rsid w:val="00C87745"/>
    <w:rsid w:val="00C9076F"/>
    <w:rsid w:val="00C90F87"/>
    <w:rsid w:val="00C92FB3"/>
    <w:rsid w:val="00C94026"/>
    <w:rsid w:val="00C955DE"/>
    <w:rsid w:val="00C96572"/>
    <w:rsid w:val="00C972CC"/>
    <w:rsid w:val="00CA666D"/>
    <w:rsid w:val="00CB1C0B"/>
    <w:rsid w:val="00CB21AE"/>
    <w:rsid w:val="00CB6223"/>
    <w:rsid w:val="00CC00CD"/>
    <w:rsid w:val="00CC09AB"/>
    <w:rsid w:val="00CC3A24"/>
    <w:rsid w:val="00CC41DC"/>
    <w:rsid w:val="00CD6DC6"/>
    <w:rsid w:val="00CE291F"/>
    <w:rsid w:val="00CE45ED"/>
    <w:rsid w:val="00CE62E2"/>
    <w:rsid w:val="00CF1ABF"/>
    <w:rsid w:val="00CF256B"/>
    <w:rsid w:val="00CF42CE"/>
    <w:rsid w:val="00D0213B"/>
    <w:rsid w:val="00D10FF9"/>
    <w:rsid w:val="00D1207C"/>
    <w:rsid w:val="00D14108"/>
    <w:rsid w:val="00D1459D"/>
    <w:rsid w:val="00D14F68"/>
    <w:rsid w:val="00D17AC0"/>
    <w:rsid w:val="00D22848"/>
    <w:rsid w:val="00D26F6D"/>
    <w:rsid w:val="00D273F6"/>
    <w:rsid w:val="00D30803"/>
    <w:rsid w:val="00D3190D"/>
    <w:rsid w:val="00D3193B"/>
    <w:rsid w:val="00D3330A"/>
    <w:rsid w:val="00D34656"/>
    <w:rsid w:val="00D35572"/>
    <w:rsid w:val="00D367C4"/>
    <w:rsid w:val="00D4187B"/>
    <w:rsid w:val="00D425B4"/>
    <w:rsid w:val="00D467F2"/>
    <w:rsid w:val="00D547F9"/>
    <w:rsid w:val="00D554C9"/>
    <w:rsid w:val="00D63907"/>
    <w:rsid w:val="00D67824"/>
    <w:rsid w:val="00D67D24"/>
    <w:rsid w:val="00D70EEA"/>
    <w:rsid w:val="00D71A7F"/>
    <w:rsid w:val="00D75BC6"/>
    <w:rsid w:val="00D773A9"/>
    <w:rsid w:val="00D775AF"/>
    <w:rsid w:val="00D77D8A"/>
    <w:rsid w:val="00D822B1"/>
    <w:rsid w:val="00D87C29"/>
    <w:rsid w:val="00D91D94"/>
    <w:rsid w:val="00D9258F"/>
    <w:rsid w:val="00D92BDE"/>
    <w:rsid w:val="00D93FD8"/>
    <w:rsid w:val="00D94013"/>
    <w:rsid w:val="00D9531D"/>
    <w:rsid w:val="00D95C40"/>
    <w:rsid w:val="00DA36AC"/>
    <w:rsid w:val="00DB1D92"/>
    <w:rsid w:val="00DB1E91"/>
    <w:rsid w:val="00DC0590"/>
    <w:rsid w:val="00DC2BE8"/>
    <w:rsid w:val="00DC5658"/>
    <w:rsid w:val="00DD21BB"/>
    <w:rsid w:val="00DE3F8A"/>
    <w:rsid w:val="00DE68F9"/>
    <w:rsid w:val="00DF1887"/>
    <w:rsid w:val="00DF20E8"/>
    <w:rsid w:val="00DF5A42"/>
    <w:rsid w:val="00E03282"/>
    <w:rsid w:val="00E047A7"/>
    <w:rsid w:val="00E05005"/>
    <w:rsid w:val="00E07C1B"/>
    <w:rsid w:val="00E109DE"/>
    <w:rsid w:val="00E17919"/>
    <w:rsid w:val="00E20F5B"/>
    <w:rsid w:val="00E2513E"/>
    <w:rsid w:val="00E277FF"/>
    <w:rsid w:val="00E312FE"/>
    <w:rsid w:val="00E32E89"/>
    <w:rsid w:val="00E34BE6"/>
    <w:rsid w:val="00E43A01"/>
    <w:rsid w:val="00E46AE8"/>
    <w:rsid w:val="00E474AC"/>
    <w:rsid w:val="00E47DDB"/>
    <w:rsid w:val="00E52554"/>
    <w:rsid w:val="00E638AA"/>
    <w:rsid w:val="00E63EEB"/>
    <w:rsid w:val="00E758A0"/>
    <w:rsid w:val="00E76FE8"/>
    <w:rsid w:val="00E82377"/>
    <w:rsid w:val="00E83229"/>
    <w:rsid w:val="00E842E1"/>
    <w:rsid w:val="00E91311"/>
    <w:rsid w:val="00E92FF2"/>
    <w:rsid w:val="00E94741"/>
    <w:rsid w:val="00E95C6F"/>
    <w:rsid w:val="00E96E12"/>
    <w:rsid w:val="00EB05EC"/>
    <w:rsid w:val="00EB66CA"/>
    <w:rsid w:val="00EC023C"/>
    <w:rsid w:val="00EC0783"/>
    <w:rsid w:val="00EC36E2"/>
    <w:rsid w:val="00EC5762"/>
    <w:rsid w:val="00EC6991"/>
    <w:rsid w:val="00EC781B"/>
    <w:rsid w:val="00ED1435"/>
    <w:rsid w:val="00ED1905"/>
    <w:rsid w:val="00ED7BD1"/>
    <w:rsid w:val="00EE2CE0"/>
    <w:rsid w:val="00EE5947"/>
    <w:rsid w:val="00EE77CA"/>
    <w:rsid w:val="00EF39D5"/>
    <w:rsid w:val="00EF579F"/>
    <w:rsid w:val="00EF7E7D"/>
    <w:rsid w:val="00F06F08"/>
    <w:rsid w:val="00F071E9"/>
    <w:rsid w:val="00F25B44"/>
    <w:rsid w:val="00F25F9A"/>
    <w:rsid w:val="00F32115"/>
    <w:rsid w:val="00F338CF"/>
    <w:rsid w:val="00F344B5"/>
    <w:rsid w:val="00F347FD"/>
    <w:rsid w:val="00F35439"/>
    <w:rsid w:val="00F35E21"/>
    <w:rsid w:val="00F439CC"/>
    <w:rsid w:val="00F46C3E"/>
    <w:rsid w:val="00F50EF5"/>
    <w:rsid w:val="00F50FA7"/>
    <w:rsid w:val="00F51C0E"/>
    <w:rsid w:val="00F52234"/>
    <w:rsid w:val="00F53B93"/>
    <w:rsid w:val="00F55130"/>
    <w:rsid w:val="00F60ADB"/>
    <w:rsid w:val="00F60F1F"/>
    <w:rsid w:val="00F64B7A"/>
    <w:rsid w:val="00F659E3"/>
    <w:rsid w:val="00F7303E"/>
    <w:rsid w:val="00F8279C"/>
    <w:rsid w:val="00F84CE1"/>
    <w:rsid w:val="00F94215"/>
    <w:rsid w:val="00F95D02"/>
    <w:rsid w:val="00F97377"/>
    <w:rsid w:val="00FA225E"/>
    <w:rsid w:val="00FA4224"/>
    <w:rsid w:val="00FA6475"/>
    <w:rsid w:val="00FA6873"/>
    <w:rsid w:val="00FA6AC9"/>
    <w:rsid w:val="00FA7047"/>
    <w:rsid w:val="00FA7DBD"/>
    <w:rsid w:val="00FB5272"/>
    <w:rsid w:val="00FB6161"/>
    <w:rsid w:val="00FC33BF"/>
    <w:rsid w:val="00FC721C"/>
    <w:rsid w:val="00FD60AC"/>
    <w:rsid w:val="00FD6D11"/>
    <w:rsid w:val="00FD758B"/>
    <w:rsid w:val="00FE0209"/>
    <w:rsid w:val="00FE659C"/>
    <w:rsid w:val="00FE7B5C"/>
    <w:rsid w:val="00FE7F3F"/>
    <w:rsid w:val="00FF4019"/>
    <w:rsid w:val="00FF4650"/>
    <w:rsid w:val="00FF6304"/>
    <w:rsid w:val="00FF6756"/>
    <w:rsid w:val="00FF6F41"/>
    <w:rsid w:val="01104218"/>
    <w:rsid w:val="01DB7F9B"/>
    <w:rsid w:val="0246644B"/>
    <w:rsid w:val="02636B34"/>
    <w:rsid w:val="02D17C89"/>
    <w:rsid w:val="0326182D"/>
    <w:rsid w:val="032D46EA"/>
    <w:rsid w:val="03511F60"/>
    <w:rsid w:val="03890DAF"/>
    <w:rsid w:val="039B43A5"/>
    <w:rsid w:val="03AA5649"/>
    <w:rsid w:val="03C56BE4"/>
    <w:rsid w:val="03FD423B"/>
    <w:rsid w:val="041B6FFD"/>
    <w:rsid w:val="045C3A3D"/>
    <w:rsid w:val="04774416"/>
    <w:rsid w:val="04872893"/>
    <w:rsid w:val="055C2CFF"/>
    <w:rsid w:val="06180649"/>
    <w:rsid w:val="063627FF"/>
    <w:rsid w:val="06921D97"/>
    <w:rsid w:val="0742034C"/>
    <w:rsid w:val="079608B1"/>
    <w:rsid w:val="08A15499"/>
    <w:rsid w:val="08A603CD"/>
    <w:rsid w:val="09384D05"/>
    <w:rsid w:val="09C448A8"/>
    <w:rsid w:val="0A1504F7"/>
    <w:rsid w:val="0A194931"/>
    <w:rsid w:val="0A8623FE"/>
    <w:rsid w:val="0AE266CA"/>
    <w:rsid w:val="0B386BA7"/>
    <w:rsid w:val="0B3B464F"/>
    <w:rsid w:val="0C053E15"/>
    <w:rsid w:val="0C636E55"/>
    <w:rsid w:val="0C7A2C9A"/>
    <w:rsid w:val="0CAC7D64"/>
    <w:rsid w:val="0CF02A57"/>
    <w:rsid w:val="0DE9107F"/>
    <w:rsid w:val="0E0A2A0E"/>
    <w:rsid w:val="0F4D4DDC"/>
    <w:rsid w:val="0FD272A1"/>
    <w:rsid w:val="10CA7674"/>
    <w:rsid w:val="10DD6CCA"/>
    <w:rsid w:val="11635BFE"/>
    <w:rsid w:val="11C97EC4"/>
    <w:rsid w:val="11D24270"/>
    <w:rsid w:val="11F72B09"/>
    <w:rsid w:val="1232434C"/>
    <w:rsid w:val="12EA6DA5"/>
    <w:rsid w:val="13127FE5"/>
    <w:rsid w:val="13561AB1"/>
    <w:rsid w:val="13CF45CB"/>
    <w:rsid w:val="14D3267C"/>
    <w:rsid w:val="15400323"/>
    <w:rsid w:val="164748DA"/>
    <w:rsid w:val="16762EC2"/>
    <w:rsid w:val="17243570"/>
    <w:rsid w:val="180B0871"/>
    <w:rsid w:val="18CE3F9E"/>
    <w:rsid w:val="19005373"/>
    <w:rsid w:val="191A6630"/>
    <w:rsid w:val="19B968F6"/>
    <w:rsid w:val="19E15F90"/>
    <w:rsid w:val="1A213147"/>
    <w:rsid w:val="1A8A05E3"/>
    <w:rsid w:val="1B0B7B32"/>
    <w:rsid w:val="1BB51DB0"/>
    <w:rsid w:val="1BE06B34"/>
    <w:rsid w:val="1BF871DE"/>
    <w:rsid w:val="1C117F1A"/>
    <w:rsid w:val="1CC60CB3"/>
    <w:rsid w:val="1D013883"/>
    <w:rsid w:val="1DF44623"/>
    <w:rsid w:val="1DFB5B40"/>
    <w:rsid w:val="1EA65D78"/>
    <w:rsid w:val="1EBA03EF"/>
    <w:rsid w:val="1F050D91"/>
    <w:rsid w:val="1F071E17"/>
    <w:rsid w:val="1F136AA8"/>
    <w:rsid w:val="1FBC2C9C"/>
    <w:rsid w:val="1FBF5E68"/>
    <w:rsid w:val="1FCC4914"/>
    <w:rsid w:val="216B0A11"/>
    <w:rsid w:val="220A0B82"/>
    <w:rsid w:val="225C55ED"/>
    <w:rsid w:val="23D20009"/>
    <w:rsid w:val="23F413A7"/>
    <w:rsid w:val="245711E5"/>
    <w:rsid w:val="249A7202"/>
    <w:rsid w:val="24B56C9B"/>
    <w:rsid w:val="24CD4CE3"/>
    <w:rsid w:val="24E4785D"/>
    <w:rsid w:val="24E770D9"/>
    <w:rsid w:val="25721F55"/>
    <w:rsid w:val="25B4401B"/>
    <w:rsid w:val="25BA1DA5"/>
    <w:rsid w:val="25D341FB"/>
    <w:rsid w:val="25D709B3"/>
    <w:rsid w:val="26C758CC"/>
    <w:rsid w:val="27247AA4"/>
    <w:rsid w:val="27B85B7F"/>
    <w:rsid w:val="27E83A85"/>
    <w:rsid w:val="2857531E"/>
    <w:rsid w:val="28D63020"/>
    <w:rsid w:val="2A2B3158"/>
    <w:rsid w:val="2A485D96"/>
    <w:rsid w:val="2A830F86"/>
    <w:rsid w:val="2AA26297"/>
    <w:rsid w:val="2AC923BA"/>
    <w:rsid w:val="2ACB3849"/>
    <w:rsid w:val="2AEA2CA4"/>
    <w:rsid w:val="2B1D6D39"/>
    <w:rsid w:val="2BF22AB1"/>
    <w:rsid w:val="2BF90622"/>
    <w:rsid w:val="2D9A556D"/>
    <w:rsid w:val="2DBC3780"/>
    <w:rsid w:val="2DBF378F"/>
    <w:rsid w:val="2DC5334A"/>
    <w:rsid w:val="2E1C5109"/>
    <w:rsid w:val="2EF365B6"/>
    <w:rsid w:val="2F8571C0"/>
    <w:rsid w:val="2FC32303"/>
    <w:rsid w:val="307C4035"/>
    <w:rsid w:val="317C1B8F"/>
    <w:rsid w:val="319E6025"/>
    <w:rsid w:val="31B96434"/>
    <w:rsid w:val="32792E2E"/>
    <w:rsid w:val="341D137C"/>
    <w:rsid w:val="344F3C49"/>
    <w:rsid w:val="34C63AEA"/>
    <w:rsid w:val="34FD195E"/>
    <w:rsid w:val="35416EBC"/>
    <w:rsid w:val="35856D2C"/>
    <w:rsid w:val="35D6657B"/>
    <w:rsid w:val="366825C5"/>
    <w:rsid w:val="366B56A0"/>
    <w:rsid w:val="368C3071"/>
    <w:rsid w:val="37592304"/>
    <w:rsid w:val="37794FD0"/>
    <w:rsid w:val="37A52883"/>
    <w:rsid w:val="37D91F2E"/>
    <w:rsid w:val="392C5CF8"/>
    <w:rsid w:val="3A054BB5"/>
    <w:rsid w:val="3A756E26"/>
    <w:rsid w:val="3B9C35E9"/>
    <w:rsid w:val="3C180632"/>
    <w:rsid w:val="3C1F1078"/>
    <w:rsid w:val="3D5077CF"/>
    <w:rsid w:val="3D89394B"/>
    <w:rsid w:val="3D8D74EE"/>
    <w:rsid w:val="3DBE092A"/>
    <w:rsid w:val="3DD8294F"/>
    <w:rsid w:val="3E741D13"/>
    <w:rsid w:val="3E7A7436"/>
    <w:rsid w:val="3F347DEB"/>
    <w:rsid w:val="3F507609"/>
    <w:rsid w:val="3FDB28B4"/>
    <w:rsid w:val="40792675"/>
    <w:rsid w:val="40EB3C57"/>
    <w:rsid w:val="416E62DC"/>
    <w:rsid w:val="4196430C"/>
    <w:rsid w:val="42600781"/>
    <w:rsid w:val="42D6144E"/>
    <w:rsid w:val="42FB0C72"/>
    <w:rsid w:val="437D3AB2"/>
    <w:rsid w:val="43A73D85"/>
    <w:rsid w:val="44180585"/>
    <w:rsid w:val="443127E2"/>
    <w:rsid w:val="446C4C74"/>
    <w:rsid w:val="44840D40"/>
    <w:rsid w:val="4542351C"/>
    <w:rsid w:val="45820138"/>
    <w:rsid w:val="46735944"/>
    <w:rsid w:val="47CF2497"/>
    <w:rsid w:val="494A58EC"/>
    <w:rsid w:val="49926CC9"/>
    <w:rsid w:val="4A3B3DFB"/>
    <w:rsid w:val="4A707178"/>
    <w:rsid w:val="4AB52ABB"/>
    <w:rsid w:val="4AF45798"/>
    <w:rsid w:val="4AF63EEE"/>
    <w:rsid w:val="4B362194"/>
    <w:rsid w:val="4B6776B0"/>
    <w:rsid w:val="4BB65220"/>
    <w:rsid w:val="4BD67ECB"/>
    <w:rsid w:val="4C166F38"/>
    <w:rsid w:val="4CD32DBF"/>
    <w:rsid w:val="4CD9638C"/>
    <w:rsid w:val="4D125249"/>
    <w:rsid w:val="4DED63E3"/>
    <w:rsid w:val="4EE951E3"/>
    <w:rsid w:val="4EFD45B3"/>
    <w:rsid w:val="501D6C59"/>
    <w:rsid w:val="50CB43AF"/>
    <w:rsid w:val="51500236"/>
    <w:rsid w:val="5177315F"/>
    <w:rsid w:val="51D23D9C"/>
    <w:rsid w:val="51EA5380"/>
    <w:rsid w:val="51FD06A4"/>
    <w:rsid w:val="52903990"/>
    <w:rsid w:val="52906F39"/>
    <w:rsid w:val="52B521F4"/>
    <w:rsid w:val="52BD215E"/>
    <w:rsid w:val="533C3D93"/>
    <w:rsid w:val="534B46AE"/>
    <w:rsid w:val="53802235"/>
    <w:rsid w:val="538F1229"/>
    <w:rsid w:val="53ED2B11"/>
    <w:rsid w:val="5421047F"/>
    <w:rsid w:val="55036D23"/>
    <w:rsid w:val="55222AC6"/>
    <w:rsid w:val="557E3DC9"/>
    <w:rsid w:val="55D71672"/>
    <w:rsid w:val="562C5191"/>
    <w:rsid w:val="5634231C"/>
    <w:rsid w:val="569E222A"/>
    <w:rsid w:val="56C6233A"/>
    <w:rsid w:val="56EC72D0"/>
    <w:rsid w:val="56F46C34"/>
    <w:rsid w:val="58B87026"/>
    <w:rsid w:val="59952AE4"/>
    <w:rsid w:val="5AB26BAC"/>
    <w:rsid w:val="5ADD4FA4"/>
    <w:rsid w:val="5AE412B8"/>
    <w:rsid w:val="5B1710EB"/>
    <w:rsid w:val="5B5F3BB3"/>
    <w:rsid w:val="5BD37313"/>
    <w:rsid w:val="5C1F22B7"/>
    <w:rsid w:val="5CBF4B99"/>
    <w:rsid w:val="5CE90DD8"/>
    <w:rsid w:val="5D045B29"/>
    <w:rsid w:val="5D6A6C56"/>
    <w:rsid w:val="5E544404"/>
    <w:rsid w:val="5ECD11F3"/>
    <w:rsid w:val="5FA120F2"/>
    <w:rsid w:val="5FE51F7A"/>
    <w:rsid w:val="600343B3"/>
    <w:rsid w:val="60A11F8F"/>
    <w:rsid w:val="60AB77F8"/>
    <w:rsid w:val="60D4291C"/>
    <w:rsid w:val="61A520B5"/>
    <w:rsid w:val="61A82AA5"/>
    <w:rsid w:val="61C51FED"/>
    <w:rsid w:val="621D5D7B"/>
    <w:rsid w:val="635F09CB"/>
    <w:rsid w:val="6362616B"/>
    <w:rsid w:val="638832D5"/>
    <w:rsid w:val="63B33C59"/>
    <w:rsid w:val="63BA7E76"/>
    <w:rsid w:val="63C75611"/>
    <w:rsid w:val="63FD09F5"/>
    <w:rsid w:val="64081072"/>
    <w:rsid w:val="64890898"/>
    <w:rsid w:val="65473957"/>
    <w:rsid w:val="65476498"/>
    <w:rsid w:val="65827B8C"/>
    <w:rsid w:val="65C22684"/>
    <w:rsid w:val="662A7F2C"/>
    <w:rsid w:val="66AB564A"/>
    <w:rsid w:val="66C16D78"/>
    <w:rsid w:val="66D44E59"/>
    <w:rsid w:val="66EC3B54"/>
    <w:rsid w:val="6706048B"/>
    <w:rsid w:val="67D857B7"/>
    <w:rsid w:val="67E066E7"/>
    <w:rsid w:val="680913DE"/>
    <w:rsid w:val="681536C2"/>
    <w:rsid w:val="688A641E"/>
    <w:rsid w:val="692245A8"/>
    <w:rsid w:val="695D5A0B"/>
    <w:rsid w:val="69A82C94"/>
    <w:rsid w:val="6A0C51F8"/>
    <w:rsid w:val="6AE90DE2"/>
    <w:rsid w:val="6B7C0D55"/>
    <w:rsid w:val="6C07486A"/>
    <w:rsid w:val="6D415114"/>
    <w:rsid w:val="6D9A400D"/>
    <w:rsid w:val="6DC91277"/>
    <w:rsid w:val="6E12746A"/>
    <w:rsid w:val="6E7D6D9E"/>
    <w:rsid w:val="6E831F4C"/>
    <w:rsid w:val="6E9F055A"/>
    <w:rsid w:val="6F0808D0"/>
    <w:rsid w:val="6F542C91"/>
    <w:rsid w:val="6FE60561"/>
    <w:rsid w:val="6FF33D8D"/>
    <w:rsid w:val="704A6DF3"/>
    <w:rsid w:val="70861454"/>
    <w:rsid w:val="70BE0413"/>
    <w:rsid w:val="71BD6556"/>
    <w:rsid w:val="72897A77"/>
    <w:rsid w:val="72C90631"/>
    <w:rsid w:val="733107F6"/>
    <w:rsid w:val="73363132"/>
    <w:rsid w:val="73475FB0"/>
    <w:rsid w:val="73C96444"/>
    <w:rsid w:val="740E02D5"/>
    <w:rsid w:val="741C75EA"/>
    <w:rsid w:val="743A5412"/>
    <w:rsid w:val="74F82EB4"/>
    <w:rsid w:val="753F16C9"/>
    <w:rsid w:val="756A77A3"/>
    <w:rsid w:val="75750730"/>
    <w:rsid w:val="769527FE"/>
    <w:rsid w:val="76A160F6"/>
    <w:rsid w:val="76D753DA"/>
    <w:rsid w:val="76DC2284"/>
    <w:rsid w:val="77302C58"/>
    <w:rsid w:val="77F64995"/>
    <w:rsid w:val="783148D8"/>
    <w:rsid w:val="78474A20"/>
    <w:rsid w:val="78540E39"/>
    <w:rsid w:val="785B50AA"/>
    <w:rsid w:val="785C0037"/>
    <w:rsid w:val="78BD36B8"/>
    <w:rsid w:val="790029CF"/>
    <w:rsid w:val="796D5C1C"/>
    <w:rsid w:val="79774762"/>
    <w:rsid w:val="79D9371D"/>
    <w:rsid w:val="7A9B70D6"/>
    <w:rsid w:val="7AC01D8E"/>
    <w:rsid w:val="7ADE431B"/>
    <w:rsid w:val="7B1E537A"/>
    <w:rsid w:val="7BA238F5"/>
    <w:rsid w:val="7C043EEE"/>
    <w:rsid w:val="7C1D7F11"/>
    <w:rsid w:val="7CA17ACF"/>
    <w:rsid w:val="7CD53002"/>
    <w:rsid w:val="7D350C0C"/>
    <w:rsid w:val="7E10470C"/>
    <w:rsid w:val="7FD01455"/>
    <w:rsid w:val="7FD65E8A"/>
    <w:rsid w:val="7FE3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1"/>
    <w:qFormat/>
    <w:uiPriority w:val="0"/>
    <w:pPr>
      <w:keepNext/>
      <w:keepLines/>
      <w:spacing w:before="260" w:after="260" w:line="416" w:lineRule="auto"/>
      <w:outlineLvl w:val="2"/>
    </w:pPr>
    <w:rPr>
      <w:b/>
      <w:bCs/>
      <w:sz w:val="32"/>
      <w:szCs w:val="32"/>
    </w:rPr>
  </w:style>
  <w:style w:type="paragraph" w:styleId="6">
    <w:name w:val="heading 4"/>
    <w:basedOn w:val="1"/>
    <w:next w:val="1"/>
    <w:link w:val="78"/>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6"/>
    <w:next w:val="8"/>
    <w:link w:val="68"/>
    <w:qFormat/>
    <w:uiPriority w:val="0"/>
    <w:pPr>
      <w:numPr>
        <w:ilvl w:val="4"/>
        <w:numId w:val="1"/>
      </w:numPr>
      <w:spacing w:before="156" w:beforeLines="50" w:after="156" w:afterLines="50" w:line="240" w:lineRule="exact"/>
      <w:jc w:val="left"/>
      <w:outlineLvl w:val="4"/>
    </w:pPr>
    <w:rPr>
      <w:rFonts w:ascii="Arial" w:hAnsi="Arial"/>
      <w:b w:val="0"/>
      <w:bCs w:val="0"/>
      <w:color w:val="000000"/>
      <w:kern w:val="0"/>
      <w:sz w:val="24"/>
      <w:szCs w:val="24"/>
    </w:rPr>
  </w:style>
  <w:style w:type="paragraph" w:styleId="9">
    <w:name w:val="heading 6"/>
    <w:basedOn w:val="1"/>
    <w:next w:val="1"/>
    <w:link w:val="69"/>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8"/>
    <w:link w:val="70"/>
    <w:qFormat/>
    <w:uiPriority w:val="0"/>
    <w:pPr>
      <w:keepNext/>
      <w:keepLines/>
      <w:numPr>
        <w:ilvl w:val="6"/>
        <w:numId w:val="1"/>
      </w:numPr>
      <w:spacing w:before="240" w:after="64" w:line="320" w:lineRule="auto"/>
      <w:outlineLvl w:val="6"/>
    </w:pPr>
    <w:rPr>
      <w:b/>
      <w:kern w:val="0"/>
      <w:sz w:val="24"/>
      <w:szCs w:val="20"/>
    </w:rPr>
  </w:style>
  <w:style w:type="paragraph" w:styleId="11">
    <w:name w:val="heading 8"/>
    <w:basedOn w:val="1"/>
    <w:next w:val="1"/>
    <w:link w:val="67"/>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2">
    <w:name w:val="heading 9"/>
    <w:basedOn w:val="1"/>
    <w:next w:val="8"/>
    <w:link w:val="71"/>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after="120"/>
    </w:pPr>
  </w:style>
  <w:style w:type="paragraph" w:styleId="8">
    <w:name w:val="Normal Indent"/>
    <w:basedOn w:val="1"/>
    <w:link w:val="93"/>
    <w:qFormat/>
    <w:uiPriority w:val="0"/>
    <w:pPr>
      <w:ind w:firstLine="420" w:firstLineChars="200"/>
    </w:pPr>
  </w:style>
  <w:style w:type="paragraph" w:styleId="13">
    <w:name w:val="Document Map"/>
    <w:basedOn w:val="1"/>
    <w:link w:val="76"/>
    <w:qFormat/>
    <w:uiPriority w:val="0"/>
    <w:pPr>
      <w:shd w:val="clear" w:color="auto" w:fill="000080"/>
    </w:pPr>
    <w:rPr>
      <w:kern w:val="0"/>
      <w:sz w:val="20"/>
      <w:shd w:val="clear" w:color="auto" w:fill="000080"/>
    </w:rPr>
  </w:style>
  <w:style w:type="paragraph" w:styleId="14">
    <w:name w:val="annotation text"/>
    <w:basedOn w:val="1"/>
    <w:link w:val="45"/>
    <w:qFormat/>
    <w:uiPriority w:val="99"/>
    <w:pPr>
      <w:jc w:val="left"/>
    </w:pPr>
  </w:style>
  <w:style w:type="paragraph" w:styleId="15">
    <w:name w:val="Salutation"/>
    <w:basedOn w:val="1"/>
    <w:next w:val="1"/>
    <w:link w:val="101"/>
    <w:qFormat/>
    <w:uiPriority w:val="0"/>
    <w:rPr>
      <w:rFonts w:ascii="Calibri" w:hAnsi="Calibri"/>
      <w:kern w:val="0"/>
      <w:sz w:val="32"/>
    </w:rPr>
  </w:style>
  <w:style w:type="paragraph" w:styleId="16">
    <w:name w:val="Body Text 3"/>
    <w:basedOn w:val="1"/>
    <w:link w:val="82"/>
    <w:qFormat/>
    <w:uiPriority w:val="0"/>
    <w:pPr>
      <w:spacing w:after="120"/>
    </w:pPr>
    <w:rPr>
      <w:rFonts w:ascii="Calibri" w:hAnsi="Calibri"/>
      <w:kern w:val="0"/>
      <w:sz w:val="16"/>
      <w:szCs w:val="16"/>
    </w:rPr>
  </w:style>
  <w:style w:type="paragraph" w:styleId="17">
    <w:name w:val="Body Text Indent"/>
    <w:basedOn w:val="1"/>
    <w:next w:val="18"/>
    <w:link w:val="83"/>
    <w:qFormat/>
    <w:uiPriority w:val="0"/>
    <w:pPr>
      <w:ind w:firstLine="600" w:firstLineChars="200"/>
    </w:pPr>
    <w:rPr>
      <w:rFonts w:ascii="宋体"/>
      <w:sz w:val="30"/>
      <w:szCs w:val="20"/>
    </w:rPr>
  </w:style>
  <w:style w:type="paragraph" w:styleId="18">
    <w:name w:val="envelope return"/>
    <w:basedOn w:val="1"/>
    <w:qFormat/>
    <w:uiPriority w:val="0"/>
    <w:pPr>
      <w:snapToGrid w:val="0"/>
    </w:pPr>
    <w:rPr>
      <w:rFonts w:ascii="Arial" w:hAnsi="Arial" w:cs="Arial"/>
    </w:rPr>
  </w:style>
  <w:style w:type="paragraph" w:styleId="19">
    <w:name w:val="toc 3"/>
    <w:basedOn w:val="1"/>
    <w:next w:val="1"/>
    <w:semiHidden/>
    <w:qFormat/>
    <w:uiPriority w:val="0"/>
    <w:pPr>
      <w:ind w:left="840" w:leftChars="400"/>
    </w:pPr>
  </w:style>
  <w:style w:type="paragraph" w:styleId="20">
    <w:name w:val="Plain Text"/>
    <w:basedOn w:val="1"/>
    <w:link w:val="48"/>
    <w:qFormat/>
    <w:uiPriority w:val="0"/>
    <w:rPr>
      <w:rFonts w:ascii="宋体" w:hAnsi="Courier New"/>
      <w:szCs w:val="20"/>
    </w:rPr>
  </w:style>
  <w:style w:type="paragraph" w:styleId="21">
    <w:name w:val="Date"/>
    <w:basedOn w:val="1"/>
    <w:next w:val="1"/>
    <w:link w:val="58"/>
    <w:qFormat/>
    <w:uiPriority w:val="0"/>
    <w:pPr>
      <w:ind w:left="100" w:leftChars="2500"/>
    </w:pPr>
  </w:style>
  <w:style w:type="paragraph" w:styleId="22">
    <w:name w:val="Body Text Indent 2"/>
    <w:basedOn w:val="1"/>
    <w:link w:val="62"/>
    <w:qFormat/>
    <w:uiPriority w:val="0"/>
    <w:pPr>
      <w:spacing w:after="120" w:line="480" w:lineRule="auto"/>
      <w:ind w:left="420" w:leftChars="200"/>
    </w:pPr>
  </w:style>
  <w:style w:type="paragraph" w:styleId="23">
    <w:name w:val="Balloon Text"/>
    <w:basedOn w:val="1"/>
    <w:link w:val="102"/>
    <w:semiHidden/>
    <w:qFormat/>
    <w:uiPriority w:val="0"/>
    <w:rPr>
      <w:sz w:val="18"/>
      <w:szCs w:val="18"/>
    </w:rPr>
  </w:style>
  <w:style w:type="paragraph" w:styleId="24">
    <w:name w:val="footer"/>
    <w:basedOn w:val="1"/>
    <w:link w:val="100"/>
    <w:qFormat/>
    <w:uiPriority w:val="99"/>
    <w:pPr>
      <w:tabs>
        <w:tab w:val="center" w:pos="4153"/>
        <w:tab w:val="right" w:pos="8306"/>
      </w:tabs>
      <w:snapToGrid w:val="0"/>
      <w:jc w:val="left"/>
    </w:pPr>
    <w:rPr>
      <w:sz w:val="18"/>
      <w:szCs w:val="18"/>
    </w:rPr>
  </w:style>
  <w:style w:type="paragraph" w:styleId="25">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Body Text Indent 3"/>
    <w:basedOn w:val="1"/>
    <w:link w:val="92"/>
    <w:qFormat/>
    <w:uiPriority w:val="0"/>
    <w:pPr>
      <w:spacing w:after="120"/>
      <w:ind w:left="420" w:leftChars="200"/>
    </w:pPr>
    <w:rPr>
      <w:kern w:val="0"/>
      <w:sz w:val="16"/>
      <w:szCs w:val="16"/>
    </w:rPr>
  </w:style>
  <w:style w:type="paragraph" w:styleId="28">
    <w:name w:val="table of figures"/>
    <w:basedOn w:val="1"/>
    <w:next w:val="1"/>
    <w:qFormat/>
    <w:uiPriority w:val="0"/>
    <w:pPr>
      <w:ind w:left="200" w:leftChars="200" w:hanging="200" w:hangingChars="200"/>
    </w:pPr>
  </w:style>
  <w:style w:type="paragraph" w:styleId="29">
    <w:name w:val="toc 2"/>
    <w:basedOn w:val="1"/>
    <w:next w:val="1"/>
    <w:qFormat/>
    <w:uiPriority w:val="0"/>
    <w:pPr>
      <w:ind w:left="420" w:leftChars="200"/>
    </w:pPr>
  </w:style>
  <w:style w:type="paragraph" w:styleId="30">
    <w:name w:val="Body Text 2"/>
    <w:basedOn w:val="1"/>
    <w:link w:val="103"/>
    <w:unhideWhenUsed/>
    <w:qFormat/>
    <w:uiPriority w:val="0"/>
    <w:pPr>
      <w:spacing w:after="120" w:line="480" w:lineRule="auto"/>
    </w:pPr>
  </w:style>
  <w:style w:type="paragraph" w:styleId="31">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kern w:val="0"/>
      <w:sz w:val="20"/>
      <w:szCs w:val="21"/>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Title"/>
    <w:basedOn w:val="1"/>
    <w:link w:val="89"/>
    <w:qFormat/>
    <w:uiPriority w:val="0"/>
    <w:pPr>
      <w:spacing w:before="240" w:after="60"/>
      <w:jc w:val="center"/>
      <w:outlineLvl w:val="0"/>
    </w:pPr>
    <w:rPr>
      <w:rFonts w:ascii="Arial" w:hAnsi="Arial"/>
      <w:b/>
      <w:bCs/>
      <w:kern w:val="0"/>
      <w:sz w:val="32"/>
      <w:szCs w:val="32"/>
    </w:rPr>
  </w:style>
  <w:style w:type="paragraph" w:styleId="34">
    <w:name w:val="annotation subject"/>
    <w:basedOn w:val="14"/>
    <w:next w:val="14"/>
    <w:link w:val="44"/>
    <w:qFormat/>
    <w:uiPriority w:val="0"/>
    <w:rPr>
      <w:b/>
      <w:bCs/>
    </w:rPr>
  </w:style>
  <w:style w:type="paragraph" w:styleId="35">
    <w:name w:val="Body Text First Indent"/>
    <w:basedOn w:val="2"/>
    <w:link w:val="77"/>
    <w:qFormat/>
    <w:uiPriority w:val="0"/>
    <w:pPr>
      <w:ind w:firstLine="420" w:firstLineChars="100"/>
    </w:pPr>
    <w:rPr>
      <w:rFonts w:ascii="Calibri" w:hAnsi="Calibri"/>
    </w:rPr>
  </w:style>
  <w:style w:type="paragraph" w:styleId="36">
    <w:name w:val="Body Text First Indent 2"/>
    <w:basedOn w:val="1"/>
    <w:link w:val="91"/>
    <w:qFormat/>
    <w:uiPriority w:val="0"/>
    <w:pPr>
      <w:spacing w:after="120"/>
      <w:ind w:left="420" w:leftChars="200" w:firstLine="420"/>
    </w:pPr>
    <w:rPr>
      <w:rFonts w:ascii="Calibri"/>
      <w:kern w:val="0"/>
      <w:sz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qFormat/>
    <w:uiPriority w:val="0"/>
    <w:rPr>
      <w:rFonts w:cs="Times New Roman"/>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customStyle="1" w:styleId="44">
    <w:name w:val="批注主题 字符"/>
    <w:link w:val="34"/>
    <w:qFormat/>
    <w:uiPriority w:val="0"/>
    <w:rPr>
      <w:rFonts w:eastAsia="宋体"/>
      <w:b/>
      <w:bCs/>
      <w:kern w:val="2"/>
      <w:sz w:val="21"/>
      <w:szCs w:val="24"/>
      <w:lang w:val="en-US" w:eastAsia="zh-CN" w:bidi="ar-SA"/>
    </w:rPr>
  </w:style>
  <w:style w:type="character" w:customStyle="1" w:styleId="45">
    <w:name w:val="批注文字 字符"/>
    <w:link w:val="14"/>
    <w:qFormat/>
    <w:uiPriority w:val="99"/>
    <w:rPr>
      <w:rFonts w:eastAsia="宋体"/>
      <w:kern w:val="2"/>
      <w:sz w:val="21"/>
      <w:szCs w:val="24"/>
      <w:lang w:val="en-US" w:eastAsia="zh-CN" w:bidi="ar-SA"/>
    </w:rPr>
  </w:style>
  <w:style w:type="character" w:customStyle="1" w:styleId="46">
    <w:name w:val="样式 正文文本 + Times New Roman Char"/>
    <w:link w:val="47"/>
    <w:qFormat/>
    <w:uiPriority w:val="0"/>
    <w:rPr>
      <w:rFonts w:ascii="宋体" w:hAnsi="宋体"/>
      <w:kern w:val="0"/>
    </w:rPr>
  </w:style>
  <w:style w:type="paragraph" w:customStyle="1" w:styleId="47">
    <w:name w:val="样式 正文文本 + Times New Roman"/>
    <w:basedOn w:val="2"/>
    <w:link w:val="46"/>
    <w:qFormat/>
    <w:uiPriority w:val="0"/>
    <w:pPr>
      <w:autoSpaceDE w:val="0"/>
      <w:autoSpaceDN w:val="0"/>
      <w:spacing w:line="360" w:lineRule="auto"/>
      <w:ind w:firstLine="200" w:firstLineChars="200"/>
    </w:pPr>
    <w:rPr>
      <w:rFonts w:ascii="宋体" w:hAnsi="宋体"/>
      <w:kern w:val="0"/>
    </w:rPr>
  </w:style>
  <w:style w:type="character" w:customStyle="1" w:styleId="48">
    <w:name w:val="纯文本 字符"/>
    <w:link w:val="20"/>
    <w:qFormat/>
    <w:uiPriority w:val="0"/>
    <w:rPr>
      <w:rFonts w:ascii="宋体" w:hAnsi="Courier New"/>
      <w:kern w:val="2"/>
      <w:sz w:val="21"/>
      <w:lang w:bidi="ar-SA"/>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0">
    <w:name w:val="Table Paragraph"/>
    <w:basedOn w:val="1"/>
    <w:qFormat/>
    <w:uiPriority w:val="1"/>
    <w:pPr>
      <w:autoSpaceDE w:val="0"/>
      <w:autoSpaceDN w:val="0"/>
      <w:adjustRightInd w:val="0"/>
      <w:jc w:val="left"/>
    </w:pPr>
    <w:rPr>
      <w:kern w:val="0"/>
      <w:sz w:val="24"/>
    </w:rPr>
  </w:style>
  <w:style w:type="paragraph" w:customStyle="1" w:styleId="5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_Style 11"/>
    <w:basedOn w:val="1"/>
    <w:qFormat/>
    <w:uiPriority w:val="0"/>
    <w:rPr>
      <w:rFonts w:ascii="Calibri" w:hAnsi="Calibri"/>
      <w:sz w:val="30"/>
    </w:rPr>
  </w:style>
  <w:style w:type="paragraph" w:customStyle="1" w:styleId="53">
    <w:name w:val="BodyText"/>
    <w:basedOn w:val="1"/>
    <w:qFormat/>
    <w:uiPriority w:val="0"/>
    <w:pPr>
      <w:spacing w:after="120"/>
    </w:pPr>
    <w:rPr>
      <w:kern w:val="0"/>
      <w:sz w:val="20"/>
      <w:szCs w:val="20"/>
    </w:rPr>
  </w:style>
  <w:style w:type="paragraph" w:customStyle="1" w:styleId="54">
    <w:name w:val="样式 宋体 行距: 1.5 倍行距"/>
    <w:basedOn w:val="1"/>
    <w:qFormat/>
    <w:uiPriority w:val="99"/>
    <w:pPr>
      <w:jc w:val="center"/>
    </w:pPr>
    <w:rPr>
      <w:b/>
      <w:bCs/>
    </w:rPr>
  </w:style>
  <w:style w:type="paragraph" w:customStyle="1" w:styleId="55">
    <w:name w:val="Char"/>
    <w:basedOn w:val="1"/>
    <w:qFormat/>
    <w:uiPriority w:val="0"/>
    <w:pPr>
      <w:widowControl/>
      <w:spacing w:after="160" w:line="240" w:lineRule="exact"/>
      <w:jc w:val="left"/>
    </w:pPr>
  </w:style>
  <w:style w:type="table" w:customStyle="1" w:styleId="56">
    <w:name w:val="Table Normal"/>
    <w:unhideWhenUsed/>
    <w:qFormat/>
    <w:uiPriority w:val="2"/>
    <w:tblPr>
      <w:tblCellMar>
        <w:top w:w="0" w:type="dxa"/>
        <w:left w:w="0" w:type="dxa"/>
        <w:bottom w:w="0" w:type="dxa"/>
        <w:right w:w="0" w:type="dxa"/>
      </w:tblCellMar>
    </w:tblPr>
  </w:style>
  <w:style w:type="paragraph" w:styleId="57">
    <w:name w:val="List Paragraph"/>
    <w:basedOn w:val="1"/>
    <w:qFormat/>
    <w:uiPriority w:val="34"/>
    <w:pPr>
      <w:ind w:firstLine="420" w:firstLineChars="200"/>
    </w:pPr>
  </w:style>
  <w:style w:type="character" w:customStyle="1" w:styleId="58">
    <w:name w:val="日期 字符"/>
    <w:basedOn w:val="39"/>
    <w:link w:val="21"/>
    <w:qFormat/>
    <w:uiPriority w:val="0"/>
    <w:rPr>
      <w:kern w:val="2"/>
      <w:sz w:val="21"/>
      <w:szCs w:val="24"/>
    </w:rPr>
  </w:style>
  <w:style w:type="paragraph" w:customStyle="1" w:styleId="59">
    <w:name w:val="正文文本首行缩进 21"/>
    <w:basedOn w:val="1"/>
    <w:next w:val="1"/>
    <w:qFormat/>
    <w:uiPriority w:val="0"/>
    <w:pPr>
      <w:spacing w:after="120"/>
      <w:ind w:left="420" w:firstLine="420"/>
    </w:pPr>
    <w:rPr>
      <w:szCs w:val="20"/>
    </w:rPr>
  </w:style>
  <w:style w:type="character" w:customStyle="1" w:styleId="60">
    <w:name w:val="HTML Markup"/>
    <w:qFormat/>
    <w:uiPriority w:val="0"/>
    <w:rPr>
      <w:vanish/>
      <w:color w:val="FF0000"/>
    </w:rPr>
  </w:style>
  <w:style w:type="paragraph" w:customStyle="1" w:styleId="61">
    <w:name w:val="正文文本缩进 21"/>
    <w:basedOn w:val="1"/>
    <w:qFormat/>
    <w:uiPriority w:val="0"/>
    <w:pPr>
      <w:ind w:left="360" w:firstLine="540"/>
    </w:pPr>
    <w:rPr>
      <w:rFonts w:ascii="宋体"/>
      <w:sz w:val="28"/>
      <w:szCs w:val="20"/>
    </w:rPr>
  </w:style>
  <w:style w:type="character" w:customStyle="1" w:styleId="62">
    <w:name w:val="正文文本缩进 2 字符"/>
    <w:basedOn w:val="39"/>
    <w:link w:val="22"/>
    <w:qFormat/>
    <w:uiPriority w:val="0"/>
    <w:rPr>
      <w:kern w:val="2"/>
      <w:sz w:val="21"/>
      <w:szCs w:val="24"/>
    </w:rPr>
  </w:style>
  <w:style w:type="paragraph" w:customStyle="1" w:styleId="63">
    <w:name w:val="样式 首行缩进:  2 字符"/>
    <w:qFormat/>
    <w:uiPriority w:val="0"/>
    <w:pPr>
      <w:widowControl w:val="0"/>
      <w:spacing w:line="360" w:lineRule="auto"/>
      <w:ind w:firstLine="582" w:firstLineChars="200"/>
      <w:jc w:val="both"/>
    </w:pPr>
    <w:rPr>
      <w:rFonts w:ascii="Times New Roman" w:hAnsi="Times New Roman" w:eastAsia="仿宋_GB2312" w:cs="宋体"/>
      <w:kern w:val="10"/>
      <w:sz w:val="28"/>
      <w:szCs w:val="28"/>
      <w:lang w:val="en-US" w:eastAsia="zh-CN" w:bidi="ar-SA"/>
    </w:rPr>
  </w:style>
  <w:style w:type="paragraph" w:customStyle="1" w:styleId="6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65">
    <w:name w:val="页眉 字符"/>
    <w:basedOn w:val="39"/>
    <w:link w:val="25"/>
    <w:qFormat/>
    <w:locked/>
    <w:uiPriority w:val="0"/>
    <w:rPr>
      <w:kern w:val="2"/>
      <w:sz w:val="18"/>
      <w:szCs w:val="18"/>
    </w:rPr>
  </w:style>
  <w:style w:type="paragraph" w:customStyle="1" w:styleId="66">
    <w:name w:val="Plain Text1"/>
    <w:basedOn w:val="1"/>
    <w:qFormat/>
    <w:uiPriority w:val="0"/>
    <w:pPr>
      <w:widowControl/>
      <w:wordWrap w:val="0"/>
      <w:topLinePunct/>
      <w:adjustRightInd w:val="0"/>
      <w:snapToGrid w:val="0"/>
      <w:spacing w:line="360" w:lineRule="auto"/>
    </w:pPr>
    <w:rPr>
      <w:rFonts w:ascii="Times" w:hAnsi="Times" w:eastAsia="仿宋" w:cs="Courier New"/>
      <w:kern w:val="0"/>
      <w:sz w:val="24"/>
      <w:szCs w:val="20"/>
    </w:rPr>
  </w:style>
  <w:style w:type="character" w:customStyle="1" w:styleId="67">
    <w:name w:val="标题 8 字符"/>
    <w:basedOn w:val="39"/>
    <w:link w:val="11"/>
    <w:qFormat/>
    <w:uiPriority w:val="0"/>
    <w:rPr>
      <w:rFonts w:asciiTheme="majorHAnsi" w:hAnsiTheme="majorHAnsi" w:eastAsiaTheme="majorEastAsia" w:cstheme="majorBidi"/>
      <w:kern w:val="2"/>
      <w:sz w:val="24"/>
      <w:szCs w:val="24"/>
    </w:rPr>
  </w:style>
  <w:style w:type="character" w:customStyle="1" w:styleId="68">
    <w:name w:val="标题 5 字符"/>
    <w:basedOn w:val="39"/>
    <w:link w:val="7"/>
    <w:qFormat/>
    <w:uiPriority w:val="0"/>
    <w:rPr>
      <w:rFonts w:ascii="Arial" w:hAnsi="Arial"/>
      <w:color w:val="000000"/>
      <w:sz w:val="24"/>
      <w:szCs w:val="24"/>
    </w:rPr>
  </w:style>
  <w:style w:type="character" w:customStyle="1" w:styleId="69">
    <w:name w:val="标题 6 字符"/>
    <w:basedOn w:val="39"/>
    <w:link w:val="9"/>
    <w:qFormat/>
    <w:uiPriority w:val="0"/>
    <w:rPr>
      <w:rFonts w:ascii="Arial" w:hAnsi="Arial" w:eastAsia="黑体"/>
      <w:b/>
      <w:bCs/>
      <w:sz w:val="24"/>
      <w:szCs w:val="24"/>
    </w:rPr>
  </w:style>
  <w:style w:type="character" w:customStyle="1" w:styleId="70">
    <w:name w:val="标题 7 字符"/>
    <w:basedOn w:val="39"/>
    <w:link w:val="10"/>
    <w:qFormat/>
    <w:uiPriority w:val="0"/>
    <w:rPr>
      <w:b/>
      <w:sz w:val="24"/>
    </w:rPr>
  </w:style>
  <w:style w:type="character" w:customStyle="1" w:styleId="71">
    <w:name w:val="标题 9 字符"/>
    <w:basedOn w:val="39"/>
    <w:link w:val="12"/>
    <w:qFormat/>
    <w:uiPriority w:val="0"/>
    <w:rPr>
      <w:rFonts w:ascii="Arial" w:hAnsi="Arial" w:eastAsia="黑体"/>
    </w:rPr>
  </w:style>
  <w:style w:type="character" w:customStyle="1" w:styleId="72">
    <w:name w:val="插图名称 Char"/>
    <w:link w:val="73"/>
    <w:qFormat/>
    <w:uiPriority w:val="0"/>
    <w:rPr>
      <w:rFonts w:eastAsia="Times New Roman"/>
      <w:kern w:val="2"/>
      <w:sz w:val="21"/>
      <w:szCs w:val="24"/>
    </w:rPr>
  </w:style>
  <w:style w:type="paragraph" w:customStyle="1" w:styleId="73">
    <w:name w:val="插图名称"/>
    <w:link w:val="72"/>
    <w:qFormat/>
    <w:uiPriority w:val="0"/>
    <w:pPr>
      <w:jc w:val="center"/>
      <w:outlineLvl w:val="8"/>
    </w:pPr>
    <w:rPr>
      <w:rFonts w:ascii="Times New Roman" w:hAnsi="Times New Roman" w:eastAsia="Times New Roman" w:cs="Times New Roman"/>
      <w:kern w:val="2"/>
      <w:sz w:val="21"/>
      <w:szCs w:val="24"/>
      <w:lang w:val="en-US" w:eastAsia="zh-CN" w:bidi="ar-SA"/>
    </w:rPr>
  </w:style>
  <w:style w:type="character" w:customStyle="1" w:styleId="74">
    <w:name w:val="正文(仿)首缩 Char"/>
    <w:link w:val="75"/>
    <w:qFormat/>
    <w:locked/>
    <w:uiPriority w:val="0"/>
    <w:rPr>
      <w:rFonts w:ascii="仿宋_GB2312" w:eastAsia="仿宋_GB2312"/>
      <w:sz w:val="28"/>
    </w:rPr>
  </w:style>
  <w:style w:type="paragraph" w:customStyle="1" w:styleId="75">
    <w:name w:val="正文(仿)首缩"/>
    <w:basedOn w:val="1"/>
    <w:link w:val="74"/>
    <w:qFormat/>
    <w:uiPriority w:val="0"/>
    <w:pPr>
      <w:ind w:firstLine="554" w:firstLineChars="200"/>
    </w:pPr>
    <w:rPr>
      <w:rFonts w:ascii="仿宋_GB2312" w:eastAsia="仿宋_GB2312"/>
      <w:kern w:val="0"/>
      <w:sz w:val="28"/>
      <w:szCs w:val="20"/>
    </w:rPr>
  </w:style>
  <w:style w:type="character" w:customStyle="1" w:styleId="76">
    <w:name w:val="文档结构图 字符"/>
    <w:link w:val="13"/>
    <w:qFormat/>
    <w:uiPriority w:val="0"/>
    <w:rPr>
      <w:szCs w:val="24"/>
      <w:shd w:val="clear" w:color="auto" w:fill="000080"/>
    </w:rPr>
  </w:style>
  <w:style w:type="character" w:customStyle="1" w:styleId="77">
    <w:name w:val="正文文本首行缩进 字符"/>
    <w:link w:val="35"/>
    <w:qFormat/>
    <w:uiPriority w:val="0"/>
    <w:rPr>
      <w:rFonts w:ascii="Calibri" w:hAnsi="Calibri"/>
      <w:kern w:val="2"/>
      <w:sz w:val="21"/>
      <w:szCs w:val="24"/>
    </w:rPr>
  </w:style>
  <w:style w:type="character" w:customStyle="1" w:styleId="78">
    <w:name w:val="标题 4 字符"/>
    <w:link w:val="6"/>
    <w:qFormat/>
    <w:uiPriority w:val="0"/>
    <w:rPr>
      <w:rFonts w:ascii="Cambria" w:hAnsi="Cambria"/>
      <w:b/>
      <w:bCs/>
      <w:kern w:val="2"/>
      <w:sz w:val="28"/>
      <w:szCs w:val="28"/>
    </w:rPr>
  </w:style>
  <w:style w:type="character" w:customStyle="1" w:styleId="79">
    <w:name w:val="表格00 Char1"/>
    <w:link w:val="80"/>
    <w:qFormat/>
    <w:uiPriority w:val="0"/>
    <w:rPr>
      <w:rFonts w:eastAsia="Times New Roman"/>
      <w:kern w:val="2"/>
      <w:sz w:val="21"/>
      <w:szCs w:val="21"/>
    </w:rPr>
  </w:style>
  <w:style w:type="paragraph" w:customStyle="1" w:styleId="80">
    <w:name w:val="表格00"/>
    <w:link w:val="79"/>
    <w:qFormat/>
    <w:uiPriority w:val="0"/>
    <w:pPr>
      <w:widowControl w:val="0"/>
      <w:adjustRightInd w:val="0"/>
      <w:spacing w:line="140" w:lineRule="atLeast"/>
      <w:jc w:val="center"/>
      <w:outlineLvl w:val="8"/>
    </w:pPr>
    <w:rPr>
      <w:rFonts w:ascii="Times New Roman" w:hAnsi="Times New Roman" w:eastAsia="Times New Roman" w:cs="Times New Roman"/>
      <w:kern w:val="2"/>
      <w:sz w:val="21"/>
      <w:szCs w:val="21"/>
      <w:lang w:val="en-US" w:eastAsia="zh-CN" w:bidi="ar-SA"/>
    </w:rPr>
  </w:style>
  <w:style w:type="character" w:customStyle="1" w:styleId="81">
    <w:name w:val="标题 3 字符"/>
    <w:link w:val="5"/>
    <w:qFormat/>
    <w:uiPriority w:val="0"/>
    <w:rPr>
      <w:b/>
      <w:bCs/>
      <w:kern w:val="2"/>
      <w:sz w:val="32"/>
      <w:szCs w:val="32"/>
    </w:rPr>
  </w:style>
  <w:style w:type="character" w:customStyle="1" w:styleId="82">
    <w:name w:val="正文文本 3 字符"/>
    <w:link w:val="16"/>
    <w:qFormat/>
    <w:uiPriority w:val="0"/>
    <w:rPr>
      <w:rFonts w:ascii="Calibri" w:hAnsi="Calibri"/>
      <w:sz w:val="16"/>
      <w:szCs w:val="16"/>
    </w:rPr>
  </w:style>
  <w:style w:type="character" w:customStyle="1" w:styleId="83">
    <w:name w:val="正文文本缩进 字符"/>
    <w:link w:val="17"/>
    <w:qFormat/>
    <w:uiPriority w:val="0"/>
    <w:rPr>
      <w:rFonts w:ascii="宋体"/>
      <w:kern w:val="2"/>
      <w:sz w:val="30"/>
    </w:rPr>
  </w:style>
  <w:style w:type="character" w:customStyle="1" w:styleId="84">
    <w:name w:val="样式3 Char"/>
    <w:link w:val="85"/>
    <w:qFormat/>
    <w:uiPriority w:val="0"/>
    <w:rPr>
      <w:rFonts w:eastAsia="Times New Roman"/>
      <w:b/>
      <w:kern w:val="2"/>
      <w:sz w:val="24"/>
      <w:szCs w:val="22"/>
    </w:rPr>
  </w:style>
  <w:style w:type="paragraph" w:customStyle="1" w:styleId="85">
    <w:name w:val="样式3"/>
    <w:link w:val="84"/>
    <w:qFormat/>
    <w:uiPriority w:val="0"/>
    <w:pPr>
      <w:tabs>
        <w:tab w:val="left" w:pos="1140"/>
      </w:tabs>
      <w:spacing w:line="480" w:lineRule="exact"/>
      <w:ind w:left="1140" w:hanging="720"/>
    </w:pPr>
    <w:rPr>
      <w:rFonts w:ascii="Times New Roman" w:hAnsi="Times New Roman" w:eastAsia="Times New Roman" w:cs="Times New Roman"/>
      <w:b/>
      <w:kern w:val="2"/>
      <w:sz w:val="24"/>
      <w:szCs w:val="22"/>
      <w:lang w:val="en-US" w:eastAsia="zh-CN" w:bidi="ar-SA"/>
    </w:rPr>
  </w:style>
  <w:style w:type="character" w:customStyle="1" w:styleId="86">
    <w:name w:val="HTML 预设格式 字符"/>
    <w:link w:val="31"/>
    <w:qFormat/>
    <w:uiPriority w:val="0"/>
    <w:rPr>
      <w:szCs w:val="21"/>
    </w:rPr>
  </w:style>
  <w:style w:type="character" w:customStyle="1" w:styleId="87">
    <w:name w:val="样式 宋体 小四 Char"/>
    <w:link w:val="88"/>
    <w:qFormat/>
    <w:uiPriority w:val="0"/>
    <w:rPr>
      <w:rFonts w:ascii="Courier New" w:hAnsi="Courier New" w:eastAsia="Courier New"/>
      <w:sz w:val="24"/>
    </w:rPr>
  </w:style>
  <w:style w:type="paragraph" w:customStyle="1" w:styleId="88">
    <w:name w:val="样式 宋体 小四"/>
    <w:basedOn w:val="1"/>
    <w:link w:val="87"/>
    <w:qFormat/>
    <w:uiPriority w:val="0"/>
    <w:pPr>
      <w:adjustRightInd w:val="0"/>
      <w:snapToGrid w:val="0"/>
      <w:spacing w:line="480" w:lineRule="exact"/>
      <w:ind w:firstLine="200" w:firstLineChars="200"/>
    </w:pPr>
    <w:rPr>
      <w:rFonts w:ascii="Courier New" w:hAnsi="Courier New" w:eastAsia="Courier New"/>
      <w:kern w:val="0"/>
      <w:sz w:val="24"/>
      <w:szCs w:val="20"/>
    </w:rPr>
  </w:style>
  <w:style w:type="character" w:customStyle="1" w:styleId="89">
    <w:name w:val="标题 字符"/>
    <w:link w:val="33"/>
    <w:qFormat/>
    <w:uiPriority w:val="0"/>
    <w:rPr>
      <w:rFonts w:ascii="Arial" w:hAnsi="Arial"/>
      <w:b/>
      <w:bCs/>
      <w:sz w:val="32"/>
      <w:szCs w:val="32"/>
    </w:rPr>
  </w:style>
  <w:style w:type="character" w:customStyle="1" w:styleId="90">
    <w:name w:val="标题 1 字符"/>
    <w:link w:val="3"/>
    <w:qFormat/>
    <w:uiPriority w:val="0"/>
    <w:rPr>
      <w:b/>
      <w:bCs/>
      <w:kern w:val="44"/>
      <w:sz w:val="44"/>
      <w:szCs w:val="44"/>
    </w:rPr>
  </w:style>
  <w:style w:type="character" w:customStyle="1" w:styleId="91">
    <w:name w:val="正文文本首行缩进 2 字符"/>
    <w:link w:val="36"/>
    <w:qFormat/>
    <w:uiPriority w:val="0"/>
    <w:rPr>
      <w:rFonts w:ascii="Calibri"/>
      <w:szCs w:val="24"/>
    </w:rPr>
  </w:style>
  <w:style w:type="character" w:customStyle="1" w:styleId="92">
    <w:name w:val="正文文本缩进 3 字符"/>
    <w:link w:val="27"/>
    <w:qFormat/>
    <w:uiPriority w:val="0"/>
    <w:rPr>
      <w:sz w:val="16"/>
      <w:szCs w:val="16"/>
    </w:rPr>
  </w:style>
  <w:style w:type="character" w:customStyle="1" w:styleId="93">
    <w:name w:val="正文缩进 字符"/>
    <w:link w:val="8"/>
    <w:qFormat/>
    <w:uiPriority w:val="0"/>
    <w:rPr>
      <w:kern w:val="2"/>
      <w:sz w:val="21"/>
      <w:szCs w:val="24"/>
    </w:rPr>
  </w:style>
  <w:style w:type="character" w:customStyle="1" w:styleId="94">
    <w:name w:val="一级标题 Char"/>
    <w:link w:val="95"/>
    <w:qFormat/>
    <w:uiPriority w:val="0"/>
    <w:rPr>
      <w:b/>
      <w:sz w:val="30"/>
      <w:szCs w:val="30"/>
    </w:rPr>
  </w:style>
  <w:style w:type="paragraph" w:customStyle="1" w:styleId="95">
    <w:name w:val="一级标题"/>
    <w:basedOn w:val="1"/>
    <w:link w:val="94"/>
    <w:qFormat/>
    <w:uiPriority w:val="0"/>
    <w:pPr>
      <w:spacing w:line="360" w:lineRule="auto"/>
      <w:outlineLvl w:val="0"/>
    </w:pPr>
    <w:rPr>
      <w:b/>
      <w:kern w:val="0"/>
      <w:sz w:val="30"/>
      <w:szCs w:val="30"/>
    </w:rPr>
  </w:style>
  <w:style w:type="character" w:customStyle="1" w:styleId="96">
    <w:name w:val="标题 2 字符"/>
    <w:link w:val="4"/>
    <w:qFormat/>
    <w:uiPriority w:val="0"/>
    <w:rPr>
      <w:rFonts w:ascii="Arial" w:hAnsi="Arial" w:eastAsia="黑体"/>
      <w:b/>
      <w:bCs/>
      <w:kern w:val="2"/>
      <w:sz w:val="32"/>
      <w:szCs w:val="32"/>
    </w:rPr>
  </w:style>
  <w:style w:type="character" w:customStyle="1" w:styleId="97">
    <w:name w:val="正文文本 字符"/>
    <w:link w:val="2"/>
    <w:qFormat/>
    <w:uiPriority w:val="0"/>
    <w:rPr>
      <w:kern w:val="2"/>
      <w:sz w:val="21"/>
      <w:szCs w:val="24"/>
    </w:rPr>
  </w:style>
  <w:style w:type="character" w:customStyle="1" w:styleId="98">
    <w:name w:val="3eee Char"/>
    <w:link w:val="99"/>
    <w:qFormat/>
    <w:uiPriority w:val="0"/>
    <w:rPr>
      <w:rFonts w:ascii="Courier New" w:hAnsi="Courier New" w:eastAsia="Courier New"/>
      <w:sz w:val="24"/>
      <w:szCs w:val="24"/>
    </w:rPr>
  </w:style>
  <w:style w:type="paragraph" w:customStyle="1" w:styleId="99">
    <w:name w:val="3eee"/>
    <w:basedOn w:val="1"/>
    <w:link w:val="98"/>
    <w:qFormat/>
    <w:uiPriority w:val="0"/>
    <w:pPr>
      <w:spacing w:line="440" w:lineRule="exact"/>
      <w:ind w:firstLine="480" w:firstLineChars="200"/>
    </w:pPr>
    <w:rPr>
      <w:rFonts w:ascii="Courier New" w:hAnsi="Courier New" w:eastAsia="Courier New"/>
      <w:kern w:val="0"/>
      <w:sz w:val="24"/>
    </w:rPr>
  </w:style>
  <w:style w:type="character" w:customStyle="1" w:styleId="100">
    <w:name w:val="页脚 字符"/>
    <w:link w:val="24"/>
    <w:qFormat/>
    <w:uiPriority w:val="99"/>
    <w:rPr>
      <w:kern w:val="2"/>
      <w:sz w:val="18"/>
      <w:szCs w:val="18"/>
    </w:rPr>
  </w:style>
  <w:style w:type="character" w:customStyle="1" w:styleId="101">
    <w:name w:val="称呼 字符"/>
    <w:link w:val="15"/>
    <w:qFormat/>
    <w:uiPriority w:val="0"/>
    <w:rPr>
      <w:rFonts w:ascii="Calibri" w:hAnsi="Calibri"/>
      <w:sz w:val="32"/>
      <w:szCs w:val="24"/>
    </w:rPr>
  </w:style>
  <w:style w:type="character" w:customStyle="1" w:styleId="102">
    <w:name w:val="批注框文本 字符"/>
    <w:link w:val="23"/>
    <w:semiHidden/>
    <w:qFormat/>
    <w:uiPriority w:val="0"/>
    <w:rPr>
      <w:kern w:val="2"/>
      <w:sz w:val="18"/>
      <w:szCs w:val="18"/>
    </w:rPr>
  </w:style>
  <w:style w:type="character" w:customStyle="1" w:styleId="103">
    <w:name w:val="正文文本 2 字符"/>
    <w:link w:val="30"/>
    <w:qFormat/>
    <w:uiPriority w:val="0"/>
    <w:rPr>
      <w:kern w:val="2"/>
      <w:sz w:val="21"/>
      <w:szCs w:val="24"/>
    </w:rPr>
  </w:style>
  <w:style w:type="character" w:customStyle="1" w:styleId="104">
    <w:name w:val="样式 小四 首行缩进:  0.85 厘米 行距: 1.5 倍行距 Char1"/>
    <w:link w:val="105"/>
    <w:qFormat/>
    <w:uiPriority w:val="0"/>
    <w:rPr>
      <w:rFonts w:ascii="Courier New" w:hAnsi="Courier New" w:eastAsia="Courier New"/>
      <w:bCs/>
      <w:sz w:val="24"/>
      <w:szCs w:val="28"/>
    </w:rPr>
  </w:style>
  <w:style w:type="paragraph" w:customStyle="1" w:styleId="105">
    <w:name w:val="样式 小四 首行缩进:  0.85 厘米 行距: 1.5 倍行距"/>
    <w:basedOn w:val="1"/>
    <w:next w:val="1"/>
    <w:link w:val="104"/>
    <w:qFormat/>
    <w:uiPriority w:val="0"/>
    <w:pPr>
      <w:spacing w:line="360" w:lineRule="auto"/>
      <w:ind w:firstLine="480"/>
    </w:pPr>
    <w:rPr>
      <w:rFonts w:ascii="Courier New" w:hAnsi="Courier New" w:eastAsia="Courier New"/>
      <w:bCs/>
      <w:kern w:val="0"/>
      <w:sz w:val="24"/>
      <w:szCs w:val="28"/>
    </w:rPr>
  </w:style>
  <w:style w:type="character" w:customStyle="1" w:styleId="106">
    <w:name w:val="无间隔 字符"/>
    <w:link w:val="107"/>
    <w:qFormat/>
    <w:uiPriority w:val="0"/>
    <w:rPr>
      <w:rFonts w:eastAsia="Times New Roman"/>
      <w:kern w:val="2"/>
      <w:sz w:val="24"/>
      <w:szCs w:val="24"/>
    </w:rPr>
  </w:style>
  <w:style w:type="paragraph" w:styleId="107">
    <w:name w:val="No Spacing"/>
    <w:link w:val="106"/>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08">
    <w:name w:val="表格"/>
    <w:basedOn w:val="1"/>
    <w:qFormat/>
    <w:uiPriority w:val="0"/>
    <w:pPr>
      <w:adjustRightInd w:val="0"/>
      <w:jc w:val="center"/>
      <w:textAlignment w:val="baseline"/>
    </w:pPr>
    <w:rPr>
      <w:rFonts w:ascii="宋体" w:hAnsi="宋体"/>
      <w:snapToGrid w:val="0"/>
      <w:color w:val="000000"/>
      <w:spacing w:val="-10"/>
      <w:sz w:val="24"/>
      <w:szCs w:val="20"/>
    </w:rPr>
  </w:style>
  <w:style w:type="character" w:customStyle="1" w:styleId="109">
    <w:name w:val="正文文本缩进 3 字符1"/>
    <w:basedOn w:val="39"/>
    <w:qFormat/>
    <w:uiPriority w:val="0"/>
    <w:rPr>
      <w:kern w:val="2"/>
      <w:sz w:val="16"/>
      <w:szCs w:val="16"/>
    </w:rPr>
  </w:style>
  <w:style w:type="character" w:customStyle="1" w:styleId="110">
    <w:name w:val="标题 字符1"/>
    <w:basedOn w:val="39"/>
    <w:qFormat/>
    <w:uiPriority w:val="0"/>
    <w:rPr>
      <w:rFonts w:asciiTheme="majorHAnsi" w:hAnsiTheme="majorHAnsi" w:eastAsiaTheme="majorEastAsia" w:cstheme="majorBidi"/>
      <w:b/>
      <w:bCs/>
      <w:kern w:val="2"/>
      <w:sz w:val="32"/>
      <w:szCs w:val="32"/>
    </w:rPr>
  </w:style>
  <w:style w:type="paragraph" w:customStyle="1" w:styleId="111">
    <w:name w:val="文二"/>
    <w:basedOn w:val="1"/>
    <w:qFormat/>
    <w:uiPriority w:val="0"/>
    <w:pPr>
      <w:jc w:val="left"/>
    </w:pPr>
    <w:rPr>
      <w:rFonts w:ascii="宋体" w:hAnsi="宋体"/>
      <w:szCs w:val="21"/>
    </w:rPr>
  </w:style>
  <w:style w:type="paragraph" w:customStyle="1" w:styleId="112">
    <w:name w:val="纯文本1"/>
    <w:basedOn w:val="1"/>
    <w:qFormat/>
    <w:uiPriority w:val="0"/>
    <w:pPr>
      <w:adjustRightInd w:val="0"/>
      <w:textAlignment w:val="baseline"/>
    </w:pPr>
    <w:rPr>
      <w:rFonts w:ascii="宋体"/>
      <w:kern w:val="0"/>
      <w:sz w:val="24"/>
      <w:szCs w:val="20"/>
    </w:rPr>
  </w:style>
  <w:style w:type="paragraph" w:customStyle="1" w:styleId="1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4">
    <w:name w:val="WPSOffice手动目录 1"/>
    <w:qFormat/>
    <w:uiPriority w:val="0"/>
    <w:rPr>
      <w:rFonts w:ascii="Times New Roman" w:hAnsi="Times New Roman" w:eastAsia="宋体" w:cs="Times New Roman"/>
      <w:lang w:val="en-US" w:eastAsia="zh-CN" w:bidi="ar-SA"/>
    </w:rPr>
  </w:style>
  <w:style w:type="character" w:customStyle="1" w:styleId="115">
    <w:name w:val="正文文本 3 字符1"/>
    <w:basedOn w:val="39"/>
    <w:qFormat/>
    <w:uiPriority w:val="0"/>
    <w:rPr>
      <w:kern w:val="2"/>
      <w:sz w:val="16"/>
      <w:szCs w:val="16"/>
    </w:rPr>
  </w:style>
  <w:style w:type="character" w:customStyle="1" w:styleId="116">
    <w:name w:val="文档结构图 字符1"/>
    <w:basedOn w:val="39"/>
    <w:qFormat/>
    <w:uiPriority w:val="0"/>
    <w:rPr>
      <w:rFonts w:ascii="Microsoft YaHei UI" w:eastAsia="Microsoft YaHei UI"/>
      <w:kern w:val="2"/>
      <w:sz w:val="18"/>
      <w:szCs w:val="18"/>
    </w:rPr>
  </w:style>
  <w:style w:type="character" w:customStyle="1" w:styleId="117">
    <w:name w:val="称呼 字符1"/>
    <w:basedOn w:val="39"/>
    <w:qFormat/>
    <w:uiPriority w:val="0"/>
    <w:rPr>
      <w:kern w:val="2"/>
      <w:sz w:val="21"/>
      <w:szCs w:val="24"/>
    </w:rPr>
  </w:style>
  <w:style w:type="character" w:customStyle="1" w:styleId="118">
    <w:name w:val="HTML 预设格式 字符1"/>
    <w:basedOn w:val="39"/>
    <w:qFormat/>
    <w:uiPriority w:val="0"/>
    <w:rPr>
      <w:rFonts w:ascii="Courier New" w:hAnsi="Courier New"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1B00B-B61E-453D-A00A-25D32F8F7B9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31639</Words>
  <Characters>33230</Characters>
  <Lines>606</Lines>
  <Paragraphs>170</Paragraphs>
  <TotalTime>196</TotalTime>
  <ScaleCrop>false</ScaleCrop>
  <LinksUpToDate>false</LinksUpToDate>
  <CharactersWithSpaces>35791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2022-06-23T06:17:00Z</dcterms:created>
  <dc:creator>Administrator</dc:creator>
  <cp:lastModifiedBy>Administrator</cp:lastModifiedBy>
  <cp:lastPrinted>2022-07-15T02:50:00Z</cp:lastPrinted>
  <dcterms:modified xsi:type="dcterms:W3CDTF">2022-07-15T09:30:51Z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E65748C4CBA94D6B942C12E76C74ED63</vt:lpwstr>
  </property>
</Properties>
</file>