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4E70C">
      <w:pPr>
        <w:ind w:left="-283" w:leftChars="-135" w:firstLine="283" w:firstLineChars="64"/>
        <w:jc w:val="center"/>
        <w:rPr>
          <w:rFonts w:ascii="宋体" w:hAnsi="宋体" w:cs="宋体"/>
          <w:b/>
          <w:kern w:val="0"/>
          <w:sz w:val="44"/>
          <w:szCs w:val="44"/>
          <w:highlight w:val="none"/>
        </w:rPr>
      </w:pPr>
      <w:bookmarkStart w:id="34" w:name="_GoBack"/>
    </w:p>
    <w:p w14:paraId="3170A9A0">
      <w:pPr>
        <w:ind w:left="-283" w:leftChars="-135" w:firstLine="283" w:firstLineChars="64"/>
        <w:jc w:val="center"/>
        <w:rPr>
          <w:rFonts w:ascii="宋体" w:hAnsi="宋体" w:cs="宋体"/>
          <w:b/>
          <w:kern w:val="0"/>
          <w:sz w:val="44"/>
          <w:szCs w:val="44"/>
          <w:highlight w:val="none"/>
        </w:rPr>
      </w:pPr>
      <w:r>
        <w:rPr>
          <w:rFonts w:hint="eastAsia" w:ascii="宋体" w:hAnsi="宋体" w:cs="宋体"/>
          <w:b/>
          <w:kern w:val="0"/>
          <w:sz w:val="44"/>
          <w:szCs w:val="44"/>
          <w:highlight w:val="none"/>
        </w:rPr>
        <w:t>广州市南沙区广隆村城中村改造项目首期安置地块监理服务</w:t>
      </w:r>
    </w:p>
    <w:p w14:paraId="4A28391D">
      <w:pPr>
        <w:pStyle w:val="9"/>
        <w:ind w:left="63" w:right="63" w:firstLine="440"/>
        <w:rPr>
          <w:rFonts w:ascii="宋体" w:hAnsi="宋体" w:cs="宋体"/>
          <w:sz w:val="24"/>
          <w:highlight w:val="none"/>
        </w:rPr>
      </w:pPr>
    </w:p>
    <w:p w14:paraId="0423ED26">
      <w:pPr>
        <w:pStyle w:val="9"/>
        <w:ind w:left="63" w:right="63" w:firstLine="440"/>
        <w:rPr>
          <w:rFonts w:ascii="宋体" w:hAnsi="宋体" w:cs="宋体"/>
          <w:sz w:val="24"/>
          <w:highlight w:val="none"/>
        </w:rPr>
      </w:pPr>
    </w:p>
    <w:p w14:paraId="714D7596">
      <w:pPr>
        <w:pStyle w:val="9"/>
        <w:ind w:left="63" w:right="63" w:firstLine="440"/>
        <w:rPr>
          <w:rFonts w:ascii="宋体" w:hAnsi="宋体" w:cs="宋体"/>
          <w:sz w:val="24"/>
          <w:highlight w:val="none"/>
        </w:rPr>
      </w:pPr>
    </w:p>
    <w:p w14:paraId="43A4F0D4">
      <w:pPr>
        <w:rPr>
          <w:rFonts w:ascii="宋体" w:hAnsi="宋体" w:cs="宋体"/>
          <w:sz w:val="24"/>
          <w:highlight w:val="none"/>
        </w:rPr>
      </w:pPr>
    </w:p>
    <w:p w14:paraId="29B7E017">
      <w:pPr>
        <w:pStyle w:val="9"/>
        <w:ind w:left="63" w:right="63" w:firstLine="440"/>
        <w:rPr>
          <w:rFonts w:ascii="宋体" w:hAnsi="宋体" w:cs="宋体"/>
          <w:sz w:val="24"/>
          <w:highlight w:val="none"/>
        </w:rPr>
      </w:pPr>
    </w:p>
    <w:p w14:paraId="0E1C9B7D">
      <w:pPr>
        <w:rPr>
          <w:rFonts w:ascii="宋体" w:hAnsi="宋体" w:cs="宋体"/>
          <w:sz w:val="24"/>
          <w:highlight w:val="none"/>
        </w:rPr>
      </w:pPr>
    </w:p>
    <w:p w14:paraId="7A85C8AC">
      <w:pPr>
        <w:pStyle w:val="9"/>
        <w:ind w:left="63" w:right="63" w:firstLine="440"/>
        <w:rPr>
          <w:rFonts w:ascii="宋体" w:hAnsi="宋体" w:cs="宋体"/>
          <w:sz w:val="24"/>
          <w:highlight w:val="none"/>
        </w:rPr>
      </w:pPr>
    </w:p>
    <w:p w14:paraId="79706C83">
      <w:pPr>
        <w:jc w:val="center"/>
        <w:outlineLvl w:val="0"/>
        <w:rPr>
          <w:rFonts w:ascii="宋体" w:hAnsi="宋体"/>
          <w:sz w:val="84"/>
          <w:szCs w:val="84"/>
          <w:highlight w:val="none"/>
        </w:rPr>
      </w:pPr>
      <w:r>
        <w:rPr>
          <w:rFonts w:hint="eastAsia" w:ascii="宋体" w:hAnsi="宋体"/>
          <w:sz w:val="84"/>
          <w:szCs w:val="84"/>
          <w:highlight w:val="none"/>
        </w:rPr>
        <w:t>招标公告</w:t>
      </w:r>
    </w:p>
    <w:p w14:paraId="68FFCB5C">
      <w:pPr>
        <w:spacing w:line="360" w:lineRule="auto"/>
        <w:jc w:val="center"/>
        <w:rPr>
          <w:rFonts w:ascii="宋体" w:hAnsi="宋体" w:cs="宋体"/>
          <w:b/>
          <w:sz w:val="24"/>
          <w:highlight w:val="none"/>
        </w:rPr>
      </w:pPr>
    </w:p>
    <w:p w14:paraId="3829664F">
      <w:pPr>
        <w:pStyle w:val="6"/>
        <w:ind w:firstLine="0" w:firstLineChars="0"/>
        <w:rPr>
          <w:rFonts w:ascii="宋体" w:hAnsi="宋体" w:cs="宋体"/>
          <w:sz w:val="24"/>
          <w:highlight w:val="none"/>
        </w:rPr>
      </w:pPr>
    </w:p>
    <w:p w14:paraId="2746AF08">
      <w:pPr>
        <w:rPr>
          <w:rFonts w:ascii="宋体" w:hAnsi="宋体" w:cs="宋体"/>
          <w:sz w:val="24"/>
          <w:highlight w:val="none"/>
        </w:rPr>
      </w:pPr>
    </w:p>
    <w:p w14:paraId="5DB58093">
      <w:pPr>
        <w:pStyle w:val="6"/>
        <w:ind w:firstLine="0" w:firstLineChars="0"/>
        <w:rPr>
          <w:rFonts w:ascii="宋体" w:hAnsi="宋体" w:cs="宋体"/>
          <w:sz w:val="24"/>
          <w:highlight w:val="none"/>
        </w:rPr>
      </w:pPr>
    </w:p>
    <w:p w14:paraId="171269DC">
      <w:pPr>
        <w:rPr>
          <w:rFonts w:ascii="宋体" w:hAnsi="宋体" w:cs="宋体"/>
          <w:sz w:val="24"/>
          <w:highlight w:val="none"/>
        </w:rPr>
      </w:pPr>
    </w:p>
    <w:p w14:paraId="3873EA53">
      <w:pPr>
        <w:pStyle w:val="6"/>
        <w:ind w:firstLine="0" w:firstLineChars="0"/>
        <w:rPr>
          <w:rFonts w:ascii="宋体" w:hAnsi="宋体" w:cs="宋体"/>
          <w:sz w:val="24"/>
          <w:highlight w:val="none"/>
        </w:rPr>
      </w:pPr>
    </w:p>
    <w:p w14:paraId="51F13DFB">
      <w:pPr>
        <w:rPr>
          <w:rFonts w:ascii="宋体" w:hAnsi="宋体" w:cs="宋体"/>
          <w:sz w:val="24"/>
          <w:highlight w:val="none"/>
        </w:rPr>
      </w:pPr>
    </w:p>
    <w:p w14:paraId="2EE39921">
      <w:pPr>
        <w:pStyle w:val="6"/>
        <w:ind w:firstLine="0" w:firstLineChars="0"/>
        <w:rPr>
          <w:rFonts w:ascii="宋体" w:hAnsi="宋体" w:cs="宋体"/>
          <w:sz w:val="24"/>
          <w:highlight w:val="none"/>
        </w:rPr>
      </w:pPr>
    </w:p>
    <w:p w14:paraId="6C7663BF">
      <w:pPr>
        <w:rPr>
          <w:rFonts w:ascii="宋体" w:hAnsi="宋体" w:cs="宋体"/>
          <w:sz w:val="24"/>
          <w:highlight w:val="none"/>
        </w:rPr>
      </w:pPr>
    </w:p>
    <w:p w14:paraId="14DD91A6">
      <w:pPr>
        <w:pStyle w:val="6"/>
        <w:ind w:firstLine="0" w:firstLineChars="0"/>
        <w:rPr>
          <w:rFonts w:ascii="宋体" w:hAnsi="宋体" w:cs="宋体"/>
          <w:sz w:val="24"/>
          <w:highlight w:val="none"/>
        </w:rPr>
      </w:pPr>
    </w:p>
    <w:p w14:paraId="13293924">
      <w:pPr>
        <w:pStyle w:val="6"/>
        <w:ind w:firstLine="0" w:firstLineChars="0"/>
        <w:rPr>
          <w:rFonts w:ascii="宋体" w:hAnsi="宋体" w:cs="宋体"/>
          <w:sz w:val="24"/>
          <w:highlight w:val="none"/>
        </w:rPr>
      </w:pPr>
    </w:p>
    <w:p w14:paraId="2F81D785">
      <w:pPr>
        <w:pStyle w:val="6"/>
        <w:ind w:firstLine="0" w:firstLineChars="0"/>
        <w:rPr>
          <w:rFonts w:ascii="宋体" w:hAnsi="宋体" w:cs="宋体"/>
          <w:sz w:val="24"/>
          <w:highlight w:val="none"/>
        </w:rPr>
      </w:pPr>
    </w:p>
    <w:p w14:paraId="2335E10F">
      <w:pPr>
        <w:pStyle w:val="6"/>
        <w:ind w:firstLine="480"/>
        <w:rPr>
          <w:rFonts w:ascii="宋体" w:hAnsi="宋体" w:cs="宋体"/>
          <w:sz w:val="24"/>
          <w:highlight w:val="none"/>
        </w:rPr>
      </w:pPr>
    </w:p>
    <w:p w14:paraId="6507CAD3">
      <w:pPr>
        <w:rPr>
          <w:rFonts w:ascii="宋体" w:hAnsi="宋体" w:cs="宋体"/>
          <w:sz w:val="24"/>
          <w:highlight w:val="none"/>
        </w:rPr>
      </w:pPr>
    </w:p>
    <w:p w14:paraId="76FCDA57">
      <w:pPr>
        <w:pStyle w:val="6"/>
        <w:ind w:firstLine="480"/>
        <w:rPr>
          <w:rFonts w:ascii="宋体" w:hAnsi="宋体" w:cs="宋体"/>
          <w:sz w:val="24"/>
          <w:highlight w:val="none"/>
        </w:rPr>
      </w:pPr>
    </w:p>
    <w:p w14:paraId="7CBD28D0">
      <w:pPr>
        <w:spacing w:line="360" w:lineRule="auto"/>
        <w:ind w:firstLine="1560" w:firstLineChars="518"/>
        <w:rPr>
          <w:rFonts w:ascii="宋体" w:hAnsi="宋体"/>
          <w:b/>
          <w:sz w:val="30"/>
          <w:szCs w:val="30"/>
          <w:highlight w:val="none"/>
        </w:rPr>
      </w:pPr>
      <w:r>
        <w:rPr>
          <w:rFonts w:hint="eastAsia" w:ascii="宋体" w:hAnsi="宋体"/>
          <w:b/>
          <w:sz w:val="30"/>
          <w:szCs w:val="30"/>
          <w:highlight w:val="none"/>
        </w:rPr>
        <w:t>招 标 人：广州市广建城更南湾投资发展有限公司</w:t>
      </w:r>
    </w:p>
    <w:p w14:paraId="7FD3C0E0">
      <w:pPr>
        <w:spacing w:line="360" w:lineRule="auto"/>
        <w:ind w:firstLine="1560" w:firstLineChars="518"/>
        <w:rPr>
          <w:rFonts w:ascii="宋体" w:hAnsi="宋体"/>
          <w:b/>
          <w:sz w:val="30"/>
          <w:szCs w:val="30"/>
          <w:highlight w:val="none"/>
        </w:rPr>
      </w:pPr>
      <w:r>
        <w:rPr>
          <w:rFonts w:hint="eastAsia" w:ascii="宋体" w:hAnsi="宋体"/>
          <w:b/>
          <w:sz w:val="30"/>
          <w:szCs w:val="30"/>
          <w:highlight w:val="none"/>
        </w:rPr>
        <w:t>招标代理：广东广建项目管理有限公司</w:t>
      </w:r>
    </w:p>
    <w:p w14:paraId="458FF9F3">
      <w:pPr>
        <w:widowControl/>
        <w:ind w:firstLine="1807" w:firstLineChars="600"/>
        <w:jc w:val="left"/>
        <w:rPr>
          <w:rFonts w:ascii="仿宋" w:hAnsi="仿宋" w:eastAsia="仿宋" w:cs="仿宋"/>
          <w:bCs/>
          <w:sz w:val="44"/>
          <w:szCs w:val="44"/>
          <w:highlight w:val="none"/>
        </w:rPr>
      </w:pPr>
      <w:r>
        <w:rPr>
          <w:rFonts w:hint="eastAsia" w:ascii="宋体" w:hAnsi="宋体"/>
          <w:b/>
          <w:sz w:val="30"/>
          <w:szCs w:val="30"/>
          <w:highlight w:val="none"/>
        </w:rPr>
        <w:t>时    间：2024年12月</w:t>
      </w:r>
    </w:p>
    <w:p w14:paraId="24BE3DD8">
      <w:pPr>
        <w:widowControl/>
        <w:jc w:val="left"/>
        <w:rPr>
          <w:rFonts w:ascii="仿宋" w:hAnsi="仿宋" w:eastAsia="仿宋" w:cs="仿宋"/>
          <w:bCs/>
          <w:sz w:val="44"/>
          <w:szCs w:val="44"/>
          <w:highlight w:val="none"/>
        </w:rPr>
      </w:pPr>
      <w:r>
        <w:rPr>
          <w:rFonts w:ascii="仿宋" w:hAnsi="仿宋" w:eastAsia="仿宋" w:cs="仿宋"/>
          <w:bCs/>
          <w:sz w:val="44"/>
          <w:szCs w:val="44"/>
          <w:highlight w:val="none"/>
        </w:rPr>
        <w:br w:type="page"/>
      </w:r>
    </w:p>
    <w:p w14:paraId="13D90FBF">
      <w:pPr>
        <w:widowControl/>
        <w:spacing w:line="360" w:lineRule="auto"/>
        <w:jc w:val="center"/>
        <w:rPr>
          <w:rFonts w:ascii="仿宋" w:hAnsi="仿宋" w:eastAsia="仿宋" w:cs="仿宋"/>
          <w:bCs/>
          <w:kern w:val="44"/>
          <w:sz w:val="44"/>
          <w:szCs w:val="44"/>
          <w:highlight w:val="none"/>
        </w:rPr>
      </w:pPr>
      <w:r>
        <w:rPr>
          <w:rFonts w:hint="eastAsia" w:ascii="仿宋" w:hAnsi="仿宋" w:eastAsia="仿宋" w:cs="仿宋"/>
          <w:bCs/>
          <w:sz w:val="44"/>
          <w:szCs w:val="44"/>
          <w:highlight w:val="none"/>
        </w:rPr>
        <w:t>广州市南沙区广隆村城中村改造项目首期安置地块项目监理服务</w:t>
      </w:r>
      <w:r>
        <w:rPr>
          <w:rFonts w:hint="eastAsia" w:ascii="仿宋" w:hAnsi="仿宋" w:eastAsia="仿宋" w:cs="仿宋"/>
          <w:bCs/>
          <w:kern w:val="44"/>
          <w:sz w:val="44"/>
          <w:szCs w:val="44"/>
          <w:highlight w:val="none"/>
        </w:rPr>
        <w:t>招标公告</w:t>
      </w:r>
    </w:p>
    <w:p w14:paraId="072E79DD">
      <w:pPr>
        <w:widowControl/>
        <w:spacing w:line="360" w:lineRule="auto"/>
        <w:jc w:val="center"/>
        <w:rPr>
          <w:rFonts w:ascii="仿宋" w:hAnsi="仿宋" w:eastAsia="仿宋" w:cs="仿宋"/>
          <w:bCs/>
          <w:kern w:val="44"/>
          <w:sz w:val="24"/>
          <w:szCs w:val="24"/>
          <w:highlight w:val="none"/>
        </w:rPr>
      </w:pPr>
    </w:p>
    <w:p w14:paraId="3B89619A">
      <w:pPr>
        <w:pStyle w:val="4"/>
        <w:spacing w:line="360" w:lineRule="auto"/>
        <w:rPr>
          <w:rFonts w:eastAsia="仿宋" w:cs="Arial"/>
          <w:color w:val="auto"/>
          <w:sz w:val="32"/>
          <w:highlight w:val="none"/>
        </w:rPr>
      </w:pPr>
      <w:bookmarkStart w:id="0" w:name="_Toc511557025"/>
      <w:bookmarkStart w:id="1" w:name="_Toc529196504"/>
      <w:bookmarkStart w:id="2" w:name="_Toc535938695"/>
      <w:bookmarkStart w:id="3" w:name="_Toc511557028"/>
      <w:bookmarkStart w:id="4" w:name="_Toc529196507"/>
      <w:r>
        <w:rPr>
          <w:rFonts w:eastAsia="仿宋" w:cs="Arial"/>
          <w:color w:val="auto"/>
          <w:sz w:val="32"/>
          <w:highlight w:val="none"/>
        </w:rPr>
        <w:t>1.招标条件</w:t>
      </w:r>
      <w:bookmarkEnd w:id="0"/>
      <w:bookmarkEnd w:id="1"/>
      <w:bookmarkEnd w:id="2"/>
    </w:p>
    <w:p w14:paraId="29450D58">
      <w:pPr>
        <w:tabs>
          <w:tab w:val="left" w:pos="7513"/>
        </w:tabs>
        <w:spacing w:line="360" w:lineRule="auto"/>
        <w:ind w:firstLine="480" w:firstLineChars="200"/>
        <w:rPr>
          <w:rFonts w:ascii="Arial" w:hAnsi="Arial" w:eastAsia="仿宋" w:cs="Arial"/>
          <w:sz w:val="24"/>
          <w:szCs w:val="24"/>
          <w:highlight w:val="none"/>
        </w:rPr>
      </w:pPr>
      <w:bookmarkStart w:id="5" w:name="_Toc511557026"/>
      <w:r>
        <w:rPr>
          <w:rFonts w:ascii="Arial" w:hAnsi="Arial" w:eastAsia="仿宋" w:cs="Arial"/>
          <w:sz w:val="24"/>
          <w:szCs w:val="24"/>
          <w:highlight w:val="none"/>
        </w:rPr>
        <w:t>本招标项目</w:t>
      </w:r>
      <w:r>
        <w:rPr>
          <w:rFonts w:hint="eastAsia" w:ascii="Arial" w:hAnsi="Arial" w:eastAsia="仿宋" w:cs="Arial"/>
          <w:sz w:val="24"/>
          <w:szCs w:val="24"/>
          <w:highlight w:val="none"/>
          <w:u w:val="single"/>
        </w:rPr>
        <w:t>广州市南沙区广隆村城中村改造项目</w:t>
      </w:r>
      <w:r>
        <w:rPr>
          <w:rFonts w:hint="eastAsia" w:ascii="Arial" w:hAnsi="Arial" w:eastAsia="仿宋" w:cs="Arial"/>
          <w:sz w:val="24"/>
          <w:szCs w:val="24"/>
          <w:highlight w:val="none"/>
        </w:rPr>
        <w:t>已由广州南沙经济技术开发区行政审批局以</w:t>
      </w:r>
      <w:r>
        <w:rPr>
          <w:rFonts w:hint="eastAsia" w:ascii="Arial" w:hAnsi="Arial" w:eastAsia="仿宋" w:cs="Arial"/>
          <w:sz w:val="24"/>
          <w:szCs w:val="24"/>
          <w:highlight w:val="none"/>
          <w:u w:val="single"/>
        </w:rPr>
        <w:t>广东省企业投资项目备案证(2410-440115-04-01-874290)</w:t>
      </w:r>
      <w:r>
        <w:rPr>
          <w:rFonts w:hint="eastAsia" w:ascii="Arial" w:hAnsi="Arial" w:eastAsia="仿宋" w:cs="Arial"/>
          <w:sz w:val="24"/>
          <w:szCs w:val="24"/>
          <w:highlight w:val="none"/>
        </w:rPr>
        <w:t>批准建设</w:t>
      </w:r>
      <w:r>
        <w:rPr>
          <w:rFonts w:ascii="Arial" w:hAnsi="Arial" w:eastAsia="仿宋" w:cs="Arial"/>
          <w:sz w:val="24"/>
          <w:szCs w:val="24"/>
          <w:highlight w:val="none"/>
        </w:rPr>
        <w:t>，</w:t>
      </w:r>
      <w:r>
        <w:rPr>
          <w:rFonts w:hint="eastAsia" w:ascii="Arial" w:hAnsi="Arial" w:eastAsia="仿宋" w:cs="Arial"/>
          <w:sz w:val="24"/>
          <w:szCs w:val="24"/>
          <w:highlight w:val="none"/>
        </w:rPr>
        <w:t>项目业主单位为广州市广建城更南湾投资发展有限公司，建设资金来自企业自筹资金（含城中村改造专项借款等政策性资金），项目出资比例为100%，招标人为广州市广建城更南湾投资发展有限公司。项目已具备招标条件，</w:t>
      </w:r>
      <w:r>
        <w:rPr>
          <w:rFonts w:ascii="Arial" w:hAnsi="Arial" w:eastAsia="仿宋" w:cs="Arial"/>
          <w:sz w:val="24"/>
          <w:szCs w:val="24"/>
          <w:highlight w:val="none"/>
        </w:rPr>
        <w:t>现对该项目的监理进行公开招标。</w:t>
      </w:r>
    </w:p>
    <w:p w14:paraId="62B35786">
      <w:pPr>
        <w:pStyle w:val="4"/>
        <w:spacing w:line="360" w:lineRule="auto"/>
        <w:rPr>
          <w:rFonts w:eastAsia="仿宋" w:cs="Arial"/>
          <w:color w:val="auto"/>
          <w:sz w:val="32"/>
          <w:highlight w:val="none"/>
        </w:rPr>
      </w:pPr>
      <w:bookmarkStart w:id="6" w:name="_Toc535938696"/>
      <w:bookmarkStart w:id="7" w:name="_Toc529196505"/>
      <w:r>
        <w:rPr>
          <w:rFonts w:hint="eastAsia" w:eastAsia="仿宋" w:cs="Arial"/>
          <w:color w:val="auto"/>
          <w:sz w:val="32"/>
          <w:highlight w:val="none"/>
        </w:rPr>
        <w:t>2.项目概况与招标范围</w:t>
      </w:r>
      <w:bookmarkEnd w:id="5"/>
      <w:bookmarkEnd w:id="6"/>
      <w:bookmarkEnd w:id="7"/>
    </w:p>
    <w:p w14:paraId="7613E398">
      <w:pPr>
        <w:tabs>
          <w:tab w:val="left" w:pos="7513"/>
        </w:tabs>
        <w:spacing w:line="360" w:lineRule="auto"/>
        <w:ind w:firstLine="482" w:firstLineChars="200"/>
        <w:jc w:val="left"/>
        <w:rPr>
          <w:rFonts w:ascii="Arial" w:hAnsi="Arial" w:eastAsia="仿宋" w:cs="Arial"/>
          <w:b/>
          <w:sz w:val="24"/>
          <w:szCs w:val="24"/>
          <w:highlight w:val="none"/>
        </w:rPr>
      </w:pPr>
      <w:r>
        <w:rPr>
          <w:rFonts w:ascii="Arial" w:hAnsi="Arial" w:eastAsia="仿宋" w:cs="Arial"/>
          <w:b/>
          <w:sz w:val="24"/>
          <w:szCs w:val="24"/>
          <w:highlight w:val="none"/>
        </w:rPr>
        <w:t>2.</w:t>
      </w:r>
      <w:r>
        <w:rPr>
          <w:rFonts w:hint="eastAsia" w:ascii="Arial" w:hAnsi="Arial" w:eastAsia="仿宋" w:cs="Arial"/>
          <w:b/>
          <w:sz w:val="24"/>
          <w:szCs w:val="24"/>
          <w:highlight w:val="none"/>
        </w:rPr>
        <w:t>1</w:t>
      </w:r>
      <w:r>
        <w:rPr>
          <w:rFonts w:ascii="Arial" w:hAnsi="Arial" w:eastAsia="仿宋" w:cs="Arial"/>
          <w:b/>
          <w:sz w:val="24"/>
          <w:szCs w:val="24"/>
          <w:highlight w:val="none"/>
        </w:rPr>
        <w:t>招标项目概况</w:t>
      </w:r>
    </w:p>
    <w:p w14:paraId="57ACE248">
      <w:pPr>
        <w:tabs>
          <w:tab w:val="left" w:pos="7513"/>
        </w:tabs>
        <w:spacing w:line="360" w:lineRule="auto"/>
        <w:ind w:firstLine="480" w:firstLineChars="200"/>
        <w:jc w:val="left"/>
        <w:rPr>
          <w:rFonts w:ascii="Arial" w:hAnsi="Arial" w:eastAsia="仿宋" w:cs="Arial"/>
          <w:sz w:val="24"/>
          <w:szCs w:val="24"/>
          <w:highlight w:val="none"/>
          <w:u w:val="single"/>
        </w:rPr>
      </w:pPr>
      <w:r>
        <w:rPr>
          <w:rFonts w:ascii="Arial" w:hAnsi="Arial" w:eastAsia="仿宋" w:cs="Arial"/>
          <w:sz w:val="24"/>
          <w:szCs w:val="24"/>
          <w:highlight w:val="none"/>
        </w:rPr>
        <w:t>2.1.1招标项目名称：</w:t>
      </w:r>
      <w:r>
        <w:rPr>
          <w:rFonts w:hint="eastAsia" w:ascii="Arial" w:hAnsi="Arial" w:eastAsia="仿宋" w:cs="Arial"/>
          <w:sz w:val="24"/>
          <w:szCs w:val="24"/>
          <w:highlight w:val="none"/>
          <w:u w:val="single"/>
        </w:rPr>
        <w:t>广州市南沙区广隆村城中村改造项目首期安置地块项目监理服务</w:t>
      </w:r>
    </w:p>
    <w:p w14:paraId="2D0F4BC2">
      <w:pPr>
        <w:adjustRightInd w:val="0"/>
        <w:spacing w:line="420" w:lineRule="exact"/>
        <w:ind w:firstLine="480" w:firstLineChars="200"/>
        <w:rPr>
          <w:rFonts w:ascii="Arial" w:hAnsi="Arial" w:eastAsia="仿宋" w:cs="Arial"/>
          <w:sz w:val="24"/>
          <w:szCs w:val="24"/>
          <w:highlight w:val="none"/>
        </w:rPr>
      </w:pPr>
      <w:r>
        <w:rPr>
          <w:rFonts w:ascii="Arial" w:hAnsi="Arial" w:eastAsia="仿宋" w:cs="Arial"/>
          <w:sz w:val="24"/>
          <w:szCs w:val="24"/>
          <w:highlight w:val="none"/>
        </w:rPr>
        <w:t>2.1.2工程建设规模：</w:t>
      </w:r>
      <w:r>
        <w:rPr>
          <w:rFonts w:hint="eastAsia" w:ascii="Arial" w:hAnsi="Arial" w:eastAsia="仿宋" w:cs="Arial"/>
          <w:sz w:val="24"/>
          <w:szCs w:val="24"/>
          <w:highlight w:val="none"/>
          <w:u w:val="single"/>
        </w:rPr>
        <w:t>项目占地约21774.35㎡，建设内容包括建筑工程及室外工程两项。建筑工程为新建3栋安置房、1栋商业建筑（含公建配套），总建筑面积约71142.42㎡。其中计容建筑面积约为51318.82㎡，包含安置房、商业建筑及公建配套等，不计容建筑面积约为19823.60㎡，包含架空层、地下室、配电房及开关房等。室外工程主要包括室外道路、园林绿化、室外管网等配套工程。最终的建设内容和规模以政府主管部门和规划建设管理部门最终批复为准。</w:t>
      </w:r>
    </w:p>
    <w:p w14:paraId="004BA4D9">
      <w:pPr>
        <w:adjustRightInd w:val="0"/>
        <w:spacing w:line="520" w:lineRule="exact"/>
        <w:ind w:left="1140" w:leftChars="200" w:hanging="720" w:hangingChars="300"/>
        <w:rPr>
          <w:rFonts w:ascii="Arial" w:hAnsi="Arial" w:eastAsia="仿宋" w:cs="Arial"/>
          <w:sz w:val="24"/>
          <w:szCs w:val="24"/>
          <w:highlight w:val="none"/>
        </w:rPr>
      </w:pPr>
      <w:r>
        <w:rPr>
          <w:rFonts w:ascii="Arial" w:hAnsi="Arial" w:eastAsia="仿宋" w:cs="Arial"/>
          <w:sz w:val="24"/>
          <w:szCs w:val="24"/>
          <w:highlight w:val="none"/>
        </w:rPr>
        <w:t>2.1.3工程建设地点：</w:t>
      </w:r>
      <w:r>
        <w:rPr>
          <w:rFonts w:hint="eastAsia" w:ascii="Arial" w:hAnsi="Arial" w:eastAsia="仿宋" w:cs="Arial"/>
          <w:sz w:val="24"/>
          <w:szCs w:val="24"/>
          <w:highlight w:val="none"/>
        </w:rPr>
        <w:t>广州市南沙区广隆村，东靠广东省残疾人信息产业园，南至莞佛高速，西临广隆苑，北至和善街。</w:t>
      </w:r>
    </w:p>
    <w:p w14:paraId="212D7505">
      <w:pPr>
        <w:tabs>
          <w:tab w:val="left" w:pos="7513"/>
        </w:tabs>
        <w:spacing w:line="360" w:lineRule="auto"/>
        <w:ind w:firstLine="480" w:firstLineChars="200"/>
        <w:rPr>
          <w:highlight w:val="none"/>
        </w:rPr>
      </w:pPr>
      <w:r>
        <w:rPr>
          <w:rFonts w:ascii="Arial" w:hAnsi="Arial" w:eastAsia="仿宋" w:cs="Arial"/>
          <w:sz w:val="24"/>
          <w:szCs w:val="24"/>
          <w:highlight w:val="none"/>
        </w:rPr>
        <w:t>2.1.4工程估算/建筑安装工程费：</w:t>
      </w:r>
      <w:r>
        <w:rPr>
          <w:rFonts w:ascii="Arial" w:hAnsi="Arial" w:eastAsia="仿宋" w:cs="Arial"/>
          <w:sz w:val="24"/>
          <w:szCs w:val="24"/>
          <w:highlight w:val="none"/>
          <w:u w:val="single"/>
        </w:rPr>
        <w:t>建安费</w:t>
      </w:r>
      <w:r>
        <w:rPr>
          <w:rFonts w:hint="eastAsia" w:ascii="Arial" w:hAnsi="Arial" w:eastAsia="仿宋" w:cs="Arial"/>
          <w:sz w:val="24"/>
          <w:szCs w:val="24"/>
          <w:highlight w:val="none"/>
          <w:u w:val="single"/>
        </w:rPr>
        <w:t>暂定310,578,750.00元。</w:t>
      </w:r>
    </w:p>
    <w:p w14:paraId="7A7C9C88">
      <w:pPr>
        <w:tabs>
          <w:tab w:val="left" w:pos="7513"/>
        </w:tabs>
        <w:spacing w:line="360" w:lineRule="auto"/>
        <w:ind w:firstLine="482" w:firstLineChars="200"/>
        <w:rPr>
          <w:rFonts w:ascii="Arial" w:hAnsi="Arial" w:eastAsia="仿宋" w:cs="Arial"/>
          <w:b/>
          <w:sz w:val="24"/>
          <w:szCs w:val="24"/>
          <w:highlight w:val="none"/>
        </w:rPr>
      </w:pPr>
      <w:r>
        <w:rPr>
          <w:rFonts w:ascii="Arial" w:hAnsi="Arial" w:eastAsia="仿宋" w:cs="Arial"/>
          <w:b/>
          <w:sz w:val="24"/>
          <w:szCs w:val="24"/>
          <w:highlight w:val="none"/>
        </w:rPr>
        <w:t>2.2招标范围</w:t>
      </w:r>
    </w:p>
    <w:p w14:paraId="6B6124DF">
      <w:pPr>
        <w:tabs>
          <w:tab w:val="left" w:pos="7513"/>
        </w:tabs>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2.2.1</w:t>
      </w:r>
      <w:r>
        <w:rPr>
          <w:rFonts w:ascii="Arial" w:hAnsi="Arial" w:eastAsia="仿宋" w:cs="Arial"/>
          <w:bCs/>
          <w:sz w:val="24"/>
          <w:szCs w:val="24"/>
          <w:highlight w:val="none"/>
        </w:rPr>
        <w:t>标段划分：</w:t>
      </w:r>
      <w:r>
        <w:rPr>
          <w:rFonts w:ascii="Arial" w:hAnsi="Arial" w:eastAsia="仿宋" w:cs="Arial"/>
          <w:sz w:val="24"/>
          <w:szCs w:val="24"/>
          <w:highlight w:val="none"/>
          <w:u w:val="single"/>
        </w:rPr>
        <w:t>本项目设1个标段。</w:t>
      </w:r>
    </w:p>
    <w:p w14:paraId="3CDFF09B">
      <w:pPr>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2.2.2监理范围：</w:t>
      </w:r>
    </w:p>
    <w:p w14:paraId="4AD6F809">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1）本工程勘察阶段、设计阶段、施工准备阶段、施工阶段、工程收尾阶段（包括竣工验收、整改、工程移交、工程结算等）及工程质量保修阶段的质量控制、投资控制、进度控制、合同管理、档案管理、安全生产管理、环境监督管理、组织协调等监理工作。除上述工作范围外，监理人还须按招标人的要求提前进场参与本工程开工前期的准备和筹划工作，协助委托人制定工程管理办法、各参建单位职责及有关事务性工作等。</w:t>
      </w:r>
    </w:p>
    <w:p w14:paraId="364D4B8C">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2）监理工程范围为本项目地块红线范围内土石方及基坑支护、所有建筑主体、附属、配套建筑和设施以及属于本项目所需、但又处于规划用地红线范围外的周边市政配套设施（含与外界连接道路、外供水、外排水、燃气等）的全部内容。</w:t>
      </w:r>
    </w:p>
    <w:p w14:paraId="4CBF954A">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①土石方及基坑支护、建筑、结构、安装、机电（含电梯工程）、通风空调、人防、消防、桩基础及土方回填、给排水（含永久外供水、外排水）、强电（含永久外供电等）、弱电（含建筑智能化系统等）、真空垃圾收集、市政、燃气、通讯、卫生防疫、防雷及室内外的道路（含小区道路）、园林景观、绿化、室外广场、停车场（含机械停车，如有）等；</w:t>
      </w:r>
    </w:p>
    <w:p w14:paraId="4066281B">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②项目涉及的临时围墙、临时道路、施工用水用电、临时给水排水、围蔽、场平、板房、清表、建设单位的驻地办公场所（临时板房、景观绿化、旗杆等）等所有临时设施以及所涉及的设施拆除、管线迁改等；</w:t>
      </w:r>
    </w:p>
    <w:p w14:paraId="07AF449E">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③装配式、建筑节能、环保及绿色建筑设计相关项目；</w:t>
      </w:r>
    </w:p>
    <w:p w14:paraId="0E4D35B2">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④装修工程（包括但不限于含大堂、公共连接通道、样板房及所有室内的装修项目）、室内外标识标志工程；</w:t>
      </w:r>
    </w:p>
    <w:p w14:paraId="39C4377B">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⑤与该项目建设相关的零星工程及配套工程；</w:t>
      </w:r>
    </w:p>
    <w:p w14:paraId="24A7C491">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⑥与该项目建设相关的服务、检测、监测、咨询、采购项目等。</w:t>
      </w:r>
    </w:p>
    <w:p w14:paraId="5508BBBF">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（3）组织、协调或承担工程前期的技术咨询或审查以及现场控制点、临时设施的接收移交等工作。</w:t>
      </w:r>
    </w:p>
    <w:p w14:paraId="3FEB8825">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（4）组织办理施工前期手续的办理工作，直至具备合法的施工条件。</w:t>
      </w:r>
    </w:p>
    <w:p w14:paraId="614C320D">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（5）承包本工程范围内的技术协调工作，包括工程施工的分包、设计、进场、退场、综合管线平衡、质量、进度及其它相关内容。</w:t>
      </w:r>
    </w:p>
    <w:p w14:paraId="26972F5B">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（6）监理人对其派驻的监理项目部在监理业务范围内的工作全面负责，并提供一切必要的支持。</w:t>
      </w:r>
    </w:p>
    <w:p w14:paraId="46CAD788">
      <w:pPr>
        <w:spacing w:line="360" w:lineRule="auto"/>
        <w:ind w:firstLine="480" w:firstLineChars="200"/>
        <w:rPr>
          <w:rFonts w:hint="eastAsia" w:ascii="Arial" w:hAnsi="Arial" w:eastAsia="仿宋" w:cs="Arial"/>
          <w:sz w:val="24"/>
          <w:szCs w:val="24"/>
          <w:highlight w:val="none"/>
          <w:u w:val="single"/>
        </w:rPr>
      </w:pPr>
      <w:r>
        <w:rPr>
          <w:rFonts w:hint="eastAsia" w:ascii="Arial" w:hAnsi="Arial" w:eastAsia="仿宋" w:cs="Arial"/>
          <w:sz w:val="24"/>
          <w:szCs w:val="24"/>
          <w:highlight w:val="none"/>
          <w:u w:val="single"/>
        </w:rPr>
        <w:t>（7）如装配式建筑等工程发生建设工地以外的工厂制造需现场监理服务的，场外监理服务费用及相关场外监理所发生差旅费用、交通费等已包含在本工程监理酬金中，楼宇交付的配合工作含在本次监理范围内。</w:t>
      </w:r>
    </w:p>
    <w:p w14:paraId="50C0CB7D">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u w:val="single"/>
        </w:rPr>
        <w:t>（8）其余详见合同版本</w:t>
      </w:r>
    </w:p>
    <w:p w14:paraId="1323E866">
      <w:pPr>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2.2.3监理服务期限：</w:t>
      </w:r>
      <w:r>
        <w:rPr>
          <w:rFonts w:hint="eastAsia" w:ascii="Arial" w:hAnsi="Arial" w:eastAsia="仿宋" w:cs="Arial"/>
          <w:sz w:val="24"/>
          <w:szCs w:val="24"/>
          <w:highlight w:val="none"/>
        </w:rPr>
        <w:t>监理服务期自监理人收到中标通知书或接到招标人进场通知之日起算，至本合同结算审定完毕之日且工程保修期届满之日止，包括本项目勘察阶段、设计阶段、施工准备阶段、施工阶段、工程收尾阶段（包括但不限于竣工联合验收、整改、工程移交、工程结算等）及工程质量保修阶段。</w:t>
      </w:r>
    </w:p>
    <w:p w14:paraId="3C1E38F9">
      <w:pPr>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2.3</w:t>
      </w:r>
      <w:r>
        <w:rPr>
          <w:rFonts w:hint="eastAsia" w:ascii="Arial" w:hAnsi="Arial" w:eastAsia="仿宋" w:cs="Arial"/>
          <w:sz w:val="24"/>
          <w:szCs w:val="24"/>
          <w:highlight w:val="none"/>
        </w:rPr>
        <w:t>监理服务最高投标限价（含税）为</w:t>
      </w:r>
      <w:r>
        <w:rPr>
          <w:rFonts w:hint="eastAsia" w:ascii="Arial" w:hAnsi="Arial" w:eastAsia="仿宋" w:cs="Arial"/>
          <w:sz w:val="24"/>
          <w:szCs w:val="24"/>
          <w:highlight w:val="none"/>
          <w:u w:val="single"/>
        </w:rPr>
        <w:t>2,702,035.13元</w:t>
      </w:r>
      <w:r>
        <w:rPr>
          <w:rFonts w:hint="eastAsia" w:ascii="Arial" w:hAnsi="Arial" w:eastAsia="仿宋" w:cs="Arial"/>
          <w:sz w:val="24"/>
          <w:szCs w:val="24"/>
          <w:highlight w:val="none"/>
        </w:rPr>
        <w:t>，投标人的投标报价不得超过最高投标限价，否则由评标委员作无效标处理。</w:t>
      </w:r>
    </w:p>
    <w:p w14:paraId="4DF22CFB">
      <w:pPr>
        <w:pStyle w:val="4"/>
        <w:spacing w:line="360" w:lineRule="auto"/>
        <w:rPr>
          <w:rFonts w:eastAsia="仿宋" w:cs="Arial"/>
          <w:color w:val="auto"/>
          <w:sz w:val="32"/>
          <w:highlight w:val="none"/>
        </w:rPr>
      </w:pPr>
      <w:bookmarkStart w:id="8" w:name="_Toc529196506"/>
      <w:bookmarkStart w:id="9" w:name="_Toc535938697"/>
      <w:bookmarkStart w:id="10" w:name="_Toc511557027"/>
      <w:r>
        <w:rPr>
          <w:rFonts w:eastAsia="仿宋" w:cs="Arial"/>
          <w:color w:val="auto"/>
          <w:sz w:val="32"/>
          <w:highlight w:val="none"/>
        </w:rPr>
        <w:t>3.投标人资格要求</w:t>
      </w:r>
      <w:bookmarkEnd w:id="8"/>
      <w:bookmarkEnd w:id="9"/>
      <w:bookmarkEnd w:id="10"/>
    </w:p>
    <w:p w14:paraId="40479B21">
      <w:pPr>
        <w:spacing w:line="360" w:lineRule="auto"/>
        <w:ind w:firstLine="480" w:firstLineChars="200"/>
        <w:rPr>
          <w:rFonts w:ascii="Arial" w:hAnsi="Arial" w:eastAsia="仿宋" w:cs="Arial"/>
          <w:sz w:val="24"/>
          <w:szCs w:val="24"/>
          <w:highlight w:val="none"/>
          <w:u w:val="single"/>
        </w:rPr>
      </w:pPr>
      <w:bookmarkStart w:id="11" w:name="_Toc535938699"/>
      <w:r>
        <w:rPr>
          <w:rFonts w:ascii="Arial" w:hAnsi="Arial" w:eastAsia="仿宋" w:cs="Arial"/>
          <w:sz w:val="24"/>
          <w:szCs w:val="24"/>
          <w:highlight w:val="none"/>
        </w:rPr>
        <w:t>3.1投标人</w:t>
      </w:r>
      <w:r>
        <w:rPr>
          <w:rFonts w:hint="eastAsia" w:ascii="Arial" w:hAnsi="Arial" w:eastAsia="仿宋" w:cs="Arial"/>
          <w:sz w:val="24"/>
          <w:szCs w:val="24"/>
          <w:highlight w:val="none"/>
          <w:u w:val="single"/>
        </w:rPr>
        <w:t>（联合体投标的，须以承接房屋建筑工程监理的单位为主办方）</w:t>
      </w:r>
      <w:r>
        <w:rPr>
          <w:rFonts w:ascii="Arial" w:hAnsi="Arial" w:eastAsia="仿宋" w:cs="Arial"/>
          <w:sz w:val="24"/>
          <w:szCs w:val="24"/>
          <w:highlight w:val="none"/>
        </w:rPr>
        <w:t>须具备建设行政主管部门颁发的</w:t>
      </w:r>
      <w:r>
        <w:rPr>
          <w:rFonts w:ascii="Arial" w:hAnsi="Arial" w:eastAsia="仿宋" w:cs="Arial"/>
          <w:b/>
          <w:bCs/>
          <w:sz w:val="24"/>
          <w:szCs w:val="24"/>
          <w:highlight w:val="none"/>
          <w:u w:val="single"/>
        </w:rPr>
        <w:t>工程监理综合资质或房屋建筑工程监理专业</w:t>
      </w:r>
      <w:r>
        <w:rPr>
          <w:rFonts w:hint="eastAsia" w:ascii="Arial" w:hAnsi="Arial" w:eastAsia="仿宋" w:cs="Arial"/>
          <w:b/>
          <w:bCs/>
          <w:sz w:val="24"/>
          <w:szCs w:val="24"/>
          <w:highlight w:val="none"/>
          <w:u w:val="single"/>
          <w:lang w:val="en-US" w:eastAsia="zh-CN"/>
        </w:rPr>
        <w:t>乙级或以上资质</w:t>
      </w:r>
      <w:r>
        <w:rPr>
          <w:rFonts w:ascii="Arial" w:hAnsi="Arial" w:eastAsia="仿宋" w:cs="Arial"/>
          <w:sz w:val="24"/>
          <w:szCs w:val="24"/>
          <w:highlight w:val="none"/>
        </w:rPr>
        <w:t>；</w:t>
      </w:r>
      <w:r>
        <w:rPr>
          <w:rFonts w:ascii="Arial" w:hAnsi="Arial" w:eastAsia="仿宋" w:cs="Arial"/>
          <w:sz w:val="24"/>
          <w:szCs w:val="24"/>
          <w:highlight w:val="none"/>
          <w:u w:val="single"/>
        </w:rPr>
        <w:t>香港企业参加投标的，须在广东省住房和城乡建设主管部门备案且备案的业务范围满足本项目招标文件要求。</w:t>
      </w:r>
    </w:p>
    <w:p w14:paraId="48C23536">
      <w:pPr>
        <w:spacing w:line="360" w:lineRule="auto"/>
        <w:ind w:firstLine="482" w:firstLineChars="200"/>
        <w:jc w:val="left"/>
        <w:rPr>
          <w:rFonts w:ascii="Arial" w:hAnsi="Arial" w:eastAsia="仿宋" w:cs="Arial"/>
          <w:b/>
          <w:bCs/>
          <w:sz w:val="24"/>
          <w:szCs w:val="24"/>
          <w:highlight w:val="none"/>
          <w:u w:val="single"/>
        </w:rPr>
      </w:pPr>
      <w:r>
        <w:rPr>
          <w:rFonts w:ascii="Arial" w:hAnsi="Arial" w:eastAsia="仿宋" w:cs="Arial"/>
          <w:b/>
          <w:bCs/>
          <w:sz w:val="24"/>
          <w:szCs w:val="24"/>
          <w:highlight w:val="none"/>
          <w:u w:val="single"/>
        </w:rPr>
        <w:t>注：①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578F5A5">
      <w:pPr>
        <w:spacing w:line="360" w:lineRule="auto"/>
        <w:ind w:firstLine="482" w:firstLineChars="200"/>
        <w:rPr>
          <w:rFonts w:ascii="Arial" w:hAnsi="Arial" w:eastAsia="仿宋" w:cs="Arial"/>
          <w:b/>
          <w:bCs/>
          <w:sz w:val="24"/>
          <w:szCs w:val="24"/>
          <w:highlight w:val="none"/>
          <w:u w:val="single"/>
        </w:rPr>
      </w:pPr>
      <w:r>
        <w:rPr>
          <w:rFonts w:ascii="Arial" w:hAnsi="Arial" w:eastAsia="仿宋" w:cs="Arial"/>
          <w:b/>
          <w:bCs/>
          <w:sz w:val="24"/>
          <w:szCs w:val="24"/>
          <w:highlight w:val="none"/>
          <w:u w:val="single"/>
        </w:rPr>
        <w:t>②工程监理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等相关规定执行。根据上述文件的要求，投标人需办理企业资质有效期延续的，应当按照相关规定及时办理。</w:t>
      </w:r>
    </w:p>
    <w:p w14:paraId="7FEE6422">
      <w:pPr>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3.2本次招标</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u w:val="single"/>
        </w:rPr>
        <w:t xml:space="preserve">接受 </w:t>
      </w:r>
      <w:r>
        <w:rPr>
          <w:rFonts w:ascii="Arial" w:hAnsi="Arial" w:eastAsia="仿宋" w:cs="Arial"/>
          <w:sz w:val="24"/>
          <w:szCs w:val="24"/>
          <w:highlight w:val="none"/>
        </w:rPr>
        <w:t>联合体投标。</w:t>
      </w:r>
      <w:r>
        <w:rPr>
          <w:rFonts w:hint="eastAsia" w:ascii="Arial" w:hAnsi="Arial" w:eastAsia="仿宋" w:cs="Arial"/>
          <w:sz w:val="24"/>
          <w:szCs w:val="24"/>
          <w:highlight w:val="none"/>
        </w:rPr>
        <w:t>联合体投标的，应满足下列要求：</w:t>
      </w:r>
    </w:p>
    <w:p w14:paraId="7784607D">
      <w:pPr>
        <w:widowControl/>
        <w:spacing w:line="360" w:lineRule="auto"/>
        <w:ind w:firstLine="480" w:firstLineChars="200"/>
        <w:rPr>
          <w:rFonts w:ascii="Arial" w:hAnsi="Arial" w:eastAsia="仿宋" w:cs="Arial"/>
          <w:sz w:val="24"/>
          <w:szCs w:val="24"/>
          <w:highlight w:val="none"/>
          <w:u w:val="single"/>
        </w:rPr>
      </w:pPr>
      <w:r>
        <w:rPr>
          <w:rFonts w:hint="eastAsia" w:ascii="Arial" w:hAnsi="Arial" w:eastAsia="仿宋" w:cs="Arial"/>
          <w:sz w:val="24"/>
          <w:szCs w:val="24"/>
          <w:highlight w:val="none"/>
          <w:u w:val="single"/>
        </w:rPr>
        <w:t>（1）允许联合体投标，联合体投标的须以承接房屋建筑工程监理的单位为主办方，联合体成员不应超过2家，签订联合体工作协议（格式参考附件三），。投标人拟派项目总监理工程师为主办方正式员工。联合体工作协议应明确约定各方拟承担的工作和责任。</w:t>
      </w:r>
    </w:p>
    <w:p w14:paraId="2C768A15">
      <w:pPr>
        <w:widowControl/>
        <w:spacing w:line="360" w:lineRule="auto"/>
        <w:ind w:firstLine="480" w:firstLineChars="200"/>
        <w:rPr>
          <w:rFonts w:ascii="Arial" w:hAnsi="Arial" w:eastAsia="仿宋" w:cs="Arial"/>
          <w:sz w:val="24"/>
          <w:szCs w:val="24"/>
          <w:highlight w:val="none"/>
          <w:u w:val="single"/>
        </w:rPr>
      </w:pPr>
      <w:r>
        <w:rPr>
          <w:rFonts w:hint="eastAsia" w:ascii="Arial" w:hAnsi="Arial" w:eastAsia="仿宋" w:cs="Arial"/>
          <w:sz w:val="24"/>
          <w:szCs w:val="24"/>
          <w:highlight w:val="none"/>
          <w:u w:val="single"/>
        </w:rPr>
        <w:t>（2）联合体各方不得再以自己名义单独或加入其他联合体参加本项目的投标。</w:t>
      </w:r>
    </w:p>
    <w:p w14:paraId="39076D99">
      <w:pPr>
        <w:spacing w:line="360" w:lineRule="auto"/>
        <w:ind w:firstLine="480" w:firstLineChars="200"/>
        <w:rPr>
          <w:rFonts w:ascii="Arial" w:hAnsi="Arial" w:eastAsia="仿宋" w:cs="Arial"/>
          <w:sz w:val="24"/>
          <w:szCs w:val="24"/>
          <w:highlight w:val="none"/>
          <w:u w:val="single"/>
        </w:rPr>
      </w:pPr>
      <w:r>
        <w:rPr>
          <w:rFonts w:ascii="Arial" w:hAnsi="Arial" w:eastAsia="仿宋" w:cs="Arial"/>
          <w:sz w:val="24"/>
          <w:szCs w:val="24"/>
          <w:highlight w:val="none"/>
        </w:rPr>
        <w:t>3.3拟派项目总监理工程师</w:t>
      </w:r>
      <w:r>
        <w:rPr>
          <w:rFonts w:hint="eastAsia" w:ascii="Arial" w:hAnsi="Arial" w:eastAsia="仿宋" w:cs="Arial"/>
          <w:sz w:val="24"/>
          <w:szCs w:val="24"/>
          <w:highlight w:val="none"/>
          <w:u w:val="single"/>
        </w:rPr>
        <w:t>（联合体投标的，由联合体主办方提供）</w:t>
      </w:r>
      <w:r>
        <w:rPr>
          <w:rFonts w:hint="eastAsia" w:ascii="Arial" w:hAnsi="Arial" w:eastAsia="仿宋" w:cs="Arial"/>
          <w:sz w:val="24"/>
          <w:szCs w:val="24"/>
          <w:highlight w:val="none"/>
        </w:rPr>
        <w:t>，</w:t>
      </w:r>
      <w:r>
        <w:rPr>
          <w:rFonts w:ascii="Arial" w:hAnsi="Arial" w:eastAsia="仿宋" w:cs="Arial"/>
          <w:sz w:val="24"/>
          <w:szCs w:val="24"/>
          <w:highlight w:val="none"/>
        </w:rPr>
        <w:t>须具有建设部2006年4月1日后颁发的中华人民共和国</w:t>
      </w:r>
      <w:r>
        <w:rPr>
          <w:rFonts w:ascii="Arial" w:hAnsi="Arial" w:eastAsia="仿宋" w:cs="Arial"/>
          <w:sz w:val="24"/>
          <w:szCs w:val="24"/>
          <w:highlight w:val="none"/>
          <w:u w:val="single"/>
        </w:rPr>
        <w:t>注册监理工程师注册执业证书</w:t>
      </w:r>
      <w:r>
        <w:rPr>
          <w:rFonts w:ascii="Arial" w:hAnsi="Arial" w:eastAsia="仿宋" w:cs="Arial"/>
          <w:sz w:val="24"/>
          <w:szCs w:val="24"/>
          <w:highlight w:val="none"/>
        </w:rPr>
        <w:t>，且其注册证书专业为</w:t>
      </w:r>
      <w:r>
        <w:rPr>
          <w:rFonts w:ascii="Arial" w:hAnsi="Arial" w:eastAsia="仿宋" w:cs="Arial"/>
          <w:sz w:val="24"/>
          <w:szCs w:val="24"/>
          <w:highlight w:val="none"/>
          <w:u w:val="single"/>
        </w:rPr>
        <w:t>房屋建筑工程</w:t>
      </w:r>
      <w:r>
        <w:rPr>
          <w:rFonts w:ascii="Arial" w:hAnsi="Arial" w:eastAsia="仿宋" w:cs="Arial"/>
          <w:sz w:val="24"/>
          <w:szCs w:val="24"/>
          <w:highlight w:val="none"/>
        </w:rPr>
        <w:t>，注册执业单位为本公司(注册企业以注册监理工程师注册执业证书上的注册单位为准，拟派总监理工程师注册执业专业以注册执业证书上的注册专业为准》，并具备本科或以上学历</w:t>
      </w:r>
      <w:r>
        <w:rPr>
          <w:rFonts w:ascii="Arial" w:hAnsi="Arial" w:eastAsia="仿宋" w:cs="Arial"/>
          <w:kern w:val="0"/>
          <w:sz w:val="24"/>
          <w:szCs w:val="24"/>
          <w:highlight w:val="none"/>
        </w:rPr>
        <w:t>；</w:t>
      </w:r>
      <w:r>
        <w:rPr>
          <w:rFonts w:ascii="Arial" w:hAnsi="Arial" w:eastAsia="仿宋" w:cs="Arial"/>
          <w:sz w:val="24"/>
          <w:szCs w:val="24"/>
          <w:highlight w:val="none"/>
          <w:u w:val="single"/>
        </w:rPr>
        <w:t>或在广东省住房和城乡建设主管部门备案且备案的资格满足本项目总监理工程师的资格要求的香港专业人士。</w:t>
      </w:r>
    </w:p>
    <w:p w14:paraId="7D1E4BBA">
      <w:pPr>
        <w:spacing w:line="360" w:lineRule="auto"/>
        <w:ind w:firstLine="482" w:firstLineChars="200"/>
        <w:jc w:val="left"/>
        <w:rPr>
          <w:rFonts w:ascii="Arial" w:hAnsi="Arial" w:eastAsia="仿宋" w:cs="Arial"/>
          <w:b/>
          <w:bCs/>
          <w:sz w:val="24"/>
          <w:szCs w:val="24"/>
          <w:highlight w:val="none"/>
          <w:u w:val="single"/>
        </w:rPr>
      </w:pPr>
      <w:r>
        <w:rPr>
          <w:rFonts w:ascii="Arial" w:hAnsi="Arial" w:eastAsia="仿宋" w:cs="Arial"/>
          <w:b/>
          <w:bCs/>
          <w:sz w:val="24"/>
          <w:szCs w:val="24"/>
          <w:highlight w:val="none"/>
          <w:u w:val="single"/>
        </w:rPr>
        <w:t>注：香港专业人士的备案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92DD657">
      <w:pPr>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 xml:space="preserve">3.4 其他要求： </w:t>
      </w:r>
    </w:p>
    <w:p w14:paraId="2B0C17CA">
      <w:pPr>
        <w:spacing w:line="360" w:lineRule="auto"/>
        <w:ind w:firstLine="480" w:firstLineChars="200"/>
        <w:rPr>
          <w:rFonts w:ascii="Arial" w:hAnsi="Arial" w:eastAsia="仿宋" w:cs="Arial"/>
          <w:sz w:val="24"/>
          <w:szCs w:val="24"/>
          <w:highlight w:val="none"/>
          <w:u w:val="single"/>
        </w:rPr>
      </w:pPr>
      <w:r>
        <w:rPr>
          <w:rFonts w:ascii="Arial" w:hAnsi="Arial" w:eastAsia="仿宋" w:cs="Arial"/>
          <w:sz w:val="24"/>
          <w:szCs w:val="24"/>
          <w:highlight w:val="none"/>
          <w:u w:val="single"/>
        </w:rPr>
        <w:t>①投标人参加投标的意思表达清楚，投标人代表被授权有效。</w:t>
      </w:r>
      <w:r>
        <w:rPr>
          <w:rFonts w:hint="eastAsia" w:ascii="Arial" w:hAnsi="Arial" w:eastAsia="仿宋" w:cs="Arial"/>
          <w:sz w:val="24"/>
          <w:szCs w:val="24"/>
          <w:highlight w:val="none"/>
          <w:u w:val="single"/>
        </w:rPr>
        <w:t>（联合体投标的，由联合体主办方出具即可）。</w:t>
      </w:r>
    </w:p>
    <w:p w14:paraId="06EB5FC3">
      <w:pPr>
        <w:spacing w:line="360" w:lineRule="auto"/>
        <w:ind w:firstLine="480" w:firstLineChars="200"/>
        <w:rPr>
          <w:rFonts w:ascii="Arial" w:hAnsi="Arial" w:eastAsia="仿宋" w:cs="Arial"/>
          <w:sz w:val="24"/>
          <w:szCs w:val="24"/>
          <w:highlight w:val="none"/>
          <w:u w:val="single"/>
        </w:rPr>
      </w:pPr>
      <w:r>
        <w:rPr>
          <w:rFonts w:ascii="Arial" w:hAnsi="Arial" w:eastAsia="仿宋" w:cs="Arial"/>
          <w:sz w:val="24"/>
          <w:szCs w:val="24"/>
          <w:highlight w:val="none"/>
          <w:u w:val="single"/>
        </w:rPr>
        <w:t>②投标人</w:t>
      </w:r>
      <w:r>
        <w:rPr>
          <w:rFonts w:hint="eastAsia" w:ascii="Arial" w:hAnsi="Arial" w:eastAsia="仿宋" w:cs="Arial"/>
          <w:sz w:val="24"/>
          <w:szCs w:val="24"/>
          <w:highlight w:val="none"/>
          <w:u w:val="single"/>
        </w:rPr>
        <w:t>（联合体各成员）</w:t>
      </w:r>
      <w:r>
        <w:rPr>
          <w:rFonts w:ascii="Arial" w:hAnsi="Arial" w:eastAsia="仿宋" w:cs="Arial"/>
          <w:sz w:val="24"/>
          <w:szCs w:val="24"/>
          <w:highlight w:val="none"/>
          <w:u w:val="single"/>
        </w:rPr>
        <w:t>具有独立法人资格，持有有效的工商行政（或市场监管）管理部门核发的法人营业执照，按国家法律经营。</w:t>
      </w:r>
    </w:p>
    <w:p w14:paraId="0788FF8F">
      <w:pPr>
        <w:spacing w:line="360" w:lineRule="auto"/>
        <w:ind w:firstLine="480" w:firstLineChars="200"/>
        <w:rPr>
          <w:rFonts w:ascii="Arial" w:hAnsi="Arial" w:eastAsia="仿宋" w:cs="Arial"/>
          <w:sz w:val="24"/>
          <w:szCs w:val="24"/>
          <w:highlight w:val="none"/>
          <w:u w:val="single"/>
        </w:rPr>
      </w:pPr>
      <w:r>
        <w:rPr>
          <w:rFonts w:ascii="Arial" w:hAnsi="Arial" w:eastAsia="仿宋" w:cs="Arial"/>
          <w:sz w:val="24"/>
          <w:szCs w:val="24"/>
          <w:highlight w:val="none"/>
          <w:u w:val="single"/>
        </w:rPr>
        <w:t>③投标人已按规定格式签名盖章《投标人声明》（详见附件一）。</w:t>
      </w:r>
    </w:p>
    <w:p w14:paraId="1A7CA8D5">
      <w:pPr>
        <w:spacing w:line="360" w:lineRule="auto"/>
        <w:ind w:firstLine="480" w:firstLineChars="200"/>
        <w:rPr>
          <w:rFonts w:ascii="Arial" w:hAnsi="Arial" w:eastAsia="仿宋" w:cs="Arial"/>
          <w:kern w:val="0"/>
          <w:sz w:val="24"/>
          <w:szCs w:val="24"/>
          <w:highlight w:val="none"/>
          <w:u w:val="single"/>
        </w:rPr>
      </w:pPr>
      <w:r>
        <w:rPr>
          <w:rFonts w:ascii="Arial" w:hAnsi="Arial" w:eastAsia="仿宋" w:cs="Arial"/>
          <w:sz w:val="24"/>
          <w:szCs w:val="24"/>
          <w:highlight w:val="none"/>
          <w:u w:val="single"/>
        </w:rPr>
        <w:t>④</w:t>
      </w:r>
      <w:r>
        <w:rPr>
          <w:rFonts w:ascii="Arial" w:hAnsi="Arial" w:eastAsia="仿宋" w:cs="Arial"/>
          <w:kern w:val="0"/>
          <w:sz w:val="24"/>
          <w:szCs w:val="24"/>
          <w:highlight w:val="none"/>
          <w:u w:val="single"/>
        </w:rPr>
        <w:t>资格审查</w:t>
      </w:r>
      <w:r>
        <w:rPr>
          <w:rFonts w:ascii="Arial" w:hAnsi="Arial" w:eastAsia="仿宋" w:cs="Arial"/>
          <w:sz w:val="24"/>
          <w:szCs w:val="24"/>
          <w:highlight w:val="none"/>
          <w:u w:val="single"/>
        </w:rPr>
        <w:t>前，投标人</w:t>
      </w:r>
      <w:r>
        <w:rPr>
          <w:rFonts w:hint="eastAsia" w:ascii="Arial" w:hAnsi="Arial" w:eastAsia="仿宋" w:cs="Arial"/>
          <w:sz w:val="24"/>
          <w:szCs w:val="24"/>
          <w:highlight w:val="none"/>
          <w:u w:val="single"/>
        </w:rPr>
        <w:t>（含联合体各方）</w:t>
      </w:r>
      <w:r>
        <w:rPr>
          <w:rFonts w:ascii="Arial" w:hAnsi="Arial" w:eastAsia="仿宋" w:cs="Arial"/>
          <w:sz w:val="24"/>
          <w:szCs w:val="24"/>
          <w:highlight w:val="none"/>
          <w:u w:val="single"/>
        </w:rPr>
        <w:t>须在广州市住建行业信用管理平台建立了企业信用档案及拟担任本工程总监理工程师须是本企业信用档案中的在册人员</w:t>
      </w:r>
      <w:r>
        <w:rPr>
          <w:rFonts w:ascii="Arial" w:hAnsi="Arial" w:eastAsia="仿宋" w:cs="Arial"/>
          <w:kern w:val="0"/>
          <w:sz w:val="24"/>
          <w:szCs w:val="24"/>
          <w:highlight w:val="none"/>
          <w:u w:val="single"/>
        </w:rPr>
        <w:t>。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w:t>
      </w:r>
      <w:r>
        <w:rPr>
          <w:highlight w:val="none"/>
        </w:rPr>
        <w:fldChar w:fldCharType="begin"/>
      </w:r>
      <w:r>
        <w:rPr>
          <w:highlight w:val="none"/>
        </w:rPr>
        <w:instrText xml:space="preserve"> HYPERLINK "http://zfcj.gz.gov.cn/zwgk/zsdwxxgkzl/gzsjzyglfwzx/bszy/content/post_8073953.html" </w:instrText>
      </w:r>
      <w:r>
        <w:rPr>
          <w:highlight w:val="none"/>
        </w:rPr>
        <w:fldChar w:fldCharType="separate"/>
      </w:r>
      <w:r>
        <w:rPr>
          <w:rStyle w:val="24"/>
          <w:rFonts w:ascii="Arial" w:hAnsi="Arial" w:eastAsia="仿宋" w:cs="Arial"/>
          <w:color w:val="auto"/>
          <w:kern w:val="0"/>
          <w:sz w:val="24"/>
          <w:szCs w:val="24"/>
          <w:highlight w:val="none"/>
        </w:rPr>
        <w:t>http://zfcj.gz.gov.cn/zwgk/zsdwxxgkzl/gzsjzyglfwzx/bszy/content/post_8073953.html</w:t>
      </w:r>
      <w:r>
        <w:rPr>
          <w:rStyle w:val="24"/>
          <w:rFonts w:ascii="Arial" w:hAnsi="Arial" w:eastAsia="仿宋" w:cs="Arial"/>
          <w:color w:val="auto"/>
          <w:kern w:val="0"/>
          <w:sz w:val="24"/>
          <w:szCs w:val="24"/>
          <w:highlight w:val="none"/>
        </w:rPr>
        <w:fldChar w:fldCharType="end"/>
      </w:r>
      <w:r>
        <w:rPr>
          <w:rFonts w:ascii="Arial" w:hAnsi="Arial" w:eastAsia="仿宋" w:cs="Arial"/>
          <w:kern w:val="0"/>
          <w:sz w:val="24"/>
          <w:szCs w:val="24"/>
          <w:highlight w:val="none"/>
          <w:u w:val="single"/>
        </w:rPr>
        <w:t>）。</w:t>
      </w:r>
      <w:r>
        <w:rPr>
          <w:rFonts w:hint="eastAsia" w:ascii="Arial" w:hAnsi="Arial" w:eastAsia="仿宋" w:cs="Arial"/>
          <w:kern w:val="0"/>
          <w:sz w:val="24"/>
          <w:szCs w:val="24"/>
          <w:highlight w:val="none"/>
          <w:u w:val="single"/>
        </w:rPr>
        <w:t>（联合体投标的，信用档案信息和人员在册情况为联合体工作协议中的分工对应在信用管理平台信息）</w:t>
      </w:r>
    </w:p>
    <w:p w14:paraId="27875342">
      <w:pPr>
        <w:spacing w:line="360" w:lineRule="auto"/>
        <w:ind w:firstLine="480" w:firstLineChars="200"/>
        <w:rPr>
          <w:rFonts w:ascii="Arial" w:hAnsi="Arial" w:eastAsia="仿宋" w:cs="Arial"/>
          <w:sz w:val="24"/>
          <w:szCs w:val="24"/>
          <w:highlight w:val="none"/>
          <w:u w:val="single"/>
        </w:rPr>
      </w:pPr>
      <w:r>
        <w:rPr>
          <w:rFonts w:ascii="Arial" w:hAnsi="Arial" w:eastAsia="仿宋" w:cs="Arial"/>
          <w:sz w:val="24"/>
          <w:szCs w:val="24"/>
          <w:highlight w:val="none"/>
          <w:u w:val="single"/>
        </w:rPr>
        <w:t>⑤投标人</w:t>
      </w:r>
      <w:r>
        <w:rPr>
          <w:rFonts w:hint="eastAsia" w:ascii="Arial" w:hAnsi="Arial" w:eastAsia="仿宋" w:cs="Arial"/>
          <w:sz w:val="24"/>
          <w:szCs w:val="24"/>
          <w:highlight w:val="none"/>
          <w:u w:val="single"/>
        </w:rPr>
        <w:t>（含联合体各方）</w:t>
      </w:r>
      <w:r>
        <w:rPr>
          <w:rFonts w:ascii="Arial" w:hAnsi="Arial" w:eastAsia="仿宋" w:cs="Arial"/>
          <w:sz w:val="24"/>
          <w:szCs w:val="24"/>
          <w:highlight w:val="none"/>
          <w:u w:val="single"/>
        </w:rPr>
        <w:t>未被列入拖欠农民工工资失信联合惩戒对象名单（本项评审投标人无需提供资料，按资格评审时广州交易集团有限公司（广州公共资源交易中心)交易系统比对的结果进行评审）。</w:t>
      </w:r>
    </w:p>
    <w:p w14:paraId="36C15CC9">
      <w:pPr>
        <w:spacing w:line="360" w:lineRule="auto"/>
        <w:ind w:firstLine="480" w:firstLineChars="200"/>
        <w:rPr>
          <w:rFonts w:ascii="Arial" w:hAnsi="Arial" w:eastAsia="仿宋" w:cs="Arial"/>
          <w:sz w:val="24"/>
          <w:szCs w:val="24"/>
          <w:highlight w:val="none"/>
          <w:u w:val="single"/>
        </w:rPr>
      </w:pPr>
      <w:r>
        <w:rPr>
          <w:rFonts w:ascii="Arial" w:hAnsi="Arial" w:eastAsia="仿宋" w:cs="Arial"/>
          <w:sz w:val="24"/>
          <w:szCs w:val="24"/>
          <w:highlight w:val="none"/>
          <w:u w:val="single"/>
        </w:rPr>
        <w:t>⑥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r>
        <w:rPr>
          <w:rFonts w:hint="eastAsia" w:ascii="Arial" w:hAnsi="Arial" w:eastAsia="仿宋" w:cs="Arial"/>
          <w:sz w:val="24"/>
          <w:szCs w:val="24"/>
          <w:highlight w:val="none"/>
          <w:u w:val="single"/>
        </w:rPr>
        <w:t>（若为联合体投标，联合体内各成员之间不受本条限制）</w:t>
      </w:r>
    </w:p>
    <w:p w14:paraId="439A4597">
      <w:pPr>
        <w:pStyle w:val="20"/>
        <w:spacing w:line="360" w:lineRule="auto"/>
        <w:ind w:firstLine="480"/>
        <w:rPr>
          <w:rFonts w:ascii="Arial" w:hAnsi="Arial" w:eastAsia="仿宋" w:cs="Arial"/>
          <w:color w:val="auto"/>
          <w:szCs w:val="24"/>
          <w:highlight w:val="none"/>
        </w:rPr>
      </w:pPr>
      <w:r>
        <w:rPr>
          <w:rFonts w:ascii="Arial" w:hAnsi="Arial" w:eastAsia="仿宋" w:cs="Arial"/>
          <w:color w:val="auto"/>
          <w:szCs w:val="24"/>
          <w:highlight w:val="none"/>
        </w:rPr>
        <w:t>注: 未在招标公告第 3 条单列的投标人资格要求条件，不作为资审不合格的依据。</w:t>
      </w:r>
    </w:p>
    <w:p w14:paraId="6F40AD64">
      <w:pPr>
        <w:pStyle w:val="4"/>
        <w:spacing w:line="360" w:lineRule="auto"/>
        <w:rPr>
          <w:rFonts w:eastAsia="仿宋" w:cs="Arial"/>
          <w:color w:val="auto"/>
          <w:sz w:val="32"/>
          <w:highlight w:val="none"/>
        </w:rPr>
      </w:pPr>
      <w:r>
        <w:rPr>
          <w:rFonts w:eastAsia="仿宋" w:cs="Arial"/>
          <w:color w:val="auto"/>
          <w:sz w:val="32"/>
          <w:highlight w:val="none"/>
        </w:rPr>
        <w:t>4.招标文件的获取</w:t>
      </w:r>
    </w:p>
    <w:p w14:paraId="730AABA7">
      <w:pPr>
        <w:spacing w:line="360" w:lineRule="auto"/>
        <w:ind w:firstLine="480" w:firstLineChars="200"/>
        <w:rPr>
          <w:rFonts w:ascii="Arial" w:hAnsi="Arial" w:eastAsia="仿宋" w:cs="Arial"/>
          <w:sz w:val="24"/>
          <w:szCs w:val="24"/>
          <w:highlight w:val="none"/>
        </w:rPr>
      </w:pPr>
      <w:bookmarkStart w:id="12" w:name="_Toc3471142"/>
      <w:bookmarkStart w:id="13" w:name="_Toc514099628"/>
      <w:r>
        <w:rPr>
          <w:rFonts w:ascii="Arial" w:hAnsi="Arial" w:eastAsia="仿宋" w:cs="Arial"/>
          <w:sz w:val="24"/>
          <w:szCs w:val="24"/>
          <w:highlight w:val="none"/>
        </w:rPr>
        <w:t>4.1凡有意参加投标者，请于</w:t>
      </w:r>
      <w:r>
        <w:rPr>
          <w:rFonts w:ascii="Arial" w:hAnsi="Arial" w:eastAsia="仿宋" w:cs="Arial"/>
          <w:sz w:val="24"/>
          <w:szCs w:val="24"/>
          <w:highlight w:val="none"/>
          <w:u w:val="single"/>
        </w:rPr>
        <w:t>2024</w:t>
      </w:r>
      <w:r>
        <w:rPr>
          <w:rFonts w:ascii="Arial" w:hAnsi="Arial" w:eastAsia="仿宋" w:cs="Arial"/>
          <w:sz w:val="24"/>
          <w:szCs w:val="24"/>
          <w:highlight w:val="none"/>
        </w:rPr>
        <w:t>年</w:t>
      </w:r>
      <w:r>
        <w:rPr>
          <w:rFonts w:ascii="Arial" w:hAnsi="Arial" w:eastAsia="仿宋" w:cs="Arial"/>
          <w:sz w:val="24"/>
          <w:szCs w:val="24"/>
          <w:highlight w:val="none"/>
          <w:u w:val="single"/>
        </w:rPr>
        <w:t xml:space="preserve"> </w:t>
      </w:r>
      <w:r>
        <w:rPr>
          <w:rFonts w:ascii="Arial" w:hAnsi="Arial" w:eastAsia="仿宋" w:cs="Arial"/>
          <w:sz w:val="24"/>
          <w:szCs w:val="24"/>
          <w:highlight w:val="none"/>
        </w:rPr>
        <w:t>月</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时</w:t>
      </w:r>
      <w:r>
        <w:rPr>
          <w:rFonts w:ascii="Arial" w:hAnsi="Arial" w:eastAsia="仿宋" w:cs="Arial"/>
          <w:sz w:val="24"/>
          <w:szCs w:val="24"/>
          <w:highlight w:val="none"/>
          <w:u w:val="single"/>
        </w:rPr>
        <w:t xml:space="preserve"> </w:t>
      </w:r>
      <w:r>
        <w:rPr>
          <w:rFonts w:ascii="Arial" w:hAnsi="Arial" w:eastAsia="仿宋" w:cs="Arial"/>
          <w:sz w:val="24"/>
          <w:szCs w:val="24"/>
          <w:highlight w:val="none"/>
        </w:rPr>
        <w:t>分至</w:t>
      </w:r>
      <w:r>
        <w:rPr>
          <w:rFonts w:ascii="Arial" w:hAnsi="Arial" w:eastAsia="仿宋" w:cs="Arial"/>
          <w:sz w:val="24"/>
          <w:szCs w:val="24"/>
          <w:highlight w:val="none"/>
          <w:u w:val="single"/>
        </w:rPr>
        <w:t>2024</w:t>
      </w:r>
      <w:r>
        <w:rPr>
          <w:rFonts w:ascii="Arial" w:hAnsi="Arial" w:eastAsia="仿宋" w:cs="Arial"/>
          <w:sz w:val="24"/>
          <w:szCs w:val="24"/>
          <w:highlight w:val="none"/>
        </w:rPr>
        <w:t>年</w:t>
      </w:r>
      <w:r>
        <w:rPr>
          <w:rFonts w:ascii="Arial" w:hAnsi="Arial" w:eastAsia="仿宋" w:cs="Arial"/>
          <w:sz w:val="24"/>
          <w:szCs w:val="24"/>
          <w:highlight w:val="none"/>
          <w:u w:val="single"/>
        </w:rPr>
        <w:t xml:space="preserve"> </w:t>
      </w:r>
      <w:r>
        <w:rPr>
          <w:rFonts w:ascii="Arial" w:hAnsi="Arial" w:eastAsia="仿宋" w:cs="Arial"/>
          <w:sz w:val="24"/>
          <w:szCs w:val="24"/>
          <w:highlight w:val="none"/>
        </w:rPr>
        <w:t>月</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时</w:t>
      </w:r>
      <w:r>
        <w:rPr>
          <w:rFonts w:ascii="Arial" w:hAnsi="Arial" w:eastAsia="仿宋" w:cs="Arial"/>
          <w:sz w:val="24"/>
          <w:szCs w:val="24"/>
          <w:highlight w:val="none"/>
          <w:u w:val="single"/>
        </w:rPr>
        <w:t xml:space="preserve"> </w:t>
      </w:r>
      <w:r>
        <w:rPr>
          <w:rFonts w:ascii="Arial" w:hAnsi="Arial" w:eastAsia="仿宋" w:cs="Arial"/>
          <w:sz w:val="24"/>
          <w:szCs w:val="24"/>
          <w:highlight w:val="none"/>
        </w:rPr>
        <w:t>分(北京时间，下同)，登录广州交易集团有限公司(广州公共资源交易中心)网站(网址: http://www.gzggzy.sn)下载电子招标文件。</w:t>
      </w:r>
    </w:p>
    <w:p w14:paraId="4D1BF07F">
      <w:pPr>
        <w:spacing w:line="360" w:lineRule="auto"/>
        <w:ind w:firstLine="480" w:firstLineChars="200"/>
        <w:rPr>
          <w:rFonts w:ascii="Arial" w:hAnsi="Arial" w:eastAsia="仿宋" w:cs="Arial"/>
          <w:sz w:val="24"/>
          <w:szCs w:val="24"/>
          <w:highlight w:val="none"/>
        </w:rPr>
      </w:pPr>
      <w:bookmarkStart w:id="14" w:name="_Toc511557030"/>
      <w:r>
        <w:rPr>
          <w:rFonts w:ascii="Arial" w:hAnsi="Arial" w:eastAsia="仿宋" w:cs="Arial"/>
          <w:sz w:val="24"/>
          <w:szCs w:val="24"/>
          <w:highlight w:val="none"/>
        </w:rPr>
        <w:t>4.2 发布招标公告时间（含本日）</w:t>
      </w:r>
      <w:r>
        <w:rPr>
          <w:rFonts w:ascii="Arial" w:hAnsi="Arial" w:eastAsia="仿宋" w:cs="Arial"/>
          <w:sz w:val="24"/>
          <w:szCs w:val="24"/>
          <w:highlight w:val="none"/>
          <w:u w:val="single"/>
        </w:rPr>
        <w:t>2024</w:t>
      </w:r>
      <w:r>
        <w:rPr>
          <w:rFonts w:ascii="Arial" w:hAnsi="Arial" w:eastAsia="仿宋" w:cs="Arial"/>
          <w:sz w:val="24"/>
          <w:szCs w:val="24"/>
          <w:highlight w:val="none"/>
        </w:rPr>
        <w:t>年</w:t>
      </w:r>
      <w:r>
        <w:rPr>
          <w:rFonts w:ascii="Arial" w:hAnsi="Arial" w:eastAsia="仿宋" w:cs="Arial"/>
          <w:sz w:val="24"/>
          <w:szCs w:val="24"/>
          <w:highlight w:val="none"/>
          <w:u w:val="single"/>
        </w:rPr>
        <w:t xml:space="preserve"> </w:t>
      </w:r>
      <w:r>
        <w:rPr>
          <w:rFonts w:ascii="Arial" w:hAnsi="Arial" w:eastAsia="仿宋" w:cs="Arial"/>
          <w:sz w:val="24"/>
          <w:szCs w:val="24"/>
          <w:highlight w:val="none"/>
        </w:rPr>
        <w:t>月</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时</w:t>
      </w:r>
      <w:r>
        <w:rPr>
          <w:rFonts w:ascii="Arial" w:hAnsi="Arial" w:eastAsia="仿宋" w:cs="Arial"/>
          <w:sz w:val="24"/>
          <w:szCs w:val="24"/>
          <w:highlight w:val="none"/>
          <w:u w:val="single"/>
        </w:rPr>
        <w:t xml:space="preserve"> </w:t>
      </w:r>
      <w:r>
        <w:rPr>
          <w:rFonts w:ascii="Arial" w:hAnsi="Arial" w:eastAsia="仿宋" w:cs="Arial"/>
          <w:sz w:val="24"/>
          <w:szCs w:val="24"/>
          <w:highlight w:val="none"/>
        </w:rPr>
        <w:t>分至</w:t>
      </w:r>
      <w:r>
        <w:rPr>
          <w:rFonts w:ascii="Arial" w:hAnsi="Arial" w:eastAsia="仿宋" w:cs="Arial"/>
          <w:sz w:val="24"/>
          <w:szCs w:val="24"/>
          <w:highlight w:val="none"/>
          <w:u w:val="single"/>
        </w:rPr>
        <w:t>2024</w:t>
      </w:r>
      <w:r>
        <w:rPr>
          <w:rFonts w:ascii="Arial" w:hAnsi="Arial" w:eastAsia="仿宋" w:cs="Arial"/>
          <w:sz w:val="24"/>
          <w:szCs w:val="24"/>
          <w:highlight w:val="none"/>
        </w:rPr>
        <w:t>年</w:t>
      </w:r>
      <w:r>
        <w:rPr>
          <w:rFonts w:ascii="Arial" w:hAnsi="Arial" w:eastAsia="仿宋" w:cs="Arial"/>
          <w:sz w:val="24"/>
          <w:szCs w:val="24"/>
          <w:highlight w:val="none"/>
          <w:u w:val="single"/>
        </w:rPr>
        <w:t xml:space="preserve"> </w:t>
      </w:r>
      <w:r>
        <w:rPr>
          <w:rFonts w:ascii="Arial" w:hAnsi="Arial" w:eastAsia="仿宋" w:cs="Arial"/>
          <w:sz w:val="24"/>
          <w:szCs w:val="24"/>
          <w:highlight w:val="none"/>
        </w:rPr>
        <w:t>月</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日</w:t>
      </w:r>
      <w:r>
        <w:rPr>
          <w:rFonts w:hint="eastAsia" w:ascii="Arial" w:hAnsi="Arial" w:eastAsia="仿宋" w:cs="Arial"/>
          <w:sz w:val="24"/>
          <w:szCs w:val="24"/>
          <w:highlight w:val="none"/>
        </w:rPr>
        <w:t xml:space="preserve">  </w:t>
      </w:r>
      <w:r>
        <w:rPr>
          <w:rFonts w:ascii="Arial" w:hAnsi="Arial" w:eastAsia="仿宋" w:cs="Arial"/>
          <w:sz w:val="24"/>
          <w:szCs w:val="24"/>
          <w:highlight w:val="none"/>
        </w:rPr>
        <w:t>时</w:t>
      </w:r>
      <w:r>
        <w:rPr>
          <w:rFonts w:ascii="Arial" w:hAnsi="Arial" w:eastAsia="仿宋" w:cs="Arial"/>
          <w:sz w:val="24"/>
          <w:szCs w:val="24"/>
          <w:highlight w:val="none"/>
          <w:u w:val="single"/>
        </w:rPr>
        <w:t xml:space="preserve"> </w:t>
      </w:r>
      <w:r>
        <w:rPr>
          <w:rFonts w:ascii="Arial" w:hAnsi="Arial" w:eastAsia="仿宋" w:cs="Arial"/>
          <w:sz w:val="24"/>
          <w:szCs w:val="24"/>
          <w:highlight w:val="none"/>
        </w:rPr>
        <w:t>分。</w:t>
      </w:r>
    </w:p>
    <w:p w14:paraId="5AA4EF34">
      <w:pPr>
        <w:spacing w:line="360" w:lineRule="auto"/>
        <w:ind w:firstLine="482" w:firstLineChars="200"/>
        <w:rPr>
          <w:rFonts w:ascii="Arial" w:hAnsi="Arial" w:eastAsia="仿宋" w:cs="Arial"/>
          <w:b/>
          <w:bCs/>
          <w:sz w:val="24"/>
          <w:szCs w:val="24"/>
          <w:highlight w:val="none"/>
          <w:u w:val="single"/>
        </w:rPr>
      </w:pPr>
      <w:r>
        <w:rPr>
          <w:rFonts w:ascii="Arial" w:hAnsi="Arial" w:eastAsia="仿宋" w:cs="Arial"/>
          <w:b/>
          <w:bCs/>
          <w:sz w:val="24"/>
          <w:szCs w:val="24"/>
          <w:highlight w:val="none"/>
          <w:u w:val="single"/>
        </w:rPr>
        <w:t>注：发布招标公告的时间为招标公告发出之日起至递交投标文件截止时间止。</w:t>
      </w:r>
    </w:p>
    <w:bookmarkEnd w:id="12"/>
    <w:bookmarkEnd w:id="13"/>
    <w:bookmarkEnd w:id="14"/>
    <w:p w14:paraId="61150384">
      <w:pPr>
        <w:spacing w:line="360" w:lineRule="auto"/>
        <w:ind w:firstLine="480" w:firstLineChars="200"/>
        <w:rPr>
          <w:rFonts w:ascii="Arial" w:hAnsi="Arial" w:eastAsia="仿宋" w:cs="Arial"/>
          <w:kern w:val="0"/>
          <w:sz w:val="24"/>
          <w:szCs w:val="24"/>
          <w:highlight w:val="none"/>
        </w:rPr>
      </w:pPr>
      <w:r>
        <w:rPr>
          <w:rFonts w:ascii="Arial" w:hAnsi="Arial" w:eastAsia="仿宋" w:cs="Arial"/>
          <w:sz w:val="24"/>
          <w:szCs w:val="24"/>
          <w:highlight w:val="none"/>
        </w:rPr>
        <w:t xml:space="preserve">4.3 </w:t>
      </w:r>
      <w:r>
        <w:rPr>
          <w:rFonts w:ascii="Arial" w:hAnsi="Arial" w:eastAsia="仿宋" w:cs="Arial"/>
          <w:kern w:val="0"/>
          <w:sz w:val="24"/>
          <w:szCs w:val="24"/>
          <w:highlight w:val="none"/>
        </w:rPr>
        <w:t>本项目设立投标登记环节，采取</w:t>
      </w:r>
      <w:r>
        <w:rPr>
          <w:rFonts w:ascii="Arial" w:hAnsi="Arial" w:eastAsia="仿宋" w:cs="Arial"/>
          <w:sz w:val="24"/>
          <w:szCs w:val="24"/>
          <w:highlight w:val="none"/>
        </w:rPr>
        <w:t>广州交易集团有限公司（广州公共资源交易中心）</w:t>
      </w:r>
      <w:r>
        <w:rPr>
          <w:rFonts w:ascii="Arial" w:hAnsi="Arial" w:eastAsia="仿宋" w:cs="Arial"/>
          <w:kern w:val="0"/>
          <w:sz w:val="24"/>
          <w:szCs w:val="24"/>
          <w:highlight w:val="none"/>
        </w:rPr>
        <w:t>网上投标登记方式进行投标登记，不接受现场投标登记（参加投标登记之前，投标人应查询本企业在</w:t>
      </w:r>
      <w:r>
        <w:rPr>
          <w:rFonts w:ascii="Arial" w:hAnsi="Arial" w:eastAsia="仿宋" w:cs="Arial"/>
          <w:sz w:val="24"/>
          <w:szCs w:val="24"/>
          <w:highlight w:val="none"/>
        </w:rPr>
        <w:t>广州交易集团有限公司（广州公共资源交易中心）</w:t>
      </w:r>
      <w:r>
        <w:rPr>
          <w:rFonts w:ascii="Arial" w:hAnsi="Arial" w:eastAsia="仿宋" w:cs="Arial"/>
          <w:kern w:val="0"/>
          <w:sz w:val="24"/>
          <w:szCs w:val="24"/>
          <w:highlight w:val="none"/>
        </w:rPr>
        <w:t>的信息登记的状态，确保一切信息都是真实的、在有效期内的，以免出现相关信息不能被使用。上述情况有可能导致投标信息无法录入</w:t>
      </w:r>
      <w:r>
        <w:rPr>
          <w:rFonts w:ascii="Arial" w:hAnsi="Arial" w:eastAsia="仿宋" w:cs="Arial"/>
          <w:sz w:val="24"/>
          <w:szCs w:val="24"/>
          <w:highlight w:val="none"/>
        </w:rPr>
        <w:t>广州交易集团有限公司（广州公共资源交易中心）</w:t>
      </w:r>
      <w:r>
        <w:rPr>
          <w:rFonts w:ascii="Arial" w:hAnsi="Arial" w:eastAsia="仿宋" w:cs="Arial"/>
          <w:kern w:val="0"/>
          <w:sz w:val="24"/>
          <w:szCs w:val="24"/>
          <w:highlight w:val="none"/>
        </w:rPr>
        <w:t>信息系统。如出现上述情况，投标人有可能失去投标机会，因其可能所引起的一切后果由投标人承担。电子招投标操作流程详见</w:t>
      </w:r>
      <w:r>
        <w:rPr>
          <w:rFonts w:ascii="Arial" w:hAnsi="Arial" w:eastAsia="仿宋" w:cs="Arial"/>
          <w:sz w:val="24"/>
          <w:szCs w:val="24"/>
          <w:highlight w:val="none"/>
        </w:rPr>
        <w:t>广州交易集团有限公司（广州公共资源交易中心）</w:t>
      </w:r>
      <w:r>
        <w:rPr>
          <w:rFonts w:ascii="Arial" w:hAnsi="Arial" w:eastAsia="仿宋" w:cs="Arial"/>
          <w:kern w:val="0"/>
          <w:sz w:val="24"/>
          <w:szCs w:val="24"/>
          <w:highlight w:val="none"/>
        </w:rPr>
        <w:t>网站发布的最新版操作指引）。</w:t>
      </w:r>
    </w:p>
    <w:p w14:paraId="6520BA24">
      <w:pPr>
        <w:spacing w:line="360" w:lineRule="auto"/>
        <w:ind w:firstLine="480" w:firstLineChars="200"/>
        <w:jc w:val="left"/>
        <w:rPr>
          <w:rFonts w:ascii="Arial" w:hAnsi="Arial" w:eastAsia="仿宋" w:cs="Arial"/>
          <w:sz w:val="24"/>
          <w:szCs w:val="24"/>
          <w:highlight w:val="none"/>
        </w:rPr>
      </w:pPr>
      <w:r>
        <w:rPr>
          <w:rFonts w:ascii="Arial" w:hAnsi="Arial" w:eastAsia="仿宋" w:cs="Arial"/>
          <w:kern w:val="0"/>
          <w:sz w:val="24"/>
          <w:szCs w:val="24"/>
          <w:highlight w:val="none"/>
        </w:rPr>
        <w:t>4.3.1投标登记时间：</w:t>
      </w:r>
      <w:r>
        <w:rPr>
          <w:rFonts w:ascii="Arial" w:hAnsi="Arial" w:eastAsia="仿宋" w:cs="Arial"/>
          <w:sz w:val="24"/>
          <w:szCs w:val="24"/>
          <w:highlight w:val="none"/>
          <w:u w:val="single"/>
        </w:rPr>
        <w:t>2024</w:t>
      </w:r>
      <w:r>
        <w:rPr>
          <w:rFonts w:ascii="Arial" w:hAnsi="Arial" w:eastAsia="仿宋" w:cs="Arial"/>
          <w:sz w:val="24"/>
          <w:szCs w:val="24"/>
          <w:highlight w:val="none"/>
        </w:rPr>
        <w:t>年</w:t>
      </w:r>
      <w:r>
        <w:rPr>
          <w:rFonts w:ascii="Arial" w:hAnsi="Arial" w:eastAsia="仿宋" w:cs="Arial"/>
          <w:sz w:val="24"/>
          <w:szCs w:val="24"/>
          <w:highlight w:val="none"/>
          <w:u w:val="single"/>
        </w:rPr>
        <w:t xml:space="preserve"> </w:t>
      </w:r>
      <w:r>
        <w:rPr>
          <w:rFonts w:ascii="Arial" w:hAnsi="Arial" w:eastAsia="仿宋" w:cs="Arial"/>
          <w:sz w:val="24"/>
          <w:szCs w:val="24"/>
          <w:highlight w:val="none"/>
        </w:rPr>
        <w:t>月</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时</w:t>
      </w:r>
      <w:r>
        <w:rPr>
          <w:rFonts w:ascii="Arial" w:hAnsi="Arial" w:eastAsia="仿宋" w:cs="Arial"/>
          <w:sz w:val="24"/>
          <w:szCs w:val="24"/>
          <w:highlight w:val="none"/>
          <w:u w:val="single"/>
        </w:rPr>
        <w:t xml:space="preserve"> </w:t>
      </w:r>
      <w:r>
        <w:rPr>
          <w:rFonts w:ascii="Arial" w:hAnsi="Arial" w:eastAsia="仿宋" w:cs="Arial"/>
          <w:sz w:val="24"/>
          <w:szCs w:val="24"/>
          <w:highlight w:val="none"/>
        </w:rPr>
        <w:t>分至</w:t>
      </w:r>
      <w:r>
        <w:rPr>
          <w:rFonts w:ascii="Arial" w:hAnsi="Arial" w:eastAsia="仿宋" w:cs="Arial"/>
          <w:sz w:val="24"/>
          <w:szCs w:val="24"/>
          <w:highlight w:val="none"/>
          <w:u w:val="single"/>
        </w:rPr>
        <w:t>2024</w:t>
      </w:r>
      <w:r>
        <w:rPr>
          <w:rFonts w:ascii="Arial" w:hAnsi="Arial" w:eastAsia="仿宋" w:cs="Arial"/>
          <w:sz w:val="24"/>
          <w:szCs w:val="24"/>
          <w:highlight w:val="none"/>
        </w:rPr>
        <w:t>年</w:t>
      </w:r>
      <w:r>
        <w:rPr>
          <w:rFonts w:ascii="Arial" w:hAnsi="Arial" w:eastAsia="仿宋" w:cs="Arial"/>
          <w:sz w:val="24"/>
          <w:szCs w:val="24"/>
          <w:highlight w:val="none"/>
          <w:u w:val="single"/>
        </w:rPr>
        <w:t xml:space="preserve"> </w:t>
      </w:r>
      <w:r>
        <w:rPr>
          <w:rFonts w:ascii="Arial" w:hAnsi="Arial" w:eastAsia="仿宋" w:cs="Arial"/>
          <w:sz w:val="24"/>
          <w:szCs w:val="24"/>
          <w:highlight w:val="none"/>
        </w:rPr>
        <w:t>月</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sz w:val="24"/>
          <w:szCs w:val="24"/>
          <w:highlight w:val="none"/>
        </w:rPr>
        <w:t>时</w:t>
      </w:r>
      <w:r>
        <w:rPr>
          <w:rFonts w:ascii="Arial" w:hAnsi="Arial" w:eastAsia="仿宋" w:cs="Arial"/>
          <w:sz w:val="24"/>
          <w:szCs w:val="24"/>
          <w:highlight w:val="none"/>
          <w:u w:val="single"/>
        </w:rPr>
        <w:t xml:space="preserve"> </w:t>
      </w:r>
      <w:r>
        <w:rPr>
          <w:rFonts w:ascii="Arial" w:hAnsi="Arial" w:eastAsia="仿宋" w:cs="Arial"/>
          <w:sz w:val="24"/>
          <w:szCs w:val="24"/>
          <w:highlight w:val="none"/>
        </w:rPr>
        <w:t>分。</w:t>
      </w:r>
    </w:p>
    <w:p w14:paraId="1664453E">
      <w:pPr>
        <w:spacing w:line="360" w:lineRule="auto"/>
        <w:ind w:firstLine="480" w:firstLineChars="200"/>
        <w:jc w:val="left"/>
        <w:rPr>
          <w:rFonts w:ascii="Arial" w:hAnsi="Arial" w:eastAsia="仿宋" w:cs="Arial"/>
          <w:kern w:val="0"/>
          <w:sz w:val="24"/>
          <w:szCs w:val="24"/>
          <w:highlight w:val="none"/>
        </w:rPr>
      </w:pPr>
      <w:r>
        <w:rPr>
          <w:rFonts w:ascii="Arial" w:hAnsi="Arial" w:eastAsia="仿宋" w:cs="Arial"/>
          <w:kern w:val="0"/>
          <w:sz w:val="24"/>
          <w:szCs w:val="24"/>
          <w:highlight w:val="none"/>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479BD4D9">
      <w:pPr>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4.4 本项目采用资格后审方式。</w:t>
      </w:r>
    </w:p>
    <w:p w14:paraId="4A4E5E63">
      <w:pPr>
        <w:pStyle w:val="4"/>
        <w:spacing w:line="360" w:lineRule="auto"/>
        <w:rPr>
          <w:rFonts w:eastAsia="仿宋" w:cs="Arial"/>
          <w:color w:val="auto"/>
          <w:sz w:val="32"/>
          <w:highlight w:val="none"/>
        </w:rPr>
      </w:pPr>
      <w:r>
        <w:rPr>
          <w:rFonts w:eastAsia="仿宋" w:cs="Arial"/>
          <w:color w:val="auto"/>
          <w:sz w:val="32"/>
          <w:highlight w:val="none"/>
        </w:rPr>
        <w:t>5.投标文件的递交</w:t>
      </w:r>
      <w:bookmarkEnd w:id="11"/>
    </w:p>
    <w:p w14:paraId="777C595C">
      <w:pPr>
        <w:pStyle w:val="26"/>
        <w:ind w:firstLine="480" w:firstLineChars="200"/>
        <w:rPr>
          <w:rFonts w:ascii="Arial" w:hAnsi="Arial" w:eastAsia="仿宋" w:cs="Arial"/>
          <w:color w:val="auto"/>
          <w:kern w:val="2"/>
          <w:sz w:val="24"/>
          <w:szCs w:val="24"/>
          <w:highlight w:val="none"/>
        </w:rPr>
      </w:pPr>
      <w:bookmarkStart w:id="15" w:name="_Toc535938700"/>
      <w:r>
        <w:rPr>
          <w:rFonts w:ascii="Arial" w:hAnsi="Arial" w:eastAsia="仿宋" w:cs="Arial"/>
          <w:color w:val="auto"/>
          <w:kern w:val="2"/>
          <w:sz w:val="24"/>
          <w:szCs w:val="24"/>
          <w:highlight w:val="none"/>
        </w:rPr>
        <w:t>5.1 投标文件递交的截止时间（投标截止时间，下同）为</w:t>
      </w:r>
      <w:r>
        <w:rPr>
          <w:rFonts w:ascii="Arial" w:hAnsi="Arial" w:eastAsia="仿宋" w:cs="Arial"/>
          <w:color w:val="auto"/>
          <w:sz w:val="24"/>
          <w:szCs w:val="24"/>
          <w:highlight w:val="none"/>
          <w:u w:val="single"/>
        </w:rPr>
        <w:t>2024</w:t>
      </w:r>
      <w:r>
        <w:rPr>
          <w:rFonts w:ascii="Arial" w:hAnsi="Arial" w:eastAsia="仿宋" w:cs="Arial"/>
          <w:color w:val="auto"/>
          <w:sz w:val="24"/>
          <w:szCs w:val="24"/>
          <w:highlight w:val="none"/>
        </w:rPr>
        <w:t>年</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月</w:t>
      </w: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color w:val="auto"/>
          <w:sz w:val="24"/>
          <w:szCs w:val="24"/>
          <w:highlight w:val="none"/>
        </w:rPr>
        <w:t>时</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分</w:t>
      </w:r>
      <w:r>
        <w:rPr>
          <w:rFonts w:ascii="Arial" w:hAnsi="Arial" w:eastAsia="仿宋" w:cs="Arial"/>
          <w:color w:val="auto"/>
          <w:kern w:val="2"/>
          <w:sz w:val="24"/>
          <w:szCs w:val="24"/>
          <w:highlight w:val="none"/>
        </w:rPr>
        <w:t>，投标人应在截止时间前通过</w:t>
      </w:r>
      <w:r>
        <w:rPr>
          <w:rFonts w:ascii="Arial" w:hAnsi="Arial" w:eastAsia="仿宋" w:cs="Arial"/>
          <w:color w:val="auto"/>
          <w:kern w:val="2"/>
          <w:sz w:val="24"/>
          <w:szCs w:val="24"/>
          <w:highlight w:val="none"/>
          <w:u w:val="single"/>
        </w:rPr>
        <w:t>广州交易集团有限公司（广州公共资源交易中心）数字交易平台（网址：http://www.gzggzy.cn）</w:t>
      </w:r>
      <w:r>
        <w:rPr>
          <w:rFonts w:ascii="Arial" w:hAnsi="Arial" w:eastAsia="仿宋" w:cs="Arial"/>
          <w:color w:val="auto"/>
          <w:kern w:val="2"/>
          <w:sz w:val="24"/>
          <w:szCs w:val="24"/>
          <w:highlight w:val="none"/>
        </w:rPr>
        <w:t>递交电子投标文件。</w:t>
      </w:r>
    </w:p>
    <w:p w14:paraId="6F4AF185">
      <w:pPr>
        <w:pStyle w:val="26"/>
        <w:ind w:firstLine="480" w:firstLineChars="200"/>
        <w:rPr>
          <w:rFonts w:ascii="Arial" w:hAnsi="Arial" w:eastAsia="仿宋" w:cs="Arial"/>
          <w:color w:val="auto"/>
          <w:kern w:val="2"/>
          <w:sz w:val="24"/>
          <w:szCs w:val="24"/>
          <w:highlight w:val="none"/>
        </w:rPr>
      </w:pPr>
      <w:r>
        <w:rPr>
          <w:rFonts w:ascii="Arial" w:hAnsi="Arial" w:eastAsia="仿宋" w:cs="Arial"/>
          <w:color w:val="auto"/>
          <w:kern w:val="2"/>
          <w:sz w:val="24"/>
          <w:szCs w:val="24"/>
          <w:highlight w:val="none"/>
        </w:rPr>
        <w:t>5.2 递交备用投标文件电子光盘时间为：</w:t>
      </w:r>
      <w:r>
        <w:rPr>
          <w:rFonts w:ascii="Arial" w:hAnsi="Arial" w:eastAsia="仿宋" w:cs="Arial"/>
          <w:color w:val="auto"/>
          <w:sz w:val="24"/>
          <w:szCs w:val="24"/>
          <w:highlight w:val="none"/>
          <w:u w:val="single"/>
        </w:rPr>
        <w:t>2024</w:t>
      </w:r>
      <w:r>
        <w:rPr>
          <w:rFonts w:ascii="Arial" w:hAnsi="Arial" w:eastAsia="仿宋" w:cs="Arial"/>
          <w:color w:val="auto"/>
          <w:sz w:val="24"/>
          <w:szCs w:val="24"/>
          <w:highlight w:val="none"/>
        </w:rPr>
        <w:t>年</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月</w:t>
      </w: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color w:val="auto"/>
          <w:sz w:val="24"/>
          <w:szCs w:val="24"/>
          <w:highlight w:val="none"/>
        </w:rPr>
        <w:t>时</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分</w:t>
      </w:r>
      <w:r>
        <w:rPr>
          <w:rFonts w:ascii="Arial" w:hAnsi="Arial" w:eastAsia="仿宋" w:cs="Arial"/>
          <w:color w:val="auto"/>
          <w:kern w:val="2"/>
          <w:sz w:val="24"/>
          <w:szCs w:val="24"/>
          <w:highlight w:val="none"/>
        </w:rPr>
        <w:t>至</w:t>
      </w:r>
      <w:r>
        <w:rPr>
          <w:rFonts w:ascii="Arial" w:hAnsi="Arial" w:eastAsia="仿宋" w:cs="Arial"/>
          <w:color w:val="auto"/>
          <w:sz w:val="24"/>
          <w:szCs w:val="24"/>
          <w:highlight w:val="none"/>
          <w:u w:val="single"/>
        </w:rPr>
        <w:t>2024</w:t>
      </w:r>
      <w:r>
        <w:rPr>
          <w:rFonts w:ascii="Arial" w:hAnsi="Arial" w:eastAsia="仿宋" w:cs="Arial"/>
          <w:color w:val="auto"/>
          <w:sz w:val="24"/>
          <w:szCs w:val="24"/>
          <w:highlight w:val="none"/>
        </w:rPr>
        <w:t>年</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月</w:t>
      </w: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color w:val="auto"/>
          <w:sz w:val="24"/>
          <w:szCs w:val="24"/>
          <w:highlight w:val="none"/>
        </w:rPr>
        <w:t>时</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分</w:t>
      </w:r>
      <w:r>
        <w:rPr>
          <w:rFonts w:ascii="Arial" w:hAnsi="Arial" w:eastAsia="仿宋" w:cs="Arial"/>
          <w:color w:val="auto"/>
          <w:kern w:val="2"/>
          <w:sz w:val="24"/>
          <w:szCs w:val="24"/>
          <w:highlight w:val="none"/>
        </w:rPr>
        <w:t>；地点：</w:t>
      </w:r>
      <w:r>
        <w:rPr>
          <w:rFonts w:ascii="Arial" w:hAnsi="Arial" w:eastAsia="仿宋" w:cs="Arial"/>
          <w:color w:val="auto"/>
          <w:kern w:val="2"/>
          <w:sz w:val="24"/>
          <w:szCs w:val="24"/>
          <w:highlight w:val="none"/>
          <w:u w:val="single"/>
        </w:rPr>
        <w:t>广州交易集团有限公司（广州公共资源交易中心）第  开标室</w:t>
      </w:r>
      <w:r>
        <w:rPr>
          <w:rFonts w:ascii="Arial" w:hAnsi="Arial" w:eastAsia="仿宋" w:cs="Arial"/>
          <w:color w:val="auto"/>
          <w:kern w:val="2"/>
          <w:sz w:val="24"/>
          <w:szCs w:val="24"/>
          <w:highlight w:val="none"/>
        </w:rPr>
        <w:t>。（</w:t>
      </w:r>
      <w:r>
        <w:rPr>
          <w:rFonts w:ascii="Arial" w:hAnsi="Arial" w:eastAsia="仿宋" w:cs="Arial"/>
          <w:b/>
          <w:bCs/>
          <w:color w:val="auto"/>
          <w:kern w:val="2"/>
          <w:sz w:val="24"/>
          <w:szCs w:val="24"/>
          <w:highlight w:val="none"/>
          <w:u w:val="single"/>
        </w:rPr>
        <w:t>凭法定代表人证明书原件、法定代表人授权委托证明书原件（非法定代表人办理手续时提供）、本人身份证原件递交。</w:t>
      </w:r>
      <w:r>
        <w:rPr>
          <w:rFonts w:ascii="Arial" w:hAnsi="Arial" w:eastAsia="仿宋" w:cs="Arial"/>
          <w:color w:val="auto"/>
          <w:kern w:val="2"/>
          <w:sz w:val="24"/>
          <w:szCs w:val="24"/>
          <w:highlight w:val="none"/>
        </w:rPr>
        <w:t>电子光盘需按规定封装。投标人在将数据刻录到光盘之后，投标前自行检查文件是否可以读取）。</w:t>
      </w:r>
    </w:p>
    <w:p w14:paraId="2E842242">
      <w:pPr>
        <w:pStyle w:val="26"/>
        <w:ind w:firstLine="480" w:firstLineChars="200"/>
        <w:rPr>
          <w:rFonts w:ascii="Arial" w:hAnsi="Arial" w:eastAsia="仿宋" w:cs="Arial"/>
          <w:color w:val="auto"/>
          <w:kern w:val="2"/>
          <w:sz w:val="24"/>
          <w:szCs w:val="24"/>
          <w:highlight w:val="none"/>
        </w:rPr>
      </w:pPr>
      <w:r>
        <w:rPr>
          <w:rFonts w:ascii="Arial" w:hAnsi="Arial" w:eastAsia="仿宋" w:cs="Arial"/>
          <w:color w:val="auto"/>
          <w:kern w:val="2"/>
          <w:sz w:val="24"/>
          <w:szCs w:val="24"/>
          <w:highlight w:val="none"/>
        </w:rPr>
        <w:t>5.3 逾期送达的投标文件，电子招标投标交易平台将予以拒收。逾期或未在指定地点递交投标文件光盘的,招标人拒绝接收其投标文件光盘。</w:t>
      </w:r>
    </w:p>
    <w:p w14:paraId="2B682B42">
      <w:pPr>
        <w:pStyle w:val="26"/>
        <w:ind w:firstLine="480" w:firstLineChars="200"/>
        <w:rPr>
          <w:rFonts w:ascii="Arial" w:hAnsi="Arial" w:eastAsia="仿宋" w:cs="Arial"/>
          <w:color w:val="auto"/>
          <w:kern w:val="2"/>
          <w:sz w:val="24"/>
          <w:szCs w:val="24"/>
          <w:highlight w:val="none"/>
        </w:rPr>
      </w:pPr>
      <w:r>
        <w:rPr>
          <w:rFonts w:ascii="Arial" w:hAnsi="Arial" w:eastAsia="仿宋" w:cs="Arial"/>
          <w:color w:val="auto"/>
          <w:kern w:val="2"/>
          <w:sz w:val="24"/>
          <w:szCs w:val="24"/>
          <w:highlight w:val="none"/>
        </w:rPr>
        <w:t>5.4 开标时间：</w:t>
      </w:r>
      <w:r>
        <w:rPr>
          <w:rFonts w:ascii="Arial" w:hAnsi="Arial" w:eastAsia="仿宋" w:cs="Arial"/>
          <w:color w:val="auto"/>
          <w:sz w:val="24"/>
          <w:szCs w:val="24"/>
          <w:highlight w:val="none"/>
          <w:u w:val="single"/>
        </w:rPr>
        <w:t>2024</w:t>
      </w:r>
      <w:r>
        <w:rPr>
          <w:rFonts w:ascii="Arial" w:hAnsi="Arial" w:eastAsia="仿宋" w:cs="Arial"/>
          <w:color w:val="auto"/>
          <w:sz w:val="24"/>
          <w:szCs w:val="24"/>
          <w:highlight w:val="none"/>
        </w:rPr>
        <w:t>年</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月</w:t>
      </w: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日</w:t>
      </w:r>
      <w:r>
        <w:rPr>
          <w:rFonts w:ascii="Arial" w:hAnsi="Arial" w:eastAsia="仿宋" w:cs="Arial"/>
          <w:sz w:val="24"/>
          <w:szCs w:val="24"/>
          <w:highlight w:val="none"/>
          <w:u w:val="single"/>
        </w:rPr>
        <w:t xml:space="preserve"> </w:t>
      </w:r>
      <w:r>
        <w:rPr>
          <w:rFonts w:hint="eastAsia" w:ascii="Arial" w:hAnsi="Arial" w:eastAsia="仿宋" w:cs="Arial"/>
          <w:sz w:val="24"/>
          <w:szCs w:val="24"/>
          <w:highlight w:val="none"/>
          <w:u w:val="single"/>
        </w:rPr>
        <w:t xml:space="preserve"> </w:t>
      </w:r>
      <w:r>
        <w:rPr>
          <w:rFonts w:ascii="Arial" w:hAnsi="Arial" w:eastAsia="仿宋" w:cs="Arial"/>
          <w:color w:val="auto"/>
          <w:sz w:val="24"/>
          <w:szCs w:val="24"/>
          <w:highlight w:val="none"/>
        </w:rPr>
        <w:t>时</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分</w:t>
      </w:r>
      <w:r>
        <w:rPr>
          <w:rFonts w:ascii="Arial" w:hAnsi="Arial" w:eastAsia="仿宋" w:cs="Arial"/>
          <w:color w:val="auto"/>
          <w:kern w:val="2"/>
          <w:sz w:val="24"/>
          <w:szCs w:val="24"/>
          <w:highlight w:val="none"/>
        </w:rPr>
        <w:t>。地点：</w:t>
      </w:r>
      <w:r>
        <w:rPr>
          <w:rFonts w:ascii="Arial" w:hAnsi="Arial" w:eastAsia="仿宋" w:cs="Arial"/>
          <w:color w:val="auto"/>
          <w:kern w:val="2"/>
          <w:sz w:val="24"/>
          <w:szCs w:val="24"/>
          <w:highlight w:val="none"/>
          <w:u w:val="single"/>
        </w:rPr>
        <w:t>广州交易集团有限公司（广州公共资源交易中心）第  开标室</w:t>
      </w:r>
      <w:r>
        <w:rPr>
          <w:rFonts w:ascii="Arial" w:hAnsi="Arial" w:eastAsia="仿宋" w:cs="Arial"/>
          <w:color w:val="auto"/>
          <w:kern w:val="2"/>
          <w:sz w:val="24"/>
          <w:szCs w:val="24"/>
          <w:highlight w:val="none"/>
        </w:rPr>
        <w:t>。</w:t>
      </w:r>
    </w:p>
    <w:p w14:paraId="6F648969">
      <w:pPr>
        <w:pStyle w:val="26"/>
        <w:ind w:firstLine="480" w:firstLineChars="200"/>
        <w:rPr>
          <w:rFonts w:ascii="Arial" w:hAnsi="Arial" w:eastAsia="仿宋" w:cs="Arial"/>
          <w:color w:val="auto"/>
          <w:sz w:val="24"/>
          <w:szCs w:val="24"/>
          <w:highlight w:val="none"/>
        </w:rPr>
      </w:pPr>
      <w:r>
        <w:rPr>
          <w:rFonts w:ascii="Arial" w:hAnsi="Arial" w:eastAsia="仿宋" w:cs="Arial"/>
          <w:color w:val="auto"/>
          <w:kern w:val="2"/>
          <w:sz w:val="24"/>
          <w:szCs w:val="24"/>
          <w:highlight w:val="none"/>
        </w:rPr>
        <w:t>5.5 递交投标文件截止时间及开标时间是否有变化，请密切留意</w:t>
      </w:r>
      <w:r>
        <w:rPr>
          <w:rFonts w:ascii="Arial" w:hAnsi="Arial" w:eastAsia="仿宋" w:cs="Arial"/>
          <w:color w:val="auto"/>
          <w:kern w:val="2"/>
          <w:sz w:val="24"/>
          <w:szCs w:val="24"/>
          <w:highlight w:val="none"/>
          <w:u w:val="single"/>
        </w:rPr>
        <w:t>广州交易集团有限公司（广州公共资源交易中心）</w:t>
      </w:r>
      <w:r>
        <w:rPr>
          <w:rFonts w:ascii="Arial" w:hAnsi="Arial" w:eastAsia="仿宋" w:cs="Arial"/>
          <w:color w:val="auto"/>
          <w:kern w:val="2"/>
          <w:sz w:val="24"/>
          <w:szCs w:val="24"/>
          <w:highlight w:val="none"/>
        </w:rPr>
        <w:t>网站中的相关信息。递交投标文件截止时间后，投标文件评审时间因故推迟的，相关资审信息仍以原递交投标文件截止时间的信息为准。本项目各项投标活动具体可通过</w:t>
      </w:r>
      <w:r>
        <w:rPr>
          <w:rFonts w:ascii="Arial" w:hAnsi="Arial" w:eastAsia="仿宋" w:cs="Arial"/>
          <w:color w:val="auto"/>
          <w:kern w:val="2"/>
          <w:sz w:val="24"/>
          <w:szCs w:val="24"/>
          <w:highlight w:val="none"/>
          <w:u w:val="single"/>
        </w:rPr>
        <w:t>广州交易集团有限公司（广州公共资源交易中心）</w:t>
      </w:r>
      <w:r>
        <w:rPr>
          <w:rFonts w:ascii="Arial" w:hAnsi="Arial" w:eastAsia="仿宋" w:cs="Arial"/>
          <w:color w:val="auto"/>
          <w:kern w:val="2"/>
          <w:sz w:val="24"/>
          <w:szCs w:val="24"/>
          <w:highlight w:val="none"/>
        </w:rPr>
        <w:t>网站查询具体的时间和场地安排。</w:t>
      </w:r>
    </w:p>
    <w:p w14:paraId="6B7C0F76">
      <w:pPr>
        <w:pStyle w:val="4"/>
        <w:spacing w:line="360" w:lineRule="auto"/>
        <w:rPr>
          <w:rFonts w:eastAsia="仿宋" w:cs="Arial"/>
          <w:color w:val="auto"/>
          <w:sz w:val="32"/>
          <w:highlight w:val="none"/>
        </w:rPr>
      </w:pPr>
      <w:r>
        <w:rPr>
          <w:rFonts w:eastAsia="仿宋" w:cs="Arial"/>
          <w:color w:val="auto"/>
          <w:sz w:val="32"/>
          <w:highlight w:val="none"/>
        </w:rPr>
        <w:t>6.</w:t>
      </w:r>
      <w:bookmarkEnd w:id="15"/>
      <w:bookmarkStart w:id="16" w:name="_Toc535938701"/>
      <w:r>
        <w:rPr>
          <w:rFonts w:eastAsia="仿宋" w:cs="Arial"/>
          <w:color w:val="auto"/>
          <w:sz w:val="32"/>
          <w:highlight w:val="none"/>
        </w:rPr>
        <w:t>发布公告的媒介</w:t>
      </w:r>
      <w:bookmarkEnd w:id="16"/>
    </w:p>
    <w:p w14:paraId="5804A74D">
      <w:pPr>
        <w:spacing w:line="360" w:lineRule="auto"/>
        <w:ind w:firstLine="480" w:firstLineChars="200"/>
        <w:rPr>
          <w:rFonts w:ascii="Arial" w:hAnsi="Arial" w:eastAsia="仿宋" w:cs="Arial"/>
          <w:sz w:val="24"/>
          <w:szCs w:val="24"/>
          <w:highlight w:val="none"/>
        </w:rPr>
      </w:pPr>
      <w:r>
        <w:rPr>
          <w:rFonts w:ascii="Arial" w:hAnsi="Arial" w:eastAsia="仿宋" w:cs="Arial"/>
          <w:sz w:val="24"/>
          <w:szCs w:val="24"/>
          <w:highlight w:val="none"/>
        </w:rPr>
        <w:t>6.1</w:t>
      </w:r>
      <w:r>
        <w:rPr>
          <w:rFonts w:hint="eastAsia" w:ascii="Arial" w:hAnsi="Arial" w:eastAsia="仿宋" w:cs="Arial"/>
          <w:sz w:val="24"/>
          <w:szCs w:val="24"/>
          <w:highlight w:val="none"/>
        </w:rPr>
        <w:t>本次招标公告同时在广州公共资源交易中心网站（网址：http：//www.gzggzy.cn）、广州国企阳光采购信息发布平台（网址：http://ygcg.gzggzy.cn）、广东省招标投标监管网（网址：http：//zbtb.gd.gov.cn/login）、中国招标投标公共服务平台（网址：http：//www.cebpubservice.com/）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bookmarkEnd w:id="3"/>
    <w:bookmarkEnd w:id="4"/>
    <w:p w14:paraId="7E3FC2F2">
      <w:pPr>
        <w:pStyle w:val="4"/>
        <w:spacing w:line="360" w:lineRule="auto"/>
        <w:rPr>
          <w:rFonts w:eastAsia="仿宋" w:cs="Arial"/>
          <w:color w:val="auto"/>
          <w:sz w:val="32"/>
          <w:highlight w:val="none"/>
        </w:rPr>
      </w:pPr>
      <w:bookmarkStart w:id="17" w:name="_Toc529196510"/>
      <w:bookmarkStart w:id="18" w:name="_Toc516170523"/>
      <w:bookmarkStart w:id="19" w:name="_Toc511557031"/>
      <w:bookmarkStart w:id="20" w:name="_Toc535938702"/>
      <w:bookmarkStart w:id="21" w:name="_Toc300834931"/>
      <w:bookmarkStart w:id="22" w:name="_Toc144974482"/>
      <w:bookmarkStart w:id="23" w:name="_Toc384308189"/>
      <w:bookmarkStart w:id="24" w:name="_Toc152042290"/>
      <w:bookmarkStart w:id="25" w:name="_Toc369531499"/>
      <w:bookmarkStart w:id="26" w:name="_Toc152045514"/>
      <w:bookmarkStart w:id="27" w:name="_Toc247513936"/>
      <w:bookmarkStart w:id="28" w:name="_Toc361508564"/>
      <w:bookmarkStart w:id="29" w:name="_Toc2312"/>
      <w:bookmarkStart w:id="30" w:name="_Toc352691457"/>
      <w:bookmarkStart w:id="31" w:name="_Toc247527537"/>
      <w:r>
        <w:rPr>
          <w:rFonts w:eastAsia="仿宋" w:cs="Arial"/>
          <w:color w:val="auto"/>
          <w:sz w:val="32"/>
          <w:highlight w:val="none"/>
        </w:rPr>
        <w:t>7.联系方式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46052487">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（1）招标人：广州市广建城更南湾投资发展有限公司</w:t>
      </w:r>
    </w:p>
    <w:p w14:paraId="39EAF427">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联系地址：广州市越秀区环市东路334号市政中环大厦29层</w:t>
      </w:r>
    </w:p>
    <w:p w14:paraId="2B444BAD">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联系人：郭工</w:t>
      </w:r>
    </w:p>
    <w:p w14:paraId="7E40F00D">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联系电话：020-83650010</w:t>
      </w:r>
    </w:p>
    <w:p w14:paraId="6C90EAFC">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（2）招标代理机构：广东广建项目管理有限公司</w:t>
      </w:r>
    </w:p>
    <w:p w14:paraId="3C320D28">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联系地址：广州市越秀区广仁路1号广仁大厦自编1302、1303、1304室</w:t>
      </w:r>
    </w:p>
    <w:p w14:paraId="73C08F92">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联系人：余小姐</w:t>
      </w:r>
    </w:p>
    <w:p w14:paraId="52A3E33A">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联系电话：020-83179625-857</w:t>
      </w:r>
    </w:p>
    <w:p w14:paraId="75EE5E51">
      <w:pPr>
        <w:widowControl/>
        <w:adjustRightInd w:val="0"/>
        <w:snapToGrid w:val="0"/>
        <w:spacing w:line="500" w:lineRule="exact"/>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（3）备案管理机构：广州南沙经济技术开发区行政审批局</w:t>
      </w:r>
    </w:p>
    <w:p w14:paraId="54A530E7">
      <w:pPr>
        <w:widowControl/>
        <w:adjustRightInd w:val="0"/>
        <w:snapToGrid w:val="0"/>
        <w:spacing w:line="500" w:lineRule="exact"/>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联系地址：广州市南沙区凤凰大道1号</w:t>
      </w:r>
    </w:p>
    <w:p w14:paraId="6051E1E9">
      <w:pPr>
        <w:widowControl/>
        <w:adjustRightInd w:val="0"/>
        <w:snapToGrid w:val="0"/>
        <w:spacing w:line="500" w:lineRule="exact"/>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监督电话：020-39053237</w:t>
      </w:r>
    </w:p>
    <w:p w14:paraId="4054993C">
      <w:pPr>
        <w:widowControl/>
        <w:adjustRightInd w:val="0"/>
        <w:snapToGrid w:val="0"/>
        <w:spacing w:line="500" w:lineRule="exact"/>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（4）招标监督机构：广州市南沙区住房和城乡建设局</w:t>
      </w:r>
    </w:p>
    <w:p w14:paraId="08877ABA">
      <w:pPr>
        <w:widowControl/>
        <w:adjustRightInd w:val="0"/>
        <w:snapToGrid w:val="0"/>
        <w:spacing w:line="500" w:lineRule="exact"/>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联系地址：广州市南沙区凤凰大道1号区行政中心主楼4楼</w:t>
      </w:r>
    </w:p>
    <w:p w14:paraId="507BE293">
      <w:pPr>
        <w:widowControl/>
        <w:adjustRightInd w:val="0"/>
        <w:snapToGrid w:val="0"/>
        <w:spacing w:line="500" w:lineRule="exact"/>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监督电话：020-39910647</w:t>
      </w:r>
    </w:p>
    <w:p w14:paraId="2A990034">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（5）潜在投标人或利害关系人对本招标公告及招标文件有异议的，应当在投标截止时间10日前向招标人书面提出。</w:t>
      </w:r>
    </w:p>
    <w:p w14:paraId="2A1526C8">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异议受理部门：广州市广建城更南湾投资发展有限公司</w:t>
      </w:r>
    </w:p>
    <w:p w14:paraId="772E8A3A">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异议受理电话：020-83650010</w:t>
      </w:r>
    </w:p>
    <w:p w14:paraId="5A2ED9CA">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联系地址：广州市越秀区环市东路334号市政中环大厦29层</w:t>
      </w:r>
    </w:p>
    <w:p w14:paraId="0220C730">
      <w:pPr>
        <w:spacing w:line="360" w:lineRule="auto"/>
        <w:ind w:firstLine="480" w:firstLineChars="200"/>
        <w:rPr>
          <w:rFonts w:ascii="Arial" w:hAnsi="Arial" w:eastAsia="仿宋" w:cs="Arial"/>
          <w:sz w:val="24"/>
          <w:szCs w:val="24"/>
          <w:highlight w:val="none"/>
        </w:rPr>
      </w:pPr>
      <w:r>
        <w:rPr>
          <w:rFonts w:hint="eastAsia" w:ascii="Arial" w:hAnsi="Arial" w:eastAsia="仿宋" w:cs="Arial"/>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1D15661">
      <w:pPr>
        <w:widowControl/>
        <w:spacing w:line="360" w:lineRule="auto"/>
        <w:ind w:firstLine="480" w:firstLineChars="200"/>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kern w:val="0"/>
          <w:sz w:val="24"/>
          <w:szCs w:val="24"/>
          <w:highlight w:val="none"/>
        </w:rPr>
        <w:t>附件一：</w:t>
      </w:r>
      <w:r>
        <w:rPr>
          <w:rFonts w:hint="eastAsia" w:ascii="仿宋" w:hAnsi="仿宋" w:eastAsia="仿宋" w:cs="仿宋"/>
          <w:sz w:val="24"/>
          <w:szCs w:val="24"/>
          <w:highlight w:val="none"/>
        </w:rPr>
        <w:t xml:space="preserve"> </w:t>
      </w:r>
    </w:p>
    <w:p w14:paraId="40ADB794">
      <w:pPr>
        <w:pStyle w:val="4"/>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投标人声明</w:t>
      </w:r>
    </w:p>
    <w:p w14:paraId="468E8398">
      <w:pPr>
        <w:spacing w:line="44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本招标项目招标人及招标监管机构：</w:t>
      </w:r>
    </w:p>
    <w:p w14:paraId="430477FF">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本公司就参加</w:t>
      </w:r>
      <w:r>
        <w:rPr>
          <w:rFonts w:hint="eastAsia" w:ascii="仿宋" w:hAnsi="仿宋" w:eastAsia="仿宋" w:cs="仿宋"/>
          <w:kern w:val="0"/>
          <w:sz w:val="24"/>
          <w:szCs w:val="24"/>
          <w:highlight w:val="none"/>
          <w:u w:val="single"/>
        </w:rPr>
        <w:t>            </w:t>
      </w:r>
      <w:r>
        <w:rPr>
          <w:rFonts w:hint="eastAsia" w:ascii="仿宋" w:hAnsi="仿宋" w:eastAsia="仿宋" w:cs="仿宋"/>
          <w:kern w:val="0"/>
          <w:sz w:val="24"/>
          <w:szCs w:val="24"/>
          <w:highlight w:val="none"/>
        </w:rPr>
        <w:t>项目投标工作，作出郑重声明：</w:t>
      </w:r>
    </w:p>
    <w:p w14:paraId="434F3A9B">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一、本公司保证投标</w:t>
      </w:r>
      <w:r>
        <w:rPr>
          <w:rFonts w:hint="eastAsia" w:ascii="仿宋" w:hAnsi="仿宋" w:eastAsia="仿宋" w:cs="仿宋"/>
          <w:kern w:val="0"/>
          <w:sz w:val="24"/>
          <w:szCs w:val="24"/>
          <w:highlight w:val="none"/>
          <w:u w:val="single"/>
        </w:rPr>
        <w:t>登记</w:t>
      </w:r>
      <w:r>
        <w:rPr>
          <w:rFonts w:hint="eastAsia" w:ascii="仿宋" w:hAnsi="仿宋" w:eastAsia="仿宋" w:cs="仿宋"/>
          <w:kern w:val="0"/>
          <w:sz w:val="24"/>
          <w:szCs w:val="24"/>
          <w:highlight w:val="none"/>
        </w:rPr>
        <w:t>材料及其后提供的一切材料都是真实的。如我司成为本项目中标候选人，我司同意并授权招标人将我司投标文件商务部分的人员、业绩、奖项等资料进行公开。</w:t>
      </w:r>
    </w:p>
    <w:p w14:paraId="0B8E0ECB">
      <w:pPr>
        <w:spacing w:line="440" w:lineRule="exact"/>
        <w:ind w:firstLine="482" w:firstLineChars="200"/>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让监理业务。</w:t>
      </w:r>
    </w:p>
    <w:p w14:paraId="3B2A9CC4">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三、本公司不存在招标文件第二章投标人须知第1.4.3项所规定的任何一种情形。</w:t>
      </w:r>
    </w:p>
    <w:p w14:paraId="045099F7">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四、本公司及其有隶属关系的机构，没有参加本项目招标文件的编写工作；本公司与本次招标的招标代理机构没有隶属关系或其他利害关系。</w:t>
      </w:r>
    </w:p>
    <w:p w14:paraId="776ACBDB">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五、本公司承诺，中标后严格执行安全生产相关管理规定。</w:t>
      </w:r>
    </w:p>
    <w:p w14:paraId="2E9F79B7">
      <w:pPr>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六、与本公司单位负责人为同一人或者与本公司存在控股、管理关系的其他单位包括：</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。（注：本条由投标人如实填写，如有，应列出全部满足招标公告资质要求的相关单位的名称；如无，则填写“无”。）</w:t>
      </w:r>
    </w:p>
    <w:p w14:paraId="5D624BF9">
      <w:pPr>
        <w:spacing w:line="440" w:lineRule="exact"/>
        <w:ind w:firstLine="482" w:firstLineChars="200"/>
        <w:rPr>
          <w:rFonts w:ascii="仿宋" w:hAnsi="仿宋" w:eastAsia="仿宋" w:cs="仿宋"/>
          <w:kern w:val="0"/>
          <w:sz w:val="24"/>
          <w:szCs w:val="24"/>
          <w:highlight w:val="none"/>
        </w:rPr>
      </w:pPr>
      <w:r>
        <w:rPr>
          <w:rFonts w:hint="eastAsia" w:ascii="仿宋" w:hAnsi="仿宋" w:eastAsia="仿宋" w:cs="仿宋"/>
          <w:b/>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仿宋" w:hAnsi="仿宋" w:eastAsia="仿宋" w:cs="仿宋"/>
          <w:kern w:val="0"/>
          <w:sz w:val="24"/>
          <w:szCs w:val="24"/>
          <w:highlight w:val="none"/>
        </w:rPr>
        <w:t>承担由此带来的一切后果。</w:t>
      </w:r>
    </w:p>
    <w:p w14:paraId="4F590327">
      <w:pPr>
        <w:widowControl/>
        <w:shd w:val="clear" w:color="auto" w:fill="FFFFFF"/>
        <w:spacing w:line="440" w:lineRule="exact"/>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特此声明。</w:t>
      </w:r>
    </w:p>
    <w:p w14:paraId="1616F3B0">
      <w:pPr>
        <w:snapToGrid w:val="0"/>
        <w:spacing w:line="440" w:lineRule="exact"/>
        <w:ind w:firstLine="4320" w:firstLineChars="1800"/>
        <w:rPr>
          <w:rFonts w:ascii="仿宋" w:hAnsi="仿宋" w:eastAsia="仿宋" w:cs="仿宋"/>
          <w:kern w:val="0"/>
          <w:sz w:val="24"/>
          <w:szCs w:val="24"/>
          <w:highlight w:val="none"/>
        </w:rPr>
      </w:pPr>
      <w:r>
        <w:rPr>
          <w:rFonts w:hint="eastAsia" w:ascii="仿宋" w:hAnsi="仿宋" w:eastAsia="仿宋" w:cs="仿宋"/>
          <w:kern w:val="0"/>
          <w:sz w:val="24"/>
          <w:szCs w:val="24"/>
          <w:highlight w:val="none"/>
        </w:rPr>
        <w:t>声明企业：            (企业公章)</w:t>
      </w:r>
    </w:p>
    <w:p w14:paraId="2491248C">
      <w:pPr>
        <w:snapToGrid w:val="0"/>
        <w:spacing w:line="440" w:lineRule="exact"/>
        <w:ind w:firstLine="4320" w:firstLineChars="1800"/>
        <w:rPr>
          <w:rFonts w:ascii="仿宋" w:hAnsi="仿宋" w:eastAsia="仿宋" w:cs="仿宋"/>
          <w:kern w:val="0"/>
          <w:sz w:val="24"/>
          <w:szCs w:val="24"/>
          <w:highlight w:val="none"/>
        </w:rPr>
      </w:pPr>
      <w:r>
        <w:rPr>
          <w:rFonts w:hint="eastAsia" w:ascii="仿宋" w:hAnsi="仿宋" w:eastAsia="仿宋" w:cs="仿宋"/>
          <w:kern w:val="0"/>
          <w:sz w:val="24"/>
          <w:szCs w:val="24"/>
          <w:highlight w:val="none"/>
        </w:rPr>
        <w:t>总监理工程师：         （签字）</w:t>
      </w:r>
    </w:p>
    <w:p w14:paraId="0D470B6C">
      <w:pPr>
        <w:snapToGrid w:val="0"/>
        <w:spacing w:line="440" w:lineRule="exact"/>
        <w:ind w:firstLine="4252" w:firstLineChars="1772"/>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法定代表人签字：</w:t>
      </w:r>
    </w:p>
    <w:p w14:paraId="2DCBBF5A">
      <w:pPr>
        <w:spacing w:line="440" w:lineRule="exact"/>
        <w:ind w:firstLine="4920" w:firstLineChars="2050"/>
        <w:rPr>
          <w:rFonts w:ascii="仿宋" w:hAnsi="仿宋" w:eastAsia="仿宋" w:cs="仿宋"/>
          <w:kern w:val="0"/>
          <w:sz w:val="24"/>
          <w:szCs w:val="24"/>
          <w:highlight w:val="none"/>
        </w:rPr>
      </w:pPr>
      <w:r>
        <w:rPr>
          <w:rFonts w:hint="eastAsia" w:ascii="仿宋" w:hAnsi="仿宋" w:eastAsia="仿宋" w:cs="仿宋"/>
          <w:kern w:val="0"/>
          <w:sz w:val="24"/>
          <w:szCs w:val="24"/>
          <w:highlight w:val="none"/>
        </w:rPr>
        <w:t>年   月   日</w:t>
      </w:r>
    </w:p>
    <w:p w14:paraId="581E6C3F">
      <w:pPr>
        <w:spacing w:line="360" w:lineRule="auto"/>
        <w:outlineLvl w:val="2"/>
        <w:rPr>
          <w:rFonts w:ascii="仿宋" w:hAnsi="仿宋" w:eastAsia="仿宋" w:cs="仿宋"/>
          <w:b/>
          <w:sz w:val="24"/>
          <w:szCs w:val="24"/>
          <w:highlight w:val="none"/>
        </w:rPr>
      </w:pPr>
      <w:r>
        <w:rPr>
          <w:rFonts w:hint="eastAsia" w:ascii="仿宋" w:hAnsi="仿宋" w:eastAsia="仿宋" w:cs="仿宋"/>
          <w:kern w:val="0"/>
          <w:sz w:val="24"/>
          <w:szCs w:val="24"/>
          <w:highlight w:val="none"/>
        </w:rPr>
        <w:t>注：若为联合体投标，“声明企业”应填写联合体各方的单位全称[多家单位组成联合体时，【格式示例：(主)单位全称(成)单位全称】，“企业公章”可由联合体主办方加盖企业公章。</w:t>
      </w:r>
      <w:r>
        <w:rPr>
          <w:rFonts w:hint="eastAsia" w:ascii="仿宋" w:hAnsi="仿宋" w:eastAsia="仿宋" w:cs="仿宋"/>
          <w:b/>
          <w:bCs/>
          <w:kern w:val="0"/>
          <w:sz w:val="24"/>
          <w:szCs w:val="24"/>
          <w:highlight w:val="none"/>
        </w:rPr>
        <w:br w:type="page"/>
      </w:r>
      <w:r>
        <w:rPr>
          <w:rFonts w:hint="eastAsia" w:ascii="仿宋" w:hAnsi="仿宋" w:eastAsia="仿宋" w:cs="仿宋"/>
          <w:b/>
          <w:bCs/>
          <w:kern w:val="0"/>
          <w:sz w:val="24"/>
          <w:szCs w:val="24"/>
          <w:highlight w:val="none"/>
        </w:rPr>
        <w:t>附件二：</w:t>
      </w:r>
    </w:p>
    <w:p w14:paraId="1588C40B">
      <w:pPr>
        <w:pStyle w:val="4"/>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监理项目管理团队人员信息表</w:t>
      </w:r>
    </w:p>
    <w:tbl>
      <w:tblPr>
        <w:tblStyle w:val="21"/>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5"/>
        <w:gridCol w:w="2918"/>
        <w:gridCol w:w="887"/>
        <w:gridCol w:w="3049"/>
      </w:tblGrid>
      <w:tr w14:paraId="2F02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3" w:type="dxa"/>
            <w:tcBorders>
              <w:top w:val="single" w:color="auto" w:sz="4" w:space="0"/>
              <w:left w:val="single" w:color="auto" w:sz="4" w:space="0"/>
              <w:bottom w:val="single" w:color="auto" w:sz="4" w:space="0"/>
              <w:right w:val="single" w:color="auto" w:sz="4" w:space="0"/>
            </w:tcBorders>
            <w:vAlign w:val="center"/>
          </w:tcPr>
          <w:p w14:paraId="43B63452">
            <w:pPr>
              <w:adjustRightInd w:val="0"/>
              <w:snapToGri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52CD37B0">
            <w:pPr>
              <w:adjustRightInd w:val="0"/>
              <w:snapToGri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姓名</w:t>
            </w:r>
          </w:p>
        </w:tc>
        <w:tc>
          <w:tcPr>
            <w:tcW w:w="2918" w:type="dxa"/>
            <w:tcBorders>
              <w:top w:val="single" w:color="auto" w:sz="4" w:space="0"/>
              <w:left w:val="single" w:color="auto" w:sz="4" w:space="0"/>
              <w:bottom w:val="single" w:color="auto" w:sz="4" w:space="0"/>
              <w:right w:val="single" w:color="auto" w:sz="4" w:space="0"/>
            </w:tcBorders>
            <w:vAlign w:val="center"/>
          </w:tcPr>
          <w:p w14:paraId="6DF32F80">
            <w:pPr>
              <w:adjustRightInd w:val="0"/>
              <w:snapToGri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岗位</w:t>
            </w:r>
          </w:p>
        </w:tc>
        <w:tc>
          <w:tcPr>
            <w:tcW w:w="887" w:type="dxa"/>
            <w:tcBorders>
              <w:top w:val="single" w:color="auto" w:sz="4" w:space="0"/>
              <w:left w:val="single" w:color="auto" w:sz="4" w:space="0"/>
              <w:bottom w:val="single" w:color="auto" w:sz="4" w:space="0"/>
              <w:right w:val="single" w:color="auto" w:sz="4" w:space="0"/>
            </w:tcBorders>
            <w:vAlign w:val="center"/>
          </w:tcPr>
          <w:p w14:paraId="0607FCA4">
            <w:pPr>
              <w:adjustRightInd w:val="0"/>
              <w:snapToGri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职称</w:t>
            </w:r>
          </w:p>
        </w:tc>
        <w:tc>
          <w:tcPr>
            <w:tcW w:w="3049" w:type="dxa"/>
            <w:tcBorders>
              <w:top w:val="single" w:color="auto" w:sz="4" w:space="0"/>
              <w:left w:val="single" w:color="auto" w:sz="4" w:space="0"/>
              <w:bottom w:val="single" w:color="auto" w:sz="4" w:space="0"/>
              <w:right w:val="single" w:color="auto" w:sz="4" w:space="0"/>
            </w:tcBorders>
            <w:vAlign w:val="center"/>
          </w:tcPr>
          <w:p w14:paraId="7ACE392F">
            <w:pPr>
              <w:adjustRightInd w:val="0"/>
              <w:snapToGrid w:val="0"/>
              <w:spacing w:line="36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职称证书或资格证书编号</w:t>
            </w:r>
          </w:p>
        </w:tc>
      </w:tr>
      <w:tr w14:paraId="7C5F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7FECFF43">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98DAEF0">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7A003879">
            <w:pPr>
              <w:spacing w:line="360" w:lineRule="auto"/>
              <w:jc w:val="center"/>
              <w:rPr>
                <w:rFonts w:ascii="仿宋" w:hAnsi="仿宋" w:eastAsia="仿宋" w:cs="仿宋"/>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652A7FC6">
            <w:pPr>
              <w:spacing w:line="360" w:lineRule="auto"/>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057D4C03">
            <w:pPr>
              <w:spacing w:line="360" w:lineRule="auto"/>
              <w:rPr>
                <w:rFonts w:ascii="仿宋" w:hAnsi="仿宋" w:eastAsia="仿宋" w:cs="仿宋"/>
                <w:sz w:val="24"/>
                <w:szCs w:val="24"/>
                <w:highlight w:val="none"/>
              </w:rPr>
            </w:pPr>
          </w:p>
        </w:tc>
      </w:tr>
      <w:tr w14:paraId="5E5C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30F0F9F8">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41E311B">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786181E3">
            <w:pPr>
              <w:spacing w:line="360" w:lineRule="auto"/>
              <w:jc w:val="center"/>
              <w:rPr>
                <w:rFonts w:ascii="仿宋" w:hAnsi="仿宋" w:eastAsia="仿宋" w:cs="仿宋"/>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3959679E">
            <w:pPr>
              <w:spacing w:line="360" w:lineRule="auto"/>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7DC27104">
            <w:pPr>
              <w:spacing w:line="360" w:lineRule="auto"/>
              <w:rPr>
                <w:rFonts w:ascii="仿宋" w:hAnsi="仿宋" w:eastAsia="仿宋" w:cs="仿宋"/>
                <w:sz w:val="24"/>
                <w:szCs w:val="24"/>
                <w:highlight w:val="none"/>
              </w:rPr>
            </w:pPr>
          </w:p>
        </w:tc>
      </w:tr>
      <w:tr w14:paraId="40BA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060A6D54">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3A84F89">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4E14E6CA">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638BA7BC">
            <w:pPr>
              <w:spacing w:line="360" w:lineRule="auto"/>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4AFC9671">
            <w:pPr>
              <w:spacing w:line="360" w:lineRule="auto"/>
              <w:rPr>
                <w:rFonts w:ascii="仿宋" w:hAnsi="仿宋" w:eastAsia="仿宋" w:cs="仿宋"/>
                <w:sz w:val="24"/>
                <w:szCs w:val="24"/>
                <w:highlight w:val="none"/>
              </w:rPr>
            </w:pPr>
          </w:p>
        </w:tc>
      </w:tr>
      <w:tr w14:paraId="6295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39EC0826">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DCD008">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53EBAFA9">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45AFB1E9">
            <w:pPr>
              <w:spacing w:line="360" w:lineRule="auto"/>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7EC23A89">
            <w:pPr>
              <w:spacing w:line="360" w:lineRule="auto"/>
              <w:rPr>
                <w:rFonts w:ascii="仿宋" w:hAnsi="仿宋" w:eastAsia="仿宋" w:cs="仿宋"/>
                <w:sz w:val="24"/>
                <w:szCs w:val="24"/>
                <w:highlight w:val="none"/>
              </w:rPr>
            </w:pPr>
          </w:p>
        </w:tc>
      </w:tr>
      <w:tr w14:paraId="086A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6470C28A">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3F97A6B">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tcPr>
          <w:p w14:paraId="464B6826">
            <w:pPr>
              <w:spacing w:line="360" w:lineRule="auto"/>
              <w:jc w:val="center"/>
              <w:rPr>
                <w:rFonts w:ascii="仿宋" w:hAnsi="仿宋" w:eastAsia="仿宋" w:cs="仿宋"/>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29303F57">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21794631">
            <w:pPr>
              <w:spacing w:line="360" w:lineRule="auto"/>
              <w:jc w:val="center"/>
              <w:rPr>
                <w:rFonts w:ascii="仿宋" w:hAnsi="仿宋" w:eastAsia="仿宋" w:cs="仿宋"/>
                <w:sz w:val="24"/>
                <w:szCs w:val="24"/>
                <w:highlight w:val="none"/>
              </w:rPr>
            </w:pPr>
          </w:p>
        </w:tc>
      </w:tr>
      <w:tr w14:paraId="4671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773E2733">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AAC6E28">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tcPr>
          <w:p w14:paraId="2E88D139">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2CEB03D1">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017E556D">
            <w:pPr>
              <w:spacing w:line="360" w:lineRule="auto"/>
              <w:jc w:val="center"/>
              <w:rPr>
                <w:rFonts w:ascii="仿宋" w:hAnsi="仿宋" w:eastAsia="仿宋" w:cs="仿宋"/>
                <w:sz w:val="24"/>
                <w:szCs w:val="24"/>
                <w:highlight w:val="none"/>
              </w:rPr>
            </w:pPr>
          </w:p>
        </w:tc>
      </w:tr>
      <w:tr w14:paraId="7EB2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3F648162">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AFB36B1">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tcPr>
          <w:p w14:paraId="70FB1D4A">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0CEB3AF2">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190EBBF6">
            <w:pPr>
              <w:spacing w:line="360" w:lineRule="auto"/>
              <w:jc w:val="center"/>
              <w:rPr>
                <w:rFonts w:ascii="仿宋" w:hAnsi="仿宋" w:eastAsia="仿宋" w:cs="仿宋"/>
                <w:sz w:val="24"/>
                <w:szCs w:val="24"/>
                <w:highlight w:val="none"/>
              </w:rPr>
            </w:pPr>
          </w:p>
        </w:tc>
      </w:tr>
      <w:tr w14:paraId="0E9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3" w:type="dxa"/>
            <w:tcBorders>
              <w:top w:val="single" w:color="auto" w:sz="4" w:space="0"/>
              <w:left w:val="single" w:color="auto" w:sz="4" w:space="0"/>
              <w:bottom w:val="single" w:color="auto" w:sz="4" w:space="0"/>
              <w:right w:val="single" w:color="auto" w:sz="4" w:space="0"/>
            </w:tcBorders>
            <w:vAlign w:val="center"/>
          </w:tcPr>
          <w:p w14:paraId="0C21B3A8">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527C462">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353802CF">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02769878">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07577179">
            <w:pPr>
              <w:spacing w:line="360" w:lineRule="auto"/>
              <w:jc w:val="center"/>
              <w:rPr>
                <w:rFonts w:ascii="仿宋" w:hAnsi="仿宋" w:eastAsia="仿宋" w:cs="仿宋"/>
                <w:sz w:val="24"/>
                <w:szCs w:val="24"/>
                <w:highlight w:val="none"/>
              </w:rPr>
            </w:pPr>
          </w:p>
        </w:tc>
      </w:tr>
      <w:tr w14:paraId="46BD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single" w:color="auto" w:sz="4" w:space="0"/>
              <w:bottom w:val="single" w:color="auto" w:sz="4" w:space="0"/>
              <w:right w:val="single" w:color="auto" w:sz="4" w:space="0"/>
            </w:tcBorders>
            <w:vAlign w:val="center"/>
          </w:tcPr>
          <w:p w14:paraId="269174EE">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45D4F57">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54A8B99F">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31958D42">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0376CD94">
            <w:pPr>
              <w:spacing w:line="360" w:lineRule="auto"/>
              <w:jc w:val="center"/>
              <w:rPr>
                <w:rFonts w:ascii="仿宋" w:hAnsi="仿宋" w:eastAsia="仿宋" w:cs="仿宋"/>
                <w:sz w:val="24"/>
                <w:szCs w:val="24"/>
                <w:highlight w:val="none"/>
              </w:rPr>
            </w:pPr>
          </w:p>
        </w:tc>
      </w:tr>
      <w:tr w14:paraId="3622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single" w:color="auto" w:sz="4" w:space="0"/>
              <w:bottom w:val="single" w:color="auto" w:sz="4" w:space="0"/>
              <w:right w:val="single" w:color="auto" w:sz="4" w:space="0"/>
            </w:tcBorders>
            <w:vAlign w:val="center"/>
          </w:tcPr>
          <w:p w14:paraId="73B230DB">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1B522C8">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7A6EA1A2">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5AB17353">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1F01D28A">
            <w:pPr>
              <w:spacing w:line="360" w:lineRule="auto"/>
              <w:jc w:val="center"/>
              <w:rPr>
                <w:rFonts w:ascii="仿宋" w:hAnsi="仿宋" w:eastAsia="仿宋" w:cs="仿宋"/>
                <w:sz w:val="24"/>
                <w:szCs w:val="24"/>
                <w:highlight w:val="none"/>
              </w:rPr>
            </w:pPr>
          </w:p>
        </w:tc>
      </w:tr>
      <w:tr w14:paraId="2281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3" w:type="dxa"/>
            <w:tcBorders>
              <w:top w:val="single" w:color="auto" w:sz="4" w:space="0"/>
              <w:left w:val="single" w:color="auto" w:sz="4" w:space="0"/>
              <w:bottom w:val="single" w:color="auto" w:sz="4" w:space="0"/>
              <w:right w:val="single" w:color="auto" w:sz="4" w:space="0"/>
            </w:tcBorders>
            <w:vAlign w:val="center"/>
          </w:tcPr>
          <w:p w14:paraId="05DDB5DE">
            <w:pPr>
              <w:pStyle w:val="27"/>
              <w:numPr>
                <w:ilvl w:val="0"/>
                <w:numId w:val="1"/>
              </w:numPr>
              <w:spacing w:line="360" w:lineRule="auto"/>
              <w:ind w:firstLineChars="0"/>
              <w:jc w:val="right"/>
              <w:rPr>
                <w:rFonts w:ascii="仿宋" w:hAnsi="仿宋" w:eastAsia="仿宋" w:cs="仿宋"/>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872C238">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7693E234">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6DB27D0A">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43B6AD32">
            <w:pPr>
              <w:spacing w:line="360" w:lineRule="auto"/>
              <w:jc w:val="center"/>
              <w:rPr>
                <w:rFonts w:ascii="仿宋" w:hAnsi="仿宋" w:eastAsia="仿宋" w:cs="仿宋"/>
                <w:sz w:val="24"/>
                <w:szCs w:val="24"/>
                <w:highlight w:val="none"/>
              </w:rPr>
            </w:pPr>
          </w:p>
        </w:tc>
      </w:tr>
      <w:tr w14:paraId="6FB0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3" w:type="dxa"/>
            <w:tcBorders>
              <w:top w:val="single" w:color="auto" w:sz="4" w:space="0"/>
              <w:left w:val="single" w:color="auto" w:sz="4" w:space="0"/>
              <w:bottom w:val="single" w:color="auto" w:sz="4" w:space="0"/>
              <w:right w:val="single" w:color="auto" w:sz="4" w:space="0"/>
            </w:tcBorders>
            <w:vAlign w:val="center"/>
          </w:tcPr>
          <w:p w14:paraId="3FF63C73">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245" w:type="dxa"/>
            <w:tcBorders>
              <w:top w:val="single" w:color="auto" w:sz="4" w:space="0"/>
              <w:left w:val="single" w:color="auto" w:sz="4" w:space="0"/>
              <w:bottom w:val="single" w:color="auto" w:sz="4" w:space="0"/>
              <w:right w:val="single" w:color="auto" w:sz="4" w:space="0"/>
            </w:tcBorders>
            <w:vAlign w:val="center"/>
          </w:tcPr>
          <w:p w14:paraId="39E30456">
            <w:pPr>
              <w:spacing w:line="360" w:lineRule="auto"/>
              <w:rPr>
                <w:rFonts w:ascii="仿宋" w:hAnsi="仿宋" w:eastAsia="仿宋" w:cs="仿宋"/>
                <w:sz w:val="24"/>
                <w:szCs w:val="24"/>
                <w:highlight w:val="none"/>
              </w:rPr>
            </w:pPr>
          </w:p>
        </w:tc>
        <w:tc>
          <w:tcPr>
            <w:tcW w:w="2918" w:type="dxa"/>
            <w:tcBorders>
              <w:top w:val="single" w:color="auto" w:sz="4" w:space="0"/>
              <w:left w:val="single" w:color="auto" w:sz="4" w:space="0"/>
              <w:bottom w:val="single" w:color="auto" w:sz="4" w:space="0"/>
              <w:right w:val="single" w:color="auto" w:sz="4" w:space="0"/>
            </w:tcBorders>
            <w:vAlign w:val="center"/>
          </w:tcPr>
          <w:p w14:paraId="6C664AB0">
            <w:pPr>
              <w:spacing w:line="360" w:lineRule="auto"/>
              <w:jc w:val="center"/>
              <w:rPr>
                <w:rFonts w:ascii="仿宋" w:hAnsi="仿宋" w:eastAsia="仿宋" w:cs="仿宋"/>
                <w:bCs/>
                <w:kern w:val="44"/>
                <w:sz w:val="24"/>
                <w:szCs w:val="24"/>
                <w:highlight w:val="none"/>
              </w:rPr>
            </w:pPr>
          </w:p>
        </w:tc>
        <w:tc>
          <w:tcPr>
            <w:tcW w:w="887" w:type="dxa"/>
            <w:tcBorders>
              <w:top w:val="single" w:color="auto" w:sz="4" w:space="0"/>
              <w:left w:val="single" w:color="auto" w:sz="4" w:space="0"/>
              <w:bottom w:val="single" w:color="auto" w:sz="4" w:space="0"/>
              <w:right w:val="single" w:color="auto" w:sz="4" w:space="0"/>
            </w:tcBorders>
            <w:vAlign w:val="center"/>
          </w:tcPr>
          <w:p w14:paraId="19AAEC42">
            <w:pPr>
              <w:spacing w:line="360" w:lineRule="auto"/>
              <w:jc w:val="center"/>
              <w:rPr>
                <w:rFonts w:ascii="仿宋" w:hAnsi="仿宋" w:eastAsia="仿宋" w:cs="仿宋"/>
                <w:sz w:val="24"/>
                <w:szCs w:val="24"/>
                <w:highlight w:val="none"/>
              </w:rPr>
            </w:pPr>
          </w:p>
        </w:tc>
        <w:tc>
          <w:tcPr>
            <w:tcW w:w="3049" w:type="dxa"/>
            <w:tcBorders>
              <w:top w:val="single" w:color="auto" w:sz="4" w:space="0"/>
              <w:left w:val="single" w:color="auto" w:sz="4" w:space="0"/>
              <w:bottom w:val="single" w:color="auto" w:sz="4" w:space="0"/>
              <w:right w:val="single" w:color="auto" w:sz="4" w:space="0"/>
            </w:tcBorders>
          </w:tcPr>
          <w:p w14:paraId="1EB0433B">
            <w:pPr>
              <w:spacing w:line="360" w:lineRule="auto"/>
              <w:jc w:val="center"/>
              <w:rPr>
                <w:rFonts w:ascii="仿宋" w:hAnsi="仿宋" w:eastAsia="仿宋" w:cs="仿宋"/>
                <w:sz w:val="24"/>
                <w:szCs w:val="24"/>
                <w:highlight w:val="none"/>
              </w:rPr>
            </w:pPr>
          </w:p>
        </w:tc>
      </w:tr>
      <w:tr w14:paraId="2587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852" w:type="dxa"/>
            <w:gridSpan w:val="5"/>
            <w:tcBorders>
              <w:top w:val="single" w:color="auto" w:sz="4" w:space="0"/>
              <w:left w:val="single" w:color="auto" w:sz="4" w:space="0"/>
              <w:bottom w:val="single" w:color="auto" w:sz="4" w:space="0"/>
              <w:right w:val="single" w:color="auto" w:sz="4" w:space="0"/>
            </w:tcBorders>
            <w:vAlign w:val="center"/>
          </w:tcPr>
          <w:p w14:paraId="5CD6986B">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备注：</w:t>
            </w:r>
          </w:p>
          <w:p w14:paraId="2ED08DCB">
            <w:pPr>
              <w:rPr>
                <w:rFonts w:ascii="仿宋" w:hAnsi="仿宋" w:eastAsia="仿宋" w:cs="仿宋"/>
                <w:sz w:val="24"/>
                <w:szCs w:val="24"/>
                <w:highlight w:val="none"/>
              </w:rPr>
            </w:pPr>
            <w:r>
              <w:rPr>
                <w:rFonts w:hint="eastAsia" w:ascii="仿宋" w:hAnsi="仿宋" w:eastAsia="仿宋" w:cs="仿宋"/>
                <w:sz w:val="24"/>
                <w:szCs w:val="24"/>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70A5E106">
            <w:pPr>
              <w:rPr>
                <w:rFonts w:ascii="仿宋" w:hAnsi="仿宋" w:eastAsia="仿宋" w:cs="仿宋"/>
                <w:sz w:val="24"/>
                <w:szCs w:val="24"/>
                <w:highlight w:val="none"/>
              </w:rPr>
            </w:pPr>
            <w:r>
              <w:rPr>
                <w:rFonts w:hint="eastAsia" w:ascii="仿宋" w:hAnsi="仿宋" w:eastAsia="仿宋" w:cs="仿宋"/>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D5F31A5">
            <w:pPr>
              <w:rPr>
                <w:rFonts w:ascii="仿宋" w:hAnsi="仿宋" w:eastAsia="仿宋" w:cs="仿宋"/>
                <w:sz w:val="24"/>
                <w:szCs w:val="24"/>
                <w:highlight w:val="none"/>
              </w:rPr>
            </w:pPr>
            <w:r>
              <w:rPr>
                <w:rFonts w:hint="eastAsia" w:ascii="仿宋" w:hAnsi="仿宋" w:eastAsia="仿宋" w:cs="仿宋"/>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EE29DFE">
      <w:pPr>
        <w:spacing w:line="360" w:lineRule="auto"/>
        <w:rPr>
          <w:rFonts w:ascii="仿宋" w:hAnsi="仿宋" w:eastAsia="仿宋" w:cs="仿宋"/>
          <w:sz w:val="24"/>
          <w:szCs w:val="24"/>
          <w:highlight w:val="none"/>
        </w:rPr>
      </w:pPr>
    </w:p>
    <w:p w14:paraId="1C055033">
      <w:pPr>
        <w:pStyle w:val="2"/>
        <w:rPr>
          <w:highlight w:val="none"/>
        </w:rPr>
      </w:pPr>
      <w:r>
        <w:rPr>
          <w:highlight w:val="none"/>
        </w:rPr>
        <w:br w:type="page"/>
      </w:r>
    </w:p>
    <w:p w14:paraId="12E27AAA">
      <w:pPr>
        <w:spacing w:line="360" w:lineRule="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附件三（参考格式）：</w:t>
      </w:r>
    </w:p>
    <w:p w14:paraId="15887FD6">
      <w:pPr>
        <w:pStyle w:val="4"/>
        <w:spacing w:line="440" w:lineRule="exact"/>
        <w:jc w:val="center"/>
        <w:rPr>
          <w:rFonts w:ascii="仿宋" w:hAnsi="仿宋" w:eastAsia="仿宋" w:cs="仿宋"/>
          <w:color w:val="auto"/>
          <w:sz w:val="24"/>
          <w:szCs w:val="24"/>
          <w:highlight w:val="none"/>
        </w:rPr>
      </w:pPr>
      <w:bookmarkStart w:id="32" w:name="_Toc22643"/>
      <w:bookmarkStart w:id="33" w:name="_Toc12111"/>
      <w:r>
        <w:rPr>
          <w:rFonts w:hint="eastAsia" w:ascii="仿宋" w:hAnsi="仿宋" w:eastAsia="仿宋" w:cs="仿宋"/>
          <w:color w:val="auto"/>
          <w:sz w:val="24"/>
          <w:szCs w:val="24"/>
          <w:highlight w:val="none"/>
        </w:rPr>
        <w:t>联合体工作协议</w:t>
      </w:r>
      <w:bookmarkEnd w:id="32"/>
      <w:bookmarkEnd w:id="33"/>
    </w:p>
    <w:p w14:paraId="309CF16F">
      <w:pPr>
        <w:spacing w:line="360"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投标项目名称：</w:t>
      </w:r>
      <w:r>
        <w:rPr>
          <w:rFonts w:hint="eastAsia" w:ascii="仿宋" w:hAnsi="仿宋" w:eastAsia="仿宋" w:cs="仿宋"/>
          <w:sz w:val="24"/>
          <w:szCs w:val="24"/>
          <w:highlight w:val="none"/>
          <w:u w:val="single"/>
        </w:rPr>
        <w:t xml:space="preserve">                                 </w:t>
      </w:r>
    </w:p>
    <w:p w14:paraId="0FE70E1D">
      <w:pPr>
        <w:spacing w:line="360" w:lineRule="auto"/>
        <w:ind w:firstLine="240" w:firstLineChars="1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p>
    <w:p w14:paraId="2E151965">
      <w:pPr>
        <w:spacing w:line="36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方决定组成联合体共同参加以上项目的投标，若中标，联合体各成员向招标人承担连带责任。我方授权委托本协议主办方，代表所有联合体成员参加投标、签署投标资料、提交投标文件，以及与招标人签订合同，负责整个合同实施阶段的协调工作。</w:t>
      </w:r>
    </w:p>
    <w:p w14:paraId="7A7C0DA2">
      <w:pPr>
        <w:spacing w:line="36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423E6CF">
      <w:pPr>
        <w:spacing w:line="36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联合体将严格按照招标文件的各项要求，递交投标文件，履行合同，并对外承担相应责任。</w:t>
      </w:r>
    </w:p>
    <w:p w14:paraId="705A3657">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联合体主办人：（盖章）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4FE388B6">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法定代表人：（签字或盖章）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700978A">
      <w:pPr>
        <w:spacing w:line="360" w:lineRule="auto"/>
        <w:ind w:left="480" w:hanging="480" w:hangingChars="200"/>
        <w:rPr>
          <w:rFonts w:ascii="仿宋" w:hAnsi="仿宋" w:eastAsia="仿宋" w:cs="仿宋"/>
          <w:sz w:val="24"/>
          <w:szCs w:val="24"/>
          <w:highlight w:val="none"/>
        </w:rPr>
      </w:pPr>
      <w:r>
        <w:rPr>
          <w:rFonts w:hint="eastAsia" w:ascii="仿宋" w:hAnsi="仿宋" w:eastAsia="仿宋" w:cs="仿宋"/>
          <w:sz w:val="24"/>
          <w:szCs w:val="24"/>
          <w:highlight w:val="none"/>
        </w:rPr>
        <w:t xml:space="preserve">    分工内容：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CC278C7">
      <w:pPr>
        <w:spacing w:line="360" w:lineRule="auto"/>
        <w:ind w:firstLine="420"/>
        <w:rPr>
          <w:rFonts w:ascii="仿宋" w:hAnsi="仿宋" w:eastAsia="仿宋" w:cs="仿宋"/>
          <w:sz w:val="24"/>
          <w:szCs w:val="24"/>
          <w:highlight w:val="none"/>
        </w:rPr>
      </w:pPr>
    </w:p>
    <w:p w14:paraId="6BA0367E">
      <w:pPr>
        <w:spacing w:line="360"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rPr>
        <w:t>联合体成员：（盖章）</w:t>
      </w:r>
      <w:r>
        <w:rPr>
          <w:rFonts w:hint="eastAsia" w:ascii="仿宋" w:hAnsi="仿宋" w:eastAsia="仿宋" w:cs="仿宋"/>
          <w:sz w:val="24"/>
          <w:szCs w:val="24"/>
          <w:highlight w:val="none"/>
          <w:u w:val="single"/>
        </w:rPr>
        <w:t xml:space="preserve">                        </w:t>
      </w:r>
    </w:p>
    <w:p w14:paraId="7C57758F">
      <w:pPr>
        <w:spacing w:line="360"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rPr>
        <w:t>法定代表人：（签字或盖章）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4245DD78">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分工内容：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4F98298F">
      <w:pPr>
        <w:ind w:firstLine="420"/>
        <w:rPr>
          <w:rFonts w:ascii="仿宋" w:hAnsi="仿宋" w:eastAsia="仿宋" w:cs="仿宋"/>
          <w:sz w:val="24"/>
          <w:szCs w:val="24"/>
          <w:highlight w:val="none"/>
        </w:rPr>
      </w:pPr>
    </w:p>
    <w:p w14:paraId="1B7F3183">
      <w:pPr>
        <w:rPr>
          <w:rFonts w:ascii="仿宋" w:hAnsi="仿宋" w:eastAsia="仿宋" w:cs="仿宋"/>
          <w:sz w:val="24"/>
          <w:szCs w:val="24"/>
          <w:highlight w:val="none"/>
        </w:rPr>
      </w:pPr>
    </w:p>
    <w:p w14:paraId="799B2AE7">
      <w:pPr>
        <w:rPr>
          <w:rFonts w:ascii="仿宋" w:hAnsi="仿宋" w:eastAsia="仿宋" w:cs="仿宋"/>
          <w:sz w:val="24"/>
          <w:szCs w:val="24"/>
          <w:highlight w:val="none"/>
        </w:rPr>
      </w:pPr>
      <w:r>
        <w:rPr>
          <w:rFonts w:hint="eastAsia" w:ascii="仿宋" w:hAnsi="仿宋" w:eastAsia="仿宋" w:cs="仿宋"/>
          <w:sz w:val="24"/>
          <w:szCs w:val="24"/>
          <w:highlight w:val="none"/>
        </w:rPr>
        <w:t xml:space="preserve">                                 签订日期：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50C9E896">
      <w:pPr>
        <w:rPr>
          <w:rFonts w:ascii="仿宋" w:hAnsi="仿宋" w:eastAsia="仿宋" w:cs="仿宋"/>
          <w:sz w:val="24"/>
          <w:szCs w:val="24"/>
          <w:highlight w:val="none"/>
        </w:rPr>
      </w:pPr>
    </w:p>
    <w:p w14:paraId="6CECA851">
      <w:pPr>
        <w:rPr>
          <w:rFonts w:ascii="宋体" w:hAnsi="宋体" w:cs="宋体"/>
          <w:sz w:val="22"/>
          <w:szCs w:val="21"/>
          <w:highlight w:val="none"/>
          <w:lang w:bidi="ar"/>
        </w:rPr>
      </w:pPr>
    </w:p>
    <w:p w14:paraId="2861E108">
      <w:pPr>
        <w:spacing w:line="360" w:lineRule="auto"/>
        <w:ind w:firstLine="482"/>
        <w:rPr>
          <w:rFonts w:ascii="仿宋" w:hAnsi="仿宋" w:eastAsia="仿宋" w:cs="仿宋"/>
          <w:sz w:val="24"/>
          <w:szCs w:val="24"/>
          <w:highlight w:val="none"/>
        </w:rPr>
      </w:pPr>
    </w:p>
    <w:p w14:paraId="4E0225DC">
      <w:pPr>
        <w:spacing w:line="36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注：</w:t>
      </w:r>
      <w:r>
        <w:rPr>
          <w:rFonts w:ascii="仿宋" w:hAnsi="仿宋" w:eastAsia="仿宋" w:cs="仿宋"/>
          <w:sz w:val="24"/>
          <w:szCs w:val="24"/>
          <w:highlight w:val="none"/>
        </w:rPr>
        <w:t>1、</w:t>
      </w:r>
      <w:r>
        <w:rPr>
          <w:rFonts w:hint="eastAsia" w:ascii="仿宋" w:hAnsi="仿宋" w:eastAsia="仿宋" w:cs="仿宋"/>
          <w:sz w:val="24"/>
          <w:szCs w:val="24"/>
          <w:highlight w:val="none"/>
        </w:rPr>
        <w:t>投标联合体成员数量若有增减，可按实际自行调整。</w:t>
      </w:r>
    </w:p>
    <w:p w14:paraId="328B285A">
      <w:pPr>
        <w:spacing w:line="360" w:lineRule="auto"/>
        <w:ind w:firstLine="482"/>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、单独投标的，无需提交本协议书。联合体投标的，本协议需填妥并由联合体各方按格式共同盖章和签字后提交。</w:t>
      </w:r>
    </w:p>
    <w:bookmarkEnd w:id="34"/>
    <w:sectPr>
      <w:headerReference r:id="rId3" w:type="default"/>
      <w:footerReference r:id="rId4" w:type="default"/>
      <w:pgSz w:w="11906" w:h="16838"/>
      <w:pgMar w:top="1440" w:right="1746"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D95F2E-E26B-4775-A29A-360BC4C2A39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DB5734-0483-41E1-8CE6-5F2B7E52E1F1}"/>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06D6E68-5434-4A5D-9DDC-871F205CC1F9}"/>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1F31">
    <w:pPr>
      <w:pStyle w:val="14"/>
      <w:framePr w:wrap="around" w:vAnchor="text" w:hAnchor="margin" w:xAlign="right" w:y="1"/>
      <w:jc w:val="center"/>
    </w:pPr>
    <w:r>
      <w:fldChar w:fldCharType="begin"/>
    </w:r>
    <w:r>
      <w:instrText xml:space="preserve">PAGE   \* MERGEFORMAT</w:instrText>
    </w:r>
    <w:r>
      <w:fldChar w:fldCharType="separate"/>
    </w:r>
    <w:r>
      <w:rPr>
        <w:lang w:val="zh-CN"/>
      </w:rPr>
      <w:t>4</w:t>
    </w:r>
    <w:r>
      <w:fldChar w:fldCharType="end"/>
    </w:r>
  </w:p>
  <w:p w14:paraId="5FE4BEE1">
    <w:pPr>
      <w:pStyle w:val="14"/>
      <w:framePr w:wrap="around" w:vAnchor="text" w:hAnchor="margin" w:xAlign="right" w:y="1"/>
      <w:rPr>
        <w:rStyle w:val="23"/>
      </w:rPr>
    </w:pPr>
  </w:p>
  <w:p w14:paraId="0321EC5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E261">
    <w:pPr>
      <w:pStyle w:val="15"/>
      <w:pBdr>
        <w:bottom w:val="none" w:color="auto" w:sz="0" w:space="0"/>
      </w:pBdr>
    </w:pPr>
  </w:p>
  <w:p w14:paraId="23B2A8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40331"/>
    <w:multiLevelType w:val="multilevel"/>
    <w:tmpl w:val="54D403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ZjM5YmMwNzIwMmEzZTQ2MzdiYTNiZDEwZTY4NzgifQ=="/>
  </w:docVars>
  <w:rsids>
    <w:rsidRoot w:val="12922BBA"/>
    <w:rsid w:val="00024214"/>
    <w:rsid w:val="000C6A0F"/>
    <w:rsid w:val="00133010"/>
    <w:rsid w:val="00154768"/>
    <w:rsid w:val="001C31E1"/>
    <w:rsid w:val="002533D8"/>
    <w:rsid w:val="00276A71"/>
    <w:rsid w:val="002A419E"/>
    <w:rsid w:val="00316B1E"/>
    <w:rsid w:val="003825E6"/>
    <w:rsid w:val="0038558A"/>
    <w:rsid w:val="003C0173"/>
    <w:rsid w:val="00477607"/>
    <w:rsid w:val="004D4887"/>
    <w:rsid w:val="004E77F4"/>
    <w:rsid w:val="005A373B"/>
    <w:rsid w:val="005A60BE"/>
    <w:rsid w:val="00644865"/>
    <w:rsid w:val="006454D8"/>
    <w:rsid w:val="00652F97"/>
    <w:rsid w:val="006E12B3"/>
    <w:rsid w:val="006F1A24"/>
    <w:rsid w:val="00860D89"/>
    <w:rsid w:val="008A7639"/>
    <w:rsid w:val="0093167C"/>
    <w:rsid w:val="009505DF"/>
    <w:rsid w:val="00956DCF"/>
    <w:rsid w:val="009B2479"/>
    <w:rsid w:val="00A03414"/>
    <w:rsid w:val="00A112FD"/>
    <w:rsid w:val="00A117E3"/>
    <w:rsid w:val="00A763B7"/>
    <w:rsid w:val="00A823DA"/>
    <w:rsid w:val="00AB743F"/>
    <w:rsid w:val="00B34A71"/>
    <w:rsid w:val="00B4042F"/>
    <w:rsid w:val="00C11C85"/>
    <w:rsid w:val="00C2066A"/>
    <w:rsid w:val="00CF0DD3"/>
    <w:rsid w:val="00D757AC"/>
    <w:rsid w:val="00DA2139"/>
    <w:rsid w:val="00E069E8"/>
    <w:rsid w:val="00E11DF5"/>
    <w:rsid w:val="00E7455B"/>
    <w:rsid w:val="00E92C37"/>
    <w:rsid w:val="00F018D6"/>
    <w:rsid w:val="00F25FCA"/>
    <w:rsid w:val="00FA6AEF"/>
    <w:rsid w:val="00FD5C85"/>
    <w:rsid w:val="00FF6176"/>
    <w:rsid w:val="013B30F1"/>
    <w:rsid w:val="014324AF"/>
    <w:rsid w:val="01654C5A"/>
    <w:rsid w:val="01C12E6F"/>
    <w:rsid w:val="023512A8"/>
    <w:rsid w:val="02FD5094"/>
    <w:rsid w:val="036728C2"/>
    <w:rsid w:val="04C546E0"/>
    <w:rsid w:val="051838B1"/>
    <w:rsid w:val="051C5CC7"/>
    <w:rsid w:val="056E65F4"/>
    <w:rsid w:val="05CF412A"/>
    <w:rsid w:val="061E64BE"/>
    <w:rsid w:val="06982771"/>
    <w:rsid w:val="07FE66CB"/>
    <w:rsid w:val="09285298"/>
    <w:rsid w:val="098C699E"/>
    <w:rsid w:val="09A70AB9"/>
    <w:rsid w:val="0A804DA9"/>
    <w:rsid w:val="0A8607B2"/>
    <w:rsid w:val="0A9F1D16"/>
    <w:rsid w:val="0AF97AE1"/>
    <w:rsid w:val="0B43636F"/>
    <w:rsid w:val="0BE80A87"/>
    <w:rsid w:val="0C1A787C"/>
    <w:rsid w:val="0C436656"/>
    <w:rsid w:val="0CC2727C"/>
    <w:rsid w:val="0D6067C3"/>
    <w:rsid w:val="0D964A61"/>
    <w:rsid w:val="0DDF7246"/>
    <w:rsid w:val="0E44525D"/>
    <w:rsid w:val="0E924A24"/>
    <w:rsid w:val="0E94362C"/>
    <w:rsid w:val="0EBC57D1"/>
    <w:rsid w:val="0ECB492B"/>
    <w:rsid w:val="0F0D564B"/>
    <w:rsid w:val="1260191D"/>
    <w:rsid w:val="127A2A6F"/>
    <w:rsid w:val="12922BBA"/>
    <w:rsid w:val="12D16428"/>
    <w:rsid w:val="12F12510"/>
    <w:rsid w:val="13E52847"/>
    <w:rsid w:val="140B3190"/>
    <w:rsid w:val="14424E6B"/>
    <w:rsid w:val="14C537D7"/>
    <w:rsid w:val="14DB226E"/>
    <w:rsid w:val="16E51411"/>
    <w:rsid w:val="18147DC4"/>
    <w:rsid w:val="18E252D9"/>
    <w:rsid w:val="18F94BBE"/>
    <w:rsid w:val="19D61256"/>
    <w:rsid w:val="19ED65CC"/>
    <w:rsid w:val="1A153D96"/>
    <w:rsid w:val="1A40532E"/>
    <w:rsid w:val="1A670A50"/>
    <w:rsid w:val="1B2106F6"/>
    <w:rsid w:val="1B3950CA"/>
    <w:rsid w:val="1B4B7383"/>
    <w:rsid w:val="1B50792F"/>
    <w:rsid w:val="1B55325B"/>
    <w:rsid w:val="1BC96500"/>
    <w:rsid w:val="1C2B645F"/>
    <w:rsid w:val="1CA613B3"/>
    <w:rsid w:val="1D2FAE7D"/>
    <w:rsid w:val="1DCF2EA4"/>
    <w:rsid w:val="1E480DC6"/>
    <w:rsid w:val="1E4A2D95"/>
    <w:rsid w:val="1E75C46F"/>
    <w:rsid w:val="1E965458"/>
    <w:rsid w:val="1E9F5044"/>
    <w:rsid w:val="1EF9476B"/>
    <w:rsid w:val="1FAD27BD"/>
    <w:rsid w:val="1FC311ED"/>
    <w:rsid w:val="1FD057C9"/>
    <w:rsid w:val="1FFF8E03"/>
    <w:rsid w:val="203C1D9A"/>
    <w:rsid w:val="20844D6E"/>
    <w:rsid w:val="215F2C57"/>
    <w:rsid w:val="21613890"/>
    <w:rsid w:val="22271B48"/>
    <w:rsid w:val="2249556E"/>
    <w:rsid w:val="22AC07D8"/>
    <w:rsid w:val="22B32EC0"/>
    <w:rsid w:val="22FF181D"/>
    <w:rsid w:val="237C764E"/>
    <w:rsid w:val="23E340B3"/>
    <w:rsid w:val="23F32A04"/>
    <w:rsid w:val="243A6521"/>
    <w:rsid w:val="245E503F"/>
    <w:rsid w:val="24935036"/>
    <w:rsid w:val="24D91E5B"/>
    <w:rsid w:val="24EC4854"/>
    <w:rsid w:val="252C05BE"/>
    <w:rsid w:val="255A7E28"/>
    <w:rsid w:val="258C521D"/>
    <w:rsid w:val="259103BA"/>
    <w:rsid w:val="259339BF"/>
    <w:rsid w:val="26046186"/>
    <w:rsid w:val="261E36E0"/>
    <w:rsid w:val="263A6AB5"/>
    <w:rsid w:val="266B62BF"/>
    <w:rsid w:val="268046C5"/>
    <w:rsid w:val="26B14C81"/>
    <w:rsid w:val="272835E1"/>
    <w:rsid w:val="272958A8"/>
    <w:rsid w:val="27D760CD"/>
    <w:rsid w:val="27F7D397"/>
    <w:rsid w:val="27FFD7DD"/>
    <w:rsid w:val="28034597"/>
    <w:rsid w:val="2813718E"/>
    <w:rsid w:val="282037B7"/>
    <w:rsid w:val="282A3E16"/>
    <w:rsid w:val="284B5736"/>
    <w:rsid w:val="28A91805"/>
    <w:rsid w:val="29B77C63"/>
    <w:rsid w:val="29FF2103"/>
    <w:rsid w:val="2A940E43"/>
    <w:rsid w:val="2AAF3B29"/>
    <w:rsid w:val="2AF9DBAA"/>
    <w:rsid w:val="2B4509DB"/>
    <w:rsid w:val="2BD851A0"/>
    <w:rsid w:val="2BF56A45"/>
    <w:rsid w:val="2C5D6617"/>
    <w:rsid w:val="2CBA75EC"/>
    <w:rsid w:val="2D1B2BFF"/>
    <w:rsid w:val="2D305D48"/>
    <w:rsid w:val="2D652BC5"/>
    <w:rsid w:val="2DB71A4B"/>
    <w:rsid w:val="2DD3573D"/>
    <w:rsid w:val="2DEC6654"/>
    <w:rsid w:val="2E224D37"/>
    <w:rsid w:val="2E2E4F62"/>
    <w:rsid w:val="2E90231E"/>
    <w:rsid w:val="2ED13B27"/>
    <w:rsid w:val="2EF994C9"/>
    <w:rsid w:val="2FA155C2"/>
    <w:rsid w:val="3045283A"/>
    <w:rsid w:val="30504536"/>
    <w:rsid w:val="30925CD9"/>
    <w:rsid w:val="30C04EAD"/>
    <w:rsid w:val="30D1137E"/>
    <w:rsid w:val="316449CD"/>
    <w:rsid w:val="31656B9A"/>
    <w:rsid w:val="321F3EB9"/>
    <w:rsid w:val="33403CA2"/>
    <w:rsid w:val="33530979"/>
    <w:rsid w:val="33571534"/>
    <w:rsid w:val="34385D43"/>
    <w:rsid w:val="347E5D1B"/>
    <w:rsid w:val="35F2799D"/>
    <w:rsid w:val="36394BEF"/>
    <w:rsid w:val="36415CB9"/>
    <w:rsid w:val="36B329FE"/>
    <w:rsid w:val="36C709BA"/>
    <w:rsid w:val="37199245"/>
    <w:rsid w:val="373A0948"/>
    <w:rsid w:val="378863B9"/>
    <w:rsid w:val="383A6CF0"/>
    <w:rsid w:val="38A81741"/>
    <w:rsid w:val="38DC0856"/>
    <w:rsid w:val="395421A7"/>
    <w:rsid w:val="3A1A3929"/>
    <w:rsid w:val="3A8F7C6A"/>
    <w:rsid w:val="3AAC6684"/>
    <w:rsid w:val="3AF3A5E0"/>
    <w:rsid w:val="3BB30188"/>
    <w:rsid w:val="3BCA0628"/>
    <w:rsid w:val="3C087C30"/>
    <w:rsid w:val="3C7F045B"/>
    <w:rsid w:val="3C85541D"/>
    <w:rsid w:val="3CAF2B75"/>
    <w:rsid w:val="3CFE8ED9"/>
    <w:rsid w:val="3D3E440D"/>
    <w:rsid w:val="3D6E0891"/>
    <w:rsid w:val="3D7D1B5F"/>
    <w:rsid w:val="3DF7B2C3"/>
    <w:rsid w:val="3E327F84"/>
    <w:rsid w:val="3EDF566E"/>
    <w:rsid w:val="3EF237F1"/>
    <w:rsid w:val="3EFF4EB6"/>
    <w:rsid w:val="3F2D5EF4"/>
    <w:rsid w:val="3FCE46AC"/>
    <w:rsid w:val="3FD7B565"/>
    <w:rsid w:val="3FDF956D"/>
    <w:rsid w:val="3FE9DCA9"/>
    <w:rsid w:val="409F5F96"/>
    <w:rsid w:val="41271A71"/>
    <w:rsid w:val="416C54FF"/>
    <w:rsid w:val="41A91D47"/>
    <w:rsid w:val="41D517D0"/>
    <w:rsid w:val="421E2BE2"/>
    <w:rsid w:val="426A93BD"/>
    <w:rsid w:val="428A7C17"/>
    <w:rsid w:val="42D01BEC"/>
    <w:rsid w:val="42E17655"/>
    <w:rsid w:val="43A97A11"/>
    <w:rsid w:val="43C81D89"/>
    <w:rsid w:val="43FA78C3"/>
    <w:rsid w:val="43FFB93C"/>
    <w:rsid w:val="44883328"/>
    <w:rsid w:val="44D0661A"/>
    <w:rsid w:val="45016361"/>
    <w:rsid w:val="456758C6"/>
    <w:rsid w:val="4599483E"/>
    <w:rsid w:val="45B065E0"/>
    <w:rsid w:val="45EF3198"/>
    <w:rsid w:val="464D52F4"/>
    <w:rsid w:val="46C13A81"/>
    <w:rsid w:val="47231F57"/>
    <w:rsid w:val="477F8C6E"/>
    <w:rsid w:val="479B60D5"/>
    <w:rsid w:val="491F64FC"/>
    <w:rsid w:val="49C833A8"/>
    <w:rsid w:val="4A633B41"/>
    <w:rsid w:val="4B4B6FA4"/>
    <w:rsid w:val="4BD22B4B"/>
    <w:rsid w:val="4BD7D860"/>
    <w:rsid w:val="4C0B6C0E"/>
    <w:rsid w:val="4C3532AF"/>
    <w:rsid w:val="4C996887"/>
    <w:rsid w:val="4CE95A1E"/>
    <w:rsid w:val="4D322809"/>
    <w:rsid w:val="4DA648D1"/>
    <w:rsid w:val="4DB22585"/>
    <w:rsid w:val="4DBF5001"/>
    <w:rsid w:val="4DEBE29B"/>
    <w:rsid w:val="4DFC65A5"/>
    <w:rsid w:val="4E81053D"/>
    <w:rsid w:val="4F4D37C0"/>
    <w:rsid w:val="4F826DE4"/>
    <w:rsid w:val="4FCFF075"/>
    <w:rsid w:val="4FFECA65"/>
    <w:rsid w:val="51694182"/>
    <w:rsid w:val="51DA50BF"/>
    <w:rsid w:val="51F022D1"/>
    <w:rsid w:val="534C4879"/>
    <w:rsid w:val="535D3C5A"/>
    <w:rsid w:val="536F6894"/>
    <w:rsid w:val="53728B43"/>
    <w:rsid w:val="537EF12D"/>
    <w:rsid w:val="53D34CBD"/>
    <w:rsid w:val="53EB2067"/>
    <w:rsid w:val="53F536A9"/>
    <w:rsid w:val="540A5B12"/>
    <w:rsid w:val="54223B20"/>
    <w:rsid w:val="54614835"/>
    <w:rsid w:val="546E5A38"/>
    <w:rsid w:val="556A1556"/>
    <w:rsid w:val="55AF14D8"/>
    <w:rsid w:val="55B85932"/>
    <w:rsid w:val="55BF3334"/>
    <w:rsid w:val="56031F5E"/>
    <w:rsid w:val="56690780"/>
    <w:rsid w:val="567560DD"/>
    <w:rsid w:val="567F35CA"/>
    <w:rsid w:val="56EBD670"/>
    <w:rsid w:val="56F8948A"/>
    <w:rsid w:val="5719070F"/>
    <w:rsid w:val="577D68AD"/>
    <w:rsid w:val="57A7460A"/>
    <w:rsid w:val="58086D4A"/>
    <w:rsid w:val="585B5E15"/>
    <w:rsid w:val="58870EFD"/>
    <w:rsid w:val="592C1C72"/>
    <w:rsid w:val="59497DE8"/>
    <w:rsid w:val="594FD62F"/>
    <w:rsid w:val="597E18CA"/>
    <w:rsid w:val="59D0629C"/>
    <w:rsid w:val="59E009DF"/>
    <w:rsid w:val="5A214E4D"/>
    <w:rsid w:val="5A976193"/>
    <w:rsid w:val="5B19492B"/>
    <w:rsid w:val="5BC4654C"/>
    <w:rsid w:val="5BD14F97"/>
    <w:rsid w:val="5BED468C"/>
    <w:rsid w:val="5BF85CFB"/>
    <w:rsid w:val="5BFA3FE6"/>
    <w:rsid w:val="5BFE603E"/>
    <w:rsid w:val="5C071160"/>
    <w:rsid w:val="5C296FE3"/>
    <w:rsid w:val="5C2D523E"/>
    <w:rsid w:val="5D96E2EF"/>
    <w:rsid w:val="5DF06B9E"/>
    <w:rsid w:val="5E1F4D7F"/>
    <w:rsid w:val="5E7F739E"/>
    <w:rsid w:val="5E9A1FD5"/>
    <w:rsid w:val="5F681D6D"/>
    <w:rsid w:val="5F7677FE"/>
    <w:rsid w:val="5F7F1015"/>
    <w:rsid w:val="5F7FB9B4"/>
    <w:rsid w:val="5FAB0A92"/>
    <w:rsid w:val="5FB65887"/>
    <w:rsid w:val="5FBB80EF"/>
    <w:rsid w:val="5FDE31F9"/>
    <w:rsid w:val="5FE9F1B1"/>
    <w:rsid w:val="5FFFC35F"/>
    <w:rsid w:val="607A1A18"/>
    <w:rsid w:val="608044DF"/>
    <w:rsid w:val="618A353A"/>
    <w:rsid w:val="61B97FE8"/>
    <w:rsid w:val="629152E7"/>
    <w:rsid w:val="62E14BF3"/>
    <w:rsid w:val="63475A7E"/>
    <w:rsid w:val="63B83775"/>
    <w:rsid w:val="64346872"/>
    <w:rsid w:val="64FA4877"/>
    <w:rsid w:val="65316523"/>
    <w:rsid w:val="65F52F09"/>
    <w:rsid w:val="65F53DDF"/>
    <w:rsid w:val="66817D5C"/>
    <w:rsid w:val="66A55376"/>
    <w:rsid w:val="66BFA247"/>
    <w:rsid w:val="66F77FC1"/>
    <w:rsid w:val="67442C66"/>
    <w:rsid w:val="67610747"/>
    <w:rsid w:val="67761663"/>
    <w:rsid w:val="677F66A1"/>
    <w:rsid w:val="67C57690"/>
    <w:rsid w:val="67D46356"/>
    <w:rsid w:val="687C669D"/>
    <w:rsid w:val="68AE65A2"/>
    <w:rsid w:val="691640C7"/>
    <w:rsid w:val="6953783A"/>
    <w:rsid w:val="69CF3B5A"/>
    <w:rsid w:val="69D16911"/>
    <w:rsid w:val="6A7E5F40"/>
    <w:rsid w:val="6B16480D"/>
    <w:rsid w:val="6B9FDB89"/>
    <w:rsid w:val="6BA27239"/>
    <w:rsid w:val="6BFE8B46"/>
    <w:rsid w:val="6C0E4F25"/>
    <w:rsid w:val="6C5143EF"/>
    <w:rsid w:val="6CA74FEB"/>
    <w:rsid w:val="6CAE4CE7"/>
    <w:rsid w:val="6CCB6041"/>
    <w:rsid w:val="6CFE221A"/>
    <w:rsid w:val="6D116900"/>
    <w:rsid w:val="6DBA1BC7"/>
    <w:rsid w:val="6DDB6CCF"/>
    <w:rsid w:val="6E8526C3"/>
    <w:rsid w:val="6E947BAD"/>
    <w:rsid w:val="6EF993F2"/>
    <w:rsid w:val="6F18719E"/>
    <w:rsid w:val="6F3E0D0D"/>
    <w:rsid w:val="6F9762EE"/>
    <w:rsid w:val="6F9FDA54"/>
    <w:rsid w:val="6FA7534C"/>
    <w:rsid w:val="6FB72FF5"/>
    <w:rsid w:val="6FBF3100"/>
    <w:rsid w:val="6FE78DC5"/>
    <w:rsid w:val="6FE9AA54"/>
    <w:rsid w:val="6FFC8C29"/>
    <w:rsid w:val="6FFF9D2B"/>
    <w:rsid w:val="702A1C6E"/>
    <w:rsid w:val="70A561CF"/>
    <w:rsid w:val="70B9559C"/>
    <w:rsid w:val="70FFA419"/>
    <w:rsid w:val="718A5D23"/>
    <w:rsid w:val="71BA5183"/>
    <w:rsid w:val="71E4311C"/>
    <w:rsid w:val="71FF4960"/>
    <w:rsid w:val="72350B19"/>
    <w:rsid w:val="72555F92"/>
    <w:rsid w:val="73342B37"/>
    <w:rsid w:val="73580737"/>
    <w:rsid w:val="737C7121"/>
    <w:rsid w:val="73BFA89B"/>
    <w:rsid w:val="73E125EC"/>
    <w:rsid w:val="743F18C5"/>
    <w:rsid w:val="74406EB4"/>
    <w:rsid w:val="750E3D80"/>
    <w:rsid w:val="754C6160"/>
    <w:rsid w:val="757D2BFB"/>
    <w:rsid w:val="76027846"/>
    <w:rsid w:val="769462C4"/>
    <w:rsid w:val="76C00859"/>
    <w:rsid w:val="770F795B"/>
    <w:rsid w:val="7726248E"/>
    <w:rsid w:val="778A681C"/>
    <w:rsid w:val="778B56C5"/>
    <w:rsid w:val="77A2604F"/>
    <w:rsid w:val="77BE1EB6"/>
    <w:rsid w:val="77C2468B"/>
    <w:rsid w:val="77CB0AD7"/>
    <w:rsid w:val="77DE5948"/>
    <w:rsid w:val="77FF2602"/>
    <w:rsid w:val="781F02EC"/>
    <w:rsid w:val="786736C4"/>
    <w:rsid w:val="78F42BEB"/>
    <w:rsid w:val="793D18CD"/>
    <w:rsid w:val="79BC1B3F"/>
    <w:rsid w:val="79E63A90"/>
    <w:rsid w:val="7A483916"/>
    <w:rsid w:val="7A654175"/>
    <w:rsid w:val="7A7F2013"/>
    <w:rsid w:val="7B7EEFCB"/>
    <w:rsid w:val="7B7F9C09"/>
    <w:rsid w:val="7B7FC2CE"/>
    <w:rsid w:val="7B820241"/>
    <w:rsid w:val="7BAB0D70"/>
    <w:rsid w:val="7BDC3BCC"/>
    <w:rsid w:val="7BF18F64"/>
    <w:rsid w:val="7BFF51FE"/>
    <w:rsid w:val="7C554039"/>
    <w:rsid w:val="7CBE6E93"/>
    <w:rsid w:val="7CEC0B54"/>
    <w:rsid w:val="7CEF9615"/>
    <w:rsid w:val="7CFD5526"/>
    <w:rsid w:val="7D0E23F1"/>
    <w:rsid w:val="7D6D0CA6"/>
    <w:rsid w:val="7DDF6932"/>
    <w:rsid w:val="7DFF1EA0"/>
    <w:rsid w:val="7E46BFDC"/>
    <w:rsid w:val="7E4E5829"/>
    <w:rsid w:val="7EDDE50F"/>
    <w:rsid w:val="7EDEF7E1"/>
    <w:rsid w:val="7EE30D54"/>
    <w:rsid w:val="7EFAB457"/>
    <w:rsid w:val="7F347E42"/>
    <w:rsid w:val="7F4D2E5F"/>
    <w:rsid w:val="7F5D15C7"/>
    <w:rsid w:val="7F5E1B9A"/>
    <w:rsid w:val="7F711757"/>
    <w:rsid w:val="7F7AF4D1"/>
    <w:rsid w:val="7F9FB4C3"/>
    <w:rsid w:val="7FAF5267"/>
    <w:rsid w:val="7FBE44B1"/>
    <w:rsid w:val="7FBE4959"/>
    <w:rsid w:val="7FBF6669"/>
    <w:rsid w:val="7FDA199E"/>
    <w:rsid w:val="7FDE965C"/>
    <w:rsid w:val="7FF3983D"/>
    <w:rsid w:val="7FF7F0F5"/>
    <w:rsid w:val="7FFA6D07"/>
    <w:rsid w:val="7FFE8C4D"/>
    <w:rsid w:val="7FFF3D64"/>
    <w:rsid w:val="7FFFA692"/>
    <w:rsid w:val="7FFFD791"/>
    <w:rsid w:val="8FFE345F"/>
    <w:rsid w:val="9BDFAFE4"/>
    <w:rsid w:val="9DDB8DDA"/>
    <w:rsid w:val="9F6E07FD"/>
    <w:rsid w:val="9FDB0CCC"/>
    <w:rsid w:val="9FF79182"/>
    <w:rsid w:val="A4DE6783"/>
    <w:rsid w:val="AEF50892"/>
    <w:rsid w:val="AF7F349A"/>
    <w:rsid w:val="AFAFCA72"/>
    <w:rsid w:val="B3ADD045"/>
    <w:rsid w:val="B4E7EFB4"/>
    <w:rsid w:val="B55779AE"/>
    <w:rsid w:val="B7D7D5A1"/>
    <w:rsid w:val="BBB6B572"/>
    <w:rsid w:val="BBDEA388"/>
    <w:rsid w:val="BDFFD45C"/>
    <w:rsid w:val="BEED086D"/>
    <w:rsid w:val="BF0F9050"/>
    <w:rsid w:val="BF6AC4D1"/>
    <w:rsid w:val="BFAF49E2"/>
    <w:rsid w:val="BFDFA7DC"/>
    <w:rsid w:val="BFEB4862"/>
    <w:rsid w:val="BFED481F"/>
    <w:rsid w:val="BFEE7139"/>
    <w:rsid w:val="BFEF07F1"/>
    <w:rsid w:val="BFEF7676"/>
    <w:rsid w:val="C74629E6"/>
    <w:rsid w:val="CBFA1C36"/>
    <w:rsid w:val="CD7E122C"/>
    <w:rsid w:val="CDDACE34"/>
    <w:rsid w:val="CDFA35DA"/>
    <w:rsid w:val="CEF78774"/>
    <w:rsid w:val="CFF732AE"/>
    <w:rsid w:val="D3DF99D2"/>
    <w:rsid w:val="D5FDC457"/>
    <w:rsid w:val="D7FD5C62"/>
    <w:rsid w:val="D7FEC523"/>
    <w:rsid w:val="D8F7C142"/>
    <w:rsid w:val="DBCFF576"/>
    <w:rsid w:val="DBDBA9EA"/>
    <w:rsid w:val="DBFB24CD"/>
    <w:rsid w:val="DBFD437A"/>
    <w:rsid w:val="DDFE7B23"/>
    <w:rsid w:val="DDFEEBCD"/>
    <w:rsid w:val="DE4F422E"/>
    <w:rsid w:val="DE6E67CB"/>
    <w:rsid w:val="DEF4E240"/>
    <w:rsid w:val="DF2E814F"/>
    <w:rsid w:val="DF347B22"/>
    <w:rsid w:val="DFB64A04"/>
    <w:rsid w:val="E1EC073C"/>
    <w:rsid w:val="E4D9A872"/>
    <w:rsid w:val="E58F56B5"/>
    <w:rsid w:val="E5FE581F"/>
    <w:rsid w:val="E6BD3339"/>
    <w:rsid w:val="E6DF2022"/>
    <w:rsid w:val="E7AA21A4"/>
    <w:rsid w:val="E7FF4A54"/>
    <w:rsid w:val="E9FE10DC"/>
    <w:rsid w:val="EA7F50E4"/>
    <w:rsid w:val="EB6BC1E3"/>
    <w:rsid w:val="ED77744D"/>
    <w:rsid w:val="EDF6BCA5"/>
    <w:rsid w:val="EDFB5948"/>
    <w:rsid w:val="EE7EF6C4"/>
    <w:rsid w:val="EEFE9C0D"/>
    <w:rsid w:val="EF77E183"/>
    <w:rsid w:val="EF7F3AEA"/>
    <w:rsid w:val="EF9535C9"/>
    <w:rsid w:val="F3EEA932"/>
    <w:rsid w:val="F3F77BD7"/>
    <w:rsid w:val="F6DC6BC3"/>
    <w:rsid w:val="F6FF3E12"/>
    <w:rsid w:val="F77F6849"/>
    <w:rsid w:val="F79D78EE"/>
    <w:rsid w:val="F7BBFCBE"/>
    <w:rsid w:val="F7CFCD1B"/>
    <w:rsid w:val="F7FCFEED"/>
    <w:rsid w:val="F8FFFE49"/>
    <w:rsid w:val="F94F4F5E"/>
    <w:rsid w:val="F956F6AB"/>
    <w:rsid w:val="F9BE6111"/>
    <w:rsid w:val="F9FFF160"/>
    <w:rsid w:val="FA5EFD31"/>
    <w:rsid w:val="FA9AB78F"/>
    <w:rsid w:val="FB35F5A7"/>
    <w:rsid w:val="FBDF5E12"/>
    <w:rsid w:val="FBF79808"/>
    <w:rsid w:val="FD7680F3"/>
    <w:rsid w:val="FDBF1797"/>
    <w:rsid w:val="FDFF49BE"/>
    <w:rsid w:val="FE7E60A6"/>
    <w:rsid w:val="FE9E166C"/>
    <w:rsid w:val="FEB93D9D"/>
    <w:rsid w:val="FEDFB83B"/>
    <w:rsid w:val="FEE8E9EC"/>
    <w:rsid w:val="FF6D2B16"/>
    <w:rsid w:val="FF7FC7A8"/>
    <w:rsid w:val="FF9F24FF"/>
    <w:rsid w:val="FFB7DAA8"/>
    <w:rsid w:val="FFBF0814"/>
    <w:rsid w:val="FFBF28CE"/>
    <w:rsid w:val="FFBF4B20"/>
    <w:rsid w:val="FFD7F4FD"/>
    <w:rsid w:val="FFE96257"/>
    <w:rsid w:val="FFED00DB"/>
    <w:rsid w:val="FFF735B9"/>
    <w:rsid w:val="FFFA0A2B"/>
    <w:rsid w:val="FFFC14D0"/>
    <w:rsid w:val="FFFC2D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40"/>
    <w:autoRedefine/>
    <w:qFormat/>
    <w:uiPriority w:val="0"/>
    <w:pPr>
      <w:jc w:val="left"/>
      <w:outlineLvl w:val="1"/>
    </w:pPr>
    <w:rPr>
      <w:rFonts w:ascii="Arial" w:hAnsi="Arial" w:eastAsia="黑体"/>
      <w:b/>
      <w:bCs/>
      <w:color w:val="000000"/>
      <w:kern w:val="0"/>
      <w:sz w:val="36"/>
      <w:szCs w:val="32"/>
    </w:rPr>
  </w:style>
  <w:style w:type="paragraph" w:styleId="5">
    <w:name w:val="heading 3"/>
    <w:basedOn w:val="1"/>
    <w:next w:val="1"/>
    <w:autoRedefine/>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2" w:lineRule="auto"/>
    </w:pPr>
    <w:rPr>
      <w:rFonts w:ascii="Arial" w:hAnsi="Arial" w:eastAsia="黑体"/>
      <w:kern w:val="0"/>
      <w:sz w:val="32"/>
      <w:szCs w:val="32"/>
    </w:rPr>
  </w:style>
  <w:style w:type="paragraph" w:styleId="6">
    <w:name w:val="Normal Indent"/>
    <w:basedOn w:val="1"/>
    <w:autoRedefine/>
    <w:unhideWhenUsed/>
    <w:qFormat/>
    <w:uiPriority w:val="0"/>
    <w:pPr>
      <w:ind w:firstLine="420" w:firstLineChars="200"/>
    </w:pPr>
    <w:rPr>
      <w:rFonts w:ascii="Times New Roman" w:hAnsi="Times New Roman"/>
    </w:rPr>
  </w:style>
  <w:style w:type="paragraph" w:styleId="7">
    <w:name w:val="annotation text"/>
    <w:basedOn w:val="1"/>
    <w:link w:val="37"/>
    <w:autoRedefine/>
    <w:qFormat/>
    <w:uiPriority w:val="0"/>
    <w:pPr>
      <w:jc w:val="left"/>
    </w:pPr>
  </w:style>
  <w:style w:type="paragraph" w:styleId="8">
    <w:name w:val="Body Text 3"/>
    <w:basedOn w:val="1"/>
    <w:autoRedefine/>
    <w:unhideWhenUsed/>
    <w:qFormat/>
    <w:uiPriority w:val="0"/>
    <w:rPr>
      <w:rFonts w:ascii="宋体" w:hAnsi="Times New Roman"/>
      <w:kern w:val="0"/>
      <w:sz w:val="24"/>
      <w:szCs w:val="20"/>
    </w:rPr>
  </w:style>
  <w:style w:type="paragraph" w:styleId="9">
    <w:name w:val="Body Text"/>
    <w:basedOn w:val="1"/>
    <w:next w:val="1"/>
    <w:autoRedefine/>
    <w:qFormat/>
    <w:uiPriority w:val="0"/>
    <w:pPr>
      <w:spacing w:after="120"/>
    </w:pPr>
    <w:rPr>
      <w:rFonts w:ascii="等线" w:hAnsi="等线"/>
      <w:kern w:val="0"/>
      <w:sz w:val="20"/>
      <w:szCs w:val="24"/>
    </w:rPr>
  </w:style>
  <w:style w:type="paragraph" w:styleId="10">
    <w:name w:val="Body Text Indent"/>
    <w:basedOn w:val="1"/>
    <w:next w:val="11"/>
    <w:autoRedefine/>
    <w:qFormat/>
    <w:uiPriority w:val="0"/>
    <w:pPr>
      <w:ind w:firstLine="560" w:firstLineChars="200"/>
    </w:pPr>
    <w:rPr>
      <w:rFonts w:ascii="Times New Roman" w:hAnsi="Times New Roman"/>
      <w:kern w:val="0"/>
      <w:sz w:val="28"/>
      <w:szCs w:val="24"/>
    </w:rPr>
  </w:style>
  <w:style w:type="paragraph" w:styleId="11">
    <w:name w:val="envelope return"/>
    <w:basedOn w:val="1"/>
    <w:autoRedefine/>
    <w:qFormat/>
    <w:uiPriority w:val="0"/>
    <w:pPr>
      <w:snapToGrid w:val="0"/>
    </w:pPr>
    <w:rPr>
      <w:rFonts w:ascii="Arial" w:hAnsi="Arial"/>
      <w:szCs w:val="24"/>
    </w:rPr>
  </w:style>
  <w:style w:type="paragraph" w:styleId="12">
    <w:name w:val="Plain Text"/>
    <w:basedOn w:val="1"/>
    <w:autoRedefine/>
    <w:qFormat/>
    <w:uiPriority w:val="0"/>
    <w:rPr>
      <w:rFonts w:ascii="宋体" w:hAnsi="Courier New"/>
      <w:kern w:val="0"/>
      <w:sz w:val="20"/>
      <w:szCs w:val="21"/>
    </w:rPr>
  </w:style>
  <w:style w:type="paragraph" w:styleId="13">
    <w:name w:val="Balloon Text"/>
    <w:basedOn w:val="1"/>
    <w:link w:val="36"/>
    <w:autoRedefine/>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kern w:val="0"/>
      <w:sz w:val="18"/>
      <w:szCs w:val="18"/>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unhideWhenUsed/>
    <w:qFormat/>
    <w:uiPriority w:val="39"/>
    <w:rPr>
      <w:rFonts w:ascii="Times New Roman" w:hAnsi="Times New Roman" w:cs="Calibri"/>
    </w:rPr>
  </w:style>
  <w:style w:type="paragraph" w:styleId="17">
    <w:name w:val="Normal (Web)"/>
    <w:basedOn w:val="1"/>
    <w:autoRedefine/>
    <w:qFormat/>
    <w:uiPriority w:val="0"/>
    <w:pPr>
      <w:jc w:val="left"/>
    </w:pPr>
    <w:rPr>
      <w:rFonts w:ascii="微软雅黑" w:hAnsi="微软雅黑" w:eastAsia="微软雅黑"/>
      <w:kern w:val="0"/>
      <w:sz w:val="20"/>
      <w:szCs w:val="20"/>
    </w:rPr>
  </w:style>
  <w:style w:type="paragraph" w:styleId="18">
    <w:name w:val="annotation subject"/>
    <w:basedOn w:val="7"/>
    <w:next w:val="7"/>
    <w:link w:val="38"/>
    <w:autoRedefine/>
    <w:qFormat/>
    <w:uiPriority w:val="0"/>
    <w:rPr>
      <w:b/>
      <w:bCs/>
    </w:rPr>
  </w:style>
  <w:style w:type="paragraph" w:styleId="19">
    <w:name w:val="Body Text First Indent"/>
    <w:basedOn w:val="9"/>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spacing w:line="420" w:lineRule="exact"/>
      <w:ind w:firstLine="420"/>
      <w:jc w:val="left"/>
    </w:pPr>
    <w:rPr>
      <w:rFonts w:ascii="宋体" w:hAnsi="宋体"/>
      <w:color w:val="000000"/>
      <w:sz w:val="24"/>
      <w:szCs w:val="18"/>
    </w:rPr>
  </w:style>
  <w:style w:type="character" w:styleId="23">
    <w:name w:val="page number"/>
    <w:autoRedefine/>
    <w:unhideWhenUsed/>
    <w:qFormat/>
    <w:uiPriority w:val="0"/>
    <w:rPr>
      <w:rFonts w:hint="default" w:ascii="Calibri" w:hAnsi="Calibri" w:eastAsia="宋体" w:cs="Calibri"/>
    </w:rPr>
  </w:style>
  <w:style w:type="character" w:styleId="24">
    <w:name w:val="Hyperlink"/>
    <w:autoRedefine/>
    <w:unhideWhenUsed/>
    <w:qFormat/>
    <w:uiPriority w:val="99"/>
    <w:rPr>
      <w:rFonts w:hint="default" w:ascii="Calibri" w:hAnsi="Calibri" w:eastAsia="宋体" w:cs="Calibri"/>
      <w:color w:val="0000FF"/>
      <w:u w:val="single"/>
    </w:rPr>
  </w:style>
  <w:style w:type="character" w:styleId="25">
    <w:name w:val="annotation reference"/>
    <w:basedOn w:val="22"/>
    <w:autoRedefine/>
    <w:qFormat/>
    <w:uiPriority w:val="0"/>
    <w:rPr>
      <w:sz w:val="21"/>
      <w:szCs w:val="21"/>
    </w:rPr>
  </w:style>
  <w:style w:type="paragraph" w:customStyle="1" w:styleId="2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27">
    <w:name w:val="List Paragraph"/>
    <w:basedOn w:val="1"/>
    <w:autoRedefine/>
    <w:qFormat/>
    <w:uiPriority w:val="0"/>
    <w:pPr>
      <w:ind w:firstLine="420" w:firstLineChars="200"/>
    </w:pPr>
    <w:rPr>
      <w:rFonts w:ascii="Times New Roman" w:hAnsi="Times New Roman"/>
    </w:rPr>
  </w:style>
  <w:style w:type="paragraph" w:customStyle="1" w:styleId="28">
    <w:name w:val="TOC 标题1"/>
    <w:basedOn w:val="3"/>
    <w:next w:val="1"/>
    <w:autoRedefine/>
    <w:qFormat/>
    <w:uiPriority w:val="0"/>
    <w:pPr>
      <w:widowControl/>
      <w:spacing w:before="480" w:after="0" w:line="276" w:lineRule="auto"/>
      <w:jc w:val="left"/>
      <w:outlineLvl w:val="9"/>
    </w:pPr>
    <w:rPr>
      <w:rFonts w:ascii="Cambria" w:hAnsi="Cambria" w:cs="Calibri"/>
      <w:color w:val="365F91"/>
      <w:kern w:val="0"/>
      <w:sz w:val="28"/>
    </w:rPr>
  </w:style>
  <w:style w:type="paragraph" w:customStyle="1" w:styleId="29">
    <w:name w:val="文一"/>
    <w:basedOn w:val="1"/>
    <w:autoRedefine/>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0">
    <w:name w:val="文二"/>
    <w:basedOn w:val="1"/>
    <w:autoRedefine/>
    <w:qFormat/>
    <w:uiPriority w:val="0"/>
    <w:rPr>
      <w:rFonts w:ascii="宋体" w:hAnsi="宋体" w:cs="Calibri"/>
      <w:szCs w:val="21"/>
    </w:rPr>
  </w:style>
  <w:style w:type="paragraph" w:customStyle="1" w:styleId="31">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32">
    <w:name w:val="正题"/>
    <w:basedOn w:val="29"/>
    <w:next w:val="29"/>
    <w:autoRedefine/>
    <w:qFormat/>
    <w:uiPriority w:val="0"/>
    <w:pPr>
      <w:ind w:firstLine="0" w:firstLineChars="0"/>
      <w:jc w:val="center"/>
    </w:pPr>
    <w:rPr>
      <w:rFonts w:ascii="Calibri" w:hAnsi="Calibri" w:eastAsia="黑体"/>
      <w:b/>
      <w:sz w:val="36"/>
      <w:szCs w:val="36"/>
    </w:rPr>
  </w:style>
  <w:style w:type="paragraph" w:customStyle="1" w:styleId="33">
    <w:name w:val="章节三"/>
    <w:basedOn w:val="29"/>
    <w:next w:val="29"/>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34">
    <w:name w:val="列出段落1"/>
    <w:basedOn w:val="1"/>
    <w:autoRedefine/>
    <w:qFormat/>
    <w:uiPriority w:val="0"/>
    <w:pPr>
      <w:ind w:firstLine="420" w:firstLineChars="200"/>
    </w:pPr>
    <w:rPr>
      <w:rFonts w:cs="Calibri"/>
      <w:szCs w:val="21"/>
    </w:rPr>
  </w:style>
  <w:style w:type="paragraph" w:customStyle="1" w:styleId="35">
    <w:name w:val="表格文字"/>
    <w:basedOn w:val="1"/>
    <w:next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36">
    <w:name w:val="批注框文本 Char"/>
    <w:basedOn w:val="22"/>
    <w:link w:val="13"/>
    <w:autoRedefine/>
    <w:qFormat/>
    <w:uiPriority w:val="0"/>
    <w:rPr>
      <w:rFonts w:ascii="Calibri" w:hAnsi="Calibri"/>
      <w:kern w:val="2"/>
      <w:sz w:val="18"/>
      <w:szCs w:val="18"/>
    </w:rPr>
  </w:style>
  <w:style w:type="character" w:customStyle="1" w:styleId="37">
    <w:name w:val="批注文字 Char"/>
    <w:basedOn w:val="22"/>
    <w:link w:val="7"/>
    <w:autoRedefine/>
    <w:qFormat/>
    <w:uiPriority w:val="0"/>
    <w:rPr>
      <w:rFonts w:ascii="Calibri" w:hAnsi="Calibri"/>
      <w:kern w:val="2"/>
      <w:sz w:val="21"/>
      <w:szCs w:val="22"/>
    </w:rPr>
  </w:style>
  <w:style w:type="character" w:customStyle="1" w:styleId="38">
    <w:name w:val="批注主题 Char"/>
    <w:basedOn w:val="37"/>
    <w:link w:val="18"/>
    <w:autoRedefine/>
    <w:qFormat/>
    <w:uiPriority w:val="0"/>
    <w:rPr>
      <w:rFonts w:ascii="Calibri" w:hAnsi="Calibri"/>
      <w:b/>
      <w:bCs/>
      <w:kern w:val="2"/>
      <w:sz w:val="21"/>
      <w:szCs w:val="22"/>
    </w:rPr>
  </w:style>
  <w:style w:type="paragraph" w:customStyle="1" w:styleId="39">
    <w:name w:val="BodyText"/>
    <w:basedOn w:val="1"/>
    <w:autoRedefine/>
    <w:qFormat/>
    <w:uiPriority w:val="0"/>
    <w:pPr>
      <w:spacing w:after="120"/>
    </w:pPr>
    <w:rPr>
      <w:kern w:val="0"/>
      <w:sz w:val="20"/>
      <w:szCs w:val="20"/>
    </w:rPr>
  </w:style>
  <w:style w:type="character" w:customStyle="1" w:styleId="40">
    <w:name w:val="标题 2 Char"/>
    <w:link w:val="4"/>
    <w:qFormat/>
    <w:uiPriority w:val="0"/>
    <w:rPr>
      <w:rFonts w:ascii="Arial" w:hAnsi="Arial" w:eastAsia="黑体"/>
      <w:b/>
      <w:bCs/>
      <w:color w:val="000000"/>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shenduxitong</Company>
  <Pages>11</Pages>
  <Words>7778</Words>
  <Characters>8427</Characters>
  <Lines>12</Lines>
  <Paragraphs>16</Paragraphs>
  <TotalTime>26</TotalTime>
  <ScaleCrop>false</ScaleCrop>
  <LinksUpToDate>false</LinksUpToDate>
  <CharactersWithSpaces>8998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2023-09-29T16:25:00Z</dcterms:created>
  <dc:creator>房锦坤</dc:creator>
  <cp:lastModifiedBy>PC</cp:lastModifiedBy>
  <cp:lastPrinted>2024-02-16T03:19:00Z</cp:lastPrinted>
  <dcterms:modified xsi:type="dcterms:W3CDTF">2024-12-04T07:15:35Z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092AC4BF9A24450B85C4C6027B7AD0DF_13</vt:lpwstr>
  </property>
</Properties>
</file>