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b/>
          <w:bCs/>
          <w:color w:val="auto"/>
          <w:spacing w:val="40"/>
          <w:sz w:val="44"/>
          <w:szCs w:val="44"/>
          <w:highlight w:val="none"/>
        </w:rPr>
      </w:pPr>
    </w:p>
    <w:p>
      <w:pPr>
        <w:spacing w:line="360" w:lineRule="auto"/>
        <w:rPr>
          <w:rFonts w:hint="eastAsia" w:ascii="仿宋" w:hAnsi="仿宋" w:eastAsia="仿宋" w:cs="仿宋"/>
          <w:b/>
          <w:bCs/>
          <w:color w:val="auto"/>
          <w:spacing w:val="40"/>
          <w:sz w:val="44"/>
          <w:szCs w:val="44"/>
          <w:highlight w:val="none"/>
        </w:rPr>
      </w:pPr>
    </w:p>
    <w:p>
      <w:pPr>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b/>
          <w:bCs/>
          <w:color w:val="auto"/>
          <w:spacing w:val="40"/>
          <w:sz w:val="44"/>
          <w:szCs w:val="44"/>
          <w:highlight w:val="none"/>
        </w:rPr>
        <w:t xml:space="preserve"> </w:t>
      </w:r>
      <w:r>
        <w:rPr>
          <w:rFonts w:hint="eastAsia" w:ascii="仿宋" w:hAnsi="仿宋" w:eastAsia="仿宋" w:cs="仿宋"/>
          <w:b/>
          <w:bCs/>
          <w:color w:val="auto"/>
          <w:spacing w:val="26"/>
          <w:sz w:val="52"/>
          <w:szCs w:val="52"/>
          <w:highlight w:val="none"/>
          <w:lang w:eastAsia="zh-CN"/>
        </w:rPr>
        <w:t>南兴花苑小区(一期A区)微改造项目工程</w:t>
      </w:r>
      <w:r>
        <w:rPr>
          <w:rFonts w:hint="eastAsia" w:ascii="仿宋" w:hAnsi="仿宋" w:eastAsia="仿宋" w:cs="仿宋"/>
          <w:b/>
          <w:bCs/>
          <w:color w:val="auto"/>
          <w:spacing w:val="26"/>
          <w:sz w:val="52"/>
          <w:szCs w:val="52"/>
          <w:highlight w:val="none"/>
        </w:rPr>
        <w:t>施工总承包</w:t>
      </w:r>
    </w:p>
    <w:p>
      <w:pPr>
        <w:spacing w:line="360" w:lineRule="auto"/>
        <w:ind w:left="359" w:leftChars="171"/>
        <w:jc w:val="center"/>
        <w:rPr>
          <w:rFonts w:hint="eastAsia" w:ascii="仿宋" w:hAnsi="仿宋" w:eastAsia="仿宋" w:cs="仿宋"/>
          <w:b/>
          <w:bCs/>
          <w:color w:val="auto"/>
          <w:spacing w:val="40"/>
          <w:sz w:val="44"/>
          <w:szCs w:val="44"/>
          <w:highlight w:val="none"/>
        </w:rPr>
      </w:pPr>
    </w:p>
    <w:p>
      <w:pPr>
        <w:spacing w:line="360" w:lineRule="auto"/>
        <w:jc w:val="center"/>
        <w:rPr>
          <w:rFonts w:hint="eastAsia" w:ascii="仿宋" w:hAnsi="仿宋" w:eastAsia="仿宋" w:cs="仿宋"/>
          <w:color w:val="auto"/>
          <w:sz w:val="36"/>
          <w:highlight w:val="none"/>
          <w:u w:val="single"/>
        </w:rPr>
      </w:pPr>
    </w:p>
    <w:p>
      <w:pPr>
        <w:spacing w:line="360" w:lineRule="auto"/>
        <w:jc w:val="center"/>
        <w:rPr>
          <w:rFonts w:hint="eastAsia" w:ascii="仿宋" w:hAnsi="仿宋" w:eastAsia="仿宋" w:cs="仿宋"/>
          <w:b/>
          <w:bCs/>
          <w:color w:val="auto"/>
          <w:spacing w:val="26"/>
          <w:sz w:val="110"/>
          <w:szCs w:val="110"/>
          <w:highlight w:val="none"/>
        </w:rPr>
      </w:pPr>
      <w:r>
        <w:rPr>
          <w:rFonts w:hint="eastAsia" w:ascii="仿宋" w:hAnsi="仿宋" w:eastAsia="仿宋" w:cs="仿宋"/>
          <w:b/>
          <w:bCs/>
          <w:color w:val="auto"/>
          <w:spacing w:val="26"/>
          <w:sz w:val="110"/>
          <w:szCs w:val="110"/>
          <w:highlight w:val="none"/>
        </w:rPr>
        <w:t>招标文件</w:t>
      </w:r>
    </w:p>
    <w:p>
      <w:pPr>
        <w:spacing w:line="360" w:lineRule="auto"/>
        <w:jc w:val="center"/>
        <w:rPr>
          <w:rFonts w:hint="eastAsia" w:ascii="仿宋" w:hAnsi="仿宋" w:eastAsia="仿宋" w:cs="仿宋"/>
          <w:color w:val="auto"/>
          <w:sz w:val="32"/>
          <w:highlight w:val="none"/>
        </w:rPr>
      </w:pPr>
    </w:p>
    <w:p>
      <w:pPr>
        <w:spacing w:line="360" w:lineRule="auto"/>
        <w:ind w:firstLine="2560" w:firstLineChars="800"/>
        <w:rPr>
          <w:rFonts w:hint="eastAsia" w:ascii="仿宋" w:hAnsi="仿宋" w:eastAsia="仿宋" w:cs="仿宋"/>
          <w:color w:val="auto"/>
          <w:sz w:val="32"/>
          <w:highlight w:val="none"/>
        </w:rPr>
      </w:pPr>
    </w:p>
    <w:p>
      <w:pPr>
        <w:spacing w:line="360" w:lineRule="auto"/>
        <w:rPr>
          <w:rFonts w:hint="eastAsia" w:ascii="仿宋" w:hAnsi="仿宋" w:eastAsia="仿宋" w:cs="仿宋"/>
          <w:color w:val="auto"/>
          <w:sz w:val="52"/>
          <w:highlight w:val="none"/>
        </w:rPr>
      </w:pPr>
    </w:p>
    <w:p>
      <w:pPr>
        <w:spacing w:line="360" w:lineRule="auto"/>
        <w:rPr>
          <w:rFonts w:hint="eastAsia" w:ascii="仿宋" w:hAnsi="仿宋" w:eastAsia="仿宋" w:cs="仿宋"/>
          <w:color w:val="auto"/>
          <w:sz w:val="52"/>
          <w:highlight w:val="none"/>
        </w:rPr>
      </w:pPr>
    </w:p>
    <w:p>
      <w:pPr>
        <w:spacing w:line="360" w:lineRule="auto"/>
        <w:ind w:firstLine="900" w:firstLineChars="3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招  标 单 位：广州市番禺区南村镇人民政府</w:t>
      </w:r>
    </w:p>
    <w:p>
      <w:pPr>
        <w:spacing w:line="360" w:lineRule="auto"/>
        <w:ind w:firstLine="945"/>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招标代理单位：广州嘉诚至信建设管理有限公司</w:t>
      </w:r>
    </w:p>
    <w:p>
      <w:pPr>
        <w:spacing w:line="360" w:lineRule="auto"/>
        <w:ind w:firstLine="945"/>
        <w:rPr>
          <w:rFonts w:hint="eastAsia" w:ascii="仿宋" w:hAnsi="仿宋" w:eastAsia="仿宋" w:cs="仿宋"/>
          <w:color w:val="auto"/>
          <w:sz w:val="32"/>
          <w:highlight w:val="none"/>
        </w:rPr>
      </w:pPr>
      <w:r>
        <w:rPr>
          <w:rFonts w:hint="eastAsia" w:ascii="仿宋" w:hAnsi="仿宋" w:eastAsia="仿宋" w:cs="仿宋"/>
          <w:color w:val="auto"/>
          <w:sz w:val="32"/>
          <w:highlight w:val="none"/>
        </w:rPr>
        <w:t>日        期：</w:t>
      </w:r>
      <w:r>
        <w:rPr>
          <w:rFonts w:hint="eastAsia" w:ascii="仿宋" w:hAnsi="仿宋" w:eastAsia="仿宋" w:cs="仿宋"/>
          <w:color w:val="auto"/>
          <w:sz w:val="32"/>
          <w:highlight w:val="none"/>
          <w:u w:val="single"/>
          <w:lang w:val="en-US" w:eastAsia="zh-CN"/>
        </w:rPr>
        <w:t>2024</w:t>
      </w:r>
      <w:r>
        <w:rPr>
          <w:rFonts w:hint="eastAsia" w:ascii="仿宋" w:hAnsi="仿宋" w:eastAsia="仿宋" w:cs="仿宋"/>
          <w:color w:val="auto"/>
          <w:sz w:val="32"/>
          <w:highlight w:val="none"/>
        </w:rPr>
        <w:t>年</w:t>
      </w:r>
      <w:r>
        <w:rPr>
          <w:rFonts w:hint="eastAsia" w:ascii="仿宋" w:hAnsi="仿宋" w:eastAsia="仿宋" w:cs="仿宋"/>
          <w:color w:val="auto"/>
          <w:sz w:val="32"/>
          <w:highlight w:val="none"/>
          <w:u w:val="single"/>
          <w:lang w:val="en-US" w:eastAsia="zh-CN"/>
        </w:rPr>
        <w:t xml:space="preserve">   </w:t>
      </w:r>
      <w:bookmarkStart w:id="135" w:name="_GoBack"/>
      <w:bookmarkEnd w:id="135"/>
      <w:r>
        <w:rPr>
          <w:rFonts w:hint="eastAsia" w:ascii="仿宋" w:hAnsi="仿宋" w:eastAsia="仿宋" w:cs="仿宋"/>
          <w:color w:val="auto"/>
          <w:sz w:val="32"/>
          <w:highlight w:val="none"/>
        </w:rPr>
        <w:t>月</w:t>
      </w:r>
    </w:p>
    <w:p>
      <w:pPr>
        <w:jc w:val="center"/>
        <w:rPr>
          <w:rStyle w:val="40"/>
          <w:rFonts w:hint="eastAsia" w:ascii="仿宋" w:hAnsi="仿宋" w:eastAsia="仿宋" w:cs="仿宋"/>
          <w:b/>
          <w:bCs/>
          <w:color w:val="auto"/>
          <w:sz w:val="36"/>
          <w:szCs w:val="36"/>
          <w:highlight w:val="none"/>
          <w:u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7" w:bottom="1247" w:left="1417" w:header="851" w:footer="487" w:gutter="0"/>
          <w:pgNumType w:start="0"/>
          <w:cols w:space="0" w:num="1"/>
          <w:titlePg/>
          <w:rtlGutter w:val="0"/>
          <w:docGrid w:type="lines" w:linePitch="312" w:charSpace="0"/>
        </w:sectPr>
      </w:pPr>
    </w:p>
    <w:p>
      <w:pPr>
        <w:jc w:val="center"/>
        <w:rPr>
          <w:rStyle w:val="40"/>
          <w:rFonts w:hint="eastAsia" w:ascii="仿宋" w:hAnsi="仿宋" w:eastAsia="仿宋" w:cs="仿宋"/>
          <w:b/>
          <w:bCs/>
          <w:color w:val="auto"/>
          <w:sz w:val="36"/>
          <w:szCs w:val="36"/>
          <w:highlight w:val="none"/>
          <w:u w:val="none"/>
        </w:rPr>
      </w:pPr>
      <w:r>
        <w:rPr>
          <w:rStyle w:val="40"/>
          <w:rFonts w:hint="eastAsia" w:ascii="仿宋" w:hAnsi="仿宋" w:eastAsia="仿宋" w:cs="仿宋"/>
          <w:b/>
          <w:bCs/>
          <w:color w:val="auto"/>
          <w:sz w:val="36"/>
          <w:szCs w:val="36"/>
          <w:highlight w:val="none"/>
          <w:u w:val="none"/>
        </w:rPr>
        <w:t>目  录</w:t>
      </w:r>
    </w:p>
    <w:p>
      <w:pPr>
        <w:jc w:val="center"/>
        <w:rPr>
          <w:rStyle w:val="40"/>
          <w:rFonts w:hint="eastAsia" w:ascii="仿宋" w:hAnsi="仿宋" w:eastAsia="仿宋" w:cs="仿宋"/>
          <w:b/>
          <w:bCs/>
          <w:color w:val="auto"/>
          <w:sz w:val="36"/>
          <w:szCs w:val="36"/>
          <w:highlight w:val="none"/>
          <w:u w:val="none"/>
        </w:rPr>
      </w:pPr>
    </w:p>
    <w:p>
      <w:pPr>
        <w:pStyle w:val="26"/>
        <w:tabs>
          <w:tab w:val="right" w:leader="dot" w:pos="9072"/>
          <w:tab w:val="clear" w:pos="9060"/>
        </w:tabs>
        <w:rPr>
          <w:rFonts w:hint="eastAsia" w:ascii="仿宋" w:hAnsi="仿宋" w:eastAsia="仿宋" w:cs="仿宋"/>
          <w:color w:val="auto"/>
          <w:sz w:val="24"/>
          <w:szCs w:val="24"/>
          <w:highlight w:val="none"/>
        </w:rPr>
      </w:pPr>
      <w:bookmarkStart w:id="0" w:name="_Toc2272545"/>
      <w:bookmarkStart w:id="1" w:name="_Toc21525489"/>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"1-2"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_Toc21047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投标须知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_Toc21047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9"/>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_Toc20744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一、投标须知前附表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_Toc20744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9"/>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二、投标须知修改表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_Toc2534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9"/>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三、投标须知通用条款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_Toc21901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_Toc3399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第二章  开标、评标及定标办法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_Toc3399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9"/>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_Toc23997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一、开标、评标及定标办法修改表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_Toc23997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9"/>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_Toc28249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二、开标、评标及定标办法通用条款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_Toc28249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_Toc15287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第三章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_Toc15287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_Toc1659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_Toc1659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9"/>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_Toc15435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一、投标文件技术标部分格式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_Toc15435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9"/>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_Toc3190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二、投标文件经济标部分格式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_Toc27476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第五章  技术条件（施工组织设计要点）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_Toc27476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_Toc13327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第六章  图纸及勘察资料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_Toc13327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_Toc28556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第七章  工程量清单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_Toc28556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6"/>
        <w:tabs>
          <w:tab w:val="right" w:leader="dot" w:pos="9072"/>
          <w:tab w:val="clear" w:pos="90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_Toc27384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44"/>
          <w:sz w:val="24"/>
          <w:szCs w:val="24"/>
          <w:highlight w:val="none"/>
          <w:lang w:val="en-US" w:eastAsia="zh-CN" w:bidi="ar-SA"/>
        </w:rPr>
        <w:t>第八章  最高投标限价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_Toc27384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bookmarkStart w:id="2" w:name="_Toc20741"/>
      <w:bookmarkStart w:id="3" w:name="_Toc21047"/>
      <w:r>
        <w:rPr>
          <w:rFonts w:hint="eastAsia" w:ascii="仿宋" w:hAnsi="仿宋" w:eastAsia="仿宋" w:cs="仿宋"/>
          <w:color w:val="auto"/>
          <w:highlight w:val="none"/>
        </w:rPr>
        <w:t>第一章  投标须知</w:t>
      </w:r>
      <w:bookmarkEnd w:id="0"/>
      <w:bookmarkEnd w:id="1"/>
      <w:bookmarkEnd w:id="2"/>
      <w:bookmarkEnd w:id="3"/>
    </w:p>
    <w:p>
      <w:pPr>
        <w:pStyle w:val="7"/>
        <w:pageBreakBefore w:val="0"/>
        <w:kinsoku/>
        <w:wordWrap/>
        <w:overflowPunct/>
        <w:topLinePunct w:val="0"/>
        <w:bidi w:val="0"/>
        <w:snapToGrid/>
        <w:spacing w:line="440" w:lineRule="exact"/>
        <w:rPr>
          <w:rFonts w:hint="eastAsia" w:ascii="仿宋" w:hAnsi="仿宋" w:eastAsia="仿宋" w:cs="仿宋"/>
          <w:color w:val="auto"/>
          <w:highlight w:val="none"/>
        </w:rPr>
      </w:pPr>
      <w:bookmarkStart w:id="4" w:name="_Toc21525490"/>
      <w:bookmarkStart w:id="5" w:name="_Toc10812"/>
      <w:bookmarkStart w:id="6" w:name="_Toc2272546"/>
      <w:bookmarkStart w:id="7" w:name="_Toc20744"/>
      <w:r>
        <w:rPr>
          <w:rFonts w:hint="eastAsia" w:ascii="仿宋" w:hAnsi="仿宋" w:eastAsia="仿宋" w:cs="仿宋"/>
          <w:color w:val="auto"/>
          <w:highlight w:val="none"/>
        </w:rPr>
        <w:t>一、投标须知前附表</w:t>
      </w:r>
      <w:bookmarkEnd w:id="4"/>
      <w:bookmarkEnd w:id="5"/>
      <w:bookmarkEnd w:id="6"/>
      <w:bookmarkEnd w:id="7"/>
    </w:p>
    <w:p>
      <w:pPr>
        <w:pStyle w:val="10"/>
        <w:pageBreakBefore w:val="0"/>
        <w:kinsoku/>
        <w:wordWrap/>
        <w:overflowPunct/>
        <w:topLinePunct w:val="0"/>
        <w:bidi w:val="0"/>
        <w:snapToGrid/>
        <w:spacing w:line="440" w:lineRule="exact"/>
        <w:ind w:firstLine="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ind w:firstLine="458"/>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0"/>
              <w:pageBreakBefore w:val="0"/>
              <w:kinsoku/>
              <w:wordWrap/>
              <w:overflowPunct/>
              <w:topLinePunct w:val="0"/>
              <w:bidi w:val="0"/>
              <w:snapToGrid/>
              <w:spacing w:line="440" w:lineRule="exact"/>
              <w:ind w:firstLine="458"/>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招标人（即发包人）：</w:t>
            </w:r>
            <w:r>
              <w:rPr>
                <w:rFonts w:hint="eastAsia" w:ascii="仿宋" w:hAnsi="仿宋" w:eastAsia="仿宋" w:cs="仿宋"/>
                <w:color w:val="auto"/>
                <w:szCs w:val="21"/>
                <w:highlight w:val="none"/>
                <w:u w:val="single"/>
                <w:lang w:eastAsia="zh-CN"/>
              </w:rPr>
              <w:t>广州市番禺区南村镇人民政府</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w:t>
            </w:r>
            <w:r>
              <w:rPr>
                <w:rFonts w:hint="eastAsia" w:ascii="仿宋" w:hAnsi="仿宋" w:eastAsia="仿宋" w:cs="仿宋"/>
                <w:color w:val="auto"/>
                <w:szCs w:val="21"/>
                <w:highlight w:val="none"/>
                <w:u w:val="single"/>
                <w:lang w:eastAsia="zh-CN"/>
              </w:rPr>
              <w:t>广州嘉诚至信建设管理有限公司</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设计单位：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广东海外建筑设计院有限公司</w:t>
            </w:r>
            <w:r>
              <w:rPr>
                <w:rFonts w:hint="eastAsia" w:ascii="仿宋" w:hAnsi="仿宋" w:eastAsia="仿宋" w:cs="仿宋"/>
                <w:color w:val="auto"/>
                <w:szCs w:val="21"/>
                <w:highlight w:val="none"/>
                <w:u w:val="single"/>
              </w:rPr>
              <w:t xml:space="preserve">  </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监理单位：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检测机构：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南兴花苑小区(一期A区)微改造项目工程施工总承包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包工、包料、包工期、包质量、包安全、包文明施工。按施工图纸总价大包干、项目措施费包干。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符合《工程施工质量验收规范》合格标准。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施工总期：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155</w:t>
            </w:r>
            <w:r>
              <w:rPr>
                <w:rFonts w:hint="eastAsia" w:ascii="仿宋" w:hAnsi="仿宋" w:eastAsia="仿宋" w:cs="仿宋"/>
                <w:color w:val="auto"/>
                <w:szCs w:val="21"/>
                <w:highlight w:val="none"/>
              </w:rPr>
              <w:t xml:space="preserve">日历天。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ind w:firstLine="458"/>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工程量清单计价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none"/>
              </w:rPr>
              <w:t>按国家、省有关计价规范执行</w:t>
            </w:r>
            <w:r>
              <w:rPr>
                <w:rFonts w:hint="eastAsia" w:ascii="仿宋" w:hAnsi="仿宋" w:eastAsia="仿宋" w:cs="仿宋"/>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val="en-US" w:eastAsia="zh-CN"/>
              </w:rPr>
              <w:t>90</w:t>
            </w:r>
            <w:r>
              <w:rPr>
                <w:rFonts w:hint="eastAsia" w:ascii="仿宋" w:hAnsi="仿宋" w:eastAsia="仿宋" w:cs="仿宋"/>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b/>
                <w:color w:val="auto"/>
                <w:kern w:val="0"/>
                <w:sz w:val="22"/>
                <w:highlight w:val="none"/>
              </w:rPr>
            </w:pPr>
            <w:r>
              <w:rPr>
                <w:rFonts w:hint="eastAsia" w:ascii="仿宋" w:hAnsi="仿宋" w:eastAsia="仿宋" w:cs="仿宋"/>
                <w:color w:val="auto"/>
                <w:kern w:val="0"/>
                <w:szCs w:val="21"/>
                <w:highlight w:val="none"/>
                <w:lang w:val="zh-CN"/>
              </w:rPr>
              <w:sym w:font="Wingdings 2" w:char="F052"/>
            </w:r>
            <w:r>
              <w:rPr>
                <w:rFonts w:hint="eastAsia" w:ascii="仿宋" w:hAnsi="仿宋" w:eastAsia="仿宋" w:cs="仿宋"/>
                <w:b/>
                <w:color w:val="auto"/>
                <w:kern w:val="0"/>
                <w:sz w:val="22"/>
                <w:highlight w:val="none"/>
              </w:rPr>
              <w:t>本项目不收投标保证金。</w:t>
            </w:r>
          </w:p>
          <w:p>
            <w:pPr>
              <w:pageBreakBefore w:val="0"/>
              <w:kinsoku/>
              <w:wordWrap/>
              <w:overflowPunct/>
              <w:topLinePunct w:val="0"/>
              <w:bidi w:val="0"/>
              <w:snapToGrid/>
              <w:spacing w:line="440" w:lineRule="exact"/>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u w:val="single"/>
              </w:rPr>
              <w:t>1、提供《关于投标保证金的承诺》（详见第四章投标文件格式）。</w:t>
            </w:r>
          </w:p>
          <w:p>
            <w:pPr>
              <w:pageBreakBefore w:val="0"/>
              <w:kinsoku/>
              <w:wordWrap/>
              <w:overflowPunct/>
              <w:topLinePunct w:val="0"/>
              <w:bidi w:val="0"/>
              <w:snapToGrid/>
              <w:spacing w:line="440" w:lineRule="exact"/>
              <w:rPr>
                <w:rFonts w:hint="eastAsia" w:ascii="仿宋" w:hAnsi="仿宋" w:eastAsia="仿宋" w:cs="仿宋"/>
                <w:color w:val="auto"/>
                <w:highlight w:val="none"/>
              </w:rPr>
            </w:pPr>
            <w:r>
              <w:rPr>
                <w:rFonts w:hint="eastAsia" w:ascii="仿宋" w:hAnsi="仿宋" w:eastAsia="仿宋" w:cs="仿宋"/>
                <w:color w:val="auto"/>
                <w:szCs w:val="24"/>
                <w:highlight w:val="none"/>
                <w:u w:val="single"/>
              </w:rPr>
              <w:t>2.对于投标人已提供《关于投标保证金的承诺》，若投标人存在16.4条款所列情形，不予退还投标保证金，投标人应按照招标人的要求，在发现存在16.4条款所列情形之日起5个工作日内补交人民币</w:t>
            </w:r>
            <w:r>
              <w:rPr>
                <w:rFonts w:hint="eastAsia" w:ascii="仿宋" w:hAnsi="仿宋" w:eastAsia="仿宋" w:cs="仿宋"/>
                <w:color w:val="auto"/>
                <w:szCs w:val="24"/>
                <w:highlight w:val="none"/>
                <w:u w:val="single"/>
                <w:lang w:val="en-US" w:eastAsia="zh-CN"/>
              </w:rPr>
              <w:t>9</w:t>
            </w:r>
            <w:r>
              <w:rPr>
                <w:rFonts w:hint="eastAsia" w:ascii="仿宋" w:hAnsi="仿宋" w:eastAsia="仿宋" w:cs="仿宋"/>
                <w:color w:val="auto"/>
                <w:szCs w:val="24"/>
                <w:highlight w:val="none"/>
                <w:u w:val="single"/>
              </w:rPr>
              <w:t>万元投标保证金。若未按要求补交投标保证金的将暂停其参与招标人后续工程投标，直至完成补交手续为止。</w:t>
            </w:r>
          </w:p>
          <w:p>
            <w:pPr>
              <w:pageBreakBefore w:val="0"/>
              <w:widowControl/>
              <w:kinsoku/>
              <w:wordWrap/>
              <w:overflowPunct/>
              <w:topLinePunct w:val="0"/>
              <w:bidi w:val="0"/>
              <w:snapToGrid/>
              <w:spacing w:line="440" w:lineRule="exact"/>
              <w:jc w:val="left"/>
              <w:rPr>
                <w:rFonts w:hint="eastAsia" w:ascii="仿宋" w:hAnsi="仿宋" w:eastAsia="仿宋" w:cs="仿宋"/>
                <w:bCs/>
                <w:color w:val="auto"/>
                <w:kern w:val="0"/>
                <w:sz w:val="22"/>
                <w:highlight w:val="none"/>
                <w:u w:val="none"/>
              </w:rPr>
            </w:pPr>
            <w:r>
              <w:rPr>
                <w:rFonts w:hint="eastAsia" w:ascii="仿宋" w:hAnsi="仿宋" w:eastAsia="仿宋" w:cs="仿宋"/>
                <w:color w:val="auto"/>
                <w:highlight w:val="none"/>
                <w:u w:val="none"/>
                <w:lang w:eastAsia="zh-CN"/>
              </w:rPr>
              <w:t>□</w:t>
            </w:r>
            <w:r>
              <w:rPr>
                <w:rFonts w:hint="eastAsia" w:ascii="仿宋" w:hAnsi="仿宋" w:eastAsia="仿宋" w:cs="仿宋"/>
                <w:b/>
                <w:color w:val="auto"/>
                <w:kern w:val="0"/>
                <w:sz w:val="22"/>
                <w:highlight w:val="none"/>
                <w:u w:val="none"/>
              </w:rPr>
              <w:t>本项目收取投标保证金</w:t>
            </w:r>
            <w:r>
              <w:rPr>
                <w:rFonts w:hint="eastAsia" w:ascii="仿宋" w:hAnsi="仿宋" w:eastAsia="仿宋" w:cs="仿宋"/>
                <w:bCs/>
                <w:color w:val="auto"/>
                <w:kern w:val="0"/>
                <w:sz w:val="22"/>
                <w:highlight w:val="none"/>
                <w:u w:val="single"/>
              </w:rPr>
              <w:t xml:space="preserve">      </w:t>
            </w:r>
            <w:r>
              <w:rPr>
                <w:rFonts w:hint="eastAsia" w:ascii="仿宋" w:hAnsi="仿宋" w:eastAsia="仿宋" w:cs="仿宋"/>
                <w:bCs/>
                <w:color w:val="auto"/>
                <w:kern w:val="0"/>
                <w:sz w:val="22"/>
                <w:highlight w:val="none"/>
                <w:u w:val="none"/>
              </w:rPr>
              <w:t>万元人民币，缴纳时间在        之前。</w:t>
            </w:r>
          </w:p>
          <w:p>
            <w:pPr>
              <w:pageBreakBefore w:val="0"/>
              <w:widowControl/>
              <w:kinsoku/>
              <w:wordWrap/>
              <w:overflowPunct/>
              <w:topLinePunct w:val="0"/>
              <w:bidi w:val="0"/>
              <w:snapToGrid/>
              <w:spacing w:line="440" w:lineRule="exact"/>
              <w:jc w:val="left"/>
              <w:rPr>
                <w:rFonts w:hint="eastAsia" w:ascii="仿宋" w:hAnsi="仿宋" w:eastAsia="仿宋" w:cs="仿宋"/>
                <w:bCs/>
                <w:color w:val="auto"/>
                <w:kern w:val="0"/>
                <w:sz w:val="22"/>
                <w:highlight w:val="none"/>
              </w:rPr>
            </w:pPr>
            <w:r>
              <w:rPr>
                <w:rFonts w:hint="eastAsia" w:ascii="仿宋" w:hAnsi="仿宋" w:eastAsia="仿宋" w:cs="仿宋"/>
                <w:bCs/>
                <w:color w:val="auto"/>
                <w:kern w:val="0"/>
                <w:sz w:val="22"/>
                <w:highlight w:val="none"/>
              </w:rPr>
              <w:t>注：</w:t>
            </w:r>
          </w:p>
          <w:p>
            <w:pPr>
              <w:pageBreakBefore w:val="0"/>
              <w:widowControl/>
              <w:kinsoku/>
              <w:wordWrap/>
              <w:overflowPunct/>
              <w:topLinePunct w:val="0"/>
              <w:bidi w:val="0"/>
              <w:snapToGrid/>
              <w:spacing w:line="440" w:lineRule="exact"/>
              <w:jc w:val="left"/>
              <w:rPr>
                <w:rFonts w:hint="eastAsia" w:ascii="仿宋" w:hAnsi="仿宋" w:eastAsia="仿宋" w:cs="仿宋"/>
                <w:b/>
                <w:color w:val="auto"/>
                <w:kern w:val="0"/>
                <w:sz w:val="22"/>
                <w:highlight w:val="none"/>
              </w:rPr>
            </w:pPr>
            <w:r>
              <w:rPr>
                <w:rFonts w:hint="eastAsia" w:ascii="仿宋" w:hAnsi="仿宋" w:eastAsia="仿宋" w:cs="仿宋"/>
                <w:b/>
                <w:bCs/>
                <w:color w:val="auto"/>
                <w:kern w:val="0"/>
                <w:sz w:val="22"/>
                <w:highlight w:val="none"/>
              </w:rPr>
              <w:t>1、</w:t>
            </w:r>
            <w:r>
              <w:rPr>
                <w:rFonts w:hint="eastAsia" w:ascii="仿宋" w:hAnsi="仿宋" w:eastAsia="仿宋" w:cs="仿宋"/>
                <w:b/>
                <w:color w:val="auto"/>
                <w:kern w:val="0"/>
                <w:sz w:val="22"/>
                <w:highlight w:val="none"/>
              </w:rPr>
              <w:t>政府投资项目不得收取投标保证金。</w:t>
            </w:r>
            <w:r>
              <w:rPr>
                <w:rFonts w:hint="eastAsia" w:ascii="仿宋" w:hAnsi="仿宋" w:eastAsia="仿宋" w:cs="仿宋"/>
                <w:bCs/>
                <w:color w:val="auto"/>
                <w:kern w:val="0"/>
                <w:sz w:val="22"/>
                <w:highlight w:val="none"/>
              </w:rPr>
              <w:t>鼓励招标人对简单小额项目不要求提供投标担保，对中小企业投标人免除投标担保。</w:t>
            </w:r>
          </w:p>
          <w:p>
            <w:pPr>
              <w:pageBreakBefore w:val="0"/>
              <w:kinsoku/>
              <w:wordWrap/>
              <w:overflowPunct/>
              <w:topLinePunct w:val="0"/>
              <w:bidi w:val="0"/>
              <w:snapToGrid/>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pageBreakBefore w:val="0"/>
              <w:kinsoku/>
              <w:wordWrap/>
              <w:overflowPunct/>
              <w:topLinePunct w:val="0"/>
              <w:bidi w:val="0"/>
              <w:snapToGrid/>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0"/>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招标人不集中组织，由投标人自行踏勘。投标人不进行踏勘的，视为已熟知现场条件，自行承担相关风险。</w:t>
            </w:r>
            <w:r>
              <w:rPr>
                <w:rFonts w:hint="eastAsia" w:ascii="仿宋" w:hAnsi="仿宋" w:eastAsia="仿宋" w:cs="仿宋"/>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疑问提交时间：</w:t>
            </w:r>
            <w:r>
              <w:rPr>
                <w:rFonts w:hint="eastAsia" w:ascii="仿宋" w:hAnsi="仿宋" w:eastAsia="仿宋" w:cs="仿宋"/>
                <w:color w:val="auto"/>
                <w:szCs w:val="21"/>
                <w:highlight w:val="none"/>
                <w:u w:val="single"/>
                <w:lang w:val="en-US" w:eastAsia="zh-CN"/>
              </w:rPr>
              <w:t>2024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时前；</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形式：投标人的疑问通过</w:t>
            </w:r>
            <w:r>
              <w:rPr>
                <w:rFonts w:hint="eastAsia" w:ascii="仿宋" w:hAnsi="仿宋" w:eastAsia="仿宋" w:cs="仿宋"/>
                <w:color w:val="auto"/>
                <w:szCs w:val="21"/>
                <w:highlight w:val="none"/>
                <w:u w:val="single"/>
              </w:rPr>
              <w:t>广州交易集团有限公司（广州公共资源交易中心）</w:t>
            </w:r>
            <w:r>
              <w:rPr>
                <w:rFonts w:hint="eastAsia" w:ascii="仿宋" w:hAnsi="仿宋" w:eastAsia="仿宋" w:cs="仿宋"/>
                <w:color w:val="auto"/>
                <w:szCs w:val="21"/>
                <w:highlight w:val="none"/>
                <w:u w:val="none"/>
                <w:lang w:val="en-US" w:eastAsia="zh-CN"/>
              </w:rPr>
              <w:t>交易中心</w:t>
            </w:r>
            <w:r>
              <w:rPr>
                <w:rFonts w:hint="eastAsia" w:ascii="仿宋" w:hAnsi="仿宋" w:eastAsia="仿宋" w:cs="仿宋"/>
                <w:color w:val="auto"/>
                <w:szCs w:val="21"/>
                <w:highlight w:val="none"/>
              </w:rPr>
              <w:t>提交。</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具体要求：按照</w:t>
            </w:r>
            <w:r>
              <w:rPr>
                <w:rFonts w:hint="eastAsia" w:ascii="仿宋" w:hAnsi="仿宋" w:eastAsia="仿宋" w:cs="仿宋"/>
                <w:color w:val="auto"/>
                <w:szCs w:val="21"/>
                <w:highlight w:val="none"/>
                <w:u w:val="single"/>
              </w:rPr>
              <w:t>广州交易集团有限公司（广州公共资源交易中心）</w:t>
            </w:r>
            <w:r>
              <w:rPr>
                <w:rFonts w:hint="eastAsia" w:ascii="仿宋" w:hAnsi="仿宋" w:eastAsia="仿宋" w:cs="仿宋"/>
                <w:color w:val="auto"/>
                <w:szCs w:val="21"/>
                <w:highlight w:val="none"/>
              </w:rPr>
              <w:t>交易平台关于全流程电子化项目的相关指南进行操作，详见：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Cs w:val="21"/>
                <w:highlight w:val="none"/>
              </w:rPr>
              <w:t>。    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strike/>
                <w:color w:val="auto"/>
                <w:szCs w:val="21"/>
                <w:highlight w:val="none"/>
              </w:rPr>
            </w:pPr>
            <w:r>
              <w:rPr>
                <w:rFonts w:hint="eastAsia" w:ascii="仿宋" w:hAnsi="仿宋" w:eastAsia="仿宋" w:cs="仿宋"/>
                <w:color w:val="auto"/>
                <w:szCs w:val="21"/>
                <w:highlight w:val="none"/>
                <w:u w:val="single"/>
                <w:lang w:val="en-US" w:eastAsia="zh-CN"/>
              </w:rPr>
              <w:t>2024</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u w:val="single"/>
                <w:lang w:val="en-US" w:eastAsia="zh-CN"/>
              </w:rPr>
              <w:t>00</w:t>
            </w:r>
            <w:r>
              <w:rPr>
                <w:rFonts w:hint="eastAsia" w:ascii="仿宋" w:hAnsi="仿宋" w:eastAsia="仿宋" w:cs="仿宋"/>
                <w:color w:val="auto"/>
                <w:szCs w:val="21"/>
                <w:highlight w:val="none"/>
                <w:u w:val="none"/>
                <w:lang w:val="en-US" w:eastAsia="zh-CN"/>
              </w:rPr>
              <w:t>分</w:t>
            </w:r>
            <w:r>
              <w:rPr>
                <w:rFonts w:hint="eastAsia" w:ascii="仿宋" w:hAnsi="仿宋" w:eastAsia="仿宋" w:cs="仿宋"/>
                <w:color w:val="auto"/>
                <w:szCs w:val="21"/>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widowControl/>
              <w:kinsoku/>
              <w:wordWrap/>
              <w:overflowPunct/>
              <w:topLinePunct w:val="0"/>
              <w:bidi w:val="0"/>
              <w:snapToGrid/>
              <w:spacing w:line="440" w:lineRule="exact"/>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（技术标和经济标同时开标）</w:t>
            </w:r>
          </w:p>
          <w:p>
            <w:pPr>
              <w:pageBreakBefore w:val="0"/>
              <w:widowControl/>
              <w:kinsoku/>
              <w:wordWrap/>
              <w:overflowPunct/>
              <w:topLinePunct w:val="0"/>
              <w:bidi w:val="0"/>
              <w:snapToGrid/>
              <w:spacing w:line="440" w:lineRule="exact"/>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1、开标开始时间：</w:t>
            </w:r>
            <w:r>
              <w:rPr>
                <w:rFonts w:hint="eastAsia" w:ascii="仿宋" w:hAnsi="仿宋" w:eastAsia="仿宋" w:cs="仿宋"/>
                <w:bCs/>
                <w:color w:val="auto"/>
                <w:kern w:val="0"/>
                <w:szCs w:val="21"/>
                <w:highlight w:val="none"/>
                <w:u w:val="single"/>
                <w:lang w:val="en-US" w:eastAsia="zh-CN"/>
              </w:rPr>
              <w:t>2024</w:t>
            </w:r>
            <w:r>
              <w:rPr>
                <w:rFonts w:hint="eastAsia" w:ascii="仿宋" w:hAnsi="仿宋" w:eastAsia="仿宋" w:cs="仿宋"/>
                <w:bCs/>
                <w:color w:val="auto"/>
                <w:kern w:val="0"/>
                <w:szCs w:val="21"/>
                <w:highlight w:val="none"/>
              </w:rPr>
              <w:t>年</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日</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时</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分（与投标截止时间为同一时间），地点：</w:t>
            </w:r>
            <w:r>
              <w:rPr>
                <w:rFonts w:hint="eastAsia" w:ascii="仿宋" w:hAnsi="仿宋" w:eastAsia="仿宋" w:cs="仿宋"/>
                <w:bCs/>
                <w:color w:val="auto"/>
                <w:kern w:val="0"/>
                <w:szCs w:val="21"/>
                <w:highlight w:val="none"/>
                <w:u w:val="single"/>
              </w:rPr>
              <w:t>广州交易集团有限公司（广州公共资源交易中心）番禺交易部开标室</w:t>
            </w:r>
            <w:r>
              <w:rPr>
                <w:rFonts w:hint="eastAsia" w:ascii="仿宋" w:hAnsi="仿宋" w:eastAsia="仿宋" w:cs="仿宋"/>
                <w:bCs/>
                <w:color w:val="auto"/>
                <w:kern w:val="0"/>
                <w:szCs w:val="21"/>
                <w:highlight w:val="none"/>
              </w:rPr>
              <w:t>。</w:t>
            </w:r>
            <w:r>
              <w:rPr>
                <w:rFonts w:hint="eastAsia" w:ascii="仿宋" w:hAnsi="仿宋" w:eastAsia="仿宋" w:cs="仿宋"/>
                <w:b/>
                <w:bCs/>
                <w:color w:val="auto"/>
                <w:kern w:val="0"/>
                <w:szCs w:val="21"/>
                <w:highlight w:val="none"/>
              </w:rPr>
              <w:t>投标人也可选择参加在线开标，具体按照交易平台相关指南进行操作。详见：</w:t>
            </w:r>
            <w:r>
              <w:rPr>
                <w:rFonts w:hint="eastAsia" w:ascii="仿宋" w:hAnsi="仿宋" w:eastAsia="仿宋" w:cs="仿宋"/>
                <w:b/>
                <w:bCs/>
                <w:color w:val="auto"/>
                <w:kern w:val="0"/>
                <w:szCs w:val="21"/>
                <w:highlight w:val="none"/>
                <w:u w:val="single"/>
              </w:rPr>
              <w:t>广州交易集团有限公司（广州公共资源交易中心）网站最新指引</w:t>
            </w:r>
            <w:r>
              <w:rPr>
                <w:rFonts w:hint="eastAsia" w:ascii="仿宋" w:hAnsi="仿宋" w:eastAsia="仿宋" w:cs="仿宋"/>
                <w:b/>
                <w:bCs/>
                <w:color w:val="auto"/>
                <w:kern w:val="0"/>
                <w:szCs w:val="21"/>
                <w:highlight w:val="none"/>
              </w:rPr>
              <w:t>。</w:t>
            </w:r>
          </w:p>
          <w:p>
            <w:pPr>
              <w:pageBreakBefore w:val="0"/>
              <w:widowControl/>
              <w:kinsoku/>
              <w:wordWrap/>
              <w:overflowPunct/>
              <w:topLinePunct w:val="0"/>
              <w:bidi w:val="0"/>
              <w:snapToGrid/>
              <w:spacing w:line="440" w:lineRule="exact"/>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注：投标文件解密问题。投标人只用执行一次解密，招标人执行解密次数根据招标文件开标次数确定。</w:t>
            </w:r>
          </w:p>
          <w:p>
            <w:pPr>
              <w:pageBreakBefore w:val="0"/>
              <w:widowControl/>
              <w:kinsoku/>
              <w:wordWrap/>
              <w:overflowPunct/>
              <w:topLinePunct w:val="0"/>
              <w:bidi w:val="0"/>
              <w:snapToGrid/>
              <w:spacing w:line="440" w:lineRule="exact"/>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2、递交投标文件备用光盘时间：</w:t>
            </w:r>
            <w:r>
              <w:rPr>
                <w:rFonts w:hint="eastAsia" w:ascii="仿宋" w:hAnsi="仿宋" w:eastAsia="仿宋" w:cs="仿宋"/>
                <w:bCs/>
                <w:color w:val="auto"/>
                <w:kern w:val="0"/>
                <w:szCs w:val="21"/>
                <w:highlight w:val="none"/>
                <w:u w:val="single"/>
                <w:lang w:val="en-US" w:eastAsia="zh-CN"/>
              </w:rPr>
              <w:t>2024</w:t>
            </w:r>
            <w:r>
              <w:rPr>
                <w:rFonts w:hint="eastAsia" w:ascii="仿宋" w:hAnsi="仿宋" w:eastAsia="仿宋" w:cs="仿宋"/>
                <w:bCs/>
                <w:color w:val="auto"/>
                <w:kern w:val="0"/>
                <w:szCs w:val="21"/>
                <w:highlight w:val="none"/>
              </w:rPr>
              <w:t>年</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日</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时</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分至</w:t>
            </w:r>
            <w:r>
              <w:rPr>
                <w:rFonts w:hint="eastAsia" w:ascii="仿宋" w:hAnsi="仿宋" w:eastAsia="仿宋" w:cs="仿宋"/>
                <w:bCs/>
                <w:color w:val="auto"/>
                <w:kern w:val="0"/>
                <w:szCs w:val="21"/>
                <w:highlight w:val="none"/>
                <w:u w:val="single"/>
                <w:lang w:val="en-US" w:eastAsia="zh-CN"/>
              </w:rPr>
              <w:t>2024</w:t>
            </w:r>
            <w:r>
              <w:rPr>
                <w:rFonts w:hint="eastAsia" w:ascii="仿宋" w:hAnsi="仿宋" w:eastAsia="仿宋" w:cs="仿宋"/>
                <w:bCs/>
                <w:color w:val="auto"/>
                <w:kern w:val="0"/>
                <w:szCs w:val="21"/>
                <w:highlight w:val="none"/>
              </w:rPr>
              <w:t>年</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日   时</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分；递交地点：</w:t>
            </w:r>
            <w:r>
              <w:rPr>
                <w:rFonts w:hint="eastAsia" w:ascii="仿宋" w:hAnsi="仿宋" w:eastAsia="仿宋" w:cs="仿宋"/>
                <w:bCs/>
                <w:color w:val="auto"/>
                <w:kern w:val="0"/>
                <w:szCs w:val="21"/>
                <w:highlight w:val="none"/>
                <w:u w:val="single"/>
              </w:rPr>
              <w:t>广州交易集团有限公司（广州公共资源交易中心）番禺交易部开标室</w:t>
            </w:r>
            <w:r>
              <w:rPr>
                <w:rFonts w:hint="eastAsia" w:ascii="仿宋" w:hAnsi="仿宋" w:eastAsia="仿宋" w:cs="仿宋"/>
                <w:bCs/>
                <w:color w:val="auto"/>
                <w:kern w:val="0"/>
                <w:szCs w:val="21"/>
                <w:highlight w:val="none"/>
              </w:rPr>
              <w:t>。（建议安排在投标文件截止时间前15分钟至投标文件截止时间）</w:t>
            </w:r>
          </w:p>
          <w:p>
            <w:pPr>
              <w:pageBreakBefore w:val="0"/>
              <w:widowControl/>
              <w:kinsoku/>
              <w:wordWrap/>
              <w:overflowPunct/>
              <w:topLinePunct w:val="0"/>
              <w:bidi w:val="0"/>
              <w:snapToGrid/>
              <w:spacing w:line="440" w:lineRule="exact"/>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上述时间及地点是否有改变，请密切留意</w:t>
            </w:r>
            <w:r>
              <w:rPr>
                <w:rFonts w:hint="eastAsia" w:ascii="仿宋" w:hAnsi="仿宋" w:eastAsia="仿宋" w:cs="仿宋"/>
                <w:b/>
                <w:color w:val="auto"/>
                <w:kern w:val="0"/>
                <w:szCs w:val="21"/>
                <w:highlight w:val="none"/>
              </w:rPr>
              <w:t>补充公告和</w:t>
            </w:r>
            <w:r>
              <w:rPr>
                <w:rFonts w:hint="eastAsia" w:ascii="仿宋" w:hAnsi="仿宋" w:eastAsia="仿宋" w:cs="仿宋"/>
                <w:bCs/>
                <w:color w:val="auto"/>
                <w:kern w:val="0"/>
                <w:szCs w:val="21"/>
                <w:highlight w:val="none"/>
              </w:rPr>
              <w:t>招标答疑纪要的相关信息。</w:t>
            </w:r>
          </w:p>
          <w:p>
            <w:pPr>
              <w:pStyle w:val="2"/>
              <w:pageBreakBefore w:val="0"/>
              <w:kinsoku/>
              <w:wordWrap/>
              <w:overflowPunct/>
              <w:topLinePunct w:val="0"/>
              <w:bidi w:val="0"/>
              <w:snapToGrid/>
              <w:spacing w:line="44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pageBreakBefore w:val="0"/>
              <w:kinsoku/>
              <w:wordWrap/>
              <w:overflowPunct/>
              <w:topLinePunct w:val="0"/>
              <w:bidi w:val="0"/>
              <w:snapToGrid/>
              <w:spacing w:line="440" w:lineRule="exact"/>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方式一：选取方法</w:t>
            </w:r>
            <w:r>
              <w:rPr>
                <w:rFonts w:hint="eastAsia" w:ascii="仿宋" w:hAnsi="仿宋" w:eastAsia="仿宋" w:cs="仿宋"/>
                <w:color w:val="auto"/>
                <w:szCs w:val="21"/>
                <w:highlight w:val="none"/>
                <w:u w:val="single"/>
              </w:rPr>
              <w:t>七（适合综合评分法四，技术标与经济标同时开启）</w:t>
            </w:r>
            <w:r>
              <w:rPr>
                <w:rFonts w:hint="eastAsia" w:ascii="仿宋" w:hAnsi="仿宋" w:eastAsia="仿宋" w:cs="仿宋"/>
                <w:color w:val="auto"/>
                <w:szCs w:val="21"/>
                <w:highlight w:val="none"/>
              </w:rPr>
              <w:t>；</w:t>
            </w:r>
          </w:p>
          <w:p>
            <w:pPr>
              <w:pStyle w:val="5"/>
              <w:pageBreakBefore w:val="0"/>
              <w:kinsoku/>
              <w:wordWrap/>
              <w:overflowPunct/>
              <w:topLinePunct w:val="0"/>
              <w:bidi w:val="0"/>
              <w:snapToGrid/>
              <w:spacing w:line="440" w:lineRule="exact"/>
              <w:ind w:firstLine="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投标人总得分=技术得分（100分）×权重20%＋经济得分（100分）×经济得分权重（80%）。</w:t>
            </w:r>
          </w:p>
          <w:p>
            <w:pPr>
              <w:pStyle w:val="5"/>
              <w:pageBreakBefore w:val="0"/>
              <w:kinsoku/>
              <w:wordWrap/>
              <w:overflowPunct/>
              <w:topLinePunct w:val="0"/>
              <w:bidi w:val="0"/>
              <w:snapToGrid/>
              <w:spacing w:line="440" w:lineRule="exact"/>
              <w:ind w:firstLine="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总得分相同的投标文件，以技术得分较高的排前；总得分与技术得分均相同的投标文件，以投标报价较低的排前；如仍存在相同情况，则对具有相同情况的投标人，由评标委员会采用记名投票方式，确定投标人的排序。</w:t>
            </w:r>
          </w:p>
          <w:p>
            <w:pPr>
              <w:pStyle w:val="5"/>
              <w:pageBreakBefore w:val="0"/>
              <w:kinsoku/>
              <w:wordWrap/>
              <w:overflowPunct/>
              <w:topLinePunct w:val="0"/>
              <w:bidi w:val="0"/>
              <w:snapToGrid/>
              <w:spacing w:line="440" w:lineRule="exact"/>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注：投票方式确定排序的具体操作步骤为：由评标委员会对出现该情况的投标人进行编号，然后通过记名投票方式依次确定投标人的排序。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方式一：中标人提供的履约保证金为中标价款的10%。</w:t>
            </w:r>
            <w:r>
              <w:rPr>
                <w:rFonts w:hint="eastAsia" w:ascii="仿宋" w:hAnsi="仿宋" w:eastAsia="仿宋" w:cs="仿宋"/>
                <w:color w:val="auto"/>
                <w:highlight w:val="none"/>
                <w:u w:val="single"/>
              </w:rPr>
              <w:t>可以以现金转账、银行保函形式或履约保证保险等有效方式向招标人递交履约担保；如果中标人的履约担保是以银行保函的形式提供，则该银行保函应由在中国注册的银行开具。（若中标人不提交，招标人有权取消其中标资格及有权根据《关于投标保证金的承诺》，要求投标人足额补交投标保证金，其补交的投标保证金不予退还。中标人需确保银行保函或保证保险在工程竣工前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本项目最高投标限价为人民币</w:t>
            </w:r>
            <w:r>
              <w:rPr>
                <w:rFonts w:hint="eastAsia" w:ascii="仿宋" w:hAnsi="仿宋" w:eastAsia="仿宋" w:cs="仿宋"/>
                <w:color w:val="auto"/>
                <w:szCs w:val="21"/>
                <w:highlight w:val="none"/>
                <w:u w:val="single"/>
              </w:rPr>
              <w:t xml:space="preserve"> 4859329.74 </w:t>
            </w:r>
            <w:r>
              <w:rPr>
                <w:rFonts w:hint="eastAsia" w:ascii="仿宋" w:hAnsi="仿宋" w:eastAsia="仿宋" w:cs="仿宋"/>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本项目绿色施工安全防护措施费为</w:t>
            </w:r>
            <w:r>
              <w:rPr>
                <w:rFonts w:hint="eastAsia" w:ascii="仿宋" w:hAnsi="仿宋" w:eastAsia="仿宋" w:cs="仿宋"/>
                <w:color w:val="auto"/>
                <w:szCs w:val="21"/>
                <w:highlight w:val="none"/>
                <w:u w:val="single"/>
              </w:rPr>
              <w:t>764851.08</w:t>
            </w:r>
            <w:r>
              <w:rPr>
                <w:rFonts w:hint="eastAsia" w:ascii="仿宋" w:hAnsi="仿宋" w:eastAsia="仿宋" w:cs="仿宋"/>
                <w:color w:val="auto"/>
                <w:szCs w:val="21"/>
                <w:highlight w:val="none"/>
              </w:rPr>
              <w:t>元，暂列金额为</w:t>
            </w:r>
            <w:r>
              <w:rPr>
                <w:rFonts w:hint="eastAsia" w:ascii="仿宋" w:hAnsi="仿宋" w:eastAsia="仿宋" w:cs="仿宋"/>
                <w:color w:val="auto"/>
                <w:szCs w:val="21"/>
                <w:highlight w:val="none"/>
                <w:u w:val="single"/>
              </w:rPr>
              <w:t>313554.89</w:t>
            </w:r>
            <w:r>
              <w:rPr>
                <w:rFonts w:hint="eastAsia" w:ascii="仿宋" w:hAnsi="仿宋" w:eastAsia="仿宋" w:cs="仿宋"/>
                <w:color w:val="auto"/>
                <w:szCs w:val="21"/>
                <w:highlight w:val="none"/>
              </w:rPr>
              <w:t>元，暂估价为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pageBreakBefore w:val="0"/>
              <w:kinsoku/>
              <w:wordWrap/>
              <w:overflowPunct/>
              <w:topLinePunct w:val="0"/>
              <w:bidi w:val="0"/>
              <w:snapToGrid/>
              <w:spacing w:line="440" w:lineRule="exact"/>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计算评标参考价的等分点值X在开标前从[0,100]</w:t>
            </w: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ind w:firstLine="458"/>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工程成本警戒价为</w:t>
            </w:r>
            <w:r>
              <w:rPr>
                <w:rFonts w:hint="eastAsia" w:ascii="仿宋" w:hAnsi="仿宋" w:eastAsia="仿宋" w:cs="仿宋"/>
                <w:color w:val="auto"/>
                <w:szCs w:val="21"/>
                <w:highlight w:val="none"/>
                <w:u w:val="single"/>
                <w:lang w:val="en-US" w:eastAsia="zh-CN"/>
              </w:rPr>
              <w:t>4373396.76元</w:t>
            </w:r>
            <w:r>
              <w:rPr>
                <w:rFonts w:hint="eastAsia" w:ascii="仿宋" w:hAnsi="仿宋" w:eastAsia="仿宋" w:cs="仿宋"/>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ind w:firstLine="458"/>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ind w:firstLine="458"/>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本款不适用。</w:t>
            </w:r>
            <w:r>
              <w:rPr>
                <w:rFonts w:hint="eastAsia" w:ascii="仿宋" w:hAnsi="仿宋" w:eastAsia="仿宋" w:cs="仿宋"/>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ind w:firstLine="458"/>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ind w:firstLine="458"/>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☑不允许；</w:t>
            </w:r>
          </w:p>
          <w:p>
            <w:pPr>
              <w:pageBreakBefore w:val="0"/>
              <w:kinsoku/>
              <w:wordWrap/>
              <w:overflowPunct/>
              <w:topLinePunct w:val="0"/>
              <w:bidi w:val="0"/>
              <w:snapToGrid/>
              <w:spacing w:line="440" w:lineRule="exact"/>
              <w:rPr>
                <w:rFonts w:hint="eastAsia" w:ascii="仿宋" w:hAnsi="仿宋" w:eastAsia="仿宋" w:cs="仿宋"/>
                <w:color w:val="auto"/>
                <w:kern w:val="0"/>
                <w:szCs w:val="21"/>
                <w:highlight w:val="none"/>
                <w:u w:val="single"/>
                <w:lang w:val="en-US" w:eastAsia="zh-CN"/>
              </w:rPr>
            </w:pPr>
            <w:r>
              <w:rPr>
                <w:rFonts w:hint="eastAsia" w:ascii="仿宋" w:hAnsi="仿宋" w:eastAsia="仿宋" w:cs="仿宋"/>
                <w:color w:val="auto"/>
                <w:kern w:val="0"/>
                <w:szCs w:val="21"/>
                <w:highlight w:val="none"/>
                <w:lang w:val="zh-CN"/>
              </w:rPr>
              <w:t>□允许：分包内容要求：</w:t>
            </w:r>
            <w:r>
              <w:rPr>
                <w:rFonts w:hint="eastAsia" w:ascii="仿宋" w:hAnsi="仿宋" w:eastAsia="仿宋" w:cs="仿宋"/>
                <w:color w:val="auto"/>
                <w:kern w:val="0"/>
                <w:szCs w:val="21"/>
                <w:highlight w:val="none"/>
                <w:u w:val="single"/>
                <w:lang w:val="en-US" w:eastAsia="zh-CN"/>
              </w:rPr>
              <w:t xml:space="preserve">                   </w:t>
            </w:r>
          </w:p>
          <w:p>
            <w:pPr>
              <w:pageBreakBefore w:val="0"/>
              <w:kinsoku/>
              <w:wordWrap/>
              <w:overflowPunct/>
              <w:topLinePunct w:val="0"/>
              <w:bidi w:val="0"/>
              <w:snapToGrid/>
              <w:spacing w:line="440" w:lineRule="exac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分包金额要求：</w:t>
            </w:r>
            <w:r>
              <w:rPr>
                <w:rFonts w:hint="eastAsia" w:ascii="仿宋" w:hAnsi="仿宋" w:eastAsia="仿宋" w:cs="仿宋"/>
                <w:color w:val="auto"/>
                <w:kern w:val="0"/>
                <w:szCs w:val="21"/>
                <w:highlight w:val="none"/>
                <w:u w:val="single"/>
                <w:lang w:val="en-US" w:eastAsia="zh-CN"/>
              </w:rPr>
              <w:t xml:space="preserve">                     </w:t>
            </w:r>
          </w:p>
          <w:p>
            <w:pPr>
              <w:pageBreakBefore w:val="0"/>
              <w:kinsoku/>
              <w:wordWrap/>
              <w:overflowPunct/>
              <w:topLinePunct w:val="0"/>
              <w:bidi w:val="0"/>
              <w:snapToGrid/>
              <w:spacing w:line="440" w:lineRule="exac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zh-CN"/>
              </w:rPr>
              <w:t xml:space="preserve">        对分包人的资质要求：</w:t>
            </w:r>
            <w:r>
              <w:rPr>
                <w:rFonts w:hint="eastAsia" w:ascii="仿宋" w:hAnsi="仿宋" w:eastAsia="仿宋" w:cs="仿宋"/>
                <w:color w:val="auto"/>
                <w:kern w:val="0"/>
                <w:szCs w:val="21"/>
                <w:highlight w:val="none"/>
                <w:u w:val="single"/>
                <w:lang w:val="en-US" w:eastAsia="zh-CN"/>
              </w:rPr>
              <w:t xml:space="preserve">                   </w:t>
            </w:r>
          </w:p>
          <w:p>
            <w:pPr>
              <w:pageBreakBefore w:val="0"/>
              <w:kinsoku/>
              <w:wordWrap/>
              <w:overflowPunct/>
              <w:topLinePunct w:val="0"/>
              <w:bidi w:val="0"/>
              <w:snapToGrid/>
              <w:spacing w:line="440" w:lineRule="exact"/>
              <w:rPr>
                <w:rFonts w:hint="eastAsia" w:ascii="仿宋" w:hAnsi="仿宋" w:eastAsia="仿宋" w:cs="仿宋"/>
                <w:color w:val="auto"/>
                <w:kern w:val="0"/>
                <w:szCs w:val="21"/>
                <w:highlight w:val="none"/>
                <w:u w:val="single"/>
                <w:lang w:val="en-US" w:eastAsia="zh-CN"/>
              </w:rPr>
            </w:pPr>
            <w:r>
              <w:rPr>
                <w:rFonts w:hint="eastAsia" w:ascii="仿宋" w:hAnsi="仿宋" w:eastAsia="仿宋" w:cs="仿宋"/>
                <w:color w:val="auto"/>
                <w:kern w:val="0"/>
                <w:szCs w:val="21"/>
                <w:highlight w:val="none"/>
                <w:lang w:val="zh-CN"/>
              </w:rPr>
              <w:t xml:space="preserve">        对分包人的其他要求：</w:t>
            </w:r>
            <w:r>
              <w:rPr>
                <w:rFonts w:hint="eastAsia" w:ascii="仿宋" w:hAnsi="仿宋" w:eastAsia="仿宋" w:cs="仿宋"/>
                <w:color w:val="auto"/>
                <w:szCs w:val="21"/>
                <w:highlight w:val="none"/>
                <w:u w:val="single"/>
                <w:lang w:val="en-US" w:eastAsia="zh-CN"/>
              </w:rPr>
              <w:t xml:space="preserve">                     </w:t>
            </w:r>
          </w:p>
          <w:p>
            <w:pPr>
              <w:pStyle w:val="2"/>
              <w:pageBreakBefore w:val="0"/>
              <w:kinsoku/>
              <w:wordWrap/>
              <w:overflowPunct/>
              <w:topLinePunct w:val="0"/>
              <w:bidi w:val="0"/>
              <w:snapToGrid/>
              <w:spacing w:line="440" w:lineRule="exact"/>
              <w:rPr>
                <w:rFonts w:hint="eastAsia" w:ascii="仿宋" w:hAnsi="仿宋" w:eastAsia="仿宋" w:cs="仿宋"/>
                <w:color w:val="auto"/>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1、按照交易平台关于全流程电子化项目的相关指南进行操作。详见：</w:t>
            </w:r>
            <w:r>
              <w:rPr>
                <w:rFonts w:hint="eastAsia" w:ascii="仿宋" w:hAnsi="仿宋" w:eastAsia="仿宋" w:cs="仿宋"/>
                <w:color w:val="auto"/>
                <w:szCs w:val="21"/>
                <w:highlight w:val="none"/>
                <w:u w:val="single"/>
              </w:rPr>
              <w:t>广州交易集团有限公司（广州公共资源交易中心）网站最新指引。</w:t>
            </w:r>
            <w:r>
              <w:rPr>
                <w:rFonts w:hint="eastAsia" w:ascii="仿宋" w:hAnsi="仿宋" w:eastAsia="仿宋" w:cs="仿宋"/>
                <w:color w:val="auto"/>
                <w:szCs w:val="21"/>
                <w:highlight w:val="none"/>
              </w:rPr>
              <w:t xml:space="preserve">  </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2、提交投标文件光盘备用</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可制作非加密的电子投标文件（PDF格式）刻入光盘（1份），在投标须知前附表第18项规定的时间、地点凭法定代表人明书及法定代表人授权委托书（授权代表递交时出具)递交投标文件备用光盘，并出示本人身份证原件。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3、补救方案</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（1）投标文件解密失败的补救方案：</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（2）评标时突发情况的补救方案</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若遇不可抗力发生（指网络瘫痪、服务器损坏、交易系统故障短期无法恢复等因素），由评标委员会开启投标人递交的全部投标文件光盘，并按光盘内容进行评审。</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（3）除发生上述情况外，开标评标均以投标人通过</w:t>
            </w:r>
            <w:r>
              <w:rPr>
                <w:rFonts w:hint="eastAsia" w:ascii="仿宋" w:hAnsi="仿宋" w:eastAsia="仿宋" w:cs="仿宋"/>
                <w:color w:val="auto"/>
                <w:szCs w:val="21"/>
                <w:highlight w:val="none"/>
                <w:u w:val="single"/>
              </w:rPr>
              <w:t>广州交易集团有限公司（广州公共资源交易中心）</w:t>
            </w:r>
            <w:r>
              <w:rPr>
                <w:rFonts w:hint="eastAsia" w:ascii="仿宋" w:hAnsi="仿宋" w:eastAsia="仿宋" w:cs="仿宋"/>
                <w:color w:val="auto"/>
                <w:szCs w:val="21"/>
                <w:highlight w:val="none"/>
              </w:rPr>
              <w:t>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招标人对中标人参与“百千万工程”的具体要求</w:t>
            </w:r>
          </w:p>
          <w:p>
            <w:pPr>
              <w:pageBreakBefore w:val="0"/>
              <w:kinsoku/>
              <w:wordWrap/>
              <w:overflowPunct/>
              <w:topLinePunct w:val="0"/>
              <w:bidi w:val="0"/>
              <w:snapToGrid/>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说明与要求</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kern w:val="0"/>
                <w:sz w:val="22"/>
                <w:highlight w:val="none"/>
                <w:lang w:val="zh-CN"/>
              </w:rPr>
            </w:pPr>
            <w:r>
              <w:rPr>
                <w:rFonts w:hint="eastAsia" w:ascii="仿宋" w:hAnsi="仿宋" w:eastAsia="仿宋" w:cs="仿宋"/>
                <w:color w:val="auto"/>
                <w:kern w:val="0"/>
                <w:sz w:val="22"/>
                <w:highlight w:val="none"/>
                <w:lang w:val="zh-CN"/>
              </w:rPr>
              <w:t>☑具体要求在中标后按照投标承诺和招标人的要求执行。</w:t>
            </w:r>
          </w:p>
          <w:p>
            <w:pPr>
              <w:pageBreakBefore w:val="0"/>
              <w:kinsoku/>
              <w:wordWrap/>
              <w:overflowPunct/>
              <w:topLinePunct w:val="0"/>
              <w:bidi w:val="0"/>
              <w:snapToGrid/>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0"/>
                <w:sz w:val="22"/>
                <w:highlight w:val="none"/>
                <w:lang w:val="zh-CN"/>
              </w:rPr>
              <w:t>□具体要求：（由招标人填写）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40" w:lineRule="exact"/>
              <w:jc w:val="center"/>
              <w:textAlignment w:val="auto"/>
              <w:rPr>
                <w:rFonts w:hint="eastAsia" w:ascii="仿宋" w:hAnsi="仿宋" w:eastAsia="仿宋" w:cs="仿宋"/>
                <w:color w:val="auto"/>
                <w:highlight w:val="none"/>
                <w:u w:val="single"/>
              </w:rPr>
            </w:pPr>
            <w:r>
              <w:rPr>
                <w:rFonts w:hint="eastAsia" w:ascii="仿宋" w:hAnsi="仿宋" w:eastAsia="仿宋" w:cs="仿宋"/>
                <w:b/>
                <w:bCs/>
                <w:color w:val="auto"/>
                <w:sz w:val="21"/>
                <w:szCs w:val="21"/>
                <w:highlight w:val="none"/>
                <w:u w:val="single"/>
                <w:lang w:val="en-US"/>
              </w:rPr>
              <w:t>经济标评审优惠政策</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eastAsia" w:ascii="仿宋" w:hAnsi="仿宋" w:eastAsia="仿宋" w:cs="仿宋"/>
                <w:b/>
                <w:bCs/>
                <w:color w:val="auto"/>
                <w:kern w:val="2"/>
                <w:sz w:val="21"/>
                <w:szCs w:val="21"/>
                <w:highlight w:val="none"/>
                <w:u w:val="single"/>
                <w:lang w:val="en-US" w:eastAsia="zh-CN" w:bidi="ar-SA"/>
              </w:rPr>
            </w:pPr>
            <w:r>
              <w:rPr>
                <w:rFonts w:hint="eastAsia" w:ascii="仿宋" w:hAnsi="仿宋" w:eastAsia="仿宋" w:cs="仿宋"/>
                <w:b/>
                <w:bCs/>
                <w:color w:val="auto"/>
                <w:kern w:val="2"/>
                <w:sz w:val="21"/>
                <w:szCs w:val="21"/>
                <w:highlight w:val="none"/>
                <w:u w:val="single"/>
                <w:lang w:val="en-US" w:eastAsia="zh-CN" w:bidi="ar-SA"/>
              </w:rPr>
              <w:t>1、根据《广东省政府采购促进中小企业发展实施细则（试行）》（粤财采购〔2022〕10号）要求，对符合《政府采购促进中小企业发展管理办法》（财库〔2020〕46号）的投标人，给予相应的价格评审优惠。</w:t>
            </w:r>
          </w:p>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eastAsia" w:ascii="仿宋" w:hAnsi="仿宋" w:eastAsia="仿宋" w:cs="仿宋"/>
                <w:b/>
                <w:bCs/>
                <w:color w:val="auto"/>
                <w:kern w:val="2"/>
                <w:sz w:val="21"/>
                <w:szCs w:val="21"/>
                <w:highlight w:val="none"/>
                <w:u w:val="single"/>
                <w:lang w:val="en-US" w:eastAsia="zh-CN" w:bidi="ar-SA"/>
              </w:rPr>
            </w:pPr>
            <w:r>
              <w:rPr>
                <w:rFonts w:hint="eastAsia" w:ascii="仿宋" w:hAnsi="仿宋" w:eastAsia="仿宋" w:cs="仿宋"/>
                <w:b/>
                <w:bCs/>
                <w:color w:val="auto"/>
                <w:kern w:val="2"/>
                <w:sz w:val="21"/>
                <w:szCs w:val="21"/>
                <w:highlight w:val="none"/>
                <w:u w:val="single"/>
                <w:lang w:val="en-US" w:eastAsia="zh-CN" w:bidi="ar-SA"/>
              </w:rPr>
              <w:t>2、本招标项目评标计算价格分</w:t>
            </w:r>
            <w:r>
              <w:rPr>
                <w:rFonts w:hint="eastAsia" w:ascii="仿宋" w:hAnsi="仿宋" w:eastAsia="仿宋" w:cs="仿宋"/>
                <w:b/>
                <w:bCs/>
                <w:color w:val="auto"/>
                <w:highlight w:val="none"/>
                <w:u w:val="single"/>
                <w:lang w:val="zh-CN" w:eastAsia="zh-CN"/>
              </w:rPr>
              <w:t>（经济分）</w:t>
            </w:r>
            <w:r>
              <w:rPr>
                <w:rFonts w:hint="eastAsia" w:ascii="仿宋" w:hAnsi="仿宋" w:eastAsia="仿宋" w:cs="仿宋"/>
                <w:b/>
                <w:bCs/>
                <w:color w:val="auto"/>
                <w:kern w:val="2"/>
                <w:sz w:val="21"/>
                <w:szCs w:val="21"/>
                <w:highlight w:val="none"/>
                <w:u w:val="single"/>
                <w:lang w:val="en-US" w:eastAsia="zh-CN" w:bidi="ar-SA"/>
              </w:rPr>
              <w:t>时，对小微企业投标的，在采用原报价进行评分的基础上增加其价格得分的5%作为其价格分</w:t>
            </w:r>
            <w:r>
              <w:rPr>
                <w:rFonts w:hint="eastAsia" w:ascii="仿宋" w:hAnsi="仿宋" w:eastAsia="仿宋" w:cs="仿宋"/>
                <w:b/>
                <w:bCs/>
                <w:color w:val="auto"/>
                <w:highlight w:val="none"/>
                <w:u w:val="single"/>
                <w:lang w:val="zh-CN" w:eastAsia="zh-CN"/>
              </w:rPr>
              <w:t>（经济分）。若原报价已满分，仍可突破满分上限继续享受加分优惠，以实际计算结果作为最终价格分（经济分）。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eastAsia" w:ascii="仿宋" w:hAnsi="仿宋" w:eastAsia="仿宋" w:cs="仿宋"/>
                <w:b/>
                <w:bCs/>
                <w:color w:val="auto"/>
                <w:kern w:val="2"/>
                <w:sz w:val="21"/>
                <w:szCs w:val="21"/>
                <w:highlight w:val="none"/>
                <w:u w:val="single"/>
                <w:lang w:val="en-US" w:eastAsia="zh-CN" w:bidi="ar-SA"/>
              </w:rPr>
            </w:pPr>
            <w:r>
              <w:rPr>
                <w:rFonts w:hint="eastAsia" w:ascii="仿宋" w:hAnsi="仿宋" w:eastAsia="仿宋" w:cs="仿宋"/>
                <w:b/>
                <w:bCs/>
                <w:color w:val="auto"/>
                <w:kern w:val="2"/>
                <w:sz w:val="21"/>
                <w:szCs w:val="21"/>
                <w:highlight w:val="none"/>
                <w:u w:val="single"/>
                <w:lang w:val="en-US" w:eastAsia="zh-CN" w:bidi="ar-SA"/>
              </w:rPr>
              <w:t>3、投标人应按《政府采购促进中小企业发展管理办法》（财库〔2020〕46号）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仿宋" w:hAnsi="仿宋" w:eastAsia="仿宋" w:cs="仿宋"/>
                <w:color w:val="auto"/>
                <w:highlight w:val="none"/>
                <w:u w:val="single"/>
                <w:lang w:val="en-US" w:eastAsia="zh-CN"/>
              </w:rPr>
            </w:pPr>
            <w:r>
              <w:rPr>
                <w:rFonts w:hint="eastAsia" w:ascii="仿宋" w:hAnsi="仿宋" w:eastAsia="仿宋" w:cs="仿宋"/>
                <w:b/>
                <w:bCs/>
                <w:color w:val="auto"/>
                <w:kern w:val="2"/>
                <w:sz w:val="21"/>
                <w:szCs w:val="21"/>
                <w:highlight w:val="none"/>
                <w:u w:val="single"/>
                <w:lang w:val="en-US" w:eastAsia="zh-CN" w:bidi="ar-SA"/>
              </w:rPr>
              <w:t>4、小微企业划分标准按照《工业和信息化部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eastAsia" w:ascii="仿宋" w:hAnsi="仿宋" w:eastAsia="仿宋" w:cs="仿宋"/>
                <w:b/>
                <w:bCs/>
                <w:strike/>
                <w:color w:val="auto"/>
                <w:kern w:val="2"/>
                <w:sz w:val="21"/>
                <w:szCs w:val="21"/>
                <w:highlight w:val="none"/>
                <w:u w:val="single"/>
                <w:lang w:val="en-US" w:eastAsia="zh-CN" w:bidi="ar-SA"/>
              </w:rPr>
            </w:pPr>
            <w:r>
              <w:rPr>
                <w:rFonts w:hint="eastAsia" w:ascii="仿宋" w:hAnsi="仿宋" w:eastAsia="仿宋" w:cs="仿宋"/>
                <w:b/>
                <w:bCs/>
                <w:color w:val="auto"/>
                <w:kern w:val="2"/>
                <w:sz w:val="21"/>
                <w:szCs w:val="21"/>
                <w:highlight w:val="none"/>
                <w:u w:val="single"/>
                <w:lang w:val="en-US" w:eastAsia="zh-CN" w:bidi="ar-SA"/>
              </w:rPr>
              <w:t>注：（1）小微企业，是指在中华人民共和国境内依法设立，依据国务院批准的中小企业划分标准确定的小型企业和微型企业，但与大企业的负责人为同一人，或者与大企业存在直接控股、管理关系的除外。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eastAsia" w:ascii="仿宋" w:hAnsi="仿宋" w:eastAsia="仿宋" w:cs="仿宋"/>
                <w:b/>
                <w:bCs/>
                <w:color w:val="auto"/>
                <w:kern w:val="2"/>
                <w:sz w:val="21"/>
                <w:szCs w:val="21"/>
                <w:highlight w:val="none"/>
                <w:u w:val="single"/>
                <w:lang w:val="en-US" w:eastAsia="zh-CN" w:bidi="ar-SA"/>
              </w:rPr>
            </w:pPr>
            <w:r>
              <w:rPr>
                <w:rFonts w:hint="eastAsia" w:ascii="仿宋" w:hAnsi="仿宋" w:eastAsia="仿宋" w:cs="仿宋"/>
                <w:b/>
                <w:bCs/>
                <w:color w:val="auto"/>
                <w:kern w:val="2"/>
                <w:sz w:val="21"/>
                <w:szCs w:val="21"/>
                <w:highlight w:val="none"/>
                <w:u w:val="single"/>
                <w:lang w:val="en-US" w:eastAsia="zh-CN" w:bidi="ar-SA"/>
              </w:rPr>
              <w:t>（2）公示期间如有异议、投诉的，被异议、投诉单位需提供注册登记所在地的县级以上人民政府中小企业主管部门认定函。</w:t>
            </w:r>
          </w:p>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hint="eastAsia" w:ascii="仿宋" w:hAnsi="仿宋" w:eastAsia="仿宋" w:cs="仿宋"/>
                <w:b/>
                <w:bCs/>
                <w:color w:val="auto"/>
                <w:kern w:val="2"/>
                <w:sz w:val="21"/>
                <w:szCs w:val="21"/>
                <w:highlight w:val="none"/>
                <w:u w:val="single"/>
                <w:lang w:val="en-US" w:eastAsia="zh-CN" w:bidi="ar-SA"/>
              </w:rPr>
            </w:pPr>
            <w:r>
              <w:rPr>
                <w:rFonts w:hint="eastAsia" w:ascii="仿宋" w:hAnsi="仿宋" w:eastAsia="仿宋" w:cs="仿宋"/>
                <w:b/>
                <w:bCs/>
                <w:color w:val="auto"/>
                <w:highlight w:val="none"/>
                <w:u w:val="single"/>
                <w:lang w:val="zh-CN" w:eastAsia="zh-CN"/>
              </w:rPr>
              <w:t>（</w:t>
            </w:r>
            <w:r>
              <w:rPr>
                <w:rFonts w:hint="eastAsia" w:ascii="仿宋" w:hAnsi="仿宋" w:eastAsia="仿宋" w:cs="仿宋"/>
                <w:b/>
                <w:bCs/>
                <w:color w:val="auto"/>
                <w:highlight w:val="none"/>
                <w:u w:val="single"/>
                <w:lang w:val="en-US" w:eastAsia="zh-CN"/>
              </w:rPr>
              <w:t>3</w:t>
            </w:r>
            <w:r>
              <w:rPr>
                <w:rFonts w:hint="eastAsia" w:ascii="仿宋" w:hAnsi="仿宋" w:eastAsia="仿宋" w:cs="仿宋"/>
                <w:b/>
                <w:bCs/>
                <w:color w:val="auto"/>
                <w:highlight w:val="none"/>
                <w:u w:val="single"/>
                <w:lang w:val="zh-CN" w:eastAsia="zh-CN"/>
              </w:rPr>
              <w:t>）规定享受扶持政策获得</w:t>
            </w:r>
            <w:r>
              <w:rPr>
                <w:rFonts w:hint="eastAsia" w:ascii="仿宋" w:hAnsi="仿宋" w:eastAsia="仿宋" w:cs="仿宋"/>
                <w:b/>
                <w:bCs/>
                <w:color w:val="auto"/>
                <w:highlight w:val="none"/>
                <w:u w:val="single"/>
                <w:lang w:val="en-US" w:eastAsia="zh-CN"/>
              </w:rPr>
              <w:t>承包</w:t>
            </w:r>
            <w:r>
              <w:rPr>
                <w:rFonts w:hint="eastAsia" w:ascii="仿宋" w:hAnsi="仿宋" w:eastAsia="仿宋" w:cs="仿宋"/>
                <w:b/>
                <w:bCs/>
                <w:color w:val="auto"/>
                <w:highlight w:val="none"/>
                <w:u w:val="single"/>
                <w:lang w:val="zh-CN" w:eastAsia="zh-CN"/>
              </w:rPr>
              <w:t>合同的，小微企业不得将合同分包给大中型企业，中型企业不得将合同分包给大型企业。</w:t>
            </w:r>
          </w:p>
          <w:p>
            <w:pPr>
              <w:keepNext w:val="0"/>
              <w:keepLines w:val="0"/>
              <w:pageBreakBefore w:val="0"/>
              <w:widowControl w:val="0"/>
              <w:kinsoku/>
              <w:wordWrap/>
              <w:overflowPunct/>
              <w:topLinePunct w:val="0"/>
              <w:bidi w:val="0"/>
              <w:snapToGrid/>
              <w:spacing w:line="440" w:lineRule="exact"/>
              <w:textAlignment w:val="auto"/>
              <w:rPr>
                <w:rFonts w:hint="eastAsia" w:ascii="仿宋" w:hAnsi="仿宋" w:eastAsia="仿宋" w:cs="仿宋"/>
                <w:color w:val="auto"/>
                <w:kern w:val="0"/>
                <w:sz w:val="22"/>
                <w:highlight w:val="none"/>
                <w:u w:val="single"/>
                <w:lang w:val="zh-CN"/>
              </w:rPr>
            </w:pPr>
            <w:r>
              <w:rPr>
                <w:rFonts w:hint="eastAsia" w:ascii="仿宋" w:hAnsi="仿宋" w:eastAsia="仿宋" w:cs="仿宋"/>
                <w:b/>
                <w:bCs/>
                <w:color w:val="auto"/>
                <w:kern w:val="2"/>
                <w:sz w:val="21"/>
                <w:szCs w:val="21"/>
                <w:highlight w:val="none"/>
                <w:u w:val="single"/>
                <w:lang w:val="en-US" w:eastAsia="zh-CN" w:bidi="ar-SA"/>
              </w:rPr>
              <w:t>（4）根据《财政部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kern w:val="0"/>
                <w:sz w:val="22"/>
                <w:highlight w:val="none"/>
                <w:u w:val="single"/>
                <w:lang w:val="zh-CN"/>
              </w:rPr>
            </w:pPr>
            <w:r>
              <w:rPr>
                <w:rFonts w:hint="eastAsia" w:ascii="仿宋" w:hAnsi="仿宋" w:eastAsia="仿宋" w:cs="仿宋"/>
                <w:color w:val="auto"/>
                <w:kern w:val="0"/>
                <w:sz w:val="22"/>
                <w:highlight w:val="none"/>
                <w:u w:val="single"/>
                <w:lang w:val="zh-CN"/>
              </w:rPr>
              <w:t>1、在投标截止期后逾期或未在指定地点递交投标文件备用光盘的；</w:t>
            </w:r>
          </w:p>
          <w:p>
            <w:pPr>
              <w:pageBreakBefore w:val="0"/>
              <w:kinsoku/>
              <w:wordWrap/>
              <w:overflowPunct/>
              <w:topLinePunct w:val="0"/>
              <w:bidi w:val="0"/>
              <w:snapToGrid/>
              <w:spacing w:line="440" w:lineRule="exact"/>
              <w:rPr>
                <w:rFonts w:hint="eastAsia" w:ascii="仿宋" w:hAnsi="仿宋" w:eastAsia="仿宋" w:cs="仿宋"/>
                <w:color w:val="auto"/>
                <w:kern w:val="0"/>
                <w:sz w:val="22"/>
                <w:highlight w:val="none"/>
                <w:u w:val="single"/>
                <w:lang w:val="zh-CN"/>
              </w:rPr>
            </w:pPr>
            <w:r>
              <w:rPr>
                <w:rFonts w:hint="eastAsia" w:ascii="仿宋" w:hAnsi="仿宋" w:eastAsia="仿宋" w:cs="仿宋"/>
                <w:color w:val="auto"/>
                <w:kern w:val="0"/>
                <w:sz w:val="22"/>
                <w:highlight w:val="none"/>
                <w:u w:val="single"/>
                <w:lang w:val="zh-CN"/>
              </w:rPr>
              <w:t>2、投标文件备用光盘未按招标文件要求密封或未在密封处盖章的；</w:t>
            </w:r>
          </w:p>
          <w:p>
            <w:pPr>
              <w:pageBreakBefore w:val="0"/>
              <w:kinsoku/>
              <w:wordWrap/>
              <w:overflowPunct/>
              <w:topLinePunct w:val="0"/>
              <w:bidi w:val="0"/>
              <w:snapToGrid/>
              <w:spacing w:line="440" w:lineRule="exact"/>
              <w:rPr>
                <w:rFonts w:hint="eastAsia" w:ascii="仿宋" w:hAnsi="仿宋" w:eastAsia="仿宋" w:cs="仿宋"/>
                <w:color w:val="auto"/>
                <w:kern w:val="0"/>
                <w:sz w:val="22"/>
                <w:highlight w:val="none"/>
                <w:u w:val="single"/>
                <w:lang w:val="zh-CN"/>
              </w:rPr>
            </w:pPr>
            <w:r>
              <w:rPr>
                <w:rFonts w:hint="eastAsia" w:ascii="仿宋" w:hAnsi="仿宋" w:eastAsia="仿宋" w:cs="仿宋"/>
                <w:color w:val="auto"/>
                <w:kern w:val="0"/>
                <w:sz w:val="22"/>
                <w:highlight w:val="none"/>
                <w:u w:val="single"/>
                <w:lang w:val="zh-CN"/>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40</w:t>
            </w:r>
          </w:p>
        </w:tc>
        <w:tc>
          <w:tcPr>
            <w:tcW w:w="981" w:type="dxa"/>
            <w:tcBorders>
              <w:top w:val="single" w:color="auto" w:sz="4" w:space="0"/>
              <w:left w:val="single" w:color="auto" w:sz="4" w:space="0"/>
              <w:bottom w:val="doub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pageBreakBefore w:val="0"/>
              <w:kinsoku/>
              <w:wordWrap/>
              <w:overflowPunct/>
              <w:topLinePunct w:val="0"/>
              <w:bidi w:val="0"/>
              <w:snapToGrid/>
              <w:spacing w:line="440" w:lineRule="exact"/>
              <w:jc w:val="center"/>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lang w:val="en-US" w:eastAsia="zh-CN"/>
              </w:rPr>
              <w:t>其他</w:t>
            </w:r>
          </w:p>
        </w:tc>
        <w:tc>
          <w:tcPr>
            <w:tcW w:w="5857" w:type="dxa"/>
            <w:tcBorders>
              <w:top w:val="single" w:color="auto" w:sz="4" w:space="0"/>
              <w:left w:val="single" w:color="auto" w:sz="4" w:space="0"/>
              <w:bottom w:val="double" w:color="auto" w:sz="4" w:space="0"/>
              <w:right w:val="double" w:color="auto" w:sz="4" w:space="0"/>
            </w:tcBorders>
            <w:vAlign w:val="center"/>
          </w:tcPr>
          <w:p>
            <w:pPr>
              <w:pageBreakBefore w:val="0"/>
              <w:kinsoku/>
              <w:wordWrap/>
              <w:overflowPunct/>
              <w:topLinePunct w:val="0"/>
              <w:bidi w:val="0"/>
              <w:snapToGrid/>
              <w:spacing w:line="440" w:lineRule="exact"/>
              <w:rPr>
                <w:rFonts w:hint="eastAsia" w:ascii="仿宋" w:hAnsi="仿宋" w:eastAsia="仿宋" w:cs="仿宋"/>
                <w:color w:val="auto"/>
                <w:kern w:val="0"/>
                <w:sz w:val="22"/>
                <w:highlight w:val="none"/>
                <w:u w:val="single"/>
                <w:lang w:val="zh-CN"/>
              </w:rPr>
            </w:pPr>
            <w:r>
              <w:rPr>
                <w:rFonts w:hint="eastAsia" w:ascii="仿宋" w:hAnsi="仿宋" w:eastAsia="仿宋" w:cs="仿宋"/>
                <w:color w:val="auto"/>
                <w:kern w:val="0"/>
                <w:sz w:val="22"/>
                <w:highlight w:val="none"/>
                <w:u w:val="single"/>
                <w:lang w:val="zh-CN"/>
              </w:rPr>
              <w:t>中标单位在中标公示后，须提供与所递交投标电子标书内容一致</w:t>
            </w:r>
          </w:p>
          <w:p>
            <w:pPr>
              <w:pageBreakBefore w:val="0"/>
              <w:kinsoku/>
              <w:wordWrap/>
              <w:overflowPunct/>
              <w:topLinePunct w:val="0"/>
              <w:bidi w:val="0"/>
              <w:snapToGrid/>
              <w:spacing w:line="440" w:lineRule="exact"/>
              <w:rPr>
                <w:rFonts w:hint="eastAsia" w:ascii="仿宋" w:hAnsi="仿宋" w:eastAsia="仿宋" w:cs="仿宋"/>
                <w:color w:val="auto"/>
                <w:kern w:val="0"/>
                <w:sz w:val="22"/>
                <w:highlight w:val="none"/>
                <w:u w:val="single"/>
                <w:lang w:val="zh-CN"/>
              </w:rPr>
            </w:pPr>
            <w:r>
              <w:rPr>
                <w:rFonts w:hint="eastAsia" w:ascii="仿宋" w:hAnsi="仿宋" w:eastAsia="仿宋" w:cs="仿宋"/>
                <w:color w:val="auto"/>
                <w:kern w:val="0"/>
                <w:sz w:val="22"/>
                <w:highlight w:val="none"/>
                <w:u w:val="single"/>
                <w:lang w:val="zh-CN"/>
              </w:rPr>
              <w:t>且加盖单位公章的纸质文件四套及电子文件四套（不用生成投标书；包括用Microsoft Excel 软件或广州交易集团有限公司（广州公共资源交易中心）提供的投标书制作软件制作的工程量清单报价表和单价分析表，用Microsoft Word软件或广州交易集团有限公司（广州公共资源交易中心）提供的投标书制作软件制作的经济投标文件其他部分。电子文件介质使用CD-R光盘，所有电子文件不能采用压缩处理）给招标单位。</w:t>
            </w:r>
          </w:p>
        </w:tc>
      </w:tr>
    </w:tbl>
    <w:p>
      <w:pPr>
        <w:pageBreakBefore w:val="0"/>
        <w:kinsoku/>
        <w:wordWrap/>
        <w:overflowPunct/>
        <w:topLinePunct w:val="0"/>
        <w:bidi w:val="0"/>
        <w:snapToGrid/>
        <w:spacing w:line="440" w:lineRule="exact"/>
        <w:rPr>
          <w:rFonts w:hint="eastAsia" w:ascii="仿宋" w:hAnsi="仿宋" w:eastAsia="仿宋" w:cs="仿宋"/>
          <w:color w:val="auto"/>
          <w:sz w:val="24"/>
          <w:highlight w:val="none"/>
        </w:rPr>
      </w:pPr>
      <w:r>
        <w:rPr>
          <w:rFonts w:hint="eastAsia" w:ascii="仿宋" w:hAnsi="仿宋" w:eastAsia="仿宋" w:cs="仿宋"/>
          <w:strike/>
          <w:dstrike w:val="0"/>
          <w:color w:val="auto"/>
          <w:sz w:val="24"/>
          <w:highlight w:val="none"/>
        </w:rPr>
        <w:t>注：企业</w:t>
      </w:r>
      <w:r>
        <w:rPr>
          <w:rFonts w:hint="eastAsia" w:ascii="仿宋" w:hAnsi="仿宋" w:eastAsia="仿宋" w:cs="仿宋"/>
          <w:strike/>
          <w:dstrike w:val="0"/>
          <w:color w:val="auto"/>
          <w:kern w:val="0"/>
          <w:sz w:val="24"/>
          <w:highlight w:val="none"/>
        </w:rPr>
        <w:t>综合诚信评价得分即</w:t>
      </w:r>
      <w:r>
        <w:rPr>
          <w:rFonts w:hint="eastAsia" w:ascii="仿宋" w:hAnsi="仿宋" w:eastAsia="仿宋" w:cs="仿宋"/>
          <w:strike/>
          <w:dstrike w:val="0"/>
          <w:color w:val="auto"/>
          <w:sz w:val="24"/>
          <w:highlight w:val="none"/>
        </w:rPr>
        <w:t>企业</w:t>
      </w:r>
      <w:r>
        <w:rPr>
          <w:rFonts w:hint="eastAsia" w:ascii="仿宋" w:hAnsi="仿宋" w:eastAsia="仿宋" w:cs="仿宋"/>
          <w:strike/>
          <w:dstrike w:val="0"/>
          <w:color w:val="auto"/>
          <w:kern w:val="0"/>
          <w:sz w:val="24"/>
          <w:highlight w:val="none"/>
        </w:rPr>
        <w:t>综合诚信评价60日诚信分，以下同。</w:t>
      </w:r>
    </w:p>
    <w:p>
      <w:pPr>
        <w:pStyle w:val="7"/>
        <w:pageBreakBefore w:val="0"/>
        <w:kinsoku/>
        <w:wordWrap/>
        <w:overflowPunct/>
        <w:topLinePunct w:val="0"/>
        <w:bidi w:val="0"/>
        <w:snapToGrid/>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8" w:name="_Toc2534"/>
      <w:bookmarkStart w:id="9" w:name="_Toc2628"/>
      <w:bookmarkStart w:id="10" w:name="_Toc2272547"/>
      <w:bookmarkStart w:id="11" w:name="_Toc21525491"/>
      <w:r>
        <w:rPr>
          <w:rFonts w:hint="eastAsia" w:ascii="仿宋" w:hAnsi="仿宋" w:eastAsia="仿宋" w:cs="仿宋"/>
          <w:color w:val="auto"/>
          <w:highlight w:val="none"/>
        </w:rPr>
        <w:t>二、投标须知修改表</w:t>
      </w:r>
      <w:bookmarkEnd w:id="8"/>
      <w:bookmarkEnd w:id="9"/>
      <w:bookmarkEnd w:id="10"/>
      <w:bookmarkEnd w:id="11"/>
    </w:p>
    <w:p>
      <w:pPr>
        <w:pStyle w:val="5"/>
        <w:pageBreakBefore w:val="0"/>
        <w:kinsoku/>
        <w:wordWrap/>
        <w:overflowPunct/>
        <w:topLinePunct w:val="0"/>
        <w:bidi w:val="0"/>
        <w:snapToGrid/>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条款号：5.1           修改类型：</w:t>
      </w:r>
      <w:r>
        <w:rPr>
          <w:rFonts w:hint="eastAsia" w:ascii="仿宋" w:hAnsi="仿宋" w:eastAsia="仿宋" w:cs="仿宋"/>
          <w:b/>
          <w:color w:val="auto"/>
          <w:szCs w:val="21"/>
          <w:highlight w:val="none"/>
          <w:lang w:val="en-US" w:eastAsia="zh-CN"/>
        </w:rPr>
        <w:t>修改</w:t>
      </w:r>
    </w:p>
    <w:p>
      <w:pPr>
        <w:pageBreakBefore w:val="0"/>
        <w:pBdr>
          <w:bottom w:val="single" w:color="auto" w:sz="6" w:space="1"/>
        </w:pBdr>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原文：</w:t>
      </w:r>
      <w:r>
        <w:rPr>
          <w:rFonts w:hint="eastAsia" w:ascii="仿宋" w:hAnsi="仿宋" w:eastAsia="仿宋" w:cs="仿宋"/>
          <w:b w:val="0"/>
          <w:bCs/>
          <w:color w:val="auto"/>
          <w:szCs w:val="21"/>
          <w:highlight w:val="none"/>
          <w:lang w:val="en-US" w:eastAsia="zh-CN"/>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ageBreakBefore w:val="0"/>
        <w:pBdr>
          <w:bottom w:val="single" w:color="auto" w:sz="6" w:space="1"/>
        </w:pBdr>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 w:val="0"/>
          <w:bCs/>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仿宋" w:hAnsi="仿宋" w:eastAsia="仿宋" w:cs="仿宋"/>
          <w:b w:val="0"/>
          <w:bCs/>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仿宋" w:hAnsi="仿宋" w:eastAsia="仿宋" w:cs="仿宋"/>
          <w:b w:val="0"/>
          <w:bCs/>
          <w:color w:val="auto"/>
          <w:szCs w:val="21"/>
          <w:highlight w:val="none"/>
        </w:rPr>
        <w:t>一旦中标，这种考察即被认为其结果已在中标文件中得到充分反映。</w:t>
      </w:r>
      <w:r>
        <w:rPr>
          <w:rFonts w:hint="eastAsia" w:ascii="仿宋" w:hAnsi="仿宋" w:eastAsia="仿宋" w:cs="仿宋"/>
          <w:b w:val="0"/>
          <w:bCs/>
          <w:color w:val="auto"/>
          <w:szCs w:val="21"/>
          <w:highlight w:val="none"/>
          <w:u w:val="single"/>
        </w:rPr>
        <w:t>招标人不受理因投标人缺乏对现场条件的了解或掌握而提出的任何索赔。考察现场的费用由投标人自己承担。</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条款号：7.1              修改类型：</w:t>
      </w:r>
      <w:r>
        <w:rPr>
          <w:rFonts w:hint="eastAsia" w:ascii="仿宋" w:hAnsi="仿宋" w:eastAsia="仿宋" w:cs="仿宋"/>
          <w:b/>
          <w:color w:val="auto"/>
          <w:szCs w:val="21"/>
          <w:highlight w:val="none"/>
          <w:lang w:val="en-US" w:eastAsia="zh-CN"/>
        </w:rPr>
        <w:t>修改</w:t>
      </w:r>
    </w:p>
    <w:p>
      <w:pPr>
        <w:pageBreakBefore w:val="0"/>
        <w:kinsoku/>
        <w:wordWrap/>
        <w:overflowPunct/>
        <w:topLinePunct w:val="0"/>
        <w:bidi w:val="0"/>
        <w:snapToGrid/>
        <w:spacing w:line="440" w:lineRule="exact"/>
        <w:ind w:firstLine="422" w:firstLineChars="200"/>
        <w:rPr>
          <w:rFonts w:hint="eastAsia" w:ascii="仿宋" w:hAnsi="仿宋" w:eastAsia="仿宋" w:cs="仿宋"/>
          <w:b w:val="0"/>
          <w:bCs/>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 w:val="0"/>
          <w:bCs/>
          <w:color w:val="auto"/>
          <w:szCs w:val="21"/>
          <w:highlight w:val="none"/>
        </w:rPr>
        <w:t>7.1 本招标文件包括下列文件，以及所有按本须知第8条发出的招标答疑会会议纪要和按本须知第9条发出的澄清或修改：</w:t>
      </w:r>
    </w:p>
    <w:p>
      <w:pPr>
        <w:pageBreakBefore w:val="0"/>
        <w:pBdr>
          <w:bottom w:val="single" w:color="auto" w:sz="6" w:space="1"/>
        </w:pBdr>
        <w:kinsoku/>
        <w:wordWrap/>
        <w:overflowPunct/>
        <w:topLinePunct w:val="0"/>
        <w:bidi w:val="0"/>
        <w:snapToGrid/>
        <w:spacing w:line="440" w:lineRule="exact"/>
        <w:ind w:firstLine="472" w:firstLineChars="224"/>
        <w:rPr>
          <w:rFonts w:hint="eastAsia" w:ascii="仿宋" w:hAnsi="仿宋" w:eastAsia="仿宋" w:cs="仿宋"/>
          <w:b w:val="0"/>
          <w:bCs/>
          <w:color w:val="auto"/>
          <w:szCs w:val="21"/>
          <w:highlight w:val="none"/>
          <w:lang w:val="en-US" w:eastAsia="zh-CN"/>
        </w:rPr>
      </w:pPr>
      <w:r>
        <w:rPr>
          <w:rFonts w:hint="eastAsia" w:ascii="仿宋" w:hAnsi="仿宋" w:eastAsia="仿宋" w:cs="仿宋"/>
          <w:b/>
          <w:color w:val="auto"/>
          <w:szCs w:val="21"/>
          <w:highlight w:val="none"/>
          <w:lang w:val="en-US" w:eastAsia="zh-CN"/>
        </w:rPr>
        <w:t>现文：</w:t>
      </w:r>
      <w:r>
        <w:rPr>
          <w:rFonts w:hint="eastAsia" w:ascii="仿宋" w:hAnsi="仿宋" w:eastAsia="仿宋" w:cs="仿宋"/>
          <w:b w:val="0"/>
          <w:bCs/>
          <w:color w:val="auto"/>
          <w:szCs w:val="21"/>
          <w:highlight w:val="none"/>
          <w:lang w:val="en-US" w:eastAsia="zh-CN"/>
        </w:rPr>
        <w:t>7.1本招标文件包括下列文件，以及所有按本须知第8条发出的</w:t>
      </w:r>
      <w:r>
        <w:rPr>
          <w:rFonts w:hint="eastAsia" w:ascii="仿宋" w:hAnsi="仿宋" w:eastAsia="仿宋" w:cs="仿宋"/>
          <w:b w:val="0"/>
          <w:bCs/>
          <w:color w:val="auto"/>
          <w:szCs w:val="21"/>
          <w:highlight w:val="none"/>
          <w:u w:val="single"/>
          <w:lang w:val="en-US" w:eastAsia="zh-CN"/>
        </w:rPr>
        <w:t>招标答疑纪要</w:t>
      </w:r>
      <w:r>
        <w:rPr>
          <w:rFonts w:hint="eastAsia" w:ascii="仿宋" w:hAnsi="仿宋" w:eastAsia="仿宋" w:cs="仿宋"/>
          <w:b w:val="0"/>
          <w:bCs/>
          <w:color w:val="auto"/>
          <w:szCs w:val="21"/>
          <w:highlight w:val="none"/>
          <w:lang w:val="en-US" w:eastAsia="zh-CN"/>
        </w:rPr>
        <w:t>和按本须知第9条发出的澄清或修改：</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r>
        <w:rPr>
          <w:rFonts w:hint="eastAsia" w:ascii="仿宋" w:hAnsi="仿宋" w:eastAsia="仿宋" w:cs="仿宋"/>
          <w:b/>
          <w:color w:val="auto"/>
          <w:szCs w:val="21"/>
          <w:highlight w:val="none"/>
          <w:lang w:val="en-US" w:eastAsia="zh-CN"/>
        </w:rPr>
        <w:t>8.1</w:t>
      </w:r>
      <w:r>
        <w:rPr>
          <w:rFonts w:hint="eastAsia" w:ascii="仿宋" w:hAnsi="仿宋" w:eastAsia="仿宋" w:cs="仿宋"/>
          <w:b/>
          <w:color w:val="auto"/>
          <w:szCs w:val="21"/>
          <w:highlight w:val="none"/>
        </w:rPr>
        <w:t xml:space="preserve">             修改类型：修改</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 w:val="0"/>
          <w:bCs/>
          <w:color w:val="auto"/>
          <w:szCs w:val="21"/>
          <w:highlight w:val="none"/>
        </w:rPr>
        <w:t>投标人若对招标文件（包括招标图纸）中有疑问，可以书面形式通过交易平台提交给招标人或招标代理人，提交形式见本须知前附表第16项。</w:t>
      </w:r>
    </w:p>
    <w:p>
      <w:pPr>
        <w:pageBreakBefore w:val="0"/>
        <w:pBdr>
          <w:bottom w:val="single" w:color="auto" w:sz="6" w:space="1"/>
        </w:pBdr>
        <w:kinsoku/>
        <w:wordWrap/>
        <w:overflowPunct/>
        <w:topLinePunct w:val="0"/>
        <w:bidi w:val="0"/>
        <w:snapToGrid/>
        <w:spacing w:line="440" w:lineRule="exact"/>
        <w:ind w:firstLine="527" w:firstLineChars="25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 w:val="0"/>
          <w:bCs/>
          <w:color w:val="auto"/>
          <w:szCs w:val="21"/>
          <w:highlight w:val="none"/>
          <w:u w:val="single"/>
        </w:rPr>
        <w:t>招标答疑采用网上答疑方式进行。投标人若对招标文件有疑问的，可在规定的时间内通过登录广州交易集团有限公司（广州公共资源交易中心）网站交易系统将问题提交给招标人或招标代理人，提交问题时一律不得署名。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条款号： </w:t>
      </w:r>
      <w:r>
        <w:rPr>
          <w:rFonts w:hint="eastAsia" w:ascii="仿宋" w:hAnsi="仿宋" w:eastAsia="仿宋" w:cs="仿宋"/>
          <w:b/>
          <w:color w:val="auto"/>
          <w:szCs w:val="21"/>
          <w:highlight w:val="none"/>
          <w:lang w:val="en-US" w:eastAsia="zh-CN"/>
        </w:rPr>
        <w:t>8.2</w:t>
      </w:r>
      <w:r>
        <w:rPr>
          <w:rFonts w:hint="eastAsia" w:ascii="仿宋" w:hAnsi="仿宋" w:eastAsia="仿宋" w:cs="仿宋"/>
          <w:b/>
          <w:color w:val="auto"/>
          <w:szCs w:val="21"/>
          <w:highlight w:val="none"/>
        </w:rPr>
        <w:t xml:space="preserve">            修改类型：修改</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 w:val="0"/>
          <w:bCs/>
          <w:color w:val="auto"/>
          <w:szCs w:val="21"/>
          <w:highlight w:val="none"/>
        </w:rPr>
        <w:t>8.2招标答疑会会议纪要将在提交投标文件截止时间15日前在</w:t>
      </w:r>
      <w:r>
        <w:rPr>
          <w:rFonts w:hint="eastAsia" w:ascii="仿宋" w:hAnsi="仿宋" w:eastAsia="仿宋" w:cs="仿宋"/>
          <w:b w:val="0"/>
          <w:bCs/>
          <w:color w:val="auto"/>
          <w:szCs w:val="21"/>
          <w:highlight w:val="none"/>
          <w:u w:val="single"/>
        </w:rPr>
        <w:t xml:space="preserve">        </w:t>
      </w:r>
      <w:r>
        <w:rPr>
          <w:rFonts w:hint="eastAsia" w:ascii="仿宋" w:hAnsi="仿宋" w:eastAsia="仿宋" w:cs="仿宋"/>
          <w:b w:val="0"/>
          <w:bCs/>
          <w:color w:val="auto"/>
          <w:szCs w:val="21"/>
          <w:highlight w:val="none"/>
        </w:rPr>
        <w:t>交易平台 “项目答疑纪要”专区公开发布。答疑纪要一经在</w:t>
      </w:r>
      <w:r>
        <w:rPr>
          <w:rFonts w:hint="eastAsia" w:ascii="仿宋" w:hAnsi="仿宋" w:eastAsia="仿宋" w:cs="仿宋"/>
          <w:b w:val="0"/>
          <w:bCs/>
          <w:color w:val="auto"/>
          <w:szCs w:val="21"/>
          <w:highlight w:val="none"/>
          <w:u w:val="single"/>
        </w:rPr>
        <w:t xml:space="preserve">        </w:t>
      </w:r>
      <w:r>
        <w:rPr>
          <w:rFonts w:hint="eastAsia" w:ascii="仿宋" w:hAnsi="仿宋" w:eastAsia="仿宋" w:cs="仿宋"/>
          <w:b w:val="0"/>
          <w:bCs/>
          <w:color w:val="auto"/>
          <w:szCs w:val="21"/>
          <w:highlight w:val="none"/>
        </w:rPr>
        <w:t>交易平台发布，视作已发放给所有投标人。</w:t>
      </w:r>
    </w:p>
    <w:p>
      <w:pPr>
        <w:pageBreakBefore w:val="0"/>
        <w:pBdr>
          <w:bottom w:val="single" w:color="auto" w:sz="6" w:space="1"/>
        </w:pBdr>
        <w:kinsoku/>
        <w:wordWrap/>
        <w:overflowPunct/>
        <w:topLinePunct w:val="0"/>
        <w:bidi w:val="0"/>
        <w:snapToGrid/>
        <w:spacing w:line="440" w:lineRule="exact"/>
        <w:ind w:firstLine="527" w:firstLineChars="25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 w:val="0"/>
          <w:bCs/>
          <w:color w:val="auto"/>
          <w:szCs w:val="21"/>
          <w:highlight w:val="none"/>
        </w:rPr>
        <w:t>8.2招标答疑会会议纪要将在提交投标文件截止时间15日前在</w:t>
      </w:r>
      <w:r>
        <w:rPr>
          <w:rFonts w:hint="eastAsia" w:ascii="仿宋" w:hAnsi="仿宋" w:eastAsia="仿宋" w:cs="仿宋"/>
          <w:b w:val="0"/>
          <w:bCs/>
          <w:color w:val="auto"/>
          <w:szCs w:val="21"/>
          <w:highlight w:val="none"/>
          <w:u w:val="single"/>
        </w:rPr>
        <w:t>广州交易集团有限公司（广州公共资源交易中心）</w:t>
      </w:r>
      <w:r>
        <w:rPr>
          <w:rFonts w:hint="eastAsia" w:ascii="仿宋" w:hAnsi="仿宋" w:eastAsia="仿宋" w:cs="仿宋"/>
          <w:b w:val="0"/>
          <w:bCs/>
          <w:color w:val="auto"/>
          <w:szCs w:val="21"/>
          <w:highlight w:val="none"/>
        </w:rPr>
        <w:t>交易平台“</w:t>
      </w:r>
      <w:r>
        <w:rPr>
          <w:rFonts w:hint="eastAsia" w:ascii="仿宋" w:hAnsi="仿宋" w:eastAsia="仿宋" w:cs="仿宋"/>
          <w:b w:val="0"/>
          <w:bCs/>
          <w:color w:val="auto"/>
          <w:szCs w:val="21"/>
          <w:highlight w:val="none"/>
          <w:u w:val="single"/>
        </w:rPr>
        <w:t>项目查询（日程安排、答疑纪要）</w:t>
      </w:r>
      <w:r>
        <w:rPr>
          <w:rFonts w:hint="eastAsia" w:ascii="仿宋" w:hAnsi="仿宋" w:eastAsia="仿宋" w:cs="仿宋"/>
          <w:b w:val="0"/>
          <w:bCs/>
          <w:color w:val="auto"/>
          <w:szCs w:val="21"/>
          <w:highlight w:val="none"/>
        </w:rPr>
        <w:t>”专区公开发布。答疑纪要一经在</w:t>
      </w:r>
      <w:r>
        <w:rPr>
          <w:rFonts w:hint="eastAsia" w:ascii="仿宋" w:hAnsi="仿宋" w:eastAsia="仿宋" w:cs="仿宋"/>
          <w:b w:val="0"/>
          <w:bCs/>
          <w:color w:val="auto"/>
          <w:szCs w:val="21"/>
          <w:highlight w:val="none"/>
          <w:u w:val="single"/>
        </w:rPr>
        <w:t>广州交易集团有限公司（广州公共资源交易中心）网站</w:t>
      </w:r>
      <w:r>
        <w:rPr>
          <w:rFonts w:hint="eastAsia" w:ascii="仿宋" w:hAnsi="仿宋" w:eastAsia="仿宋" w:cs="仿宋"/>
          <w:b w:val="0"/>
          <w:bCs/>
          <w:color w:val="auto"/>
          <w:szCs w:val="21"/>
          <w:highlight w:val="none"/>
        </w:rPr>
        <w:t>发布，视作已发放给所有投标人。</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r>
        <w:rPr>
          <w:rFonts w:hint="eastAsia" w:ascii="仿宋" w:hAnsi="仿宋" w:eastAsia="仿宋" w:cs="仿宋"/>
          <w:b/>
          <w:color w:val="auto"/>
          <w:szCs w:val="21"/>
          <w:highlight w:val="none"/>
          <w:lang w:val="en-US" w:eastAsia="zh-CN"/>
        </w:rPr>
        <w:t>8.3</w:t>
      </w:r>
      <w:r>
        <w:rPr>
          <w:rFonts w:hint="eastAsia" w:ascii="仿宋" w:hAnsi="仿宋" w:eastAsia="仿宋" w:cs="仿宋"/>
          <w:b/>
          <w:color w:val="auto"/>
          <w:szCs w:val="21"/>
          <w:highlight w:val="none"/>
        </w:rPr>
        <w:t xml:space="preserve">             修改类型：修改</w:t>
      </w:r>
    </w:p>
    <w:p>
      <w:pPr>
        <w:pageBreakBefore w:val="0"/>
        <w:kinsoku/>
        <w:wordWrap/>
        <w:overflowPunct/>
        <w:topLinePunct w:val="0"/>
        <w:bidi w:val="0"/>
        <w:snapToGrid/>
        <w:spacing w:line="440" w:lineRule="exact"/>
        <w:ind w:firstLine="472" w:firstLineChars="224"/>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 w:val="0"/>
          <w:bCs/>
          <w:color w:val="auto"/>
          <w:szCs w:val="21"/>
          <w:highlight w:val="none"/>
        </w:rPr>
        <w:t>8.3答疑会会议纪要为招标文件的一部分。</w:t>
      </w:r>
    </w:p>
    <w:p>
      <w:pPr>
        <w:pageBreakBefore w:val="0"/>
        <w:pBdr>
          <w:bottom w:val="single" w:color="auto" w:sz="6" w:space="1"/>
        </w:pBdr>
        <w:kinsoku/>
        <w:wordWrap/>
        <w:overflowPunct/>
        <w:topLinePunct w:val="0"/>
        <w:bidi w:val="0"/>
        <w:snapToGrid/>
        <w:spacing w:line="440" w:lineRule="exact"/>
        <w:ind w:firstLine="527" w:firstLineChars="250"/>
        <w:rPr>
          <w:rFonts w:hint="eastAsia" w:ascii="仿宋" w:hAnsi="仿宋" w:eastAsia="仿宋" w:cs="仿宋"/>
          <w:color w:val="auto"/>
          <w:highlight w:val="none"/>
        </w:rPr>
      </w:pPr>
      <w:r>
        <w:rPr>
          <w:rFonts w:hint="eastAsia" w:ascii="仿宋" w:hAnsi="仿宋" w:eastAsia="仿宋" w:cs="仿宋"/>
          <w:b/>
          <w:color w:val="auto"/>
          <w:szCs w:val="21"/>
          <w:highlight w:val="none"/>
        </w:rPr>
        <w:t>现文：</w:t>
      </w:r>
      <w:r>
        <w:rPr>
          <w:rFonts w:hint="eastAsia" w:ascii="仿宋" w:hAnsi="仿宋" w:eastAsia="仿宋" w:cs="仿宋"/>
          <w:b w:val="0"/>
          <w:bCs/>
          <w:color w:val="auto"/>
          <w:szCs w:val="21"/>
          <w:highlight w:val="none"/>
        </w:rPr>
        <w:t>8.3</w:t>
      </w:r>
      <w:r>
        <w:rPr>
          <w:rFonts w:hint="eastAsia" w:ascii="仿宋" w:hAnsi="仿宋" w:eastAsia="仿宋" w:cs="仿宋"/>
          <w:b w:val="0"/>
          <w:bCs/>
          <w:color w:val="auto"/>
          <w:szCs w:val="21"/>
          <w:highlight w:val="none"/>
          <w:u w:val="single"/>
        </w:rPr>
        <w:t>招标答疑纪要</w:t>
      </w:r>
      <w:r>
        <w:rPr>
          <w:rFonts w:hint="eastAsia" w:ascii="仿宋" w:hAnsi="仿宋" w:eastAsia="仿宋" w:cs="仿宋"/>
          <w:b w:val="0"/>
          <w:bCs/>
          <w:color w:val="auto"/>
          <w:szCs w:val="21"/>
          <w:highlight w:val="none"/>
        </w:rPr>
        <w:t>为招标文件的一部分。</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条款号：8.4              修改类型：修改</w:t>
      </w:r>
    </w:p>
    <w:p>
      <w:pPr>
        <w:pStyle w:val="5"/>
        <w:pageBreakBefore w:val="0"/>
        <w:kinsoku/>
        <w:wordWrap/>
        <w:overflowPunct/>
        <w:topLinePunct w:val="0"/>
        <w:bidi w:val="0"/>
        <w:snapToGrid/>
        <w:spacing w:line="440" w:lineRule="exact"/>
        <w:ind w:firstLine="422" w:firstLineChars="200"/>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原文：8.4</w:t>
      </w:r>
      <w:r>
        <w:rPr>
          <w:rFonts w:hint="eastAsia" w:ascii="仿宋" w:hAnsi="仿宋" w:eastAsia="仿宋" w:cs="仿宋"/>
          <w:bCs/>
          <w:color w:val="auto"/>
          <w:sz w:val="21"/>
          <w:szCs w:val="21"/>
          <w:highlight w:val="none"/>
        </w:rPr>
        <w:t>若招标答疑会会议纪要与招标文件有矛盾，以答疑会议纪要最后发出的书面形式的文件为准。</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b/>
          <w:color w:val="auto"/>
          <w:kern w:val="0"/>
          <w:sz w:val="21"/>
          <w:szCs w:val="21"/>
          <w:highlight w:val="none"/>
        </w:rPr>
        <w:t>8.4</w:t>
      </w:r>
      <w:r>
        <w:rPr>
          <w:rFonts w:hint="eastAsia" w:ascii="仿宋" w:hAnsi="仿宋" w:eastAsia="仿宋" w:cs="仿宋"/>
          <w:color w:val="auto"/>
          <w:sz w:val="21"/>
          <w:szCs w:val="21"/>
          <w:highlight w:val="none"/>
        </w:rPr>
        <w:t>若</w:t>
      </w:r>
      <w:r>
        <w:rPr>
          <w:rFonts w:hint="eastAsia" w:ascii="仿宋" w:hAnsi="仿宋" w:eastAsia="仿宋" w:cs="仿宋"/>
          <w:color w:val="auto"/>
          <w:sz w:val="21"/>
          <w:szCs w:val="21"/>
          <w:highlight w:val="none"/>
          <w:u w:val="single"/>
        </w:rPr>
        <w:t>招标答疑纪要</w:t>
      </w:r>
      <w:r>
        <w:rPr>
          <w:rFonts w:hint="eastAsia" w:ascii="仿宋" w:hAnsi="仿宋" w:eastAsia="仿宋" w:cs="仿宋"/>
          <w:color w:val="auto"/>
          <w:sz w:val="21"/>
          <w:szCs w:val="21"/>
          <w:highlight w:val="none"/>
        </w:rPr>
        <w:t>与招标文件有矛盾时，以</w:t>
      </w:r>
      <w:r>
        <w:rPr>
          <w:rFonts w:hint="eastAsia" w:ascii="仿宋" w:hAnsi="仿宋" w:eastAsia="仿宋" w:cs="仿宋"/>
          <w:color w:val="auto"/>
          <w:sz w:val="21"/>
          <w:szCs w:val="21"/>
          <w:highlight w:val="none"/>
          <w:u w:val="single"/>
        </w:rPr>
        <w:t>广州交易集团有限公司（广州公共资源交易中心）交易平台</w:t>
      </w:r>
      <w:r>
        <w:rPr>
          <w:rFonts w:hint="eastAsia" w:ascii="仿宋" w:hAnsi="仿宋" w:eastAsia="仿宋" w:cs="仿宋"/>
          <w:color w:val="auto"/>
          <w:sz w:val="21"/>
          <w:szCs w:val="21"/>
          <w:highlight w:val="none"/>
        </w:rPr>
        <w:t>最后发布的答疑纪要为准。</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条款号：9.2             修改类型：修改</w:t>
      </w:r>
    </w:p>
    <w:p>
      <w:pPr>
        <w:pStyle w:val="5"/>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b/>
          <w:bCs/>
          <w:color w:val="auto"/>
          <w:sz w:val="21"/>
          <w:szCs w:val="21"/>
          <w:highlight w:val="none"/>
        </w:rPr>
        <w:t>9.2</w:t>
      </w:r>
      <w:r>
        <w:rPr>
          <w:rFonts w:hint="eastAsia" w:ascii="仿宋" w:hAnsi="仿宋" w:eastAsia="仿宋" w:cs="仿宋"/>
          <w:bCs/>
          <w:color w:val="auto"/>
          <w:sz w:val="21"/>
          <w:szCs w:val="21"/>
          <w:highlight w:val="none"/>
        </w:rPr>
        <w:t>招标文件的澄清或修改将在</w:t>
      </w:r>
      <w:r>
        <w:rPr>
          <w:rFonts w:hint="eastAsia" w:ascii="仿宋" w:hAnsi="仿宋" w:eastAsia="仿宋" w:cs="仿宋"/>
          <w:color w:val="auto"/>
          <w:sz w:val="21"/>
          <w:szCs w:val="21"/>
          <w:highlight w:val="none"/>
          <w:u w:val="single"/>
        </w:rPr>
        <w:t xml:space="preserve">        </w:t>
      </w:r>
      <w:r>
        <w:rPr>
          <w:rFonts w:hint="eastAsia" w:ascii="仿宋" w:hAnsi="仿宋" w:eastAsia="仿宋" w:cs="仿宋"/>
          <w:bCs/>
          <w:color w:val="auto"/>
          <w:sz w:val="21"/>
          <w:szCs w:val="21"/>
          <w:highlight w:val="none"/>
        </w:rPr>
        <w:t>交易平台“项目答疑纪要”专区公开发布。答疑纪要一经在</w:t>
      </w:r>
      <w:r>
        <w:rPr>
          <w:rFonts w:hint="eastAsia" w:ascii="仿宋" w:hAnsi="仿宋" w:eastAsia="仿宋" w:cs="仿宋"/>
          <w:color w:val="auto"/>
          <w:sz w:val="21"/>
          <w:szCs w:val="21"/>
          <w:highlight w:val="none"/>
          <w:u w:val="single"/>
        </w:rPr>
        <w:t xml:space="preserve">        </w:t>
      </w:r>
      <w:r>
        <w:rPr>
          <w:rFonts w:hint="eastAsia" w:ascii="仿宋" w:hAnsi="仿宋" w:eastAsia="仿宋" w:cs="仿宋"/>
          <w:bCs/>
          <w:color w:val="auto"/>
          <w:sz w:val="21"/>
          <w:szCs w:val="21"/>
          <w:highlight w:val="none"/>
        </w:rPr>
        <w:t>交易平台发布，视作已发放给所有投标人，以</w:t>
      </w:r>
      <w:r>
        <w:rPr>
          <w:rFonts w:hint="eastAsia" w:ascii="仿宋" w:hAnsi="仿宋" w:eastAsia="仿宋" w:cs="仿宋"/>
          <w:color w:val="auto"/>
          <w:sz w:val="21"/>
          <w:szCs w:val="21"/>
          <w:highlight w:val="none"/>
          <w:u w:val="single"/>
        </w:rPr>
        <w:t xml:space="preserve">        </w:t>
      </w:r>
      <w:r>
        <w:rPr>
          <w:rFonts w:hint="eastAsia" w:ascii="仿宋" w:hAnsi="仿宋" w:eastAsia="仿宋" w:cs="仿宋"/>
          <w:bCs/>
          <w:color w:val="auto"/>
          <w:sz w:val="21"/>
          <w:szCs w:val="21"/>
          <w:highlight w:val="none"/>
        </w:rPr>
        <w:t>交易平台上网发布时间作为送达时间。</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b/>
          <w:bCs/>
          <w:color w:val="auto"/>
          <w:sz w:val="21"/>
          <w:szCs w:val="21"/>
          <w:highlight w:val="none"/>
        </w:rPr>
        <w:t>9.2</w:t>
      </w:r>
      <w:r>
        <w:rPr>
          <w:rFonts w:hint="eastAsia" w:ascii="仿宋" w:hAnsi="仿宋" w:eastAsia="仿宋" w:cs="仿宋"/>
          <w:color w:val="auto"/>
          <w:sz w:val="21"/>
          <w:szCs w:val="21"/>
          <w:highlight w:val="none"/>
        </w:rPr>
        <w:t>招标文件的澄清或修改将在</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w:t>
      </w:r>
      <w:r>
        <w:rPr>
          <w:rFonts w:hint="eastAsia" w:ascii="仿宋" w:hAnsi="仿宋" w:eastAsia="仿宋" w:cs="仿宋"/>
          <w:color w:val="auto"/>
          <w:sz w:val="21"/>
          <w:szCs w:val="21"/>
          <w:highlight w:val="none"/>
          <w:u w:val="single"/>
        </w:rPr>
        <w:t>项目查询（日程安排、答疑纪要</w:t>
      </w:r>
      <w:r>
        <w:rPr>
          <w:rFonts w:hint="eastAsia" w:ascii="仿宋" w:hAnsi="仿宋" w:eastAsia="仿宋" w:cs="仿宋"/>
          <w:color w:val="auto"/>
          <w:sz w:val="21"/>
          <w:szCs w:val="21"/>
          <w:highlight w:val="none"/>
        </w:rPr>
        <w:t>）”专区公开发布。答疑纪要一经在</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交易平台发布，视作已发放给所有投标人，以</w:t>
      </w:r>
      <w:r>
        <w:rPr>
          <w:rFonts w:hint="eastAsia" w:ascii="仿宋" w:hAnsi="仿宋" w:eastAsia="仿宋" w:cs="仿宋"/>
          <w:color w:val="auto"/>
          <w:sz w:val="21"/>
          <w:szCs w:val="21"/>
          <w:highlight w:val="none"/>
          <w:u w:val="single"/>
        </w:rPr>
        <w:t xml:space="preserve"> 广州交易集团有限公司（广州公共资源交易中心）</w:t>
      </w:r>
      <w:r>
        <w:rPr>
          <w:rFonts w:hint="eastAsia" w:ascii="仿宋" w:hAnsi="仿宋" w:eastAsia="仿宋" w:cs="仿宋"/>
          <w:color w:val="auto"/>
          <w:sz w:val="21"/>
          <w:szCs w:val="21"/>
          <w:highlight w:val="none"/>
        </w:rPr>
        <w:t>交易平台上网发布时间作为送达时间。</w:t>
      </w:r>
    </w:p>
    <w:p>
      <w:pPr>
        <w:pageBreakBefore w:val="0"/>
        <w:pBdr>
          <w:top w:val="single" w:color="auto" w:sz="4" w:space="1"/>
          <w:left w:val="none" w:color="auto" w:sz="0" w:space="4"/>
          <w:bottom w:val="none" w:color="auto" w:sz="0" w:space="1"/>
          <w:right w:val="none" w:color="auto" w:sz="0" w:space="4"/>
        </w:pBdr>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r>
        <w:rPr>
          <w:rFonts w:hint="eastAsia" w:ascii="仿宋" w:hAnsi="仿宋" w:eastAsia="仿宋" w:cs="仿宋"/>
          <w:b/>
          <w:bCs/>
          <w:color w:val="auto"/>
          <w:sz w:val="21"/>
          <w:szCs w:val="21"/>
          <w:highlight w:val="none"/>
        </w:rPr>
        <w:t xml:space="preserve">9.4 </w:t>
      </w:r>
      <w:r>
        <w:rPr>
          <w:rFonts w:hint="eastAsia" w:ascii="仿宋" w:hAnsi="仿宋" w:eastAsia="仿宋" w:cs="仿宋"/>
          <w:b/>
          <w:color w:val="auto"/>
          <w:sz w:val="21"/>
          <w:szCs w:val="21"/>
          <w:highlight w:val="none"/>
        </w:rPr>
        <w:t xml:space="preserve">            修改类型：修改</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b/>
          <w:bCs/>
          <w:color w:val="auto"/>
          <w:sz w:val="21"/>
          <w:szCs w:val="21"/>
          <w:highlight w:val="none"/>
        </w:rPr>
        <w:t>9.4</w:t>
      </w:r>
      <w:r>
        <w:rPr>
          <w:rFonts w:hint="eastAsia" w:ascii="仿宋" w:hAnsi="仿宋" w:eastAsia="仿宋" w:cs="仿宋"/>
          <w:color w:val="auto"/>
          <w:sz w:val="21"/>
          <w:szCs w:val="21"/>
          <w:highlight w:val="none"/>
        </w:rPr>
        <w:t>招标文件的澄清或修改均以书面形式明确的内容为准。当招标文件的澄清、修改、补充等在同一内容的表述不一致时，以最后发出的书面形式的文件为准。</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b/>
          <w:bCs/>
          <w:color w:val="auto"/>
          <w:sz w:val="21"/>
          <w:szCs w:val="21"/>
          <w:highlight w:val="none"/>
        </w:rPr>
        <w:t>9.4</w:t>
      </w:r>
      <w:r>
        <w:rPr>
          <w:rFonts w:hint="eastAsia" w:ascii="仿宋" w:hAnsi="仿宋" w:eastAsia="仿宋" w:cs="仿宋"/>
          <w:color w:val="auto"/>
          <w:sz w:val="21"/>
          <w:szCs w:val="21"/>
          <w:highlight w:val="none"/>
        </w:rPr>
        <w:t>招标文件的澄清或修改</w:t>
      </w:r>
      <w:r>
        <w:rPr>
          <w:rFonts w:hint="eastAsia" w:ascii="仿宋" w:hAnsi="仿宋" w:eastAsia="仿宋" w:cs="仿宋"/>
          <w:color w:val="auto"/>
          <w:sz w:val="21"/>
          <w:szCs w:val="21"/>
          <w:highlight w:val="none"/>
          <w:u w:val="single"/>
        </w:rPr>
        <w:t>在广州交易集团有限公司（广州公共资源交易中心）网站</w:t>
      </w:r>
      <w:bookmarkStart w:id="12" w:name="_Hlk63072133"/>
      <w:r>
        <w:rPr>
          <w:rFonts w:hint="eastAsia" w:ascii="仿宋" w:hAnsi="仿宋" w:eastAsia="仿宋" w:cs="仿宋"/>
          <w:color w:val="auto"/>
          <w:sz w:val="21"/>
          <w:szCs w:val="21"/>
          <w:highlight w:val="none"/>
          <w:u w:val="single"/>
        </w:rPr>
        <w:t>“项目查询（日程安排、答疑纪要）”专区</w:t>
      </w:r>
      <w:bookmarkEnd w:id="12"/>
      <w:r>
        <w:rPr>
          <w:rFonts w:hint="eastAsia" w:ascii="仿宋" w:hAnsi="仿宋" w:eastAsia="仿宋" w:cs="仿宋"/>
          <w:color w:val="auto"/>
          <w:sz w:val="21"/>
          <w:szCs w:val="21"/>
          <w:highlight w:val="none"/>
          <w:u w:val="single"/>
        </w:rPr>
        <w:t>公开发布。</w:t>
      </w:r>
      <w:r>
        <w:rPr>
          <w:rFonts w:hint="eastAsia" w:ascii="仿宋" w:hAnsi="仿宋" w:eastAsia="仿宋" w:cs="仿宋"/>
          <w:color w:val="auto"/>
          <w:sz w:val="21"/>
          <w:szCs w:val="21"/>
          <w:highlight w:val="none"/>
        </w:rPr>
        <w:t>当招标文件的澄清、修改、补充等在同一内容的表述不一致时，以最后发出的文件为准。</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条款号：11.</w:t>
      </w: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 xml:space="preserve">                 修改类型：修改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bCs/>
          <w:color w:val="auto"/>
          <w:sz w:val="21"/>
          <w:szCs w:val="21"/>
          <w:highlight w:val="none"/>
        </w:rPr>
        <w:t>11.2投标文件技术标部分主要包括下列内容：</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11.2.1 技术投标文件（</w:t>
      </w:r>
      <w:r>
        <w:rPr>
          <w:rFonts w:hint="eastAsia" w:ascii="仿宋" w:hAnsi="仿宋" w:eastAsia="仿宋" w:cs="仿宋"/>
          <w:color w:val="auto"/>
          <w:sz w:val="21"/>
          <w:szCs w:val="21"/>
          <w:highlight w:val="none"/>
        </w:rPr>
        <w:t>按招标文件的要求填写）</w:t>
      </w:r>
      <w:r>
        <w:rPr>
          <w:rFonts w:hint="eastAsia" w:ascii="仿宋" w:hAnsi="仿宋" w:eastAsia="仿宋" w:cs="仿宋"/>
          <w:bCs/>
          <w:color w:val="auto"/>
          <w:sz w:val="21"/>
          <w:szCs w:val="21"/>
          <w:highlight w:val="none"/>
        </w:rPr>
        <w:t>；</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11.2.2 资格审查文件：</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（1）投标人声明； </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（2）法定代表人证明书、法定代表人签字或盖章的本投标文件授权委托证明书；</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（3）企业营业执照扫描件或电子证照；</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（4）企业资质证书扫描件或电子证照；</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（5）建筑施工企业安全生产许可证扫描件或电子证照；</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（6）项目负责人（按网上投标登记时选择拟投入本项目的项目负责人）</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（7）专职安全员（按网上投标登记时选择拟投入本项目的专职安全员）</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（8）拟委托技术负责人的相关证书、资料（具体要求由招标人明确）</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（9）拟委派项目负责人的有效期内的建造师注册证书扫描件或电子证书；  </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（10）项目负责人在有效期内的安全生产考核合格证书（B类）或建筑施工企业项目负责人安全生产考核合格证书扫描件或电子证书；</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（11）专职安全员须具有在有效期内的安全生产考核合格证书（C类）或建筑施工企业专职安全生产管理人员安全生产考核合格证书扫描件或电子证书；</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（12）用于资格审查的业绩（设置业绩要求时选择此项，投标人须提供类似工程业绩的项目名称及项目编号，具体格式由招标人自定）；</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（13）资格审查前，投标人须在广州市住房和城乡建设局建立企业信用档案，拟担任本工程项目负责人、专职安全员须是本企业信用档案中的在册人员； </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注：1.相关电子证书按规定需打印后手写本人签名的，应按照规定手写本人签名后再扫描提交。</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11.2.3项目管理机构配备。</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（1）投标人应列出该项目工程的施工组织机构构成和画出机构框架图及其负责人；</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（2）投标人应详细列出该施工组织机构中主要成员的名单、简历资料、职务职称和在本项目中拟担任的职务等资料，并附上有关证明材料扫描件；</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（3）其他辅助说明资料。</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11.2.4投标人在广州市可使用适合本工程的机械设备（附：机械设备为自有或租赁的说明；及承诺机械设备如属于租赁的，其租赁是不属于重复租赁）。</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11.2.5施工组织设计或施工方案。</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（1）投标人在编制施工组织设计或施工方案时应按照招标人提出的施工现场建筑垃圾源头减量的具体要求以及建筑垃圾综合利用产品的使用要求提供相应措施。</w:t>
      </w:r>
    </w:p>
    <w:p>
      <w:pPr>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11.2.6按照</w:t>
      </w:r>
      <w:r>
        <w:rPr>
          <w:rFonts w:hint="eastAsia" w:ascii="仿宋" w:hAnsi="仿宋" w:eastAsia="仿宋" w:cs="仿宋"/>
          <w:bCs/>
          <w:color w:val="auto"/>
          <w:sz w:val="21"/>
          <w:szCs w:val="21"/>
          <w:highlight w:val="none"/>
        </w:rPr>
        <w:t>招标文件要求</w:t>
      </w:r>
      <w:r>
        <w:rPr>
          <w:rFonts w:hint="eastAsia" w:ascii="仿宋" w:hAnsi="仿宋" w:eastAsia="仿宋" w:cs="仿宋"/>
          <w:color w:val="auto"/>
          <w:sz w:val="21"/>
          <w:szCs w:val="21"/>
          <w:highlight w:val="none"/>
        </w:rPr>
        <w:t>填写的《参与编制技术标投标文件人员名单》。</w:t>
      </w:r>
    </w:p>
    <w:p>
      <w:pPr>
        <w:pBdr>
          <w:bottom w:val="none" w:color="auto" w:sz="0" w:space="1"/>
        </w:pBdr>
        <w:spacing w:line="348" w:lineRule="auto"/>
        <w:ind w:firstLine="422" w:firstLineChars="200"/>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bCs/>
          <w:color w:val="auto"/>
          <w:sz w:val="21"/>
          <w:szCs w:val="21"/>
          <w:highlight w:val="none"/>
          <w:u w:val="single"/>
        </w:rPr>
        <w:t>11.2技术标投标文件主要包括下列内容:</w:t>
      </w:r>
    </w:p>
    <w:p>
      <w:pPr>
        <w:pBdr>
          <w:bottom w:val="none" w:color="auto" w:sz="0" w:space="1"/>
        </w:pBd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u w:val="single"/>
        </w:rPr>
        <w:t>11.2.1 广州建设工程施工招标投标书(需按招标文件第四章要求的格式填写，具体格式以《广州建设工程施工招标投标书（技术标）》为准；电子投标管理软件编制的“广州建设工程施工招标投标书”不作为否决投标的条件。</w:t>
      </w:r>
    </w:p>
    <w:p>
      <w:pPr>
        <w:pBdr>
          <w:bottom w:val="none" w:color="auto" w:sz="0" w:space="1"/>
        </w:pBd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11.2.2 资格审查文件：</w:t>
      </w:r>
    </w:p>
    <w:p>
      <w:pPr>
        <w:pBdr>
          <w:bottom w:val="none" w:color="auto" w:sz="0" w:space="1"/>
        </w:pBd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（1）投标人声明</w:t>
      </w:r>
      <w:r>
        <w:rPr>
          <w:rFonts w:hint="eastAsia" w:ascii="仿宋" w:hAnsi="仿宋" w:eastAsia="仿宋" w:cs="仿宋"/>
          <w:bCs/>
          <w:color w:val="auto"/>
          <w:sz w:val="21"/>
          <w:szCs w:val="21"/>
          <w:highlight w:val="none"/>
          <w:u w:val="single"/>
        </w:rPr>
        <w:t>扫描件（须按招标公告附件内容及格式要求编制）</w:t>
      </w:r>
      <w:r>
        <w:rPr>
          <w:rFonts w:hint="eastAsia" w:ascii="仿宋" w:hAnsi="仿宋" w:eastAsia="仿宋" w:cs="仿宋"/>
          <w:bCs/>
          <w:color w:val="auto"/>
          <w:sz w:val="21"/>
          <w:szCs w:val="21"/>
          <w:highlight w:val="none"/>
        </w:rPr>
        <w:t xml:space="preserve">； </w:t>
      </w:r>
    </w:p>
    <w:p>
      <w:pPr>
        <w:pBdr>
          <w:bottom w:val="none" w:color="auto" w:sz="0" w:space="1"/>
        </w:pBd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（2）法定代表人证明书、法定代表人签字或盖章的本投标文件授权委托证明书；</w:t>
      </w:r>
    </w:p>
    <w:p>
      <w:pP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（3）企业营业执照扫描件或电子证照；；</w:t>
      </w:r>
    </w:p>
    <w:p>
      <w:pP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（4）企业资质证书扫描件或电子证照；</w:t>
      </w:r>
      <w:r>
        <w:rPr>
          <w:rFonts w:hint="eastAsia" w:ascii="仿宋" w:hAnsi="仿宋" w:eastAsia="仿宋" w:cs="仿宋"/>
          <w:color w:val="auto"/>
          <w:sz w:val="21"/>
          <w:szCs w:val="21"/>
          <w:highlight w:val="none"/>
          <w:u w:val="single"/>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p>
    <w:p>
      <w:pP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（5）建筑施工企业安全生产许可证扫描件或电子证照；</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（6）项目负责人（按网上投标登记时选择拟投入本项目的项目负责人）</w:t>
      </w:r>
      <w:r>
        <w:rPr>
          <w:rFonts w:hint="eastAsia" w:ascii="仿宋" w:hAnsi="仿宋" w:eastAsia="仿宋" w:cs="仿宋"/>
          <w:bCs/>
          <w:color w:val="auto"/>
          <w:sz w:val="21"/>
          <w:szCs w:val="21"/>
          <w:highlight w:val="none"/>
          <w:lang w:val="en-US" w:eastAsia="zh-CN"/>
        </w:rPr>
        <w:t>；</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（7）专职安全员（按网上投标登记时选择拟投入本项目的专职安全员）</w:t>
      </w:r>
      <w:r>
        <w:rPr>
          <w:rFonts w:hint="eastAsia" w:ascii="仿宋" w:hAnsi="仿宋" w:eastAsia="仿宋" w:cs="仿宋"/>
          <w:bCs/>
          <w:color w:val="auto"/>
          <w:sz w:val="21"/>
          <w:szCs w:val="21"/>
          <w:highlight w:val="none"/>
          <w:lang w:val="en-US" w:eastAsia="zh-CN"/>
        </w:rPr>
        <w:t>；</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（8）拟委托技术负责人的相关证书、资料</w:t>
      </w:r>
      <w:r>
        <w:rPr>
          <w:rFonts w:hint="eastAsia" w:ascii="仿宋" w:hAnsi="仿宋" w:eastAsia="仿宋" w:cs="仿宋"/>
          <w:bCs/>
          <w:color w:val="auto"/>
          <w:sz w:val="21"/>
          <w:szCs w:val="21"/>
          <w:highlight w:val="none"/>
          <w:lang w:val="en-US" w:eastAsia="zh-CN"/>
        </w:rPr>
        <w:t>；</w:t>
      </w:r>
    </w:p>
    <w:p>
      <w:pP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（9）拟委派项目负责人的有效期内的建造师注册证书扫描件或电子证书； </w:t>
      </w:r>
    </w:p>
    <w:p>
      <w:pP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（10）项目负责人在有效期内的安全生产考核合格证书（B类）或</w:t>
      </w:r>
      <w:r>
        <w:rPr>
          <w:rFonts w:hint="eastAsia" w:ascii="仿宋" w:hAnsi="仿宋" w:eastAsia="仿宋" w:cs="仿宋"/>
          <w:bCs/>
          <w:color w:val="auto"/>
          <w:sz w:val="21"/>
          <w:szCs w:val="21"/>
          <w:highlight w:val="none"/>
          <w:u w:val="single"/>
        </w:rPr>
        <w:t>在有效期内</w:t>
      </w:r>
      <w:r>
        <w:rPr>
          <w:rFonts w:hint="eastAsia" w:ascii="仿宋" w:hAnsi="仿宋" w:eastAsia="仿宋" w:cs="仿宋"/>
          <w:bCs/>
          <w:color w:val="auto"/>
          <w:sz w:val="21"/>
          <w:szCs w:val="21"/>
          <w:highlight w:val="none"/>
          <w:u w:val="single"/>
          <w:lang w:val="en-US" w:eastAsia="zh-CN"/>
        </w:rPr>
        <w:t>的</w:t>
      </w:r>
      <w:r>
        <w:rPr>
          <w:rFonts w:hint="eastAsia" w:ascii="仿宋" w:hAnsi="仿宋" w:eastAsia="仿宋" w:cs="仿宋"/>
          <w:bCs/>
          <w:color w:val="auto"/>
          <w:sz w:val="21"/>
          <w:szCs w:val="21"/>
          <w:highlight w:val="none"/>
        </w:rPr>
        <w:t>建筑施工企业项目负责人安全生产考核合格证书扫描件或电子证书；</w:t>
      </w:r>
    </w:p>
    <w:p>
      <w:pPr>
        <w:spacing w:line="34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（11）专职安全员须具有在有效期内的安全生产考核合格证书（C类）或</w:t>
      </w:r>
      <w:r>
        <w:rPr>
          <w:rFonts w:hint="eastAsia" w:ascii="仿宋" w:hAnsi="仿宋" w:eastAsia="仿宋" w:cs="仿宋"/>
          <w:bCs/>
          <w:color w:val="auto"/>
          <w:sz w:val="21"/>
          <w:szCs w:val="21"/>
          <w:highlight w:val="none"/>
          <w:u w:val="single"/>
        </w:rPr>
        <w:t>在有效期内</w:t>
      </w:r>
      <w:r>
        <w:rPr>
          <w:rFonts w:hint="eastAsia" w:ascii="仿宋" w:hAnsi="仿宋" w:eastAsia="仿宋" w:cs="仿宋"/>
          <w:bCs/>
          <w:color w:val="auto"/>
          <w:sz w:val="21"/>
          <w:szCs w:val="21"/>
          <w:highlight w:val="none"/>
          <w:u w:val="single"/>
          <w:lang w:val="en-US" w:eastAsia="zh-CN"/>
        </w:rPr>
        <w:t>的</w:t>
      </w:r>
      <w:r>
        <w:rPr>
          <w:rFonts w:hint="eastAsia" w:ascii="仿宋" w:hAnsi="仿宋" w:eastAsia="仿宋" w:cs="仿宋"/>
          <w:bCs/>
          <w:color w:val="auto"/>
          <w:sz w:val="21"/>
          <w:szCs w:val="21"/>
          <w:highlight w:val="none"/>
        </w:rPr>
        <w:t>建筑施工企业专职安全生产管理人员安全生产考核合格证书</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lang w:val="en-US" w:eastAsia="zh-CN"/>
        </w:rPr>
        <w:t>C3）</w:t>
      </w:r>
      <w:r>
        <w:rPr>
          <w:rFonts w:hint="eastAsia" w:ascii="仿宋" w:hAnsi="仿宋" w:eastAsia="仿宋" w:cs="仿宋"/>
          <w:bCs/>
          <w:color w:val="auto"/>
          <w:sz w:val="21"/>
          <w:szCs w:val="21"/>
          <w:highlight w:val="none"/>
        </w:rPr>
        <w:t>扫描件或电子证书；</w:t>
      </w:r>
    </w:p>
    <w:p>
      <w:pPr>
        <w:widowControl/>
        <w:pBdr>
          <w:top w:val="none" w:color="auto" w:sz="0" w:space="1"/>
          <w:left w:val="none" w:color="auto" w:sz="0" w:space="4"/>
          <w:bottom w:val="none" w:color="auto" w:sz="0" w:space="1"/>
          <w:right w:val="none" w:color="auto" w:sz="0" w:space="4"/>
        </w:pBdr>
        <w:spacing w:line="348" w:lineRule="auto"/>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12</w:t>
      </w:r>
      <w:r>
        <w:rPr>
          <w:rFonts w:hint="eastAsia" w:ascii="仿宋" w:hAnsi="仿宋" w:eastAsia="仿宋" w:cs="仿宋"/>
          <w:bCs/>
          <w:color w:val="auto"/>
          <w:sz w:val="21"/>
          <w:szCs w:val="21"/>
          <w:highlight w:val="none"/>
        </w:rPr>
        <w:t>）资格审查前，投标人须在广州市住房和城乡建设局建立企业信用档案，拟担任本工程项目负责人、专职安全员须是本企业信用档案中的在册人员。</w:t>
      </w:r>
    </w:p>
    <w:p>
      <w:pPr>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注：1.相关电子证书按规定需打印后手写本人签名的，应按照规定手写本人签名后再扫描提交。</w:t>
      </w:r>
    </w:p>
    <w:p>
      <w:pPr>
        <w:pStyle w:val="109"/>
        <w:spacing w:line="34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11.2.3按照招标文件要求填写的《施工项目管理团队人员信息表》提供的证明材料。</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（1）投标人应列出该项目工程的施工项目管理团队构成和画出团队框架图及其负责人；</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（2）投标人应详细列出该施工项目管理团队中主要成员的名单、简历资料、职务职称和在本项目中拟担任的职务等资料，并附上有关证明材料扫描件；</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（3）其他辅助说明资料。</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11.2.4按照招标文件要求填写的《参与编制技术标投标文件人员名单》（格式见第四章）。</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11.2.5按照招标文件要求填写的《关于投标保证金的承诺》（格式见第四章）。</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11.2.6按照招标文件要求填写《危险性较大的分部分项工程安全管理措施》（格式见第四章）。</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11.2.7按照招标文件要求填写《响应招标文件所附施工组织设计要点的承诺书》（格式见第四章）。</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11.2.8按照招标文件《技术标详细审查评分标准》提供的证明材料。</w:t>
      </w:r>
    </w:p>
    <w:p>
      <w:pPr>
        <w:pBdr>
          <w:bottom w:val="single" w:color="auto" w:sz="4" w:space="0"/>
        </w:pBdr>
        <w:spacing w:line="348"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（1）按照招标文件要求填写的《企业业绩信息表》（格式见第四章）；</w:t>
      </w:r>
    </w:p>
    <w:p>
      <w:pPr>
        <w:pBdr>
          <w:bottom w:val="single" w:color="auto" w:sz="4" w:space="0"/>
        </w:pBdr>
        <w:spacing w:line="360" w:lineRule="auto"/>
        <w:ind w:firstLine="470" w:firstLineChars="224"/>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（2）按照招标文件《技术标详细审查评分标准》提供的其他证明材料。</w:t>
      </w:r>
    </w:p>
    <w:p>
      <w:pPr>
        <w:pBdr>
          <w:bottom w:val="single" w:color="auto" w:sz="4" w:space="0"/>
        </w:pBdr>
        <w:spacing w:line="360" w:lineRule="auto"/>
        <w:ind w:firstLine="470" w:firstLineChars="224"/>
        <w:rPr>
          <w:rFonts w:hint="eastAsia" w:ascii="仿宋" w:hAnsi="仿宋" w:eastAsia="仿宋" w:cs="仿宋"/>
          <w:color w:val="auto"/>
          <w:sz w:val="21"/>
          <w:szCs w:val="21"/>
          <w:highlight w:val="none"/>
          <w:u w:val="single"/>
        </w:rPr>
      </w:pPr>
      <w:r>
        <w:rPr>
          <w:rFonts w:hint="eastAsia" w:ascii="仿宋" w:hAnsi="仿宋" w:eastAsia="仿宋" w:cs="仿宋"/>
          <w:bCs/>
          <w:color w:val="auto"/>
          <w:sz w:val="21"/>
          <w:szCs w:val="21"/>
          <w:highlight w:val="none"/>
          <w:u w:val="single"/>
        </w:rPr>
        <w:t>11.2.</w:t>
      </w:r>
      <w:r>
        <w:rPr>
          <w:rFonts w:hint="eastAsia" w:ascii="仿宋" w:hAnsi="仿宋" w:eastAsia="仿宋" w:cs="仿宋"/>
          <w:bCs/>
          <w:color w:val="auto"/>
          <w:sz w:val="21"/>
          <w:szCs w:val="21"/>
          <w:highlight w:val="none"/>
          <w:u w:val="single"/>
          <w:lang w:val="en-US" w:eastAsia="zh-CN"/>
        </w:rPr>
        <w:t>9</w:t>
      </w:r>
      <w:r>
        <w:rPr>
          <w:rFonts w:hint="eastAsia" w:ascii="仿宋" w:hAnsi="仿宋" w:eastAsia="仿宋" w:cs="仿宋"/>
          <w:bCs/>
          <w:color w:val="auto"/>
          <w:sz w:val="21"/>
          <w:szCs w:val="21"/>
          <w:highlight w:val="none"/>
          <w:u w:val="single"/>
        </w:rPr>
        <w:t>其他投标人认为应该提供的资料</w:t>
      </w:r>
    </w:p>
    <w:p>
      <w:pPr>
        <w:pStyle w:val="2"/>
        <w:rPr>
          <w:rFonts w:hint="eastAsia" w:ascii="仿宋" w:hAnsi="仿宋" w:eastAsia="仿宋" w:cs="仿宋"/>
          <w:color w:val="auto"/>
          <w:highlight w:val="none"/>
        </w:rPr>
      </w:pPr>
    </w:p>
    <w:p>
      <w:pPr>
        <w:ind w:firstLine="422" w:firstLineChars="200"/>
        <w:rPr>
          <w:rFonts w:hint="eastAsia" w:ascii="仿宋" w:hAnsi="仿宋" w:eastAsia="仿宋" w:cs="仿宋"/>
          <w:b/>
          <w:color w:val="auto"/>
          <w:sz w:val="21"/>
          <w:szCs w:val="21"/>
          <w:highlight w:val="none"/>
        </w:rPr>
      </w:pP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条款号：11.3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11.3 经济部分投标文件主要包括下列内容：</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11.3.1 经济投标文件(按招标文件的要求填写)。</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（1）投标总价封面、扉页；</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（2）总说明；</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（3）工程项目投标报价汇总表；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（4）单项工程投标报价汇总表；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（5）单位工程投标报价汇总表；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（6）分部分项工程清单与计价表；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（7）单价措施项目清单与计价表；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（8）总价措施项目清单与计价表；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（9）综合单价分析表；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（10）其他项目清单与计价汇总表；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（11）暂列金额明细表；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（12）材料（工程设备）暂估价明细表；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（13）专业工程暂估价明细表；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（14）计日工表；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（15）总承包服务计价表；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（16）规费和税金项目计价表；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（17）人工、主要材料和设备一览表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11.3.3按照招标文件要求填写的《参与编制经济标投标文件人员名单》。</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u w:val="single"/>
        </w:rPr>
        <w:t>11.3 经济标投标文件主要包括下列内容：</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11.3.1 </w:t>
      </w:r>
      <w:r>
        <w:rPr>
          <w:rFonts w:hint="eastAsia" w:ascii="仿宋" w:hAnsi="仿宋" w:eastAsia="仿宋" w:cs="仿宋"/>
          <w:bCs/>
          <w:color w:val="auto"/>
          <w:sz w:val="21"/>
          <w:szCs w:val="21"/>
          <w:highlight w:val="none"/>
          <w:u w:val="single"/>
        </w:rPr>
        <w:t>广州建设工程施工招标投标书(需按招标文件第四章要求的格式填写，具体格式以《广州建设工程施工招标投标书（经济标）》为准；电子投标管理软件编制的“广州建设工程施工招标投标书”不作为否决投标的条件</w:t>
      </w:r>
      <w:r>
        <w:rPr>
          <w:rFonts w:hint="eastAsia" w:ascii="仿宋" w:hAnsi="仿宋" w:eastAsia="仿宋" w:cs="仿宋"/>
          <w:color w:val="auto"/>
          <w:sz w:val="21"/>
          <w:szCs w:val="21"/>
          <w:highlight w:val="none"/>
          <w:u w:val="single"/>
        </w:rPr>
        <w:t>。</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（1）投标总价封面、扉页；</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（2）总说明；</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（3）工程量清单报价表及综合单价分析表（相关表格的内容及格式要求以招标人发出的最新版电子招标文件中的相应内容及格式为准）；</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（4）其它辅助说明资料（包括但不限于招标文件要求填写的《对投标文件编制的承诺》（格式见第四章））。</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11.3.3</w:t>
      </w:r>
      <w:r>
        <w:rPr>
          <w:rFonts w:hint="eastAsia" w:ascii="仿宋" w:hAnsi="仿宋" w:eastAsia="仿宋" w:cs="仿宋"/>
          <w:color w:val="auto"/>
          <w:sz w:val="21"/>
          <w:szCs w:val="21"/>
          <w:highlight w:val="none"/>
          <w:u w:val="single"/>
        </w:rPr>
        <w:t>按照招标文件要求填写的《参与编制经济标投标文件人员名单》（格式见第四章）。</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11.3.5投标人认为应提供的其他资料。</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11.3.6《中小企业声明函》（如有）</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监狱企业证明文件（如有）、《残疾人福利性单位声明函》（如有）（按招标文件第四章格式十二、格式十三、格式十四要求填写并提交）。</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条款号：12.2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注：投标文件电子文档需要投标人单位盖章的材料，投标人加盖电子印章即可，不得将投标人未对电子文档加盖实物印章作为否决投标的情形。</w:t>
      </w:r>
    </w:p>
    <w:p>
      <w:pPr>
        <w:pageBreakBefore w:val="0"/>
        <w:pBdr>
          <w:bottom w:val="single" w:color="auto" w:sz="4"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12.2投标文件全部采用电子文档，投标文件所附证书证件均为原件</w:t>
      </w:r>
      <w:r>
        <w:rPr>
          <w:rFonts w:hint="eastAsia" w:ascii="仿宋" w:hAnsi="仿宋" w:eastAsia="仿宋" w:cs="仿宋"/>
          <w:color w:val="auto"/>
          <w:sz w:val="21"/>
          <w:szCs w:val="21"/>
          <w:highlight w:val="none"/>
          <w:u w:val="single"/>
        </w:rPr>
        <w:t>清晰</w:t>
      </w:r>
      <w:r>
        <w:rPr>
          <w:rFonts w:hint="eastAsia" w:ascii="仿宋" w:hAnsi="仿宋" w:eastAsia="仿宋" w:cs="仿宋"/>
          <w:color w:val="auto"/>
          <w:sz w:val="21"/>
          <w:szCs w:val="21"/>
          <w:highlight w:val="none"/>
        </w:rPr>
        <w:t>扫描件，并采用单位数字证书，按招标文件要求在相应位置加盖电子印章。投标文件中需个人签字或盖章的，应在线下完成后扫描上传。</w:t>
      </w:r>
      <w:r>
        <w:rPr>
          <w:rFonts w:hint="eastAsia" w:ascii="仿宋" w:hAnsi="仿宋" w:eastAsia="仿宋" w:cs="仿宋"/>
          <w:color w:val="auto"/>
          <w:sz w:val="21"/>
          <w:szCs w:val="21"/>
          <w:highlight w:val="none"/>
          <w:u w:val="single"/>
        </w:rPr>
        <w:t>由广州投标文件管理专用软件系统生成的“工程量清单主表--工程量清单报价表”封面页及扉页可以仅采用单位数字证书加盖电子印章处理。</w:t>
      </w:r>
      <w:r>
        <w:rPr>
          <w:rFonts w:hint="eastAsia" w:ascii="仿宋" w:hAnsi="仿宋" w:eastAsia="仿宋" w:cs="仿宋"/>
          <w:color w:val="auto"/>
          <w:sz w:val="21"/>
          <w:szCs w:val="21"/>
          <w:highlight w:val="none"/>
        </w:rPr>
        <w:t>按照</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交易平台关于全流程电子化项目的相关指南进行操作。详见：</w:t>
      </w:r>
      <w:r>
        <w:rPr>
          <w:rFonts w:hint="eastAsia" w:ascii="仿宋" w:hAnsi="仿宋" w:eastAsia="仿宋" w:cs="仿宋"/>
          <w:color w:val="auto"/>
          <w:sz w:val="21"/>
          <w:szCs w:val="21"/>
          <w:highlight w:val="none"/>
          <w:u w:val="single"/>
        </w:rPr>
        <w:t>广州交易集团有限公司（广州公共资源交易中心）网站最新指引。</w:t>
      </w:r>
    </w:p>
    <w:p>
      <w:pPr>
        <w:pageBreakBefore w:val="0"/>
        <w:pBdr>
          <w:bottom w:val="single" w:color="auto" w:sz="4"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注：投标文件电子文档需要投标人单位盖章的材料，投标人加盖电子印章即可，不得将投标人未对电子文档加盖实物印章作为否决投标的情形。</w:t>
      </w:r>
    </w:p>
    <w:p>
      <w:pPr>
        <w:pageBreakBefore w:val="0"/>
        <w:kinsoku/>
        <w:wordWrap/>
        <w:overflowPunct/>
        <w:topLinePunct w:val="0"/>
        <w:bidi w:val="0"/>
        <w:snapToGrid/>
        <w:spacing w:line="44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条款号：12.3                        修改类型：修改</w:t>
      </w:r>
    </w:p>
    <w:p>
      <w:pPr>
        <w:pageBreakBefore w:val="0"/>
        <w:kinsoku/>
        <w:wordWrap/>
        <w:overflowPunct/>
        <w:topLinePunct w:val="0"/>
        <w:bidi w:val="0"/>
        <w:snapToGrid/>
        <w:spacing w:line="440" w:lineRule="exact"/>
        <w:ind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12.3投标文件应按照交易平台关于全流程电子化项目的相关指南进行编制，详见：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pageBreakBefore w:val="0"/>
        <w:kinsoku/>
        <w:wordWrap/>
        <w:overflowPunct/>
        <w:topLinePunct w:val="0"/>
        <w:bidi w:val="0"/>
        <w:snapToGrid/>
        <w:spacing w:line="440" w:lineRule="exact"/>
        <w:ind w:firstLine="420"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如不按上述要求编制引起系统无法检索、读取相关信息的，其后果由投标人承担。</w:t>
      </w:r>
    </w:p>
    <w:p>
      <w:pPr>
        <w:pageBreakBefore w:val="0"/>
        <w:pBdr>
          <w:bottom w:val="single" w:color="auto" w:sz="6" w:space="1"/>
        </w:pBdr>
        <w:kinsoku/>
        <w:wordWrap/>
        <w:overflowPunct/>
        <w:topLinePunct w:val="0"/>
        <w:bidi w:val="0"/>
        <w:snapToGrid/>
        <w:spacing w:line="440" w:lineRule="exact"/>
        <w:ind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12.3</w:t>
      </w:r>
      <w:r>
        <w:rPr>
          <w:rFonts w:hint="eastAsia" w:ascii="仿宋" w:hAnsi="仿宋" w:eastAsia="仿宋" w:cs="仿宋"/>
          <w:bCs/>
          <w:color w:val="auto"/>
          <w:sz w:val="21"/>
          <w:szCs w:val="21"/>
          <w:highlight w:val="none"/>
        </w:rPr>
        <w:t>投标文件应按</w:t>
      </w:r>
      <w:r>
        <w:rPr>
          <w:rFonts w:hint="eastAsia" w:ascii="仿宋" w:hAnsi="仿宋" w:eastAsia="仿宋" w:cs="仿宋"/>
          <w:color w:val="auto"/>
          <w:sz w:val="21"/>
          <w:szCs w:val="21"/>
          <w:highlight w:val="none"/>
        </w:rPr>
        <w:t>照</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交易平台关于全流程电子化项目的相关指南进行编制，详见：</w:t>
      </w:r>
      <w:r>
        <w:rPr>
          <w:rFonts w:hint="eastAsia" w:ascii="仿宋" w:hAnsi="仿宋" w:eastAsia="仿宋" w:cs="仿宋"/>
          <w:color w:val="auto"/>
          <w:sz w:val="21"/>
          <w:szCs w:val="21"/>
          <w:highlight w:val="none"/>
          <w:u w:val="single"/>
        </w:rPr>
        <w:t>广州交易集团有限公司（广州公共资源交易中心）网站最新指引</w:t>
      </w:r>
      <w:r>
        <w:rPr>
          <w:rFonts w:hint="eastAsia" w:ascii="仿宋" w:hAnsi="仿宋" w:eastAsia="仿宋" w:cs="仿宋"/>
          <w:color w:val="auto"/>
          <w:sz w:val="21"/>
          <w:szCs w:val="21"/>
          <w:highlight w:val="none"/>
        </w:rPr>
        <w:t>。</w:t>
      </w:r>
    </w:p>
    <w:p>
      <w:pPr>
        <w:pageBreakBefore w:val="0"/>
        <w:pBdr>
          <w:bottom w:val="single" w:color="auto" w:sz="6" w:space="1"/>
        </w:pBdr>
        <w:kinsoku/>
        <w:wordWrap/>
        <w:overflowPunct/>
        <w:topLinePunct w:val="0"/>
        <w:bidi w:val="0"/>
        <w:snapToGrid/>
        <w:spacing w:line="440" w:lineRule="exact"/>
        <w:ind w:firstLine="420"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如不按上述要求编制引起系统无法检索、读取相关信息的，其后果由投标人承担。</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条款号：13.1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b/>
          <w:bCs/>
          <w:color w:val="auto"/>
          <w:sz w:val="21"/>
          <w:szCs w:val="21"/>
          <w:highlight w:val="none"/>
        </w:rPr>
        <w:t>13.1</w:t>
      </w:r>
      <w:r>
        <w:rPr>
          <w:rFonts w:hint="eastAsia" w:ascii="仿宋" w:hAnsi="仿宋" w:eastAsia="仿宋" w:cs="仿宋"/>
          <w:color w:val="auto"/>
          <w:sz w:val="21"/>
          <w:szCs w:val="21"/>
          <w:highlight w:val="none"/>
        </w:rPr>
        <w:t>本工程的投标报价采用投标须知前附表第12项所规定的方式。投标报价（含单价及总价）精确到“分”。</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b/>
          <w:bCs/>
          <w:color w:val="auto"/>
          <w:sz w:val="21"/>
          <w:szCs w:val="21"/>
          <w:highlight w:val="none"/>
        </w:rPr>
        <w:t>13.1</w:t>
      </w:r>
      <w:r>
        <w:rPr>
          <w:rFonts w:hint="eastAsia" w:ascii="仿宋" w:hAnsi="仿宋" w:eastAsia="仿宋" w:cs="仿宋"/>
          <w:color w:val="auto"/>
          <w:sz w:val="21"/>
          <w:szCs w:val="21"/>
          <w:highlight w:val="none"/>
        </w:rPr>
        <w:t>本工程的投标报价采用投标须知前附表第12项所规定的方式。</w:t>
      </w:r>
      <w:r>
        <w:rPr>
          <w:rFonts w:hint="eastAsia" w:ascii="仿宋" w:hAnsi="仿宋" w:eastAsia="仿宋" w:cs="仿宋"/>
          <w:color w:val="auto"/>
          <w:sz w:val="21"/>
          <w:szCs w:val="21"/>
          <w:highlight w:val="none"/>
          <w:u w:val="single"/>
        </w:rPr>
        <w:t>投标文件中的大写金额和小写金额不一致的，以大写金额为准，</w:t>
      </w:r>
      <w:r>
        <w:rPr>
          <w:rFonts w:hint="eastAsia" w:ascii="仿宋" w:hAnsi="仿宋" w:eastAsia="仿宋" w:cs="仿宋"/>
          <w:color w:val="auto"/>
          <w:sz w:val="21"/>
          <w:szCs w:val="21"/>
          <w:highlight w:val="none"/>
        </w:rPr>
        <w:t>投标报价（含单价及总价）精确到“分”。</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条款号：13.3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13.3投标人的投标报价，应是按照投标须知前附表第8项的工期要求，在投标须知前附表第3项的建设地点，完成投标须知前附表第7项的招标范围内已由招标人</w:t>
      </w:r>
      <w:r>
        <w:rPr>
          <w:rFonts w:hint="eastAsia" w:ascii="仿宋" w:hAnsi="仿宋" w:eastAsia="仿宋" w:cs="仿宋"/>
          <w:color w:val="auto"/>
          <w:sz w:val="21"/>
          <w:szCs w:val="21"/>
          <w:highlight w:val="none"/>
          <w:u w:val="single"/>
        </w:rPr>
        <w:t>提供的招标图纸（包括有关于本项目招标的相关资料）及</w:t>
      </w:r>
      <w:r>
        <w:rPr>
          <w:rFonts w:hint="eastAsia" w:ascii="仿宋" w:hAnsi="仿宋" w:eastAsia="仿宋" w:cs="仿宋"/>
          <w:color w:val="auto"/>
          <w:sz w:val="21"/>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条款号：13.4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原文：13.4</w:t>
      </w:r>
      <w:r>
        <w:rPr>
          <w:rFonts w:hint="eastAsia" w:ascii="仿宋" w:hAnsi="仿宋" w:eastAsia="仿宋" w:cs="仿宋"/>
          <w:color w:val="auto"/>
          <w:sz w:val="21"/>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ageBreakBefore w:val="0"/>
        <w:pBdr>
          <w:bottom w:val="single" w:color="auto" w:sz="4"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现文：</w:t>
      </w:r>
      <w:r>
        <w:rPr>
          <w:rFonts w:hint="eastAsia" w:ascii="仿宋" w:hAnsi="仿宋" w:eastAsia="仿宋" w:cs="仿宋"/>
          <w:bCs/>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仿宋" w:hAnsi="仿宋" w:eastAsia="仿宋" w:cs="仿宋"/>
          <w:bCs/>
          <w:color w:val="auto"/>
          <w:sz w:val="21"/>
          <w:szCs w:val="21"/>
          <w:highlight w:val="none"/>
          <w:u w:val="single"/>
        </w:rPr>
        <w:t>按合同条款相关约定调整。</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条款号：13.5  13.5.1  13.5.2  13.5.3  13.5.4          修改类型：修改</w:t>
      </w:r>
    </w:p>
    <w:p>
      <w:pPr>
        <w:pStyle w:val="5"/>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b/>
          <w:bCs/>
          <w:color w:val="auto"/>
          <w:sz w:val="21"/>
          <w:szCs w:val="21"/>
          <w:highlight w:val="none"/>
        </w:rPr>
        <w:t>13.5</w:t>
      </w:r>
      <w:r>
        <w:rPr>
          <w:rFonts w:hint="eastAsia" w:ascii="仿宋" w:hAnsi="仿宋" w:eastAsia="仿宋" w:cs="仿宋"/>
          <w:color w:val="auto"/>
          <w:sz w:val="21"/>
          <w:szCs w:val="21"/>
          <w:highlight w:val="none"/>
        </w:rPr>
        <w:t>工程项目实施期间……，中标后双方协商约定。</w:t>
      </w:r>
    </w:p>
    <w:p>
      <w:pPr>
        <w:pStyle w:val="5"/>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现文：13.5</w:t>
      </w:r>
      <w:r>
        <w:rPr>
          <w:rFonts w:hint="eastAsia" w:ascii="仿宋" w:hAnsi="仿宋" w:eastAsia="仿宋" w:cs="仿宋"/>
          <w:color w:val="auto"/>
          <w:sz w:val="21"/>
          <w:szCs w:val="21"/>
          <w:highlight w:val="none"/>
          <w:u w:val="single"/>
        </w:rPr>
        <w:t>变更结算方式按招标文件及施工合同相关规定执行。</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条款号：13.9             修改类型：修改</w:t>
      </w:r>
    </w:p>
    <w:p>
      <w:pPr>
        <w:pageBreakBefore w:val="0"/>
        <w:pBdr>
          <w:bottom w:val="none" w:color="auto" w:sz="0" w:space="1"/>
        </w:pBdr>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ageBreakBefore w:val="0"/>
        <w:pBdr>
          <w:bottom w:val="single" w:color="auto" w:sz="4"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b/>
          <w:bCs/>
          <w:color w:val="auto"/>
          <w:sz w:val="21"/>
          <w:szCs w:val="21"/>
          <w:highlight w:val="none"/>
        </w:rPr>
        <w:t>13.9</w:t>
      </w:r>
      <w:r>
        <w:rPr>
          <w:rFonts w:hint="eastAsia" w:ascii="仿宋" w:hAnsi="仿宋" w:eastAsia="仿宋" w:cs="仿宋"/>
          <w:color w:val="auto"/>
          <w:sz w:val="21"/>
          <w:szCs w:val="21"/>
          <w:highlight w:val="none"/>
          <w:u w:val="single"/>
        </w:rPr>
        <w:t>主要材料的价格调整按照合同约定执行。</w:t>
      </w:r>
    </w:p>
    <w:p>
      <w:pPr>
        <w:pageBreakBefore w:val="0"/>
        <w:kinsoku/>
        <w:wordWrap/>
        <w:overflowPunct/>
        <w:topLinePunct w:val="0"/>
        <w:bidi w:val="0"/>
        <w:snapToGrid/>
        <w:spacing w:line="440" w:lineRule="exact"/>
        <w:ind w:firstLine="527" w:firstLineChars="25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条款号：16.1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16.1投标人应按投标须知前附表第14项所述金额和时间递交</w:t>
      </w:r>
      <w:r>
        <w:rPr>
          <w:rFonts w:hint="eastAsia" w:ascii="仿宋" w:hAnsi="仿宋" w:eastAsia="仿宋" w:cs="仿宋"/>
          <w:bCs/>
          <w:color w:val="auto"/>
          <w:sz w:val="21"/>
          <w:szCs w:val="21"/>
          <w:highlight w:val="none"/>
        </w:rPr>
        <w:t>投标保证金</w:t>
      </w:r>
      <w:r>
        <w:rPr>
          <w:rFonts w:hint="eastAsia" w:ascii="仿宋" w:hAnsi="仿宋" w:eastAsia="仿宋" w:cs="仿宋"/>
          <w:color w:val="auto"/>
          <w:sz w:val="21"/>
          <w:szCs w:val="21"/>
          <w:highlight w:val="none"/>
        </w:rPr>
        <w:t>。招标人应当允许投标人自主选择现金、银行保函、保证保险、专业工程担保公司担保等方式缴纳投标保证金。</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16.1.1 采用现金或者支票形式提交的，投标保证金须从投标人的银行基本账户转出。</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16.1.3 采用电子形式的保函、担保或保证保险提交投标保证金的，应在招标文件中明确电子递交途径。</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16.3投标保证金应依据法律法规的相关规定退还。</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16.4如有下列情况之一的，招标人可以不予退还投标保证金（是否退还投标保证金由招标人在招标文件中规定）：</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16.4.1因投标人原因造成投标文件未解密的；</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16.4.2投标人在投标有效期内撤销投标文件；</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16.4.3中标人未能在规定期限内按要求提交履约担保；</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16.4.4中标人未能在规定期限内签署合同协议。</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16.5投标人如存在下列情况之一的，将被拒绝在一定时期内参与招标人后续工程投标（拒绝时限需在招标文件中明确）：</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16.5.1投标人存在16.4条款所列情形且投标人提交的保函、担保或保证保险无法兑付的；</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16.5.2采用非电子形式提交投标保证金的投标人存在16.4条款所列情形，且未按招标人要求补交银行保函、专业工程担保公司担保或保证保险原件的；</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16.5.3按招标文件要求免于提供投标保证金的投标人存在16.4条款所列情形，且未按招标人要求补交投标保证金的；</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16.5.3按招标文件要求免于提供投标保证金的投标人存在16.4条款所列情形的。</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注：16.5.3款由招标人二选一，需在招标文件中明确。</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16.1</w:t>
      </w:r>
      <w:r>
        <w:rPr>
          <w:rFonts w:hint="eastAsia" w:ascii="仿宋" w:hAnsi="仿宋" w:eastAsia="仿宋" w:cs="仿宋"/>
          <w:color w:val="auto"/>
          <w:sz w:val="21"/>
          <w:szCs w:val="21"/>
          <w:highlight w:val="none"/>
          <w:u w:val="single"/>
        </w:rPr>
        <w:t>本项目投标人不需要递交投标保证金。投标人需提供《关于投标保证金的承诺》（详见第四章投标文件格式）。</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strike/>
          <w:color w:val="auto"/>
          <w:sz w:val="21"/>
          <w:szCs w:val="21"/>
          <w:highlight w:val="none"/>
        </w:rPr>
      </w:pPr>
      <w:r>
        <w:rPr>
          <w:rFonts w:hint="eastAsia" w:ascii="仿宋" w:hAnsi="仿宋" w:eastAsia="仿宋" w:cs="仿宋"/>
          <w:strike/>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u w:val="single"/>
        </w:rPr>
        <w:t>16.3投标人没有按招标文件要求提交《关于投标保证金的承诺》，视为未响应招标文件实质性要求。</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16.4如有下列情况之一的，</w:t>
      </w:r>
      <w:r>
        <w:rPr>
          <w:rFonts w:hint="eastAsia" w:ascii="仿宋" w:hAnsi="仿宋" w:eastAsia="仿宋" w:cs="仿宋"/>
          <w:color w:val="auto"/>
          <w:sz w:val="21"/>
          <w:szCs w:val="21"/>
          <w:highlight w:val="none"/>
          <w:u w:val="single"/>
        </w:rPr>
        <w:t>招标人按第16.5款规定执行</w:t>
      </w:r>
      <w:r>
        <w:rPr>
          <w:rFonts w:hint="eastAsia" w:ascii="仿宋" w:hAnsi="仿宋" w:eastAsia="仿宋" w:cs="仿宋"/>
          <w:color w:val="auto"/>
          <w:sz w:val="21"/>
          <w:szCs w:val="21"/>
          <w:highlight w:val="none"/>
        </w:rPr>
        <w:t>：</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16.4.1因投标人原因造成投标文件未解密的；</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16.4.2投标人在投标有效期内撤销投标文件</w:t>
      </w:r>
      <w:r>
        <w:rPr>
          <w:rFonts w:hint="eastAsia" w:ascii="仿宋" w:hAnsi="仿宋" w:eastAsia="仿宋" w:cs="仿宋"/>
          <w:color w:val="auto"/>
          <w:sz w:val="21"/>
          <w:szCs w:val="21"/>
          <w:highlight w:val="none"/>
          <w:u w:val="single"/>
        </w:rPr>
        <w:t>或放弃中标资格的</w:t>
      </w:r>
      <w:r>
        <w:rPr>
          <w:rFonts w:hint="eastAsia" w:ascii="仿宋" w:hAnsi="仿宋" w:eastAsia="仿宋" w:cs="仿宋"/>
          <w:color w:val="auto"/>
          <w:sz w:val="21"/>
          <w:szCs w:val="21"/>
          <w:highlight w:val="none"/>
        </w:rPr>
        <w:t>；</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16.4.3中标人未能在规定期限内按要求提交履约担保；</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16.4.4中标人未能在规定期限内签署合同协议；</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b/>
          <w:color w:val="auto"/>
          <w:sz w:val="21"/>
          <w:szCs w:val="21"/>
          <w:highlight w:val="none"/>
          <w:u w:val="single"/>
        </w:rPr>
      </w:pPr>
      <w:r>
        <w:rPr>
          <w:rFonts w:hint="eastAsia" w:ascii="仿宋" w:hAnsi="仿宋" w:eastAsia="仿宋" w:cs="仿宋"/>
          <w:color w:val="auto"/>
          <w:sz w:val="21"/>
          <w:szCs w:val="21"/>
          <w:highlight w:val="none"/>
          <w:u w:val="single"/>
        </w:rPr>
        <w:t>16.4.5投标人弄虚作假骗取中标的。</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条款号：17.1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原文：17.1</w:t>
      </w:r>
      <w:r>
        <w:rPr>
          <w:rFonts w:hint="eastAsia" w:ascii="仿宋" w:hAnsi="仿宋" w:eastAsia="仿宋" w:cs="仿宋"/>
          <w:bCs/>
          <w:color w:val="auto"/>
          <w:sz w:val="21"/>
          <w:szCs w:val="21"/>
          <w:highlight w:val="none"/>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现文：17.1</w:t>
      </w:r>
      <w:r>
        <w:rPr>
          <w:rFonts w:hint="eastAsia" w:ascii="仿宋" w:hAnsi="仿宋" w:eastAsia="仿宋" w:cs="仿宋"/>
          <w:bCs/>
          <w:color w:val="auto"/>
          <w:sz w:val="21"/>
          <w:szCs w:val="21"/>
          <w:highlight w:val="none"/>
        </w:rPr>
        <w:t>投标人应采用单位数字证书，按招标文件要求在相应位置加盖电子印章。投标文件中需个人签字或盖章的，应加盖个人电子印章或在线下完成后扫描上传。</w:t>
      </w:r>
      <w:r>
        <w:rPr>
          <w:rFonts w:hint="eastAsia" w:ascii="仿宋" w:hAnsi="仿宋" w:eastAsia="仿宋" w:cs="仿宋"/>
          <w:color w:val="auto"/>
          <w:sz w:val="21"/>
          <w:szCs w:val="21"/>
          <w:highlight w:val="none"/>
          <w:u w:val="single"/>
        </w:rPr>
        <w:t>由广州投标文件管理专用软件系统生成的“工程量清单主表--工程量清单报价表”封面页及扉页可以仅采用单位数字证书加盖电子印章处理。</w:t>
      </w:r>
      <w:r>
        <w:rPr>
          <w:rFonts w:hint="eastAsia" w:ascii="仿宋" w:hAnsi="仿宋" w:eastAsia="仿宋" w:cs="仿宋"/>
          <w:color w:val="auto"/>
          <w:sz w:val="21"/>
          <w:szCs w:val="21"/>
          <w:highlight w:val="none"/>
        </w:rPr>
        <w:t>按照</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交易平台关于全流程电子化项目的相关指南进行操作。详见：</w:t>
      </w:r>
      <w:r>
        <w:rPr>
          <w:rFonts w:hint="eastAsia" w:ascii="仿宋" w:hAnsi="仿宋" w:eastAsia="仿宋" w:cs="仿宋"/>
          <w:color w:val="auto"/>
          <w:sz w:val="21"/>
          <w:szCs w:val="21"/>
          <w:highlight w:val="none"/>
          <w:u w:val="single"/>
        </w:rPr>
        <w:t>广州交易集团有限公司（广州公共资源交易中心）网站最新指引。</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条款号：18.1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原文：18.1</w:t>
      </w:r>
      <w:r>
        <w:rPr>
          <w:rFonts w:hint="eastAsia" w:ascii="仿宋" w:hAnsi="仿宋" w:eastAsia="仿宋" w:cs="仿宋"/>
          <w:bCs/>
          <w:color w:val="auto"/>
          <w:sz w:val="21"/>
          <w:szCs w:val="21"/>
          <w:highlight w:val="none"/>
        </w:rPr>
        <w:t>递交的电子投标文件（不含备用光盘）必须进行加密。按照交易平台关于全流程电子化项目的相关指南进行操作。详见：</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w:t>
      </w:r>
    </w:p>
    <w:p>
      <w:pPr>
        <w:pageBreakBefore w:val="0"/>
        <w:pBdr>
          <w:bottom w:val="single" w:color="auto" w:sz="6" w:space="1"/>
        </w:pBdr>
        <w:kinsoku/>
        <w:wordWrap/>
        <w:overflowPunct/>
        <w:topLinePunct w:val="0"/>
        <w:bidi w:val="0"/>
        <w:snapToGrid/>
        <w:spacing w:line="440" w:lineRule="exact"/>
        <w:ind w:firstLine="422" w:firstLineChars="20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现文：18.1</w:t>
      </w:r>
      <w:r>
        <w:rPr>
          <w:rFonts w:hint="eastAsia" w:ascii="仿宋" w:hAnsi="仿宋" w:eastAsia="仿宋" w:cs="仿宋"/>
          <w:bCs/>
          <w:color w:val="auto"/>
          <w:sz w:val="21"/>
          <w:szCs w:val="21"/>
          <w:highlight w:val="none"/>
        </w:rPr>
        <w:t>递交的电子投标文件（不含备用光盘）必须进行加密。按照</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bCs/>
          <w:color w:val="auto"/>
          <w:sz w:val="21"/>
          <w:szCs w:val="21"/>
          <w:highlight w:val="none"/>
        </w:rPr>
        <w:t>交易平台关于</w:t>
      </w:r>
      <w:r>
        <w:rPr>
          <w:rFonts w:hint="eastAsia" w:ascii="仿宋" w:hAnsi="仿宋" w:eastAsia="仿宋" w:cs="仿宋"/>
          <w:color w:val="auto"/>
          <w:sz w:val="21"/>
          <w:szCs w:val="21"/>
          <w:highlight w:val="none"/>
        </w:rPr>
        <w:t>全流程电子化项目的相关指南进行操作。详见：</w:t>
      </w:r>
      <w:r>
        <w:rPr>
          <w:rFonts w:hint="eastAsia" w:ascii="仿宋" w:hAnsi="仿宋" w:eastAsia="仿宋" w:cs="仿宋"/>
          <w:color w:val="auto"/>
          <w:sz w:val="21"/>
          <w:szCs w:val="21"/>
          <w:highlight w:val="none"/>
          <w:u w:val="single"/>
        </w:rPr>
        <w:t>广州交易集团有限公司（广州公共资源交易中心）网站最新指引</w:t>
      </w:r>
      <w:r>
        <w:rPr>
          <w:rFonts w:hint="eastAsia" w:ascii="仿宋" w:hAnsi="仿宋" w:eastAsia="仿宋" w:cs="仿宋"/>
          <w:color w:val="auto"/>
          <w:sz w:val="21"/>
          <w:szCs w:val="21"/>
          <w:highlight w:val="none"/>
        </w:rPr>
        <w:t>。</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条款号：18.2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原文：18.2</w:t>
      </w:r>
      <w:r>
        <w:rPr>
          <w:rFonts w:hint="eastAsia" w:ascii="仿宋" w:hAnsi="仿宋" w:eastAsia="仿宋" w:cs="仿宋"/>
          <w:bCs/>
          <w:color w:val="auto"/>
          <w:sz w:val="21"/>
          <w:szCs w:val="21"/>
          <w:highlight w:val="none"/>
        </w:rPr>
        <w:t xml:space="preserve"> 未按要求加密的投标文件，</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交易平台将予以拒收。</w:t>
      </w:r>
    </w:p>
    <w:p>
      <w:pPr>
        <w:pageBreakBefore w:val="0"/>
        <w:pBdr>
          <w:bottom w:val="single" w:color="auto" w:sz="6" w:space="1"/>
        </w:pBdr>
        <w:kinsoku/>
        <w:wordWrap/>
        <w:overflowPunct/>
        <w:topLinePunct w:val="0"/>
        <w:bidi w:val="0"/>
        <w:snapToGrid/>
        <w:spacing w:line="440" w:lineRule="exact"/>
        <w:ind w:firstLine="42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现文：18.2</w:t>
      </w:r>
      <w:r>
        <w:rPr>
          <w:rFonts w:hint="eastAsia" w:ascii="仿宋" w:hAnsi="仿宋" w:eastAsia="仿宋" w:cs="仿宋"/>
          <w:bCs/>
          <w:color w:val="auto"/>
          <w:sz w:val="21"/>
          <w:szCs w:val="21"/>
          <w:highlight w:val="none"/>
        </w:rPr>
        <w:t xml:space="preserve"> 未按要求加密的投标文件，</w:t>
      </w:r>
      <w:r>
        <w:rPr>
          <w:rFonts w:hint="eastAsia" w:ascii="仿宋" w:hAnsi="仿宋" w:eastAsia="仿宋" w:cs="仿宋"/>
          <w:bCs/>
          <w:color w:val="auto"/>
          <w:sz w:val="21"/>
          <w:szCs w:val="21"/>
          <w:highlight w:val="none"/>
          <w:u w:val="single"/>
        </w:rPr>
        <w:t>广州交易集团有限公司（广州公共资源交易中心）</w:t>
      </w:r>
      <w:r>
        <w:rPr>
          <w:rFonts w:hint="eastAsia" w:ascii="仿宋" w:hAnsi="仿宋" w:eastAsia="仿宋" w:cs="仿宋"/>
          <w:bCs/>
          <w:color w:val="auto"/>
          <w:sz w:val="21"/>
          <w:szCs w:val="21"/>
          <w:highlight w:val="none"/>
        </w:rPr>
        <w:t>交易平台将予以拒收。</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条款号：19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19．投标文件的递交和接收</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19.1投标人通过交易平台递交电子投标文件。</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19.2投标人完成电子投标文件上传后，交易平台即时向投标人发出递交回执通知。递交时间以递交回执通知载明的传输完成时间为准。</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19.3逾期送达的电子投标文件，交易平台将予以拒收。</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19.4 投标截止前，招标人拒绝接收符合条件的投标文件，投标人可向招标投标监督机构投诉。</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19.5如技术标和经济标先后分别开启，</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交易平台将按招标文件规定的时间分别开启技术标和经济标。</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19．投标文件的递交和接收</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19.1投标人通过</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交易平台递交电子投标文件。</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19.2投标人完成电子投标文件上传后，</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交易平台即时向投标人发出递交回执通知。递交时间以递交回执通知载明的传输完成时间为准。</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19.3逾期送达的电子投标文件，</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交易平台将予以拒收。</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19.4 投标截止前，招标人拒绝接收符合条件的投标文件，投标人可向招标投标监督机构投诉。</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19.5</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交易平台将按招标文件规定的时间分别开启技术标和经济标。</w:t>
      </w:r>
    </w:p>
    <w:p>
      <w:pPr>
        <w:pageBreakBefore w:val="0"/>
        <w:pBdr>
          <w:top w:val="single" w:color="auto" w:sz="4" w:space="0"/>
        </w:pBdr>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条款号：21.1                       修改类型：修改</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21.1 本须知前附表第17项规定的投标截止时间后送达的电子投标文件，交易平台将予以拒收。</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21.1 本须知前附表第17项规定的投标截止时间后送达的电子投标文件，</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交易平台将予以拒收。</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条款号：27                         修改类型：修改</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27．中标通知书</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27.1招标人将在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27.2招标人应当自确定中标人后，向招标投标监管机构提交招标投标情况的书面报告；经招投标监管机构备案后，方可发出中标通知书。</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27.3中标人必须在收到中标通知书后24小时之内以书面形式回复招标人，确认收到。</w:t>
      </w:r>
    </w:p>
    <w:p>
      <w:pPr>
        <w:pageBreakBefore w:val="0"/>
        <w:kinsoku/>
        <w:wordWrap/>
        <w:overflowPunct/>
        <w:topLinePunct w:val="0"/>
        <w:bidi w:val="0"/>
        <w:snapToGrid/>
        <w:spacing w:line="44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27.4在产生中标候选人后，招标人将中标候选人的投标文件商务部分文件的所有内容（包括人员、业绩、奖项等资料）在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交易平台和广东省招标投标监管网公开。</w:t>
      </w:r>
    </w:p>
    <w:p>
      <w:pPr>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27．中标通知书</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27.1招标人将在</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27.2招标人应当自确定中标人后，向招标投标监管机构提交招标投标情况的书面报告；经招投标监管机构备案后，方可发出中标通知书。</w:t>
      </w:r>
    </w:p>
    <w:p>
      <w:pPr>
        <w:pageBreakBefore w:val="0"/>
        <w:pBdr>
          <w:bottom w:val="single" w:color="auto" w:sz="6" w:space="1"/>
        </w:pBdr>
        <w:kinsoku/>
        <w:wordWrap/>
        <w:overflowPunct/>
        <w:topLinePunct w:val="0"/>
        <w:bidi w:val="0"/>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27.3中标人必须在收到中标通知书后24小时之内以书面形式回复招标人，确认收到。</w:t>
      </w:r>
    </w:p>
    <w:p>
      <w:pPr>
        <w:pageBreakBefore w:val="0"/>
        <w:pBdr>
          <w:bottom w:val="single" w:color="auto" w:sz="6" w:space="1"/>
        </w:pBdr>
        <w:kinsoku/>
        <w:wordWrap/>
        <w:overflowPunct/>
        <w:topLinePunct w:val="0"/>
        <w:bidi w:val="0"/>
        <w:snapToGrid/>
        <w:spacing w:line="440" w:lineRule="exact"/>
        <w:ind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27.4在产生中标候选人后，招标人将中标候选人的投标文件商务部分文件的所有内容（包括</w:t>
      </w:r>
      <w:r>
        <w:rPr>
          <w:rFonts w:hint="eastAsia" w:ascii="仿宋" w:hAnsi="仿宋" w:eastAsia="仿宋" w:cs="仿宋"/>
          <w:color w:val="auto"/>
          <w:sz w:val="21"/>
          <w:szCs w:val="21"/>
          <w:highlight w:val="none"/>
          <w:u w:val="single"/>
        </w:rPr>
        <w:t>人员、业绩、奖项等资料）</w:t>
      </w: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u w:val="single"/>
        </w:rPr>
        <w:t>广州交易集团有限公司（广州公共资源交易中心）</w:t>
      </w:r>
      <w:r>
        <w:rPr>
          <w:rFonts w:hint="eastAsia" w:ascii="仿宋" w:hAnsi="仿宋" w:eastAsia="仿宋" w:cs="仿宋"/>
          <w:color w:val="auto"/>
          <w:sz w:val="21"/>
          <w:szCs w:val="21"/>
          <w:highlight w:val="none"/>
        </w:rPr>
        <w:t>交易平台和广东省招标投标监管网公开。</w:t>
      </w:r>
    </w:p>
    <w:p>
      <w:pPr>
        <w:pageBreakBefore w:val="0"/>
        <w:pBdr>
          <w:bottom w:val="single" w:color="auto" w:sz="6" w:space="1"/>
        </w:pBdr>
        <w:kinsoku/>
        <w:wordWrap/>
        <w:overflowPunct/>
        <w:topLinePunct w:val="0"/>
        <w:bidi w:val="0"/>
        <w:snapToGrid/>
        <w:spacing w:line="440" w:lineRule="exact"/>
        <w:ind w:firstLine="525" w:firstLineChars="25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u w:val="single"/>
        </w:rPr>
        <w:t>27.5招标人（招标代理机构）填报中标候选人公示信息时，交易中心交易系统校验第一中标候选人拟委派的项目负责人在省平台的锁定情况。如校验结果为锁定的，则不能进行中标候选人公示，同时交易系统向招标人（招标代理）发送“项目负责人已在省平台锁定”的提示信息。招标人有权取消其第一中标候选人资格，并选取第二中标候选人替补，以此类推至第三中标候选人。若三名中标候选人均出现以上情况，则按投标人的综合得分排序，由招标人重新选取中标候选人或重新招标。</w:t>
      </w:r>
    </w:p>
    <w:p>
      <w:pPr>
        <w:pageBreakBefore w:val="0"/>
        <w:kinsoku/>
        <w:wordWrap/>
        <w:overflowPunct/>
        <w:topLinePunct w:val="0"/>
        <w:bidi w:val="0"/>
        <w:snapToGrid/>
        <w:spacing w:line="440" w:lineRule="exact"/>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条款号：28.2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ageBreakBefore w:val="0"/>
        <w:pBdr>
          <w:bottom w:val="single" w:color="auto" w:sz="6" w:space="1"/>
        </w:pBdr>
        <w:kinsoku/>
        <w:wordWrap/>
        <w:overflowPunct/>
        <w:topLinePunct w:val="0"/>
        <w:bidi w:val="0"/>
        <w:snapToGrid/>
        <w:spacing w:line="440" w:lineRule="exact"/>
        <w:ind w:firstLine="472" w:firstLineChars="224"/>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28.2中标通知书发出之日起30日后，中标人未按上款的规定与招标人订立合同，招标人将解除中标通知书，</w:t>
      </w:r>
      <w:r>
        <w:rPr>
          <w:rFonts w:hint="eastAsia" w:ascii="仿宋" w:hAnsi="仿宋" w:eastAsia="仿宋" w:cs="仿宋"/>
          <w:color w:val="auto"/>
          <w:sz w:val="21"/>
          <w:szCs w:val="21"/>
          <w:highlight w:val="none"/>
          <w:u w:val="single"/>
        </w:rPr>
        <w:t>并有权根据《关于投标保证金的承诺》，要求投标人足额补交投标保证金，其补交的投标保证金不予退还。</w:t>
      </w:r>
      <w:r>
        <w:rPr>
          <w:rFonts w:hint="eastAsia" w:ascii="仿宋" w:hAnsi="仿宋" w:eastAsia="仿宋" w:cs="仿宋"/>
          <w:color w:val="auto"/>
          <w:sz w:val="21"/>
          <w:szCs w:val="21"/>
          <w:highlight w:val="none"/>
        </w:rPr>
        <w:t>原中标人给招标人造成的损失超过投标保证金数额的，还应当对超过部分予以赔偿。原中标人有异议的，可以向人民法院起诉。</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条款号：28.4                       修改类型：修改</w:t>
      </w:r>
    </w:p>
    <w:p>
      <w:pPr>
        <w:pageBreakBefore w:val="0"/>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28.4招标人支付工程款时，中标人应提供工程所在地发票。</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bCs/>
          <w:color w:val="auto"/>
          <w:sz w:val="21"/>
          <w:szCs w:val="21"/>
          <w:highlight w:val="none"/>
        </w:rPr>
        <w:t>28.4招标人支付工程款时，中标人应提供</w:t>
      </w:r>
      <w:r>
        <w:rPr>
          <w:rFonts w:hint="eastAsia" w:ascii="仿宋" w:hAnsi="仿宋" w:eastAsia="仿宋" w:cs="仿宋"/>
          <w:bCs/>
          <w:color w:val="auto"/>
          <w:sz w:val="21"/>
          <w:szCs w:val="21"/>
          <w:highlight w:val="none"/>
          <w:u w:val="single"/>
        </w:rPr>
        <w:t>符合国家税务相关部门要求的</w:t>
      </w:r>
      <w:r>
        <w:rPr>
          <w:rFonts w:hint="eastAsia" w:ascii="仿宋" w:hAnsi="仿宋" w:eastAsia="仿宋" w:cs="仿宋"/>
          <w:bCs/>
          <w:color w:val="auto"/>
          <w:sz w:val="21"/>
          <w:szCs w:val="21"/>
          <w:highlight w:val="none"/>
        </w:rPr>
        <w:t>发票。</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条款号：28.5                       修改类型：增加</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u w:val="single"/>
        </w:rPr>
        <w:t>28.5招标人与中标人签订合同及办理施工许可前，核查中标人委派的项目负责人在建项目任职情况。核查方式包括但不限于在广东省建筑市场监管公共服务平台、广州公共资源交易中心企业库等进行查询。如校验结果为锁定的，招标人有权取消其中标资格，并选取第二中标候选人替补。</w:t>
      </w:r>
    </w:p>
    <w:p>
      <w:pPr>
        <w:pageBreakBefore w:val="0"/>
        <w:pBdr>
          <w:top w:val="single" w:color="auto" w:sz="4" w:space="0"/>
        </w:pBdr>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条款号：29.1                       修改类型：修改</w:t>
      </w:r>
    </w:p>
    <w:p>
      <w:pPr>
        <w:pageBreakBefore w:val="0"/>
        <w:kinsoku/>
        <w:wordWrap/>
        <w:overflowPunct/>
        <w:topLinePunct w:val="0"/>
        <w:bidi w:val="0"/>
        <w:adjustRightInd w:val="0"/>
        <w:snapToGrid/>
        <w:spacing w:line="440" w:lineRule="exact"/>
        <w:ind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29.1 在收到中标通知书后的15日内，中标人应按本须知前附表第20项的规定向招标人提交履约担保。</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bCs/>
          <w:strike/>
          <w:color w:val="auto"/>
          <w:sz w:val="21"/>
          <w:szCs w:val="21"/>
          <w:highlight w:val="none"/>
          <w:u w:val="singl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29.1</w:t>
      </w:r>
      <w:r>
        <w:rPr>
          <w:rFonts w:hint="eastAsia" w:ascii="仿宋" w:hAnsi="仿宋" w:eastAsia="仿宋" w:cs="仿宋"/>
          <w:color w:val="auto"/>
          <w:sz w:val="21"/>
          <w:szCs w:val="21"/>
          <w:highlight w:val="none"/>
          <w:u w:val="single"/>
        </w:rPr>
        <w:t>合同正式签订之日后的15日内</w:t>
      </w:r>
      <w:r>
        <w:rPr>
          <w:rFonts w:hint="eastAsia" w:ascii="仿宋" w:hAnsi="仿宋" w:eastAsia="仿宋" w:cs="仿宋"/>
          <w:color w:val="auto"/>
          <w:sz w:val="21"/>
          <w:szCs w:val="21"/>
          <w:highlight w:val="none"/>
        </w:rPr>
        <w:t>，中标人应按本须知前附表第20项的规定向招标人提交履约担保。</w:t>
      </w:r>
    </w:p>
    <w:p>
      <w:pPr>
        <w:pageBreakBefore w:val="0"/>
        <w:kinsoku/>
        <w:wordWrap/>
        <w:overflowPunct/>
        <w:topLinePunct w:val="0"/>
        <w:bidi w:val="0"/>
        <w:snapToGrid/>
        <w:spacing w:line="440" w:lineRule="exact"/>
        <w:ind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：29.2</w:t>
      </w:r>
      <w:r>
        <w:rPr>
          <w:rFonts w:hint="eastAsia" w:ascii="仿宋" w:hAnsi="仿宋" w:eastAsia="仿宋" w:cs="仿宋"/>
          <w:color w:val="auto"/>
          <w:sz w:val="21"/>
          <w:szCs w:val="21"/>
          <w:highlight w:val="none"/>
          <w:u w:val="single"/>
        </w:rPr>
        <w:t>合同正式签订之日后的15日内</w:t>
      </w:r>
      <w:r>
        <w:rPr>
          <w:rFonts w:hint="eastAsia" w:ascii="仿宋" w:hAnsi="仿宋" w:eastAsia="仿宋" w:cs="仿宋"/>
          <w:color w:val="auto"/>
          <w:sz w:val="21"/>
          <w:szCs w:val="21"/>
          <w:highlight w:val="none"/>
        </w:rPr>
        <w:t>，中标人未按上款的规定递交履约担保，招标人将解除中标通知书，</w:t>
      </w:r>
      <w:r>
        <w:rPr>
          <w:rFonts w:hint="eastAsia" w:ascii="仿宋" w:hAnsi="仿宋" w:eastAsia="仿宋" w:cs="仿宋"/>
          <w:color w:val="auto"/>
          <w:sz w:val="21"/>
          <w:szCs w:val="21"/>
          <w:highlight w:val="none"/>
          <w:u w:val="single"/>
        </w:rPr>
        <w:t>并有权根据《关于投标保证金的承诺》，要求投标人足额补交投标保证金，其补交的投标保证金不予退还。</w:t>
      </w:r>
      <w:r>
        <w:rPr>
          <w:rFonts w:hint="eastAsia" w:ascii="仿宋" w:hAnsi="仿宋" w:eastAsia="仿宋" w:cs="仿宋"/>
          <w:color w:val="auto"/>
          <w:sz w:val="21"/>
          <w:szCs w:val="21"/>
          <w:highlight w:val="none"/>
        </w:rPr>
        <w:t>原中标人给招标人造成的损失超过投标保证金数额的，还应当对超过部分予以赔偿。原中标人有异议的，可以向人民法院起诉。</w:t>
      </w:r>
    </w:p>
    <w:p>
      <w:pPr>
        <w:pageBreakBefore w:val="0"/>
        <w:kinsoku/>
        <w:wordWrap/>
        <w:overflowPunct/>
        <w:topLinePunct w:val="0"/>
        <w:bidi w:val="0"/>
        <w:adjustRightInd w:val="0"/>
        <w:snapToGrid/>
        <w:spacing w:line="44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条款号：30.1                      修改类型：修改</w:t>
      </w:r>
    </w:p>
    <w:p>
      <w:pPr>
        <w:pageBreakBefore w:val="0"/>
        <w:kinsoku/>
        <w:wordWrap/>
        <w:overflowPunct/>
        <w:topLinePunct w:val="0"/>
        <w:bidi w:val="0"/>
        <w:adjustRightInd w:val="0"/>
        <w:snapToGrid/>
        <w:spacing w:line="44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原文：</w:t>
      </w:r>
      <w:r>
        <w:rPr>
          <w:rFonts w:hint="eastAsia" w:ascii="仿宋" w:hAnsi="仿宋" w:eastAsia="仿宋" w:cs="仿宋"/>
          <w:color w:val="auto"/>
          <w:sz w:val="21"/>
          <w:szCs w:val="21"/>
          <w:highlight w:val="none"/>
        </w:rPr>
        <w:t>30.1在合同双方全权代表在合同协议书上签字，并分别加盖双方单位的公章后，合同正式生效。</w:t>
      </w:r>
    </w:p>
    <w:p>
      <w:pPr>
        <w:pageBreakBefore w:val="0"/>
        <w:pBdr>
          <w:bottom w:val="single" w:color="auto" w:sz="6" w:space="1"/>
        </w:pBdr>
        <w:kinsoku/>
        <w:wordWrap/>
        <w:overflowPunct/>
        <w:topLinePunct w:val="0"/>
        <w:bidi w:val="0"/>
        <w:adjustRightInd w:val="0"/>
        <w:snapToGrid/>
        <w:spacing w:line="440" w:lineRule="exact"/>
        <w:ind w:firstLine="422" w:firstLineChars="200"/>
        <w:textAlignment w:val="baseline"/>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30.1在合同双方全权代表在合同协议书上签字，并分别加盖双方单位的公章</w:t>
      </w:r>
      <w:r>
        <w:rPr>
          <w:rFonts w:hint="eastAsia" w:ascii="仿宋" w:hAnsi="仿宋" w:eastAsia="仿宋" w:cs="仿宋"/>
          <w:color w:val="auto"/>
          <w:sz w:val="21"/>
          <w:szCs w:val="21"/>
          <w:highlight w:val="none"/>
          <w:u w:val="single"/>
        </w:rPr>
        <w:t>且承包人提交履约担保后，合同正式生效。</w:t>
      </w:r>
    </w:p>
    <w:p>
      <w:pPr>
        <w:pageBreakBefore w:val="0"/>
        <w:kinsoku/>
        <w:wordWrap/>
        <w:overflowPunct/>
        <w:topLinePunct w:val="0"/>
        <w:bidi w:val="0"/>
        <w:snapToGrid/>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条款号：31.1                      修改类型：增加</w:t>
      </w:r>
    </w:p>
    <w:p>
      <w:pPr>
        <w:pageBreakBefore w:val="0"/>
        <w:pBdr>
          <w:bottom w:val="single" w:color="auto" w:sz="6" w:space="1"/>
        </w:pBdr>
        <w:kinsoku/>
        <w:wordWrap/>
        <w:overflowPunct/>
        <w:topLinePunct w:val="0"/>
        <w:bidi w:val="0"/>
        <w:snapToGrid/>
        <w:spacing w:line="440" w:lineRule="exact"/>
        <w:ind w:firstLine="422" w:firstLineChars="20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u w:val="single"/>
        </w:rPr>
        <w:t>广州交易集团有限公司（广州公共资源交易中心）交易服务费由中标人负责，由广州交易集团有限公司（广州公共资源交易中心）向中标人开具增值税发票。</w:t>
      </w:r>
    </w:p>
    <w:p>
      <w:pPr>
        <w:pageBreakBefore w:val="0"/>
        <w:pBdr>
          <w:bottom w:val="single" w:color="auto" w:sz="6" w:space="1"/>
        </w:pBdr>
        <w:kinsoku/>
        <w:wordWrap/>
        <w:overflowPunct/>
        <w:topLinePunct w:val="0"/>
        <w:bidi w:val="0"/>
        <w:snapToGrid/>
        <w:spacing w:line="440" w:lineRule="exact"/>
        <w:ind w:firstLine="527" w:firstLineChars="25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条款号：33                       修改类型：增加</w:t>
      </w:r>
    </w:p>
    <w:p>
      <w:pPr>
        <w:pageBreakBefore w:val="0"/>
        <w:pBdr>
          <w:bottom w:val="single" w:color="auto" w:sz="6" w:space="1"/>
        </w:pBdr>
        <w:kinsoku/>
        <w:wordWrap/>
        <w:overflowPunct/>
        <w:topLinePunct w:val="0"/>
        <w:bidi w:val="0"/>
        <w:snapToGrid/>
        <w:spacing w:line="440" w:lineRule="exact"/>
        <w:ind w:firstLine="565" w:firstLineChars="268"/>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现文</w:t>
      </w:r>
      <w:r>
        <w:rPr>
          <w:rFonts w:hint="eastAsia" w:ascii="仿宋" w:hAnsi="仿宋" w:eastAsia="仿宋" w:cs="仿宋"/>
          <w:color w:val="auto"/>
          <w:sz w:val="21"/>
          <w:szCs w:val="21"/>
          <w:highlight w:val="none"/>
        </w:rPr>
        <w:t>：33.</w:t>
      </w:r>
      <w:r>
        <w:rPr>
          <w:rFonts w:hint="eastAsia" w:ascii="仿宋" w:hAnsi="仿宋" w:eastAsia="仿宋" w:cs="仿宋"/>
          <w:color w:val="auto"/>
          <w:sz w:val="21"/>
          <w:szCs w:val="21"/>
          <w:highlight w:val="none"/>
          <w:u w:val="single"/>
        </w:rPr>
        <w:t>中标人须以工程项目为单位，在商业银行设立建设领域工人工资支付专用帐户用于支付工人工资。具体执行及管理办法参照《广州市住房和城乡建设局关于印发广州市建筑施工实名制管理办法的通知(2020)》（穗建规字〔2020〕18号）、《广州市住房和城乡建设局、广州市人力资源和社会保障局、广州市交通运输局等关于印发广州市建设领域工人工资支付分账管理实施细则的通知》（穗建规字〔2020〕37号）、番禺区住建局于2017年7月19日发布的《番禺区住房建设局转发广州市住房和城乡建设委员会关于实施〈广州市建设领域工人工资支付分帐管理实施细则〉有关工作的通知》。</w:t>
      </w:r>
    </w:p>
    <w:p>
      <w:pPr>
        <w:pageBreakBefore w:val="0"/>
        <w:kinsoku/>
        <w:wordWrap/>
        <w:overflowPunct/>
        <w:topLinePunct w:val="0"/>
        <w:bidi w:val="0"/>
        <w:snapToGrid/>
        <w:spacing w:line="440" w:lineRule="exact"/>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注：以上修改，仅限于本范本中有可供选择条款的情形。</w:t>
      </w:r>
    </w:p>
    <w:p>
      <w:pPr>
        <w:pageBreakBefore w:val="0"/>
        <w:kinsoku/>
        <w:wordWrap/>
        <w:overflowPunct/>
        <w:topLinePunct w:val="0"/>
        <w:bidi w:val="0"/>
        <w:snapToGrid/>
        <w:spacing w:line="440" w:lineRule="exact"/>
        <w:rPr>
          <w:rFonts w:hint="eastAsia" w:ascii="仿宋" w:hAnsi="仿宋" w:eastAsia="仿宋" w:cs="仿宋"/>
          <w:color w:val="auto"/>
          <w:highlight w:val="none"/>
        </w:rPr>
      </w:pPr>
      <w:r>
        <w:rPr>
          <w:rFonts w:hint="eastAsia" w:ascii="仿宋" w:hAnsi="仿宋" w:eastAsia="仿宋" w:cs="仿宋"/>
          <w:b/>
          <w:color w:val="auto"/>
          <w:szCs w:val="21"/>
          <w:highlight w:val="none"/>
        </w:rPr>
        <w:t>（以下无正文）</w:t>
      </w:r>
    </w:p>
    <w:p>
      <w:pPr>
        <w:pStyle w:val="7"/>
        <w:pageBreakBefore w:val="0"/>
        <w:kinsoku/>
        <w:wordWrap/>
        <w:overflowPunct/>
        <w:topLinePunct w:val="0"/>
        <w:bidi w:val="0"/>
        <w:snapToGrid/>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highlight w:val="none"/>
        </w:rPr>
        <w:br w:type="page"/>
      </w:r>
      <w:bookmarkStart w:id="13" w:name="_Toc21901"/>
      <w:bookmarkStart w:id="14" w:name="_Toc18968"/>
      <w:bookmarkStart w:id="15" w:name="_Toc2272548"/>
      <w:bookmarkStart w:id="16" w:name="_Toc21525492"/>
      <w:r>
        <w:rPr>
          <w:rFonts w:hint="eastAsia" w:ascii="仿宋" w:hAnsi="仿宋" w:eastAsia="仿宋" w:cs="仿宋"/>
          <w:color w:val="auto"/>
          <w:sz w:val="28"/>
          <w:szCs w:val="28"/>
          <w:highlight w:val="none"/>
        </w:rPr>
        <w:t>三、投标须知通用条款</w:t>
      </w:r>
      <w:bookmarkEnd w:id="13"/>
      <w:bookmarkEnd w:id="14"/>
      <w:bookmarkEnd w:id="15"/>
      <w:bookmarkEnd w:id="16"/>
    </w:p>
    <w:p>
      <w:pPr>
        <w:pStyle w:val="8"/>
        <w:pageBreakBefore w:val="0"/>
        <w:kinsoku/>
        <w:wordWrap/>
        <w:overflowPunct/>
        <w:topLinePunct w:val="0"/>
        <w:autoSpaceDE/>
        <w:autoSpaceDN/>
        <w:bidi w:val="0"/>
        <w:adjustRightInd/>
        <w:spacing w:before="156" w:after="156" w:line="440" w:lineRule="exact"/>
        <w:textAlignment w:val="auto"/>
        <w:rPr>
          <w:rFonts w:hint="eastAsia" w:ascii="仿宋" w:hAnsi="仿宋" w:eastAsia="仿宋" w:cs="仿宋"/>
          <w:color w:val="auto"/>
          <w:sz w:val="24"/>
          <w:szCs w:val="24"/>
          <w:highlight w:val="none"/>
        </w:rPr>
      </w:pPr>
      <w:bookmarkStart w:id="17" w:name="_Toc2272549"/>
      <w:bookmarkStart w:id="18" w:name="_Toc16904"/>
      <w:bookmarkStart w:id="19" w:name="_Toc21525493"/>
      <w:r>
        <w:rPr>
          <w:rFonts w:hint="eastAsia" w:ascii="仿宋" w:hAnsi="仿宋" w:eastAsia="仿宋" w:cs="仿宋"/>
          <w:color w:val="auto"/>
          <w:sz w:val="24"/>
          <w:szCs w:val="24"/>
          <w:highlight w:val="none"/>
        </w:rPr>
        <w:t>（一）总则</w:t>
      </w:r>
      <w:bookmarkEnd w:id="17"/>
      <w:bookmarkEnd w:id="18"/>
      <w:bookmarkEnd w:id="19"/>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1、定义</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本招标文件使用的下列词语具有如下规定的意义：</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（1）“招标人”（即发包人）、“项目建设管理单位”（或称“项目代建单位”）、“招标代理”、“设计单位”、“监理单位”均已在投标须知前附表中列明。</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（2）“投标人”指向招标人提交投标文件的当事人。   </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（3）“承包人”指其投标被招标人接受并与其签订承包合同的当事人。</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（4）“招标文件”指由招标代理发出的本文件（包括全部章节、附件）及招标答疑会会议纪要和</w:t>
      </w:r>
      <w:r>
        <w:rPr>
          <w:rFonts w:hint="eastAsia" w:ascii="仿宋" w:hAnsi="仿宋" w:eastAsia="仿宋" w:cs="仿宋"/>
          <w:bCs/>
          <w:color w:val="auto"/>
          <w:sz w:val="24"/>
          <w:szCs w:val="24"/>
          <w:highlight w:val="none"/>
        </w:rPr>
        <w:t>招标文件的澄清与修改</w:t>
      </w:r>
      <w:r>
        <w:rPr>
          <w:rFonts w:hint="eastAsia" w:ascii="仿宋" w:hAnsi="仿宋" w:eastAsia="仿宋" w:cs="仿宋"/>
          <w:color w:val="auto"/>
          <w:sz w:val="24"/>
          <w:szCs w:val="24"/>
          <w:highlight w:val="none"/>
        </w:rPr>
        <w:t>文件。</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（5）“投标文件”指投标人根据本项目招标文件向招标人提交的全部文件。</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（6）“书面形式”指打字或印刷的文件和数据电文（包括电报、电传、传真、电子数据交换和电子邮件）。</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2、招标说明</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2.1本招标工程项目按照《中华人民共和国招标投标法》等有关法律、行政法规、规章和规范性文件，通过招标方式选定承包人。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2.2工程名称、建设地点、建设规模、承包方式、质量标准、招标范围、工期要求等均在投标须知前附表中列明。</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2.3设计说明：详见招标图纸。</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2.4工程施工特点：详见招标图纸。</w:t>
      </w:r>
    </w:p>
    <w:p>
      <w:pPr>
        <w:pageBreakBefore w:val="0"/>
        <w:tabs>
          <w:tab w:val="left" w:pos="105"/>
        </w:tabs>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3．资金来源</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3.1本招标工程项目资金来源见投标须知前附表第9项</w:t>
      </w:r>
    </w:p>
    <w:p>
      <w:pPr>
        <w:pageBreakBefore w:val="0"/>
        <w:tabs>
          <w:tab w:val="left" w:pos="105"/>
        </w:tabs>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4．合格投标人的条件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4.1详见本项目招标公告</w:t>
      </w:r>
    </w:p>
    <w:p>
      <w:pPr>
        <w:pageBreakBefore w:val="0"/>
        <w:tabs>
          <w:tab w:val="left" w:pos="105"/>
        </w:tabs>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5．踏勘现场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5.1 投标人应按本投标须知前附表第15项所述时间和要求对工程现场及周围环境进行踏勘，</w:t>
      </w:r>
      <w:r>
        <w:rPr>
          <w:rFonts w:hint="eastAsia" w:ascii="仿宋" w:hAnsi="仿宋" w:eastAsia="仿宋" w:cs="仿宋"/>
          <w:color w:val="auto"/>
          <w:sz w:val="24"/>
          <w:szCs w:val="24"/>
          <w:highlight w:val="none"/>
        </w:rPr>
        <w:t>投标人应充分重视和仔细地进行这种考察，</w:t>
      </w:r>
      <w:r>
        <w:rPr>
          <w:rFonts w:hint="eastAsia" w:ascii="仿宋" w:hAnsi="仿宋" w:eastAsia="仿宋" w:cs="仿宋"/>
          <w:bCs/>
          <w:color w:val="auto"/>
          <w:sz w:val="24"/>
          <w:szCs w:val="24"/>
          <w:highlight w:val="none"/>
        </w:rPr>
        <w:t>以便投标人获取</w:t>
      </w:r>
      <w:r>
        <w:rPr>
          <w:rFonts w:hint="eastAsia" w:ascii="仿宋" w:hAnsi="仿宋" w:eastAsia="仿宋" w:cs="仿宋"/>
          <w:color w:val="auto"/>
          <w:sz w:val="24"/>
          <w:szCs w:val="24"/>
          <w:highlight w:val="none"/>
        </w:rPr>
        <w:t>那些须投标人自己负责的</w:t>
      </w:r>
      <w:r>
        <w:rPr>
          <w:rFonts w:hint="eastAsia" w:ascii="仿宋" w:hAnsi="仿宋" w:eastAsia="仿宋" w:cs="仿宋"/>
          <w:bCs/>
          <w:color w:val="auto"/>
          <w:sz w:val="24"/>
          <w:szCs w:val="24"/>
          <w:highlight w:val="none"/>
        </w:rPr>
        <w:t>有关编制投标文件和签署合同所涉及现场所有的资料。</w:t>
      </w:r>
      <w:r>
        <w:rPr>
          <w:rFonts w:hint="eastAsia" w:ascii="仿宋" w:hAnsi="仿宋" w:eastAsia="仿宋" w:cs="仿宋"/>
          <w:color w:val="auto"/>
          <w:sz w:val="24"/>
          <w:szCs w:val="24"/>
          <w:highlight w:val="none"/>
        </w:rPr>
        <w:t>一旦中标，这种考察即被认为其结果已在中标文件中得到充分反映。考察现场的费用由投标人自己承担。</w:t>
      </w:r>
    </w:p>
    <w:p>
      <w:pPr>
        <w:pageBreakBefore w:val="0"/>
        <w:tabs>
          <w:tab w:val="left" w:pos="105"/>
        </w:tabs>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5.2 招标人向投标人提供的有关现场的数据和资料，是招标人现有的能被投标人利用的资料，招标人对投标人做出的任何推论、理解和结论均不负责任。</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5.3 经招标人允许，投标人可为踏勘目的进入招标人的项目现场。</w:t>
      </w:r>
      <w:r>
        <w:rPr>
          <w:rFonts w:hint="eastAsia" w:ascii="仿宋" w:hAnsi="仿宋" w:eastAsia="仿宋" w:cs="仿宋"/>
          <w:color w:val="auto"/>
          <w:sz w:val="24"/>
          <w:szCs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仿宋" w:hAnsi="仿宋" w:eastAsia="仿宋" w:cs="仿宋"/>
          <w:bCs/>
          <w:color w:val="auto"/>
          <w:sz w:val="24"/>
          <w:szCs w:val="24"/>
          <w:highlight w:val="none"/>
        </w:rPr>
        <w:t>投标人不得因此使招标人承担有关的责任和蒙受损失。</w:t>
      </w:r>
    </w:p>
    <w:p>
      <w:pPr>
        <w:pageBreakBefore w:val="0"/>
        <w:tabs>
          <w:tab w:val="left" w:pos="105"/>
        </w:tabs>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6．投标费用</w:t>
      </w:r>
    </w:p>
    <w:p>
      <w:pPr>
        <w:pageBreakBefore w:val="0"/>
        <w:tabs>
          <w:tab w:val="left" w:pos="105"/>
        </w:tabs>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w:t>
      </w:r>
      <w:r>
        <w:rPr>
          <w:rFonts w:hint="eastAsia" w:ascii="仿宋" w:hAnsi="仿宋" w:eastAsia="仿宋" w:cs="仿宋"/>
          <w:color w:val="auto"/>
          <w:sz w:val="24"/>
          <w:szCs w:val="24"/>
          <w:highlight w:val="none"/>
        </w:rPr>
        <w:t>不论投标结果如何，投标人应承担</w:t>
      </w:r>
      <w:r>
        <w:rPr>
          <w:rFonts w:hint="eastAsia" w:ascii="仿宋" w:hAnsi="仿宋" w:eastAsia="仿宋" w:cs="仿宋"/>
          <w:bCs/>
          <w:color w:val="auto"/>
          <w:sz w:val="24"/>
          <w:szCs w:val="24"/>
          <w:highlight w:val="none"/>
        </w:rPr>
        <w:t>自身</w:t>
      </w:r>
      <w:r>
        <w:rPr>
          <w:rFonts w:hint="eastAsia" w:ascii="仿宋" w:hAnsi="仿宋" w:eastAsia="仿宋" w:cs="仿宋"/>
          <w:color w:val="auto"/>
          <w:sz w:val="24"/>
          <w:szCs w:val="24"/>
          <w:highlight w:val="none"/>
        </w:rPr>
        <w:t>因投标文件编制、递交及其他</w:t>
      </w:r>
      <w:r>
        <w:rPr>
          <w:rFonts w:hint="eastAsia" w:ascii="仿宋" w:hAnsi="仿宋" w:eastAsia="仿宋" w:cs="仿宋"/>
          <w:bCs/>
          <w:color w:val="auto"/>
          <w:sz w:val="24"/>
          <w:szCs w:val="24"/>
          <w:highlight w:val="none"/>
        </w:rPr>
        <w:t>参加本招标活动</w:t>
      </w:r>
      <w:r>
        <w:rPr>
          <w:rFonts w:hint="eastAsia" w:ascii="仿宋" w:hAnsi="仿宋" w:eastAsia="仿宋" w:cs="仿宋"/>
          <w:color w:val="auto"/>
          <w:sz w:val="24"/>
          <w:szCs w:val="24"/>
          <w:highlight w:val="none"/>
        </w:rPr>
        <w:t>所涉及的一切费用，招标人对上述费用不负任何责任。</w:t>
      </w:r>
    </w:p>
    <w:p>
      <w:pPr>
        <w:pStyle w:val="8"/>
        <w:pageBreakBefore w:val="0"/>
        <w:kinsoku/>
        <w:wordWrap/>
        <w:overflowPunct/>
        <w:topLinePunct w:val="0"/>
        <w:autoSpaceDE/>
        <w:autoSpaceDN/>
        <w:bidi w:val="0"/>
        <w:adjustRightInd/>
        <w:spacing w:before="156" w:after="156" w:line="440" w:lineRule="exact"/>
        <w:textAlignment w:val="auto"/>
        <w:rPr>
          <w:rFonts w:hint="eastAsia" w:ascii="仿宋" w:hAnsi="仿宋" w:eastAsia="仿宋" w:cs="仿宋"/>
          <w:color w:val="auto"/>
          <w:sz w:val="24"/>
          <w:szCs w:val="24"/>
          <w:highlight w:val="none"/>
        </w:rPr>
      </w:pPr>
      <w:bookmarkStart w:id="20" w:name="_Toc28259"/>
      <w:bookmarkStart w:id="21" w:name="_Toc21525494"/>
      <w:bookmarkStart w:id="22" w:name="_Toc2272550"/>
      <w:r>
        <w:rPr>
          <w:rFonts w:hint="eastAsia" w:ascii="仿宋" w:hAnsi="仿宋" w:eastAsia="仿宋" w:cs="仿宋"/>
          <w:color w:val="auto"/>
          <w:sz w:val="24"/>
          <w:szCs w:val="24"/>
          <w:highlight w:val="none"/>
        </w:rPr>
        <w:t>（二）招标文件</w:t>
      </w:r>
      <w:bookmarkEnd w:id="20"/>
      <w:bookmarkEnd w:id="21"/>
      <w:bookmarkEnd w:id="22"/>
    </w:p>
    <w:p>
      <w:pPr>
        <w:pageBreakBefore w:val="0"/>
        <w:tabs>
          <w:tab w:val="left" w:pos="105"/>
        </w:tabs>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7.招标文件的组成</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7.1本招标文件包括下列文件，以及所有按本须知第8条发出的招标答疑会会议纪要和按本须知第9条发出的澄清或修改：</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投标须知</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开标、评标及定标办法</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合同条款</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投标文件格式</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技术条件（工程建设标准）（另册）</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图纸及勘察资料（另册）</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招标工程量清单（另册）</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第八章  最高投标限价</w:t>
      </w:r>
    </w:p>
    <w:p>
      <w:pPr>
        <w:pStyle w:val="5"/>
        <w:pageBreakBefore w:val="0"/>
        <w:kinsoku/>
        <w:wordWrap/>
        <w:overflowPunct/>
        <w:topLinePunct w:val="0"/>
        <w:autoSpaceDE/>
        <w:autoSpaceDN/>
        <w:bidi w:val="0"/>
        <w:adjustRightInd/>
        <w:spacing w:after="0" w:line="440" w:lineRule="exact"/>
        <w:ind w:left="-2"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 1 \* GB3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①</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 2 \* GB3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②</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鼓励招标人对施工组织设计或施工方案实行隐藏投标人信息的暗标评审。</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投标人一旦中标，招标文件的内容对招标人和中标人双方均有约束力。</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8．招标答疑</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投标人若对招标文件（包括招标图纸）中有疑问，可以书面形式通过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交易平台提交给招标人或招标代理人，提交形式见本须知前附表第16项。</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8.2招标答疑会会议纪要将在提交投标文件截止时间15日前在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 “项目答疑纪要”专区公开发布。答疑纪要一经在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交易平台发布，视作已发放给所有投标人。</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8.3答疑会会议纪要为招标文件的一部分。</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8.4若招标答疑会会议纪要与招标文件有矛盾，以答疑会议纪要最后发出的书面形式的文件为准。</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9.招标文件的澄清与修改</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9.1招标文件发出后，在提交投标文件截止时间15日前，招标人可对招标文件进行必要的澄清或修改。</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9.2招标文件的澄清或修改将在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交易平台“项目答疑纪要”专区公开发布。答疑纪要一经在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交易平台发布，视作已发放给所有投标人，以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交易平台上网发布时间作为送达时间。</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9.3招标文件的修改内容为招标文件的组成部分。</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9.4招标文件的澄清或修改均以书面形式明确的内容为准。当招标文件的澄清、修改、补充等在同一内容的表述不一致时，以最后发出的书面形式的文件为准。</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pageBreakBefore w:val="0"/>
        <w:kinsoku/>
        <w:wordWrap/>
        <w:overflowPunct/>
        <w:topLinePunct w:val="0"/>
        <w:autoSpaceDE/>
        <w:autoSpaceDN/>
        <w:bidi w:val="0"/>
        <w:adjustRightInd/>
        <w:spacing w:before="156" w:after="156" w:line="440" w:lineRule="exact"/>
        <w:textAlignment w:val="auto"/>
        <w:rPr>
          <w:rFonts w:hint="eastAsia" w:ascii="仿宋" w:hAnsi="仿宋" w:eastAsia="仿宋" w:cs="仿宋"/>
          <w:color w:val="auto"/>
          <w:sz w:val="24"/>
          <w:szCs w:val="24"/>
          <w:highlight w:val="none"/>
        </w:rPr>
      </w:pPr>
      <w:bookmarkStart w:id="23" w:name="_Toc2272551"/>
      <w:bookmarkStart w:id="24" w:name="_Toc21525495"/>
      <w:bookmarkStart w:id="25" w:name="_Toc15740"/>
      <w:r>
        <w:rPr>
          <w:rFonts w:hint="eastAsia" w:ascii="仿宋" w:hAnsi="仿宋" w:eastAsia="仿宋" w:cs="仿宋"/>
          <w:color w:val="auto"/>
          <w:sz w:val="24"/>
          <w:szCs w:val="24"/>
          <w:highlight w:val="none"/>
        </w:rPr>
        <w:t>（三）投标文件的编制</w:t>
      </w:r>
      <w:bookmarkEnd w:id="23"/>
      <w:bookmarkEnd w:id="24"/>
      <w:bookmarkEnd w:id="25"/>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10．投标文件的语言及度量衡单位</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投标文件和与投标有关的所有文件均应使用中文。</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 除工程规范另有规定外，投标文件使用的度量衡单位，均采用中华人民共和国法定计量单位。</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11．投标文件的组成</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11.1 投标文件由技术部分（含资格审查文件）和经济部分二部分投标文件组成</w:t>
      </w:r>
      <w:r>
        <w:rPr>
          <w:rFonts w:hint="eastAsia" w:ascii="仿宋" w:hAnsi="仿宋" w:eastAsia="仿宋" w:cs="仿宋"/>
          <w:b/>
          <w:color w:val="auto"/>
          <w:sz w:val="24"/>
          <w:szCs w:val="24"/>
          <w:highlight w:val="none"/>
        </w:rPr>
        <w:t>。</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11.2投标文件技术标部分主要包括下列内容：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11.2.1 技术投标文件（</w:t>
      </w:r>
      <w:r>
        <w:rPr>
          <w:rFonts w:hint="eastAsia" w:ascii="仿宋" w:hAnsi="仿宋" w:eastAsia="仿宋" w:cs="仿宋"/>
          <w:color w:val="auto"/>
          <w:sz w:val="24"/>
          <w:szCs w:val="24"/>
          <w:highlight w:val="none"/>
        </w:rPr>
        <w:t>按招标文件的要求填写）</w:t>
      </w:r>
      <w:r>
        <w:rPr>
          <w:rFonts w:hint="eastAsia" w:ascii="仿宋" w:hAnsi="仿宋" w:eastAsia="仿宋" w:cs="仿宋"/>
          <w:bCs/>
          <w:color w:val="auto"/>
          <w:sz w:val="24"/>
          <w:szCs w:val="24"/>
          <w:highlight w:val="none"/>
        </w:rPr>
        <w:t>；</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11.2.2 资格审查文件：</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（1）投标人声明； </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（2）法定代表人证明书、法定代表人签字或盖章的本投标文件授权委托证明书；</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（3）企业营业执照扫描件或电子证照；</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（4）企业资质证书扫描件或电子证照；</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（5）建筑施工企业安全生产许可证扫描件或电子证照；</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（6）项目负责人（按网上投标登记时选择拟投入本项目的项目负责人）</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（7）专职安全员（按网上投标登记时选择拟投入本项目的专职安全员）</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（8）拟委托技术负责人的相关证书、资料（具体要求由招标人明确）</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（9）拟委派项目负责人的有效期内的建造师注册证书扫描件或电子证书；  </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（10）项目负责人在有效期内的安全生产考核合格证书（B类）或建筑施工企业项目负责人安全生产考核合格证书扫描件或电子证书；</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（11）专职安全员须具有在有效期内的安全生产考核合格证书（C类）或建筑施工企业专职安全生产管理人员安全生产考核合格证书扫描件或电子证书；</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（12）用于资格审查的业绩（设置业绩要求时选择此项，投标人须提供类似工程业绩的项目名称及项目编号，具体格式由招标人自定）；</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（13）资格审查前，投标人须在广州市住房和城乡建设局建立企业信用档案，拟担任本工程项目负责人、专职安全员须是本企业信用档案中的在册人员； </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注：1.相关电子证书按规定需打印后手写本人签名的，应按照规定手写本人签名后再扫描提交。</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11.2.3项目管理机构配备。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（1）投标人应列出该项目工程的施工组织机构构成和画出机构框架图及其负责人；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（2）投标人应详细列出该施工组织机构中主要成员的名单、简历资料、职务职称和在本项目中拟担任的职务等资料，并附上有关证明材料扫描件；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（3）其他辅助说明资料。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11.2.4投标人在广州市可使用适合本工程的机械设备（附：机械设备为自有或租赁的说明；及承诺机械设备如属于租赁的，其租赁是不属于重复租赁）。</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11.2.5施工组织设计或施工方案。</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pageBreakBefore w:val="0"/>
        <w:tabs>
          <w:tab w:val="left" w:pos="1125"/>
        </w:tabs>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11.2.6按照</w:t>
      </w:r>
      <w:r>
        <w:rPr>
          <w:rFonts w:hint="eastAsia" w:ascii="仿宋" w:hAnsi="仿宋" w:eastAsia="仿宋" w:cs="仿宋"/>
          <w:bCs/>
          <w:color w:val="auto"/>
          <w:sz w:val="24"/>
          <w:szCs w:val="24"/>
          <w:highlight w:val="none"/>
        </w:rPr>
        <w:t>招标文件要求</w:t>
      </w:r>
      <w:r>
        <w:rPr>
          <w:rFonts w:hint="eastAsia" w:ascii="仿宋" w:hAnsi="仿宋" w:eastAsia="仿宋" w:cs="仿宋"/>
          <w:color w:val="auto"/>
          <w:sz w:val="24"/>
          <w:szCs w:val="24"/>
          <w:highlight w:val="none"/>
        </w:rPr>
        <w:t>填写的《参与编制技术标投标文件人员名单》。</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11.3 经济部分投标文件主要包括下列内容：</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 经济投标文件（按招标文件的要求填写）。</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（1）投标总价封面、扉页；</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（2）总说明</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（3）工程项目投标报价汇总表；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（4）单项工程投标报价汇总表；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（5）单位工程投标报价汇总表；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（6）分部分项工程清单与计价表；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（7）单价措施项目清单与计价表；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（8）总价措施项目清单与计价表；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（9）综合单价分析表；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（10）其他项目清单与计价汇总表；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（11）暂列金额明细表；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（12）材料（工程设备）暂估价明细表；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（13）专业工程暂估价明细表；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（14）计日工表；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（15）总承包服务计价表；</w:t>
      </w:r>
    </w:p>
    <w:p>
      <w:pPr>
        <w:pageBreakBefore w:val="0"/>
        <w:kinsoku/>
        <w:wordWrap/>
        <w:overflowPunct/>
        <w:topLinePunct w:val="0"/>
        <w:autoSpaceDE/>
        <w:autoSpaceDN/>
        <w:bidi w:val="0"/>
        <w:adjustRightInd/>
        <w:spacing w:line="440" w:lineRule="exact"/>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（16）规费和税金项目计价表；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（17）人工、主要材料和设备一览表</w:t>
      </w:r>
    </w:p>
    <w:p>
      <w:pPr>
        <w:pageBreakBefore w:val="0"/>
        <w:tabs>
          <w:tab w:val="left" w:pos="1125"/>
        </w:tabs>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11.3.3按照</w:t>
      </w:r>
      <w:r>
        <w:rPr>
          <w:rFonts w:hint="eastAsia" w:ascii="仿宋" w:hAnsi="仿宋" w:eastAsia="仿宋" w:cs="仿宋"/>
          <w:bCs/>
          <w:color w:val="auto"/>
          <w:sz w:val="24"/>
          <w:szCs w:val="24"/>
          <w:highlight w:val="none"/>
        </w:rPr>
        <w:t>招标文件要求</w:t>
      </w:r>
      <w:r>
        <w:rPr>
          <w:rFonts w:hint="eastAsia" w:ascii="仿宋" w:hAnsi="仿宋" w:eastAsia="仿宋" w:cs="仿宋"/>
          <w:color w:val="auto"/>
          <w:sz w:val="24"/>
          <w:szCs w:val="24"/>
          <w:highlight w:val="none"/>
        </w:rPr>
        <w:t>填写的《参与编制经济标投标文件人员名单》。</w:t>
      </w:r>
    </w:p>
    <w:p>
      <w:pPr>
        <w:pageBreakBefore w:val="0"/>
        <w:tabs>
          <w:tab w:val="left" w:pos="1125"/>
        </w:tabs>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12．投标文件格式</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投标文件包括本须知第11条中规定的内容，投标人提交的投标文件应当使用招标文件所提供的投标文件全部格式（表格可以按同样格式扩展）。</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注：投标文件电子文档需要投标人单位盖章的材料，投标人加盖电子印章即可，不得将投标人未对电子文档加盖实物印章作为否决投标的情形。</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12.3 </w:t>
      </w:r>
      <w:r>
        <w:rPr>
          <w:rFonts w:hint="eastAsia" w:ascii="仿宋" w:hAnsi="仿宋" w:eastAsia="仿宋" w:cs="仿宋"/>
          <w:bCs/>
          <w:color w:val="auto"/>
          <w:sz w:val="24"/>
          <w:szCs w:val="24"/>
          <w:highlight w:val="none"/>
        </w:rPr>
        <w:t>投标文件应按</w:t>
      </w:r>
      <w:r>
        <w:rPr>
          <w:rFonts w:hint="eastAsia" w:ascii="仿宋" w:hAnsi="仿宋" w:eastAsia="仿宋" w:cs="仿宋"/>
          <w:color w:val="auto"/>
          <w:sz w:val="24"/>
          <w:szCs w:val="24"/>
          <w:highlight w:val="none"/>
        </w:rPr>
        <w:t>照交易平台关于全流程电子化项目的相关指南进行编制，详见：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5"/>
        <w:pageBreakBefore w:val="0"/>
        <w:kinsoku/>
        <w:wordWrap/>
        <w:overflowPunct/>
        <w:topLinePunct w:val="0"/>
        <w:autoSpaceDE/>
        <w:autoSpaceDN/>
        <w:bidi w:val="0"/>
        <w:adjustRightInd/>
        <w:spacing w:after="0" w:line="44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如不按上述要求编制引起系统无法检索、读取相关信息的，其后果由投标人承担。</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13．投标报价及造价承包和变更结算方式</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本工程的投标报价采用投标须知前附表第12项所规定的方式。投标报价（含单价及总价）精确到“分”。</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13.5.1中标的投标文件工程量清单中已有相同项目的适用综合单价，则沿用；</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13.5.4 如相关定额没有相应子目的，其计价方式由招标人在本招标文件第三章中另行规定。未规定的，中标后双方协商约定。</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13.6暂列金额、暂估价</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暂估价是指招标人在工程量清单中提供的用于支付必然发生但暂时不能确定价格的材料的单价以及专业工程的金额。</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14．投标货币</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本工程投标报价采用的币种为人民币。</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15．投标有效期</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投标有效期见投标须知前附表第13项所规定的期限，在此期限内，凡符合本招标文件要求的投标文件均保持有效。</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16．投标保证金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16.1投标人应按投标须知前附表第14项所述金额和时间递交</w:t>
      </w:r>
      <w:r>
        <w:rPr>
          <w:rFonts w:hint="eastAsia" w:ascii="仿宋" w:hAnsi="仿宋" w:eastAsia="仿宋" w:cs="仿宋"/>
          <w:bCs/>
          <w:color w:val="auto"/>
          <w:sz w:val="24"/>
          <w:szCs w:val="24"/>
          <w:highlight w:val="none"/>
        </w:rPr>
        <w:t>投标保证金</w:t>
      </w:r>
      <w:r>
        <w:rPr>
          <w:rFonts w:hint="eastAsia" w:ascii="仿宋" w:hAnsi="仿宋" w:eastAsia="仿宋" w:cs="仿宋"/>
          <w:color w:val="auto"/>
          <w:sz w:val="24"/>
          <w:szCs w:val="24"/>
          <w:highlight w:val="none"/>
        </w:rPr>
        <w:t>。招标人应当允许投标人自主选择现金、银行保函、保证保险、专业工程担保公司担保等方式缴纳投标保证金。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 采用现金或者支票形式提交的，投标保证金须从投标人的银行基本账户转出。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采用电子形式的保函、担保或保证保险提交投标保证金的，应在招标文件中明确电子递交途径。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16.3投标保证金应依据法律法规的相关规定退还。</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16.4如有下列情况之一的，招标人可以不予退还投标保证金（是否退还投标保证金由招标人在招标文件中规定）：</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16.4.1因投标人原因造成投标文件未解密的；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16.4.2投标人在投标有效期内撤销投标文件；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16.4.3中标人未能在规定期限内按要求提交履约担保；</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16.4.4中标人未能在规定期限内签署合同协议。</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16.5投标人如存在下列情况之一的，将被拒绝在一定时期内参与招标人后续工程投标（拒绝时限需在招标文件中明确）：</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16.5.1投标人存在16.4条款所列情形且投标人提交的保函、担保或保证保险无法兑付的；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16.5.2采用非电子形式提交投标保证金的投标人存在16.4条款所列情形，且未按招标人要求补交银行保函、专业工程担保公司担保或保证保险原件的；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16.5.3按招标文件要求免于提供投标保证金的投标人存在16.4条款所列情形，且未按招标人要求补交投标保证金的；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16.5.3按招标文件要求免于提供投标保证金的投标人存在16.4条款所列情形的。</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注：16.5.3款由招标人二选一，需在招标文件中明确。</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17．投标文件的签署</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8"/>
        <w:pageBreakBefore w:val="0"/>
        <w:kinsoku/>
        <w:wordWrap/>
        <w:overflowPunct/>
        <w:topLinePunct w:val="0"/>
        <w:autoSpaceDE/>
        <w:autoSpaceDN/>
        <w:bidi w:val="0"/>
        <w:adjustRightInd/>
        <w:spacing w:before="156" w:after="156" w:line="440" w:lineRule="exact"/>
        <w:textAlignment w:val="auto"/>
        <w:rPr>
          <w:rFonts w:hint="eastAsia" w:ascii="仿宋" w:hAnsi="仿宋" w:eastAsia="仿宋" w:cs="仿宋"/>
          <w:color w:val="auto"/>
          <w:sz w:val="24"/>
          <w:szCs w:val="24"/>
          <w:highlight w:val="none"/>
        </w:rPr>
      </w:pPr>
      <w:bookmarkStart w:id="26" w:name="_Toc21525496"/>
      <w:bookmarkStart w:id="27" w:name="_Toc24993"/>
      <w:bookmarkStart w:id="28" w:name="_Toc2272552"/>
      <w:r>
        <w:rPr>
          <w:rFonts w:hint="eastAsia" w:ascii="仿宋" w:hAnsi="仿宋" w:eastAsia="仿宋" w:cs="仿宋"/>
          <w:color w:val="auto"/>
          <w:sz w:val="24"/>
          <w:szCs w:val="24"/>
          <w:highlight w:val="none"/>
        </w:rPr>
        <w:t>（四）投标文件的提交</w:t>
      </w:r>
      <w:bookmarkEnd w:id="26"/>
      <w:bookmarkEnd w:id="27"/>
      <w:bookmarkEnd w:id="28"/>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w:t>
      </w:r>
      <w:r>
        <w:rPr>
          <w:rFonts w:hint="eastAsia" w:ascii="仿宋" w:hAnsi="仿宋" w:eastAsia="仿宋" w:cs="仿宋"/>
          <w:b/>
          <w:color w:val="auto"/>
          <w:sz w:val="24"/>
          <w:szCs w:val="24"/>
          <w:highlight w:val="none"/>
        </w:rPr>
        <w:t>投标文件的密封和标记</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18.1递交的电子投标文件（不含备用光盘）必须进行加密。按照交易平台关于</w:t>
      </w:r>
      <w:r>
        <w:rPr>
          <w:rFonts w:hint="eastAsia" w:ascii="仿宋" w:hAnsi="仿宋" w:eastAsia="仿宋" w:cs="仿宋"/>
          <w:color w:val="auto"/>
          <w:sz w:val="24"/>
          <w:szCs w:val="24"/>
          <w:highlight w:val="none"/>
        </w:rPr>
        <w:t>全流程电子化项目的相关指南进行操作。详见：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18.2 未按要求加密的投标文件，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w:t>
      </w:r>
      <w:r>
        <w:rPr>
          <w:rFonts w:hint="eastAsia" w:ascii="仿宋" w:hAnsi="仿宋" w:eastAsia="仿宋" w:cs="仿宋"/>
          <w:bCs/>
          <w:color w:val="auto"/>
          <w:sz w:val="24"/>
          <w:szCs w:val="24"/>
          <w:highlight w:val="none"/>
        </w:rPr>
        <w:t>将予以拒收。</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19．投标文件的递交和接收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19.1投标人通过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交易平台递交电子投标文件。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19.2投标人完成电子</w:t>
      </w:r>
      <w:r>
        <w:rPr>
          <w:rFonts w:hint="eastAsia" w:ascii="仿宋" w:hAnsi="仿宋" w:eastAsia="仿宋" w:cs="仿宋"/>
          <w:color w:val="auto"/>
          <w:sz w:val="24"/>
          <w:szCs w:val="24"/>
          <w:highlight w:val="none"/>
        </w:rPr>
        <w:t>投标文件</w:t>
      </w:r>
      <w:r>
        <w:rPr>
          <w:rFonts w:hint="eastAsia" w:ascii="仿宋" w:hAnsi="仿宋" w:eastAsia="仿宋" w:cs="仿宋"/>
          <w:bCs/>
          <w:color w:val="auto"/>
          <w:sz w:val="24"/>
          <w:szCs w:val="24"/>
          <w:highlight w:val="none"/>
        </w:rPr>
        <w:t>上传后，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交易平台即时向投标人发出递交回执通知。递交时间以递交回执通知载明的传输完成时间为准。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19.3逾期送达的电子投标文件，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交易平台将予以拒收。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投标截止前，招标人拒绝接收符合条件的投标文件，投标人可向招标投标监督机构投诉。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19.5如技术标和经济标先后分别开启，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交易平台将按招标文件规定的时间分别开启技术标和经济标。</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20．投标文件提交的截止时间</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20.1投标人应在投标须知前附表第17项所述的时间前提交投标文件。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到投标截止时间止，招标人收到的投标文件少于3家的，招标人将重新组织招标（当N个标段同时招标且不允许兼中时，若有效投标人不足N+2家，则重新组织招标）。</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21．迟交的投标文件</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本须知前附表第17项规定的投标截止时间</w:t>
      </w:r>
      <w:r>
        <w:rPr>
          <w:rFonts w:hint="eastAsia" w:ascii="仿宋" w:hAnsi="仿宋" w:eastAsia="仿宋" w:cs="仿宋"/>
          <w:bCs/>
          <w:color w:val="auto"/>
          <w:sz w:val="24"/>
          <w:szCs w:val="24"/>
          <w:highlight w:val="none"/>
        </w:rPr>
        <w:t>后送达的电子投标文件，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交易平台将予以拒收。</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22．投标文件的修改与撤回</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22.1在规定的投标截止时间前，投标人可以修改或撤回已递交的投标文件，但应以书面形式通知招标人。</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22.2投标人修改或撤回已递交的投标文件，需在交易平台发出修改或撤回通知，并按要求加盖电子印章。</w:t>
      </w:r>
      <w:r>
        <w:rPr>
          <w:rFonts w:hint="eastAsia" w:ascii="仿宋" w:hAnsi="仿宋" w:eastAsia="仿宋" w:cs="仿宋"/>
          <w:bCs/>
          <w:iCs/>
          <w:color w:val="auto"/>
          <w:sz w:val="24"/>
          <w:szCs w:val="24"/>
          <w:highlight w:val="none"/>
        </w:rPr>
        <w:t>电子招标投标交易平台收到通知后，</w:t>
      </w:r>
      <w:r>
        <w:rPr>
          <w:rFonts w:hint="eastAsia" w:ascii="仿宋" w:hAnsi="仿宋" w:eastAsia="仿宋" w:cs="仿宋"/>
          <w:color w:val="auto"/>
          <w:sz w:val="24"/>
          <w:szCs w:val="24"/>
          <w:highlight w:val="none"/>
        </w:rPr>
        <w:t>即时向投标人发出确认回执通知。</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22.3修改后再次递交的，按19点的规定执行。</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 在投标截止时间之后，投标人不得补充、修改和更换投标文件。</w:t>
      </w:r>
    </w:p>
    <w:p>
      <w:pPr>
        <w:pStyle w:val="8"/>
        <w:pageBreakBefore w:val="0"/>
        <w:kinsoku/>
        <w:wordWrap/>
        <w:overflowPunct/>
        <w:topLinePunct w:val="0"/>
        <w:autoSpaceDE/>
        <w:autoSpaceDN/>
        <w:bidi w:val="0"/>
        <w:adjustRightInd/>
        <w:spacing w:before="156" w:after="156" w:line="440" w:lineRule="exact"/>
        <w:textAlignment w:val="auto"/>
        <w:rPr>
          <w:rFonts w:hint="eastAsia" w:ascii="仿宋" w:hAnsi="仿宋" w:eastAsia="仿宋" w:cs="仿宋"/>
          <w:color w:val="auto"/>
          <w:sz w:val="24"/>
          <w:szCs w:val="24"/>
          <w:highlight w:val="none"/>
        </w:rPr>
      </w:pPr>
      <w:bookmarkStart w:id="29" w:name="_Toc21525497"/>
      <w:bookmarkStart w:id="30" w:name="_Toc22292"/>
      <w:bookmarkStart w:id="31" w:name="_Toc2272553"/>
      <w:r>
        <w:rPr>
          <w:rFonts w:hint="eastAsia" w:ascii="仿宋" w:hAnsi="仿宋" w:eastAsia="仿宋" w:cs="仿宋"/>
          <w:color w:val="auto"/>
          <w:sz w:val="24"/>
          <w:szCs w:val="24"/>
          <w:highlight w:val="none"/>
        </w:rPr>
        <w:t>（五）开标、评标、定标及合同签定</w:t>
      </w:r>
      <w:bookmarkEnd w:id="29"/>
      <w:bookmarkEnd w:id="30"/>
      <w:bookmarkEnd w:id="31"/>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23、开标。</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详见第二章开标、评标及定标办法</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24．评标过程的保密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开标后，直至中标公示为止，凡属于对投标文件的审查、澄清、评价和比较有关的资料以及中标候选人的推荐情况，与评标有关的其他任何情况均严格保密。</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在投标文件的评审和比较、中标候选人推荐以及授予合同的过程中，投标人向招标人和评标委员会施加不公正影响的任何行为，都将会导致其投标被拒绝。</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25．投标文件的澄清，计算错误的修正</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详见招标文件第二章开标、评标及定标办法</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26．投标文件的评审、比较和否决</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详见招标文件第二章开标、评标及定标办法。</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27．中标通知书</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27.1招标人将在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27.2招标人应当自确定中标人后，向招标投标监管机构提交招标投标情况的书面报告；经招投标监管机构备案后，方可发出中标通知书。</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27.3中标人必须在收到中标通知书后24小时之内以书面形式回复招标人，确认收到。</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27.4在产生中标候选人后，招标人将中标候选人的投标文件商务部分文件的所有内容（包括人员、业绩、奖项等资料）在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交易平台和广东省招标投标监管网公开。</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28．合同协议书的签订</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招标人与中标人将于中标通知书发出之日起30日内，按照招标文件和中标人的投标文件商定和签订合同，招标人和中标人不得再行订立背离合同实质性内容的其他协议。</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28.3非经招标人同意，中标人在投标过程中使用的银行名称及帐号至完成竣工结算不得变更，否则招标人有权停止工程款项的拔付及至解除合同，由此造成的一切责任由中标人承担。</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28.4招标人支付工程款时，中标人应按规定开具发票。</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29．履约担保</w:t>
      </w:r>
    </w:p>
    <w:p>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 在收到中标通知书后的15日内，中标人应按本须知前附表第20项的规定向招标人提交履约担保。</w:t>
      </w:r>
    </w:p>
    <w:p>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30．合同生效</w:t>
      </w:r>
    </w:p>
    <w:p>
      <w:pPr>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30.1在合同双方全权代表在合同协议书上签字，并分别加盖双方单位的公章后，合同正式生效。</w:t>
      </w:r>
    </w:p>
    <w:p>
      <w:pPr>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31．其它费用</w:t>
      </w:r>
    </w:p>
    <w:p>
      <w:pPr>
        <w:pStyle w:val="5"/>
        <w:pageBreakBefore w:val="0"/>
        <w:kinsoku/>
        <w:wordWrap/>
        <w:overflowPunct/>
        <w:topLinePunct w:val="0"/>
        <w:autoSpaceDE/>
        <w:autoSpaceDN/>
        <w:bidi w:val="0"/>
        <w:adjustRightInd/>
        <w:spacing w:after="0"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32．腐败与欺诈行为</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在招标和合同实施期间，招标人要求投标人和承包人遵守最高的道德标准。</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32．1对本条款的规定，特定义如下词汇：</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1）、“腐败行为”是指在招标或合同执行期间，通过提供、给予、接受或索要任何有价值的东西，从而影响招标人有关人员工作的行为；</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32．2如果投标人被认定在本招标的竞争中有腐败或欺诈行为，则会被取消投标资格。</w:t>
      </w:r>
    </w:p>
    <w:p>
      <w:pPr>
        <w:pStyle w:val="5"/>
        <w:pageBreakBefore w:val="0"/>
        <w:kinsoku/>
        <w:wordWrap/>
        <w:overflowPunct/>
        <w:topLinePunct w:val="0"/>
        <w:autoSpaceDE/>
        <w:autoSpaceDN/>
        <w:bidi w:val="0"/>
        <w:adjustRightInd/>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3"/>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br w:type="page"/>
      </w:r>
      <w:bookmarkStart w:id="32" w:name="_Toc20104"/>
      <w:bookmarkStart w:id="33" w:name="_Toc2272554"/>
      <w:bookmarkStart w:id="34" w:name="_Toc21525498"/>
      <w:bookmarkStart w:id="35" w:name="_Toc3399"/>
      <w:r>
        <w:rPr>
          <w:rFonts w:hint="eastAsia" w:ascii="仿宋" w:hAnsi="仿宋" w:eastAsia="仿宋" w:cs="仿宋"/>
          <w:color w:val="auto"/>
          <w:highlight w:val="none"/>
        </w:rPr>
        <w:t>第二章  开标、评标及定标办法</w:t>
      </w:r>
      <w:bookmarkEnd w:id="32"/>
      <w:bookmarkEnd w:id="33"/>
      <w:bookmarkEnd w:id="34"/>
      <w:bookmarkEnd w:id="35"/>
    </w:p>
    <w:p>
      <w:pPr>
        <w:pStyle w:val="7"/>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highlight w:val="none"/>
        </w:rPr>
      </w:pPr>
      <w:bookmarkStart w:id="36" w:name="_Toc23997"/>
      <w:bookmarkStart w:id="37" w:name="_Toc2272555"/>
      <w:bookmarkStart w:id="38" w:name="_Toc21525499"/>
      <w:bookmarkStart w:id="39" w:name="_Toc10354"/>
      <w:r>
        <w:rPr>
          <w:rFonts w:hint="eastAsia" w:ascii="仿宋" w:hAnsi="仿宋" w:eastAsia="仿宋" w:cs="仿宋"/>
          <w:color w:val="auto"/>
          <w:sz w:val="28"/>
          <w:szCs w:val="28"/>
          <w:highlight w:val="none"/>
        </w:rPr>
        <w:t>一、</w:t>
      </w:r>
      <w:r>
        <w:rPr>
          <w:rFonts w:hint="eastAsia" w:ascii="仿宋" w:hAnsi="仿宋" w:eastAsia="仿宋" w:cs="仿宋"/>
          <w:color w:val="auto"/>
          <w:highlight w:val="none"/>
        </w:rPr>
        <w:t>开标、评标及定标办法修改表</w:t>
      </w:r>
      <w:bookmarkEnd w:id="36"/>
      <w:bookmarkEnd w:id="37"/>
      <w:bookmarkEnd w:id="38"/>
      <w:bookmarkEnd w:id="39"/>
    </w:p>
    <w:p>
      <w:pPr>
        <w:pStyle w:val="5"/>
        <w:pageBreakBefore w:val="0"/>
        <w:kinsoku/>
        <w:wordWrap/>
        <w:overflowPunct/>
        <w:topLinePunct w:val="0"/>
        <w:autoSpaceDE/>
        <w:autoSpaceDN/>
        <w:bidi w:val="0"/>
        <w:adjustRightInd/>
        <w:spacing w:after="0" w:line="44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声明：本</w:t>
      </w:r>
      <w:r>
        <w:rPr>
          <w:rFonts w:hint="eastAsia" w:ascii="仿宋" w:hAnsi="仿宋" w:eastAsia="仿宋" w:cs="仿宋"/>
          <w:b/>
          <w:color w:val="auto"/>
          <w:highlight w:val="none"/>
        </w:rPr>
        <w:t>开标、评标及定标办法使用GZZB2018-3招标文件范本的开标、评标及定标办法通用条款，与该通用条款不同之处，均在本表中列明，并以现文为准，原</w:t>
      </w:r>
      <w:r>
        <w:rPr>
          <w:rFonts w:hint="eastAsia" w:ascii="仿宋" w:hAnsi="仿宋" w:eastAsia="仿宋" w:cs="仿宋"/>
          <w:b/>
          <w:color w:val="auto"/>
          <w:szCs w:val="21"/>
          <w:highlight w:val="none"/>
        </w:rPr>
        <w:t>文不再有效。本招标文件中不再转录</w:t>
      </w:r>
      <w:r>
        <w:rPr>
          <w:rFonts w:hint="eastAsia" w:ascii="仿宋" w:hAnsi="仿宋" w:eastAsia="仿宋" w:cs="仿宋"/>
          <w:b/>
          <w:color w:val="auto"/>
          <w:highlight w:val="none"/>
        </w:rPr>
        <w:t>开标、评标及定标办法</w:t>
      </w:r>
      <w:r>
        <w:rPr>
          <w:rFonts w:hint="eastAsia" w:ascii="仿宋" w:hAnsi="仿宋" w:eastAsia="仿宋" w:cs="仿宋"/>
          <w:b/>
          <w:color w:val="auto"/>
          <w:szCs w:val="21"/>
          <w:highlight w:val="none"/>
        </w:rPr>
        <w:t>通用条款，请投标人自行到广州市住房和城乡建设局网站（网址：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"http://www.gzcc.gov.cn/）下载GZZB2018-3" </w:instrText>
      </w:r>
      <w:r>
        <w:rPr>
          <w:rFonts w:hint="eastAsia" w:ascii="仿宋" w:hAnsi="仿宋" w:eastAsia="仿宋" w:cs="仿宋"/>
          <w:color w:val="auto"/>
          <w:highlight w:val="none"/>
        </w:rPr>
        <w:fldChar w:fldCharType="separate"/>
      </w:r>
      <w:r>
        <w:rPr>
          <w:rStyle w:val="40"/>
          <w:rFonts w:hint="eastAsia" w:ascii="仿宋" w:hAnsi="仿宋" w:eastAsia="仿宋" w:cs="仿宋"/>
          <w:b/>
          <w:color w:val="auto"/>
          <w:szCs w:val="21"/>
          <w:highlight w:val="none"/>
          <w:u w:val="none"/>
        </w:rPr>
        <w:t>http://zfcj.gz.gov.cn/）下载GZZB2018-3</w:t>
      </w:r>
      <w:r>
        <w:rPr>
          <w:rStyle w:val="40"/>
          <w:rFonts w:hint="eastAsia" w:ascii="仿宋" w:hAnsi="仿宋" w:eastAsia="仿宋" w:cs="仿宋"/>
          <w:b/>
          <w:color w:val="auto"/>
          <w:szCs w:val="21"/>
          <w:highlight w:val="none"/>
          <w:u w:val="none"/>
        </w:rPr>
        <w:fldChar w:fldCharType="end"/>
      </w:r>
      <w:r>
        <w:rPr>
          <w:rFonts w:hint="eastAsia" w:ascii="仿宋" w:hAnsi="仿宋" w:eastAsia="仿宋" w:cs="仿宋"/>
          <w:b/>
          <w:color w:val="auto"/>
          <w:szCs w:val="21"/>
          <w:highlight w:val="none"/>
        </w:rPr>
        <w:t>范本查阅。</w:t>
      </w:r>
    </w:p>
    <w:p>
      <w:pPr>
        <w:pageBreakBefore w:val="0"/>
        <w:kinsoku/>
        <w:wordWrap/>
        <w:overflowPunct/>
        <w:topLinePunct w:val="0"/>
        <w:autoSpaceDE/>
        <w:autoSpaceDN/>
        <w:bidi w:val="0"/>
        <w:adjustRightInd/>
        <w:spacing w:line="440" w:lineRule="exact"/>
        <w:ind w:firstLine="472" w:firstLineChars="224"/>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 xml:space="preserve">条款号： </w:t>
      </w:r>
      <w:r>
        <w:rPr>
          <w:rFonts w:hint="eastAsia" w:ascii="仿宋" w:hAnsi="仿宋" w:eastAsia="仿宋" w:cs="仿宋"/>
          <w:b/>
          <w:color w:val="auto"/>
          <w:szCs w:val="21"/>
          <w:highlight w:val="none"/>
          <w:lang w:val="en-US" w:eastAsia="zh-CN"/>
        </w:rPr>
        <w:t>36.1</w:t>
      </w:r>
      <w:r>
        <w:rPr>
          <w:rFonts w:hint="eastAsia" w:ascii="仿宋" w:hAnsi="仿宋" w:eastAsia="仿宋" w:cs="仿宋"/>
          <w:b/>
          <w:color w:val="auto"/>
          <w:szCs w:val="21"/>
          <w:highlight w:val="none"/>
        </w:rPr>
        <w:t xml:space="preserve">            修改类型：</w:t>
      </w:r>
      <w:r>
        <w:rPr>
          <w:rFonts w:hint="eastAsia" w:ascii="仿宋" w:hAnsi="仿宋" w:eastAsia="仿宋" w:cs="仿宋"/>
          <w:b/>
          <w:color w:val="auto"/>
          <w:szCs w:val="21"/>
          <w:highlight w:val="none"/>
          <w:lang w:val="en-US" w:eastAsia="zh-CN"/>
        </w:rPr>
        <w:t>修改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原文：</w:t>
      </w:r>
      <w:r>
        <w:rPr>
          <w:rFonts w:hint="eastAsia" w:ascii="仿宋" w:hAnsi="仿宋" w:eastAsia="仿宋" w:cs="仿宋"/>
          <w:color w:val="auto"/>
          <w:szCs w:val="21"/>
          <w:highlight w:val="none"/>
        </w:rPr>
        <w:t>招标人按投标须知前附表第18项所规定的时间和地点公开开标，并邀请所有投标人参加。截标后，开标开始时间因故推迟的，相关评标信息仍以原定的开标开始时间的信息为准。</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仿宋" w:hAnsi="仿宋" w:eastAsia="仿宋" w:cs="仿宋"/>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条款号：36.3             修改类型：删除</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条款号：36.5.1             修改类型：修改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36.5.1在投标截止时间后</w:t>
      </w:r>
      <w:r>
        <w:rPr>
          <w:rFonts w:hint="eastAsia" w:ascii="仿宋" w:hAnsi="仿宋" w:eastAsia="仿宋" w:cs="仿宋"/>
          <w:color w:val="auto"/>
          <w:szCs w:val="21"/>
          <w:highlight w:val="none"/>
          <w:lang w:val="en-US" w:eastAsia="zh-CN"/>
        </w:rPr>
        <w:t>一个</w:t>
      </w:r>
      <w:r>
        <w:rPr>
          <w:rFonts w:hint="eastAsia" w:ascii="仿宋" w:hAnsi="仿宋" w:eastAsia="仿宋" w:cs="仿宋"/>
          <w:color w:val="auto"/>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36.5.1在投标截止时间后</w:t>
      </w:r>
      <w:r>
        <w:rPr>
          <w:rFonts w:hint="eastAsia" w:ascii="仿宋" w:hAnsi="仿宋" w:eastAsia="仿宋" w:cs="仿宋"/>
          <w:color w:val="auto"/>
          <w:szCs w:val="21"/>
          <w:highlight w:val="none"/>
          <w:lang w:val="en-US" w:eastAsia="zh-CN"/>
        </w:rPr>
        <w:t>一个</w:t>
      </w:r>
      <w:r>
        <w:rPr>
          <w:rFonts w:hint="eastAsia" w:ascii="仿宋" w:hAnsi="仿宋" w:eastAsia="仿宋" w:cs="仿宋"/>
          <w:color w:val="auto"/>
          <w:szCs w:val="21"/>
          <w:highlight w:val="none"/>
        </w:rPr>
        <w:t>小时内，投标人通过</w:t>
      </w:r>
      <w:r>
        <w:rPr>
          <w:rFonts w:hint="eastAsia" w:ascii="仿宋" w:hAnsi="仿宋" w:eastAsia="仿宋" w:cs="仿宋"/>
          <w:color w:val="auto"/>
          <w:szCs w:val="21"/>
          <w:highlight w:val="none"/>
          <w:u w:val="single"/>
        </w:rPr>
        <w:t>广州交易集团有限公司（广州公共资源交易中心）</w:t>
      </w:r>
      <w:r>
        <w:rPr>
          <w:rFonts w:hint="eastAsia" w:ascii="仿宋" w:hAnsi="仿宋" w:eastAsia="仿宋" w:cs="仿宋"/>
          <w:color w:val="auto"/>
          <w:szCs w:val="21"/>
          <w:highlight w:val="none"/>
        </w:rPr>
        <w:t>交易平台对已递交的电子投标文件进行解密。投标人完成解密后，再由招标人</w:t>
      </w:r>
      <w:r>
        <w:rPr>
          <w:rFonts w:hint="eastAsia" w:ascii="仿宋" w:hAnsi="仿宋" w:eastAsia="仿宋" w:cs="仿宋"/>
          <w:color w:val="auto"/>
          <w:szCs w:val="21"/>
          <w:highlight w:val="none"/>
          <w:u w:val="single"/>
        </w:rPr>
        <w:t>或招标代理</w:t>
      </w:r>
      <w:r>
        <w:rPr>
          <w:rFonts w:hint="eastAsia" w:ascii="仿宋" w:hAnsi="仿宋" w:eastAsia="仿宋" w:cs="仿宋"/>
          <w:color w:val="auto"/>
          <w:szCs w:val="21"/>
          <w:highlight w:val="none"/>
        </w:rPr>
        <w:t>进行解密。解密完成后，公布招标项目名称、投标人名称</w:t>
      </w:r>
      <w:r>
        <w:rPr>
          <w:rFonts w:hint="eastAsia" w:ascii="仿宋" w:hAnsi="仿宋" w:eastAsia="仿宋" w:cs="仿宋"/>
          <w:strike/>
          <w:color w:val="auto"/>
          <w:szCs w:val="21"/>
          <w:highlight w:val="none"/>
        </w:rPr>
        <w:t>、投标保证金</w:t>
      </w:r>
      <w:r>
        <w:rPr>
          <w:rFonts w:hint="eastAsia" w:ascii="仿宋" w:hAnsi="仿宋" w:eastAsia="仿宋" w:cs="仿宋"/>
          <w:color w:val="auto"/>
          <w:szCs w:val="21"/>
          <w:highlight w:val="none"/>
        </w:rPr>
        <w:t>的递交情况、投标报价、工期及其他内容；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  36.5.3           修改类型：修改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36.5.3投标人代表、招标人代表、监标人、记录人等有关人员在开标记录上签字确认；若有关人员不签字的，不影响开标程序；</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36.5.3投标人代表、招标人代表、监标人、记录人等有关人员在开标记录上签字确认；若有关人员不签字的，不影响开标程序；</w:t>
      </w:r>
      <w:r>
        <w:rPr>
          <w:rFonts w:hint="eastAsia" w:ascii="仿宋" w:hAnsi="仿宋" w:eastAsia="仿宋" w:cs="仿宋"/>
          <w:color w:val="auto"/>
          <w:szCs w:val="21"/>
          <w:highlight w:val="none"/>
          <w:u w:val="single"/>
        </w:rPr>
        <w:t>若投标人不参加开标会的，或不签字确认的，视同该投标人认可开标结果。</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条款号：38.1            修改类型：修改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ageBreakBefore w:val="0"/>
        <w:pBdr>
          <w:bottom w:val="single" w:color="auto" w:sz="12"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38.1为有助于投标文件的审查、评价和比较，评标期间，经评标委员会或评标委员会专业评审组中两人以上（含两人）</w:t>
      </w:r>
      <w:r>
        <w:rPr>
          <w:rFonts w:hint="eastAsia" w:ascii="仿宋" w:hAnsi="仿宋" w:eastAsia="仿宋" w:cs="仿宋"/>
          <w:color w:val="auto"/>
          <w:szCs w:val="21"/>
          <w:highlight w:val="none"/>
          <w:u w:val="single"/>
        </w:rPr>
        <w:t>的成员</w:t>
      </w:r>
      <w:r>
        <w:rPr>
          <w:rFonts w:hint="eastAsia" w:ascii="仿宋" w:hAnsi="仿宋" w:eastAsia="仿宋" w:cs="仿宋"/>
          <w:color w:val="auto"/>
          <w:szCs w:val="21"/>
          <w:highlight w:val="none"/>
        </w:rPr>
        <w:t>以书面形式提出动议，评标委员会或评标委员会专业评审组应当书面发出澄清通知，要求投标人对投标文件含义不明确</w:t>
      </w:r>
      <w:r>
        <w:rPr>
          <w:rFonts w:hint="eastAsia" w:ascii="仿宋" w:hAnsi="仿宋" w:eastAsia="仿宋" w:cs="仿宋"/>
          <w:color w:val="auto"/>
          <w:szCs w:val="21"/>
          <w:highlight w:val="none"/>
          <w:u w:val="single"/>
        </w:rPr>
        <w:t>、对同类问题表述不一致、有明显文字和计算错误的内容以及细微偏差</w:t>
      </w:r>
      <w:r>
        <w:rPr>
          <w:rFonts w:hint="eastAsia" w:ascii="仿宋" w:hAnsi="仿宋" w:eastAsia="仿宋" w:cs="仿宋"/>
          <w:color w:val="auto"/>
          <w:szCs w:val="21"/>
          <w:highlight w:val="none"/>
        </w:rPr>
        <w:t>的内容作出澄清。</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条款号：39.3                        修改类型：修改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原文：</w:t>
      </w:r>
      <w:r>
        <w:rPr>
          <w:rFonts w:hint="eastAsia" w:ascii="仿宋" w:hAnsi="仿宋" w:eastAsia="仿宋" w:cs="仿宋"/>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Cs w:val="21"/>
          <w:highlight w:val="none"/>
          <w:u w:val="singl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39.3</w:t>
      </w:r>
      <w:r>
        <w:rPr>
          <w:rFonts w:hint="eastAsia" w:ascii="仿宋" w:hAnsi="仿宋" w:eastAsia="仿宋" w:cs="仿宋"/>
          <w:bCs/>
          <w:color w:val="auto"/>
          <w:szCs w:val="21"/>
          <w:highlight w:val="none"/>
        </w:rPr>
        <w:t>排名第一的中标候选人放弃中标、</w:t>
      </w:r>
      <w:r>
        <w:rPr>
          <w:rFonts w:hint="eastAsia" w:ascii="仿宋" w:hAnsi="仿宋" w:eastAsia="仿宋" w:cs="仿宋"/>
          <w:bCs/>
          <w:color w:val="auto"/>
          <w:szCs w:val="21"/>
          <w:highlight w:val="none"/>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条款号：39.</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 xml:space="preserve">                 修改类型：新增</w:t>
      </w:r>
    </w:p>
    <w:p>
      <w:pPr>
        <w:pageBreakBefore w:val="0"/>
        <w:pBdr>
          <w:bottom w:val="single" w:color="auto" w:sz="6" w:space="1"/>
        </w:pBdr>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现文：39.</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本项目不允许施工中标人与本项目监理中标人存在隶属关系或为同一集团的利害关系，如经确认存在上述情况，在本项目的施工合同和监理合同签订前，允许监理中标人或施工中标人任一方可以自愿选择放弃本项目的中标权利，招标人依法选择第二中标候选人为中标人，排名第二的中标候选人出现上述所列的情形的，招标人依法确定排名第三的中标候选人为中标人。以此类推，如所有中标候选人均出现前款所列的情形，为招标失败，招标人依法重新招标。</w:t>
      </w:r>
    </w:p>
    <w:p>
      <w:pPr>
        <w:spacing w:line="408" w:lineRule="auto"/>
        <w:ind w:firstLine="472" w:firstLineChars="224"/>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条款号：（二）开标评标办法程序和细则  注     修改类型：删除</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bCs/>
          <w:color w:val="auto"/>
          <w:sz w:val="21"/>
          <w:szCs w:val="21"/>
          <w:highlight w:val="none"/>
        </w:rPr>
        <w:t>原文：</w:t>
      </w:r>
      <w:r>
        <w:rPr>
          <w:rFonts w:hint="eastAsia" w:ascii="仿宋" w:hAnsi="仿宋" w:eastAsia="仿宋" w:cs="仿宋"/>
          <w:color w:val="auto"/>
          <w:sz w:val="21"/>
          <w:szCs w:val="21"/>
          <w:highlight w:val="none"/>
        </w:rPr>
        <w:t>注：以下八种评标办法所述企业综合诚信评价分数即投标截止当日广州市住房和城乡建设局网站上公布的企业综合诚信评价60日诚信分。</w:t>
      </w:r>
    </w:p>
    <w:p>
      <w:pPr>
        <w:pageBreakBefore w:val="0"/>
        <w:pBdr>
          <w:top w:val="single" w:color="auto" w:sz="4"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 评标办法        修改类型：删除</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可选办法一（适合综合评分法一，技术标与经济标先后分别开启）</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可选办法二（适合综合评分法一，技术标与经济标同时开启）</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可选办法三（适合综合评分法二，技术标与经济标先后分别开启）</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可选办法四（适合综合评分法二，技术标与经济标同时开启）</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可选办法五（适合综合评分法三，技术标与经济标先后分别开启）</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可选办法六（适合综合评分法三，技术标与经济标同时开启）</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可选办法八（适合经评审的最低投标价法，技术标与经济标同时开启）</w:t>
      </w:r>
    </w:p>
    <w:p>
      <w:pPr>
        <w:pageBreakBefore w:val="0"/>
        <w:pBdr>
          <w:top w:val="single" w:color="auto" w:sz="4" w:space="0"/>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条款号：40</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 xml:space="preserve">                          修改类型：修改</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40.2由评标委员会对所有已公开开标的投标人进行资格审查；</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40.2由评标委员会对所有已公开开标的投标人进行资格审查</w:t>
      </w:r>
      <w:r>
        <w:rPr>
          <w:rFonts w:hint="eastAsia" w:ascii="仿宋" w:hAnsi="仿宋" w:eastAsia="仿宋" w:cs="仿宋"/>
          <w:color w:val="auto"/>
          <w:szCs w:val="21"/>
          <w:highlight w:val="none"/>
          <w:u w:val="single"/>
        </w:rPr>
        <w:t>，并编写资格审查报告</w:t>
      </w:r>
      <w:r>
        <w:rPr>
          <w:rFonts w:hint="eastAsia" w:ascii="仿宋" w:hAnsi="仿宋" w:eastAsia="仿宋" w:cs="仿宋"/>
          <w:color w:val="auto"/>
          <w:szCs w:val="21"/>
          <w:highlight w:val="none"/>
        </w:rPr>
        <w:t>；</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条款号：41.1             修改类型：修改</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41.1开标由招标人主持；</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u w:val="singl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41.1开标由招标人</w:t>
      </w:r>
      <w:r>
        <w:rPr>
          <w:rFonts w:hint="eastAsia" w:ascii="仿宋" w:hAnsi="仿宋" w:eastAsia="仿宋" w:cs="仿宋"/>
          <w:color w:val="auto"/>
          <w:szCs w:val="21"/>
          <w:highlight w:val="none"/>
          <w:u w:val="single"/>
        </w:rPr>
        <w:t>或招标代理</w:t>
      </w:r>
      <w:r>
        <w:rPr>
          <w:rFonts w:hint="eastAsia" w:ascii="仿宋" w:hAnsi="仿宋" w:eastAsia="仿宋" w:cs="仿宋"/>
          <w:color w:val="auto"/>
          <w:szCs w:val="21"/>
          <w:highlight w:val="none"/>
        </w:rPr>
        <w:t>主持；</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条款号：41.2.1           修改类型：修改</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u w:val="single"/>
        </w:rPr>
      </w:pPr>
      <w:r>
        <w:rPr>
          <w:rFonts w:hint="eastAsia" w:ascii="仿宋" w:hAnsi="仿宋" w:eastAsia="仿宋" w:cs="仿宋"/>
          <w:b/>
          <w:color w:val="auto"/>
          <w:szCs w:val="21"/>
          <w:highlight w:val="none"/>
        </w:rPr>
        <w:t>原</w:t>
      </w:r>
      <w:r>
        <w:rPr>
          <w:rFonts w:hint="eastAsia" w:ascii="仿宋" w:hAnsi="仿宋" w:eastAsia="仿宋" w:cs="仿宋"/>
          <w:color w:val="auto"/>
          <w:szCs w:val="21"/>
          <w:highlight w:val="none"/>
        </w:rPr>
        <w:t>文：41.2.1投标截止期前，各投标人递交投标文件（包括技术标投标文件、经济标投标文件）至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交易平台。有关投标文件提交的事项详见第一章投标须知。</w:t>
      </w:r>
    </w:p>
    <w:p>
      <w:pPr>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41.2.1投标截止期前，各投标人递交投标文件（包括</w:t>
      </w:r>
      <w:r>
        <w:rPr>
          <w:rFonts w:hint="eastAsia" w:ascii="仿宋" w:hAnsi="仿宋" w:eastAsia="仿宋" w:cs="仿宋"/>
          <w:color w:val="auto"/>
          <w:szCs w:val="21"/>
          <w:highlight w:val="none"/>
          <w:u w:val="single"/>
        </w:rPr>
        <w:t>技术标投标文件（含资格审查文件）</w:t>
      </w:r>
      <w:r>
        <w:rPr>
          <w:rFonts w:hint="eastAsia" w:ascii="仿宋" w:hAnsi="仿宋" w:eastAsia="仿宋" w:cs="仿宋"/>
          <w:color w:val="auto"/>
          <w:szCs w:val="21"/>
          <w:highlight w:val="none"/>
        </w:rPr>
        <w:t>、经济标投标文件）至</w:t>
      </w:r>
      <w:r>
        <w:rPr>
          <w:rFonts w:hint="eastAsia" w:ascii="仿宋" w:hAnsi="仿宋" w:eastAsia="仿宋" w:cs="仿宋"/>
          <w:color w:val="auto"/>
          <w:szCs w:val="21"/>
          <w:highlight w:val="none"/>
          <w:u w:val="single"/>
        </w:rPr>
        <w:t>广州交易集团有限公司（广州公共资源交易中心）</w:t>
      </w:r>
      <w:r>
        <w:rPr>
          <w:rFonts w:hint="eastAsia" w:ascii="仿宋" w:hAnsi="仿宋" w:eastAsia="仿宋" w:cs="仿宋"/>
          <w:color w:val="auto"/>
          <w:szCs w:val="21"/>
          <w:highlight w:val="none"/>
        </w:rPr>
        <w:t>交易平台。有关投标文件提交的事项详见第一章投标须知。</w:t>
      </w:r>
    </w:p>
    <w:p>
      <w:pPr>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条款号：41.2.4.1                       修改类型：修改</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41.3开标时，公布：a、投标人名称；b、投标文件</w:t>
      </w:r>
      <w:r>
        <w:rPr>
          <w:rFonts w:hint="eastAsia" w:ascii="仿宋" w:hAnsi="仿宋" w:eastAsia="仿宋" w:cs="仿宋"/>
          <w:color w:val="auto"/>
          <w:szCs w:val="21"/>
          <w:highlight w:val="none"/>
          <w:lang w:val="en-US" w:eastAsia="zh-CN"/>
        </w:rPr>
        <w:t>解密</w:t>
      </w:r>
      <w:r>
        <w:rPr>
          <w:rFonts w:hint="eastAsia" w:ascii="仿宋" w:hAnsi="仿宋" w:eastAsia="仿宋" w:cs="仿宋"/>
          <w:color w:val="auto"/>
          <w:szCs w:val="21"/>
          <w:highlight w:val="none"/>
        </w:rPr>
        <w:t>情况；c、投标报价；d、投标保证金；e、项目经理（负责人）名称；f、法定代表人证明及授权委托等主要内容及开标记录表中的其他必要内容。投标报价以数字和文字两种方式表述的，应公布文字表述的投标报价。</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41.3开标时，公布：a、投标人名称；b、投标文件</w:t>
      </w:r>
      <w:r>
        <w:rPr>
          <w:rFonts w:hint="eastAsia" w:ascii="仿宋" w:hAnsi="仿宋" w:eastAsia="仿宋" w:cs="仿宋"/>
          <w:color w:val="auto"/>
          <w:szCs w:val="21"/>
          <w:highlight w:val="none"/>
          <w:lang w:val="en-US" w:eastAsia="zh-CN"/>
        </w:rPr>
        <w:t>解密</w:t>
      </w:r>
      <w:r>
        <w:rPr>
          <w:rFonts w:hint="eastAsia" w:ascii="仿宋" w:hAnsi="仿宋" w:eastAsia="仿宋" w:cs="仿宋"/>
          <w:color w:val="auto"/>
          <w:szCs w:val="21"/>
          <w:highlight w:val="none"/>
        </w:rPr>
        <w:t>情况；c、投标报价</w:t>
      </w:r>
      <w:r>
        <w:rPr>
          <w:rFonts w:hint="eastAsia" w:ascii="仿宋" w:hAnsi="仿宋" w:eastAsia="仿宋" w:cs="仿宋"/>
          <w:strike/>
          <w:color w:val="auto"/>
          <w:szCs w:val="21"/>
          <w:highlight w:val="none"/>
        </w:rPr>
        <w:t>；d、投标保证金；</w:t>
      </w:r>
      <w:r>
        <w:rPr>
          <w:rFonts w:hint="eastAsia" w:ascii="仿宋" w:hAnsi="仿宋" w:eastAsia="仿宋" w:cs="仿宋"/>
          <w:color w:val="auto"/>
          <w:szCs w:val="21"/>
          <w:highlight w:val="none"/>
        </w:rPr>
        <w:t>e、项目经理（负责人）名称；f、法定代表人证明及授权委托等主要内容及开标记录表中的其他必要内容。投标报价以数字和文字两种方式表述的，应公布文字表述的投标报价。</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条款号：41.3                       修改类型：修改</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41.3招标人对开标过程进行记录，并存档备查，投标人在技术标开标记录上签字。</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41.3招标人</w:t>
      </w:r>
      <w:r>
        <w:rPr>
          <w:rFonts w:hint="eastAsia" w:ascii="仿宋" w:hAnsi="仿宋" w:eastAsia="仿宋" w:cs="仿宋"/>
          <w:color w:val="auto"/>
          <w:szCs w:val="21"/>
          <w:highlight w:val="none"/>
          <w:u w:val="single"/>
        </w:rPr>
        <w:t>或招标代理机构</w:t>
      </w:r>
      <w:r>
        <w:rPr>
          <w:rFonts w:hint="eastAsia" w:ascii="仿宋" w:hAnsi="仿宋" w:eastAsia="仿宋" w:cs="仿宋"/>
          <w:color w:val="auto"/>
          <w:szCs w:val="21"/>
          <w:highlight w:val="none"/>
        </w:rPr>
        <w:t>对开标过程进行记录，并存档备查，</w:t>
      </w:r>
      <w:r>
        <w:rPr>
          <w:rFonts w:hint="eastAsia" w:ascii="仿宋" w:hAnsi="仿宋" w:eastAsia="仿宋" w:cs="仿宋"/>
          <w:color w:val="auto"/>
          <w:szCs w:val="21"/>
          <w:highlight w:val="none"/>
          <w:u w:val="single"/>
        </w:rPr>
        <w:t>参加开标会的</w:t>
      </w:r>
      <w:r>
        <w:rPr>
          <w:rFonts w:hint="eastAsia" w:ascii="仿宋" w:hAnsi="仿宋" w:eastAsia="仿宋" w:cs="仿宋"/>
          <w:color w:val="auto"/>
          <w:szCs w:val="21"/>
          <w:highlight w:val="none"/>
        </w:rPr>
        <w:t>投标人在技术标开标记录上签字。</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条款号：42.2                        修改类型：修改</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szCs w:val="21"/>
          <w:highlight w:val="none"/>
        </w:rPr>
        <w:t>42.2评标委员会的组成：方式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方式一：评标委员会为综合评标委员会，负责资格审查及评标工作。</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方式二：评标委员会由技术评审组和经济评审组组成。其中：资格审查及技术评审由技术评标组负责，经济评审由经济评审组负责。</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szCs w:val="21"/>
          <w:highlight w:val="none"/>
        </w:rPr>
        <w:t>42.2评标委员会的组成：方式</w:t>
      </w:r>
      <w:r>
        <w:rPr>
          <w:rFonts w:hint="eastAsia" w:ascii="仿宋" w:hAnsi="仿宋" w:eastAsia="仿宋" w:cs="仿宋"/>
          <w:color w:val="auto"/>
          <w:szCs w:val="21"/>
          <w:highlight w:val="none"/>
          <w:u w:val="single"/>
        </w:rPr>
        <w:t>一：评标委员会为综合评标委员会，负责资格审查及评标工作。</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条款号：43.6            修改类型：修改</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kern w:val="0"/>
          <w:szCs w:val="21"/>
          <w:highlight w:val="none"/>
        </w:rPr>
        <w:t>43.6</w:t>
      </w:r>
      <w:r>
        <w:rPr>
          <w:rFonts w:hint="eastAsia" w:ascii="仿宋" w:hAnsi="仿宋" w:eastAsia="仿宋" w:cs="仿宋"/>
          <w:bCs/>
          <w:color w:val="auto"/>
          <w:szCs w:val="21"/>
          <w:highlight w:val="none"/>
        </w:rPr>
        <w:t>资格审查合格的投标人少于3名的（当N个标段同时招标且不允许兼中时，资格审查合格的投标人少于N+2名），则本项目招标失败。</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kern w:val="0"/>
          <w:szCs w:val="21"/>
          <w:highlight w:val="none"/>
        </w:rPr>
        <w:t>43.6</w:t>
      </w:r>
      <w:r>
        <w:rPr>
          <w:rFonts w:hint="eastAsia" w:ascii="仿宋" w:hAnsi="仿宋" w:eastAsia="仿宋" w:cs="仿宋"/>
          <w:bCs/>
          <w:color w:val="auto"/>
          <w:szCs w:val="21"/>
          <w:highlight w:val="none"/>
        </w:rPr>
        <w:t>资格审查合格的投标人少于3名的</w:t>
      </w:r>
      <w:r>
        <w:rPr>
          <w:rFonts w:hint="eastAsia" w:ascii="仿宋" w:hAnsi="仿宋" w:eastAsia="仿宋" w:cs="仿宋"/>
          <w:bCs/>
          <w:strike/>
          <w:color w:val="auto"/>
          <w:szCs w:val="21"/>
          <w:highlight w:val="none"/>
        </w:rPr>
        <w:t>（当N个标段同时招标且不允许兼中时，资格审查合格的投标人少于N+2名）</w:t>
      </w:r>
      <w:r>
        <w:rPr>
          <w:rFonts w:hint="eastAsia" w:ascii="仿宋" w:hAnsi="仿宋" w:eastAsia="仿宋" w:cs="仿宋"/>
          <w:bCs/>
          <w:color w:val="auto"/>
          <w:szCs w:val="21"/>
          <w:highlight w:val="none"/>
        </w:rPr>
        <w:t>，则本项目招标失败。</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条款号：44.1            修改类型：修改</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kern w:val="0"/>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color w:val="auto"/>
          <w:kern w:val="0"/>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color w:val="auto"/>
          <w:kern w:val="0"/>
          <w:szCs w:val="21"/>
          <w:highlight w:val="none"/>
        </w:rPr>
        <w:t>44.1</w:t>
      </w:r>
      <w:r>
        <w:rPr>
          <w:rFonts w:hint="eastAsia" w:ascii="仿宋" w:hAnsi="仿宋" w:eastAsia="仿宋" w:cs="仿宋"/>
          <w:bCs/>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w:t>
      </w:r>
      <w:r>
        <w:rPr>
          <w:rFonts w:hint="eastAsia" w:ascii="仿宋" w:hAnsi="仿宋" w:eastAsia="仿宋" w:cs="仿宋"/>
          <w:strike/>
          <w:color w:val="auto"/>
          <w:kern w:val="0"/>
          <w:szCs w:val="21"/>
          <w:highlight w:val="none"/>
        </w:rPr>
        <w:t>（当N个标段同时招标且不允许兼中时，若通过技术标有效性审查投标人不足N+2家，则重新招标）。</w:t>
      </w:r>
      <w:r>
        <w:rPr>
          <w:rFonts w:hint="eastAsia" w:ascii="仿宋" w:hAnsi="仿宋" w:eastAsia="仿宋" w:cs="仿宋"/>
          <w:bCs/>
          <w:color w:val="auto"/>
          <w:szCs w:val="21"/>
          <w:highlight w:val="none"/>
        </w:rPr>
        <w:t>评委发现投标文件中含义不明确、对同类问题表述不一致、有明显文字和计算错误的，应当要求投标人作必要的澄清、说明后再判定投标人是否通过有效性审查，不得直接否决投标。</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r>
        <w:rPr>
          <w:rFonts w:hint="eastAsia" w:ascii="仿宋" w:hAnsi="仿宋" w:eastAsia="仿宋" w:cs="仿宋"/>
          <w:b/>
          <w:color w:val="auto"/>
          <w:sz w:val="21"/>
          <w:szCs w:val="21"/>
          <w:highlight w:val="none"/>
          <w:lang w:val="en-US" w:eastAsia="zh-CN"/>
        </w:rPr>
        <w:t>45.2</w:t>
      </w:r>
      <w:r>
        <w:rPr>
          <w:rFonts w:hint="eastAsia" w:ascii="仿宋" w:hAnsi="仿宋" w:eastAsia="仿宋" w:cs="仿宋"/>
          <w:b/>
          <w:color w:val="auto"/>
          <w:sz w:val="21"/>
          <w:szCs w:val="21"/>
          <w:highlight w:val="none"/>
        </w:rPr>
        <w:t xml:space="preserve">           修改类型：修改</w:t>
      </w:r>
    </w:p>
    <w:p>
      <w:pPr>
        <w:keepNext w:val="0"/>
        <w:keepLines w:val="0"/>
        <w:pageBreakBefore w:val="0"/>
        <w:widowControl/>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原文：</w:t>
      </w:r>
      <w:r>
        <w:rPr>
          <w:rFonts w:hint="eastAsia" w:ascii="仿宋" w:hAnsi="仿宋" w:eastAsia="仿宋" w:cs="仿宋"/>
          <w:b w:val="0"/>
          <w:bCs/>
          <w:color w:val="auto"/>
          <w:sz w:val="21"/>
          <w:szCs w:val="21"/>
          <w:highlight w:val="none"/>
          <w:lang w:val="en-US" w:eastAsia="zh-CN"/>
        </w:rPr>
        <w:t>45.2计算评标参考价</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区间抽取法：</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仿宋" w:hAnsi="仿宋" w:eastAsia="仿宋" w:cs="仿宋"/>
          <w:color w:val="auto"/>
          <w:kern w:val="0"/>
          <w:sz w:val="21"/>
          <w:szCs w:val="21"/>
          <w:highlight w:val="none"/>
          <w:vertAlign w:val="subscript"/>
        </w:rPr>
      </w:pPr>
      <w:r>
        <w:rPr>
          <w:rFonts w:hint="eastAsia" w:ascii="仿宋" w:hAnsi="仿宋" w:eastAsia="仿宋" w:cs="仿宋"/>
          <w:color w:val="auto"/>
          <w:kern w:val="0"/>
          <w:sz w:val="21"/>
          <w:szCs w:val="21"/>
          <w:highlight w:val="none"/>
        </w:rPr>
        <w:t>评标参考价=（Q</w:t>
      </w:r>
      <w:r>
        <w:rPr>
          <w:rFonts w:hint="eastAsia" w:ascii="仿宋" w:hAnsi="仿宋" w:eastAsia="仿宋" w:cs="仿宋"/>
          <w:color w:val="auto"/>
          <w:kern w:val="0"/>
          <w:sz w:val="21"/>
          <w:szCs w:val="21"/>
          <w:highlight w:val="none"/>
          <w:vertAlign w:val="subscript"/>
        </w:rPr>
        <w:t>高</w:t>
      </w:r>
      <w:r>
        <w:rPr>
          <w:rFonts w:hint="eastAsia" w:ascii="仿宋" w:hAnsi="仿宋" w:eastAsia="仿宋" w:cs="仿宋"/>
          <w:color w:val="auto"/>
          <w:kern w:val="0"/>
          <w:sz w:val="21"/>
          <w:szCs w:val="21"/>
          <w:highlight w:val="none"/>
        </w:rPr>
        <w:t>-Q</w:t>
      </w:r>
      <w:r>
        <w:rPr>
          <w:rFonts w:hint="eastAsia" w:ascii="仿宋" w:hAnsi="仿宋" w:eastAsia="仿宋" w:cs="仿宋"/>
          <w:color w:val="auto"/>
          <w:kern w:val="0"/>
          <w:sz w:val="21"/>
          <w:szCs w:val="21"/>
          <w:highlight w:val="none"/>
          <w:vertAlign w:val="subscript"/>
        </w:rPr>
        <w:t>低</w:t>
      </w:r>
      <w:r>
        <w:rPr>
          <w:rFonts w:hint="eastAsia" w:ascii="仿宋" w:hAnsi="仿宋" w:eastAsia="仿宋" w:cs="仿宋"/>
          <w:color w:val="auto"/>
          <w:kern w:val="0"/>
          <w:sz w:val="21"/>
          <w:szCs w:val="21"/>
          <w:highlight w:val="none"/>
        </w:rPr>
        <w:t>）/100*Ｘ+Q</w:t>
      </w:r>
      <w:r>
        <w:rPr>
          <w:rFonts w:hint="eastAsia" w:ascii="仿宋" w:hAnsi="仿宋" w:eastAsia="仿宋" w:cs="仿宋"/>
          <w:color w:val="auto"/>
          <w:kern w:val="0"/>
          <w:sz w:val="21"/>
          <w:szCs w:val="21"/>
          <w:highlight w:val="none"/>
          <w:vertAlign w:val="subscript"/>
        </w:rPr>
        <w:t>低</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Q</w:t>
      </w:r>
      <w:r>
        <w:rPr>
          <w:rFonts w:hint="eastAsia" w:ascii="仿宋" w:hAnsi="仿宋" w:eastAsia="仿宋" w:cs="仿宋"/>
          <w:color w:val="auto"/>
          <w:sz w:val="21"/>
          <w:szCs w:val="21"/>
          <w:highlight w:val="none"/>
          <w:vertAlign w:val="subscript"/>
        </w:rPr>
        <w:t>低</w:t>
      </w:r>
      <w:r>
        <w:rPr>
          <w:rFonts w:hint="eastAsia" w:ascii="仿宋" w:hAnsi="仿宋" w:eastAsia="仿宋" w:cs="仿宋"/>
          <w:color w:val="auto"/>
          <w:sz w:val="21"/>
          <w:szCs w:val="21"/>
          <w:highlight w:val="none"/>
        </w:rPr>
        <w:t>：为达到或超过技术标及格分数线的投标人最低报价与工程成本警示价两者中的较高值；</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Q</w:t>
      </w:r>
      <w:r>
        <w:rPr>
          <w:rFonts w:hint="eastAsia" w:ascii="仿宋" w:hAnsi="仿宋" w:eastAsia="仿宋" w:cs="仿宋"/>
          <w:color w:val="auto"/>
          <w:kern w:val="0"/>
          <w:sz w:val="21"/>
          <w:szCs w:val="21"/>
          <w:highlight w:val="none"/>
          <w:vertAlign w:val="subscript"/>
        </w:rPr>
        <w:t>高</w:t>
      </w:r>
      <w:r>
        <w:rPr>
          <w:rFonts w:hint="eastAsia" w:ascii="仿宋" w:hAnsi="仿宋" w:eastAsia="仿宋" w:cs="仿宋"/>
          <w:color w:val="auto"/>
          <w:sz w:val="21"/>
          <w:szCs w:val="21"/>
          <w:highlight w:val="none"/>
        </w:rPr>
        <w:t xml:space="preserve">：为最高投标限价    </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X：为等分点值，在开标前从[0,100]整数中随机抽取</w:t>
      </w:r>
    </w:p>
    <w:p>
      <w:pPr>
        <w:keepNext w:val="0"/>
        <w:keepLines w:val="0"/>
        <w:pageBreakBefore w:val="0"/>
        <w:widowControl/>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现文：</w:t>
      </w:r>
      <w:r>
        <w:rPr>
          <w:rFonts w:hint="eastAsia" w:ascii="仿宋" w:hAnsi="仿宋" w:eastAsia="仿宋" w:cs="仿宋"/>
          <w:b w:val="0"/>
          <w:bCs/>
          <w:color w:val="auto"/>
          <w:sz w:val="21"/>
          <w:szCs w:val="21"/>
          <w:highlight w:val="none"/>
          <w:lang w:val="en-US" w:eastAsia="zh-CN"/>
        </w:rPr>
        <w:t>45.2计算评标参考价</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区间抽取法：</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设立入围合格分数线（</w:t>
      </w:r>
      <w:r>
        <w:rPr>
          <w:rFonts w:hint="eastAsia" w:ascii="仿宋" w:hAnsi="仿宋" w:eastAsia="仿宋" w:cs="仿宋"/>
          <w:color w:val="auto"/>
          <w:sz w:val="21"/>
          <w:szCs w:val="21"/>
          <w:highlight w:val="none"/>
          <w:u w:val="single"/>
        </w:rPr>
        <w:t>本项目及格分数线为技术标得分大于或等于60分</w:t>
      </w:r>
      <w:r>
        <w:rPr>
          <w:rFonts w:hint="eastAsia" w:ascii="仿宋" w:hAnsi="仿宋" w:eastAsia="仿宋" w:cs="仿宋"/>
          <w:color w:val="auto"/>
          <w:sz w:val="21"/>
          <w:szCs w:val="21"/>
          <w:highlight w:val="none"/>
        </w:rPr>
        <w:t>），达到或超过及格线的投标人的报价方能参与评标参考价的计算</w:t>
      </w:r>
      <w:r>
        <w:rPr>
          <w:rFonts w:hint="eastAsia" w:ascii="仿宋" w:hAnsi="仿宋" w:eastAsia="仿宋" w:cs="仿宋"/>
          <w:b w:val="0"/>
          <w:bCs/>
          <w:color w:val="auto"/>
          <w:sz w:val="21"/>
          <w:szCs w:val="21"/>
          <w:highlight w:val="none"/>
          <w:u w:val="single"/>
        </w:rPr>
        <w:t>（未达到或超过及格线的投标人的有效投标报价全部参与评标参考价的计算（当所有投标人均未达到或超过技术标及格分数线的适用此条））</w:t>
      </w:r>
      <w:r>
        <w:rPr>
          <w:rFonts w:hint="eastAsia" w:ascii="仿宋" w:hAnsi="仿宋" w:eastAsia="仿宋" w:cs="仿宋"/>
          <w:color w:val="auto"/>
          <w:sz w:val="21"/>
          <w:szCs w:val="21"/>
          <w:highlight w:val="none"/>
        </w:rPr>
        <w:t>。将达到或超过技术标及格分数线的投标报价由低至高进行排列</w:t>
      </w:r>
      <w:r>
        <w:rPr>
          <w:rFonts w:hint="eastAsia" w:ascii="仿宋" w:hAnsi="仿宋" w:eastAsia="仿宋" w:cs="仿宋"/>
          <w:b w:val="0"/>
          <w:bCs/>
          <w:color w:val="auto"/>
          <w:sz w:val="21"/>
          <w:szCs w:val="21"/>
          <w:highlight w:val="none"/>
          <w:u w:val="single"/>
        </w:rPr>
        <w:t>（将未达或超过到技术标及格分数线的投标人的有效投标报价由低至高进行排列（当所有投标人均未达到或超过技术标及格分数线的适用此条））</w:t>
      </w:r>
      <w:r>
        <w:rPr>
          <w:rFonts w:hint="eastAsia" w:ascii="仿宋" w:hAnsi="仿宋" w:eastAsia="仿宋" w:cs="仿宋"/>
          <w:color w:val="auto"/>
          <w:sz w:val="21"/>
          <w:szCs w:val="21"/>
          <w:highlight w:val="none"/>
        </w:rPr>
        <w:t>，按以下公式计算评标参考价，计算公式如下：</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仿宋" w:hAnsi="仿宋" w:eastAsia="仿宋" w:cs="仿宋"/>
          <w:color w:val="auto"/>
          <w:kern w:val="0"/>
          <w:sz w:val="21"/>
          <w:szCs w:val="21"/>
          <w:highlight w:val="none"/>
          <w:vertAlign w:val="subscript"/>
        </w:rPr>
      </w:pPr>
      <w:r>
        <w:rPr>
          <w:rFonts w:hint="eastAsia" w:ascii="仿宋" w:hAnsi="仿宋" w:eastAsia="仿宋" w:cs="仿宋"/>
          <w:color w:val="auto"/>
          <w:kern w:val="0"/>
          <w:sz w:val="21"/>
          <w:szCs w:val="21"/>
          <w:highlight w:val="none"/>
        </w:rPr>
        <w:t>评标参考价=（Q</w:t>
      </w:r>
      <w:r>
        <w:rPr>
          <w:rFonts w:hint="eastAsia" w:ascii="仿宋" w:hAnsi="仿宋" w:eastAsia="仿宋" w:cs="仿宋"/>
          <w:color w:val="auto"/>
          <w:kern w:val="0"/>
          <w:sz w:val="21"/>
          <w:szCs w:val="21"/>
          <w:highlight w:val="none"/>
          <w:vertAlign w:val="subscript"/>
        </w:rPr>
        <w:t>高</w:t>
      </w:r>
      <w:r>
        <w:rPr>
          <w:rFonts w:hint="eastAsia" w:ascii="仿宋" w:hAnsi="仿宋" w:eastAsia="仿宋" w:cs="仿宋"/>
          <w:color w:val="auto"/>
          <w:kern w:val="0"/>
          <w:sz w:val="21"/>
          <w:szCs w:val="21"/>
          <w:highlight w:val="none"/>
        </w:rPr>
        <w:t>-Q</w:t>
      </w:r>
      <w:r>
        <w:rPr>
          <w:rFonts w:hint="eastAsia" w:ascii="仿宋" w:hAnsi="仿宋" w:eastAsia="仿宋" w:cs="仿宋"/>
          <w:color w:val="auto"/>
          <w:kern w:val="0"/>
          <w:sz w:val="21"/>
          <w:szCs w:val="21"/>
          <w:highlight w:val="none"/>
          <w:vertAlign w:val="subscript"/>
        </w:rPr>
        <w:t>低</w:t>
      </w:r>
      <w:r>
        <w:rPr>
          <w:rFonts w:hint="eastAsia" w:ascii="仿宋" w:hAnsi="仿宋" w:eastAsia="仿宋" w:cs="仿宋"/>
          <w:color w:val="auto"/>
          <w:kern w:val="0"/>
          <w:sz w:val="21"/>
          <w:szCs w:val="21"/>
          <w:highlight w:val="none"/>
        </w:rPr>
        <w:t>）/100*Ｘ+Q</w:t>
      </w:r>
      <w:r>
        <w:rPr>
          <w:rFonts w:hint="eastAsia" w:ascii="仿宋" w:hAnsi="仿宋" w:eastAsia="仿宋" w:cs="仿宋"/>
          <w:color w:val="auto"/>
          <w:kern w:val="0"/>
          <w:sz w:val="21"/>
          <w:szCs w:val="21"/>
          <w:highlight w:val="none"/>
          <w:vertAlign w:val="subscript"/>
        </w:rPr>
        <w:t>低</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Q</w:t>
      </w:r>
      <w:r>
        <w:rPr>
          <w:rFonts w:hint="eastAsia" w:ascii="仿宋" w:hAnsi="仿宋" w:eastAsia="仿宋" w:cs="仿宋"/>
          <w:color w:val="auto"/>
          <w:sz w:val="21"/>
          <w:szCs w:val="21"/>
          <w:highlight w:val="none"/>
          <w:vertAlign w:val="subscript"/>
        </w:rPr>
        <w:t>低</w:t>
      </w:r>
      <w:r>
        <w:rPr>
          <w:rFonts w:hint="eastAsia" w:ascii="仿宋" w:hAnsi="仿宋" w:eastAsia="仿宋" w:cs="仿宋"/>
          <w:color w:val="auto"/>
          <w:sz w:val="21"/>
          <w:szCs w:val="21"/>
          <w:highlight w:val="none"/>
        </w:rPr>
        <w:t>：为达到或超过技术标及格分数线的投标人最低报价与工程成本警示价两者中的较高值；</w:t>
      </w:r>
      <w:r>
        <w:rPr>
          <w:rFonts w:hint="eastAsia" w:ascii="仿宋" w:hAnsi="仿宋" w:eastAsia="仿宋" w:cs="仿宋"/>
          <w:b w:val="0"/>
          <w:bCs/>
          <w:color w:val="auto"/>
          <w:sz w:val="21"/>
          <w:szCs w:val="21"/>
          <w:highlight w:val="none"/>
          <w:u w:val="single"/>
        </w:rPr>
        <w:t>为未达到或超过技术标及格分数线的投标人最低报价与工程成本警示价两者中的较高值；（当投标人均未达到技术标及格分数线的适用此条）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Q</w:t>
      </w:r>
      <w:r>
        <w:rPr>
          <w:rFonts w:hint="eastAsia" w:ascii="仿宋" w:hAnsi="仿宋" w:eastAsia="仿宋" w:cs="仿宋"/>
          <w:color w:val="auto"/>
          <w:kern w:val="0"/>
          <w:sz w:val="21"/>
          <w:szCs w:val="21"/>
          <w:highlight w:val="none"/>
          <w:vertAlign w:val="subscript"/>
        </w:rPr>
        <w:t>高</w:t>
      </w:r>
      <w:r>
        <w:rPr>
          <w:rFonts w:hint="eastAsia" w:ascii="仿宋" w:hAnsi="仿宋" w:eastAsia="仿宋" w:cs="仿宋"/>
          <w:color w:val="auto"/>
          <w:sz w:val="21"/>
          <w:szCs w:val="21"/>
          <w:highlight w:val="none"/>
        </w:rPr>
        <w:t xml:space="preserve">：为最高投标限价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color w:val="auto"/>
          <w:sz w:val="21"/>
          <w:szCs w:val="21"/>
          <w:highlight w:val="none"/>
        </w:rPr>
        <w:t>X：为等分点值，在开标前从[0,100]整数中随机抽取</w:t>
      </w:r>
    </w:p>
    <w:p>
      <w:pPr>
        <w:keepNext w:val="0"/>
        <w:keepLines w:val="0"/>
        <w:pageBreakBefore w:val="0"/>
        <w:pBdr>
          <w:top w:val="single" w:color="auto" w:sz="4" w:space="0"/>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条款号：45.3           修改类型：修改</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rPr>
        <w:t>原文：</w:t>
      </w:r>
      <w:r>
        <w:rPr>
          <w:rFonts w:hint="eastAsia" w:ascii="仿宋" w:hAnsi="仿宋" w:eastAsia="仿宋" w:cs="仿宋"/>
          <w:color w:val="auto"/>
          <w:kern w:val="0"/>
          <w:szCs w:val="21"/>
          <w:highlight w:val="none"/>
        </w:rPr>
        <w:t>45.3</w:t>
      </w:r>
      <w:r>
        <w:rPr>
          <w:rFonts w:hint="eastAsia" w:ascii="仿宋" w:hAnsi="仿宋" w:eastAsia="仿宋" w:cs="仿宋"/>
          <w:color w:val="auto"/>
          <w:szCs w:val="21"/>
          <w:highlight w:val="none"/>
        </w:rPr>
        <w:t>当标价等于评标参考价时得100分，标价每高于评标参考价1%，扣1.5分，每低于评标参考价1%，扣1分，扣至0分为止，得出经济分，精确到小数点后两位。</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现文：</w:t>
      </w:r>
      <w:r>
        <w:rPr>
          <w:rFonts w:hint="eastAsia" w:ascii="仿宋" w:hAnsi="仿宋" w:eastAsia="仿宋" w:cs="仿宋"/>
          <w:color w:val="auto"/>
          <w:kern w:val="0"/>
          <w:szCs w:val="21"/>
          <w:highlight w:val="none"/>
        </w:rPr>
        <w:t>45.3</w:t>
      </w:r>
      <w:r>
        <w:rPr>
          <w:rFonts w:hint="eastAsia" w:ascii="仿宋" w:hAnsi="仿宋" w:eastAsia="仿宋" w:cs="仿宋"/>
          <w:color w:val="auto"/>
          <w:szCs w:val="21"/>
          <w:highlight w:val="none"/>
        </w:rPr>
        <w:t>当标价等于评标参考价时得100分，标价每高于评标参考价1%，扣</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rPr>
        <w:t>分，每低于评标参考价1%，扣</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rPr>
        <w:t>分，扣至0分为止，</w:t>
      </w:r>
      <w:r>
        <w:rPr>
          <w:rFonts w:hint="eastAsia" w:ascii="仿宋" w:hAnsi="仿宋" w:eastAsia="仿宋" w:cs="仿宋"/>
          <w:color w:val="auto"/>
          <w:kern w:val="0"/>
          <w:sz w:val="21"/>
          <w:szCs w:val="21"/>
          <w:highlight w:val="none"/>
          <w:u w:val="single"/>
          <w:lang w:eastAsia="zh-CN"/>
        </w:rPr>
        <w:t>根据</w:t>
      </w:r>
      <w:r>
        <w:rPr>
          <w:rFonts w:hint="eastAsia" w:ascii="仿宋" w:hAnsi="仿宋" w:eastAsia="仿宋" w:cs="仿宋"/>
          <w:color w:val="auto"/>
          <w:kern w:val="0"/>
          <w:sz w:val="21"/>
          <w:szCs w:val="21"/>
          <w:highlight w:val="none"/>
          <w:u w:val="single"/>
          <w:lang w:val="en-US" w:eastAsia="zh-CN"/>
        </w:rPr>
        <w:t>招标文件</w:t>
      </w:r>
      <w:r>
        <w:rPr>
          <w:rFonts w:hint="eastAsia" w:ascii="仿宋" w:hAnsi="仿宋" w:eastAsia="仿宋" w:cs="仿宋"/>
          <w:color w:val="auto"/>
          <w:kern w:val="0"/>
          <w:sz w:val="21"/>
          <w:szCs w:val="21"/>
          <w:highlight w:val="none"/>
          <w:u w:val="single"/>
          <w:lang w:eastAsia="zh-CN"/>
        </w:rPr>
        <w:t>规定实施经济标评审优惠政策（如有）</w:t>
      </w:r>
      <w:r>
        <w:rPr>
          <w:rFonts w:hint="eastAsia" w:ascii="仿宋" w:hAnsi="仿宋" w:eastAsia="仿宋" w:cs="仿宋"/>
          <w:color w:val="auto"/>
          <w:szCs w:val="21"/>
          <w:highlight w:val="none"/>
        </w:rPr>
        <w:t>得出经济分，精确到小数点后两位</w:t>
      </w:r>
      <w:r>
        <w:rPr>
          <w:rFonts w:hint="eastAsia" w:ascii="仿宋" w:hAnsi="仿宋" w:eastAsia="仿宋" w:cs="仿宋"/>
          <w:bCs/>
          <w:color w:val="auto"/>
          <w:szCs w:val="21"/>
          <w:highlight w:val="none"/>
        </w:rPr>
        <w:t>。</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kern w:val="0"/>
          <w:szCs w:val="21"/>
          <w:highlight w:val="none"/>
        </w:rPr>
      </w:pPr>
      <w:r>
        <w:rPr>
          <w:rFonts w:hint="eastAsia" w:ascii="仿宋" w:hAnsi="仿宋" w:eastAsia="仿宋" w:cs="仿宋"/>
          <w:b/>
          <w:color w:val="auto"/>
          <w:szCs w:val="21"/>
          <w:highlight w:val="none"/>
        </w:rPr>
        <w:t>条款号：45.4          修改类型：修改</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原文：</w:t>
      </w:r>
      <w:r>
        <w:rPr>
          <w:rFonts w:hint="eastAsia" w:ascii="仿宋" w:hAnsi="仿宋" w:eastAsia="仿宋" w:cs="仿宋"/>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rPr>
        <w:t>现文：</w:t>
      </w:r>
      <w:r>
        <w:rPr>
          <w:rFonts w:hint="eastAsia" w:ascii="仿宋" w:hAnsi="仿宋" w:eastAsia="仿宋" w:cs="仿宋"/>
          <w:color w:val="auto"/>
          <w:szCs w:val="21"/>
          <w:highlight w:val="none"/>
        </w:rPr>
        <w:t>45.4计算通过技术标有效性审查的投标人总得分。</w:t>
      </w:r>
      <w:r>
        <w:rPr>
          <w:rFonts w:hint="eastAsia" w:ascii="仿宋" w:hAnsi="仿宋" w:eastAsia="仿宋" w:cs="仿宋"/>
          <w:color w:val="auto"/>
          <w:szCs w:val="21"/>
          <w:highlight w:val="none"/>
          <w:u w:val="single"/>
        </w:rPr>
        <w:t>投标人总得分=技术得分（100分）×权重20%＋经济得分（100分）×经济得分权重（80%）。技术、经济得分权重按投标须知前附表的规定执行。总得分四舍五入保留两位小数，并按照总得分从高到低排序。总得分相同的投标文件，以技术得分较高的排前；总得分与技术得分均相同的投标文件，以投标报价较低的排前；如仍存在相同情况，则对具有相同情况的投标人，由评标委员会采用记名投票方式，确定投标人的排序。</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条款号：49                        修改类型：修改</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Cs/>
          <w:color w:val="auto"/>
          <w:szCs w:val="21"/>
          <w:highlight w:val="none"/>
        </w:rPr>
        <w:t>49</w:t>
      </w:r>
      <w:r>
        <w:rPr>
          <w:rFonts w:hint="eastAsia" w:ascii="仿宋" w:hAnsi="仿宋" w:eastAsia="仿宋" w:cs="仿宋"/>
          <w:color w:val="auto"/>
          <w:szCs w:val="21"/>
          <w:highlight w:val="none"/>
        </w:rPr>
        <w:t>若通过经济标有效性审查的投标人不足三家，应当依法重新招标。（当N个标段同时招标且不允许兼中时，若有效投标人不足N+2家，应当依法重新招标）。</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Cs/>
          <w:color w:val="auto"/>
          <w:szCs w:val="21"/>
          <w:highlight w:val="none"/>
        </w:rPr>
        <w:t>49</w:t>
      </w:r>
      <w:r>
        <w:rPr>
          <w:rFonts w:hint="eastAsia" w:ascii="仿宋" w:hAnsi="仿宋" w:eastAsia="仿宋" w:cs="仿宋"/>
          <w:color w:val="auto"/>
          <w:szCs w:val="21"/>
          <w:highlight w:val="none"/>
        </w:rPr>
        <w:t>若通过经济标有效性审查的投标人不足三家，</w:t>
      </w:r>
      <w:r>
        <w:rPr>
          <w:rFonts w:hint="eastAsia" w:ascii="仿宋" w:hAnsi="仿宋" w:eastAsia="仿宋" w:cs="仿宋"/>
          <w:strike/>
          <w:color w:val="auto"/>
          <w:szCs w:val="21"/>
          <w:highlight w:val="none"/>
        </w:rPr>
        <w:t>（当N个标段同时招标且不允许兼中时，若有效投标人不足N+2家，</w:t>
      </w:r>
      <w:r>
        <w:rPr>
          <w:rFonts w:hint="eastAsia" w:ascii="仿宋" w:hAnsi="仿宋" w:eastAsia="仿宋" w:cs="仿宋"/>
          <w:color w:val="auto"/>
          <w:szCs w:val="21"/>
          <w:highlight w:val="none"/>
        </w:rPr>
        <w:t>应当依法重新招标</w:t>
      </w:r>
      <w:r>
        <w:rPr>
          <w:rFonts w:hint="eastAsia" w:ascii="仿宋" w:hAnsi="仿宋" w:eastAsia="仿宋" w:cs="仿宋"/>
          <w:strike/>
          <w:color w:val="auto"/>
          <w:szCs w:val="21"/>
          <w:highlight w:val="none"/>
        </w:rPr>
        <w:t>）</w:t>
      </w:r>
      <w:r>
        <w:rPr>
          <w:rFonts w:hint="eastAsia" w:ascii="仿宋" w:hAnsi="仿宋" w:eastAsia="仿宋" w:cs="仿宋"/>
          <w:color w:val="auto"/>
          <w:szCs w:val="21"/>
          <w:highlight w:val="none"/>
        </w:rPr>
        <w:t>。</w:t>
      </w:r>
    </w:p>
    <w:p>
      <w:pPr>
        <w:pStyle w:val="2"/>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仿宋" w:hAnsi="仿宋" w:eastAsia="仿宋" w:cs="仿宋"/>
          <w:color w:val="auto"/>
          <w:szCs w:val="21"/>
          <w:highlight w:val="none"/>
        </w:rPr>
      </w:pP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条款号：附表一《资格审查表》                         修改类型：修改</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Cs/>
          <w:color w:val="auto"/>
          <w:szCs w:val="21"/>
          <w:highlight w:val="none"/>
        </w:rPr>
        <w:t>详见《广州市建设工程施工公开招标项目招标文件范本GZZB2018-3》</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Cs/>
          <w:color w:val="auto"/>
          <w:szCs w:val="21"/>
          <w:highlight w:val="none"/>
        </w:rPr>
        <w:t>详见附表一《资格审查表》</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条款号：附表二《技术标有效性审查表》                 修改类型：修改</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Cs/>
          <w:color w:val="auto"/>
          <w:szCs w:val="21"/>
          <w:highlight w:val="none"/>
        </w:rPr>
        <w:t>详见《广州市建设工程施工公开招标项目招标文件范本GZZB2018-3》</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Cs/>
          <w:color w:val="auto"/>
          <w:szCs w:val="21"/>
          <w:highlight w:val="none"/>
        </w:rPr>
        <w:t>详见附表二《技术标有效性审查表》</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条款号：附表三《经济标有效性审查表》                 修改类型：修改</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Cs/>
          <w:color w:val="auto"/>
          <w:szCs w:val="21"/>
          <w:highlight w:val="none"/>
        </w:rPr>
        <w:t>详见《广州市建设工程施工公开招标项目招标文件范本GZZB2018-3》</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Cs/>
          <w:color w:val="auto"/>
          <w:szCs w:val="21"/>
          <w:highlight w:val="none"/>
        </w:rPr>
        <w:t>详见附表三《经济标有效性审查表》</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条款号：附表四《技术标详细审查评分表》               修改类型：修改</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Cs/>
          <w:color w:val="auto"/>
          <w:szCs w:val="21"/>
          <w:highlight w:val="none"/>
        </w:rPr>
        <w:t>详见《广州市建设工程施工公开招标项目招标文件范本GZZB2018-3》</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val="0"/>
          <w:bCs/>
          <w:color w:val="auto"/>
          <w:szCs w:val="21"/>
          <w:highlight w:val="none"/>
        </w:rPr>
      </w:pPr>
      <w:r>
        <w:rPr>
          <w:rFonts w:hint="eastAsia" w:ascii="仿宋" w:hAnsi="仿宋" w:eastAsia="仿宋" w:cs="仿宋"/>
          <w:b/>
          <w:color w:val="auto"/>
          <w:szCs w:val="21"/>
          <w:highlight w:val="none"/>
        </w:rPr>
        <w:t>现文：</w:t>
      </w:r>
      <w:r>
        <w:rPr>
          <w:rFonts w:hint="eastAsia" w:ascii="仿宋" w:hAnsi="仿宋" w:eastAsia="仿宋" w:cs="仿宋"/>
          <w:b w:val="0"/>
          <w:bCs/>
          <w:color w:val="auto"/>
          <w:szCs w:val="21"/>
          <w:highlight w:val="none"/>
        </w:rPr>
        <w:t>详见附表四《技术标详细审查评分表》</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条款号：附表五（适用于区间抽取法）经济标评分表       修改类型：修改</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原文：</w:t>
      </w:r>
      <w:r>
        <w:rPr>
          <w:rFonts w:hint="eastAsia" w:ascii="仿宋" w:hAnsi="仿宋" w:eastAsia="仿宋" w:cs="仿宋"/>
          <w:bCs/>
          <w:color w:val="auto"/>
          <w:szCs w:val="21"/>
          <w:highlight w:val="none"/>
        </w:rPr>
        <w:t>详见《广州市建设工程施工公开招标项目招标文件范本GZZB2018-3》</w:t>
      </w:r>
    </w:p>
    <w:p>
      <w:pPr>
        <w:keepNext w:val="0"/>
        <w:keepLines w:val="0"/>
        <w:pageBreakBefore w:val="0"/>
        <w:pBdr>
          <w:bottom w:val="single" w:color="auto" w:sz="6" w:space="1"/>
        </w:pBdr>
        <w:kinsoku/>
        <w:wordWrap/>
        <w:overflowPunct/>
        <w:topLinePunct w:val="0"/>
        <w:autoSpaceDE/>
        <w:autoSpaceDN/>
        <w:bidi w:val="0"/>
        <w:adjustRightInd/>
        <w:spacing w:line="440" w:lineRule="exact"/>
        <w:ind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现文：</w:t>
      </w:r>
      <w:r>
        <w:rPr>
          <w:rFonts w:hint="eastAsia" w:ascii="仿宋" w:hAnsi="仿宋" w:eastAsia="仿宋" w:cs="仿宋"/>
          <w:b w:val="0"/>
          <w:bCs/>
          <w:color w:val="auto"/>
          <w:szCs w:val="21"/>
          <w:highlight w:val="none"/>
          <w:lang w:val="en-US" w:eastAsia="zh-CN"/>
        </w:rPr>
        <w:t>详见附表五《</w:t>
      </w:r>
      <w:r>
        <w:rPr>
          <w:rFonts w:hint="eastAsia" w:ascii="仿宋" w:hAnsi="仿宋" w:eastAsia="仿宋" w:cs="仿宋"/>
          <w:b w:val="0"/>
          <w:bCs/>
          <w:color w:val="auto"/>
          <w:szCs w:val="21"/>
          <w:highlight w:val="none"/>
        </w:rPr>
        <w:t>经济标评分表</w:t>
      </w:r>
      <w:r>
        <w:rPr>
          <w:rFonts w:hint="eastAsia" w:ascii="仿宋" w:hAnsi="仿宋" w:eastAsia="仿宋" w:cs="仿宋"/>
          <w:b w:val="0"/>
          <w:bCs/>
          <w:color w:val="auto"/>
          <w:szCs w:val="21"/>
          <w:highlight w:val="none"/>
          <w:lang w:eastAsia="zh-CN"/>
        </w:rPr>
        <w:t>》</w:t>
      </w:r>
    </w:p>
    <w:p>
      <w:pPr>
        <w:pStyle w:val="2"/>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highlight w:val="none"/>
        </w:rPr>
      </w:pPr>
    </w:p>
    <w:p>
      <w:pPr>
        <w:pStyle w:val="2"/>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adjustRightInd/>
        <w:spacing w:line="440" w:lineRule="exact"/>
        <w:ind w:firstLine="211" w:firstLineChars="1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注：以上修改，仅限于本范本中有可供选择条款的情形。</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highlight w:val="none"/>
        </w:rPr>
      </w:pPr>
      <w:r>
        <w:rPr>
          <w:rFonts w:hint="eastAsia" w:ascii="仿宋" w:hAnsi="仿宋" w:eastAsia="仿宋" w:cs="仿宋"/>
          <w:b/>
          <w:color w:val="auto"/>
          <w:szCs w:val="21"/>
          <w:highlight w:val="none"/>
        </w:rPr>
        <w:t>（以下无正文）</w:t>
      </w:r>
    </w:p>
    <w:p>
      <w:pPr>
        <w:pStyle w:val="1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7"/>
        <w:ind w:firstLine="525"/>
        <w:rPr>
          <w:rFonts w:hint="eastAsia" w:ascii="仿宋" w:hAnsi="仿宋" w:eastAsia="仿宋" w:cs="仿宋"/>
          <w:color w:val="auto"/>
          <w:sz w:val="24"/>
          <w:szCs w:val="24"/>
          <w:highlight w:val="none"/>
        </w:rPr>
      </w:pPr>
      <w:bookmarkStart w:id="40" w:name="_Toc21525500"/>
      <w:bookmarkStart w:id="41" w:name="_Toc2272556"/>
      <w:bookmarkStart w:id="42" w:name="_Toc28249"/>
      <w:bookmarkStart w:id="43" w:name="_Toc17109"/>
      <w:bookmarkStart w:id="44" w:name="_Toc21525502"/>
      <w:bookmarkStart w:id="45" w:name="_Toc2272558"/>
      <w:r>
        <w:rPr>
          <w:rFonts w:hint="eastAsia" w:ascii="仿宋" w:hAnsi="仿宋" w:eastAsia="仿宋" w:cs="仿宋"/>
          <w:color w:val="auto"/>
          <w:sz w:val="28"/>
          <w:szCs w:val="28"/>
          <w:highlight w:val="none"/>
        </w:rPr>
        <w:t>二、开标、评标及定标办法通用条款</w:t>
      </w:r>
      <w:bookmarkEnd w:id="40"/>
      <w:bookmarkEnd w:id="41"/>
      <w:bookmarkEnd w:id="42"/>
      <w:bookmarkEnd w:id="43"/>
    </w:p>
    <w:p>
      <w:pPr>
        <w:pStyle w:val="8"/>
        <w:keepNext w:val="0"/>
        <w:keepLines w:val="0"/>
        <w:pageBreakBefore w:val="0"/>
        <w:kinsoku/>
        <w:wordWrap/>
        <w:overflowPunct/>
        <w:topLinePunct w:val="0"/>
        <w:autoSpaceDE/>
        <w:autoSpaceDN/>
        <w:bidi w:val="0"/>
        <w:adjustRightInd/>
        <w:spacing w:before="156" w:after="156" w:line="440" w:lineRule="exact"/>
        <w:ind w:firstLine="480" w:firstLineChars="200"/>
        <w:textAlignment w:val="auto"/>
        <w:rPr>
          <w:rFonts w:hint="eastAsia" w:ascii="仿宋" w:hAnsi="仿宋" w:eastAsia="仿宋" w:cs="仿宋"/>
          <w:color w:val="auto"/>
          <w:sz w:val="24"/>
          <w:szCs w:val="24"/>
          <w:highlight w:val="none"/>
        </w:rPr>
      </w:pPr>
      <w:bookmarkStart w:id="46" w:name="_Toc125"/>
      <w:bookmarkStart w:id="47" w:name="_Toc21525501"/>
      <w:bookmarkStart w:id="48" w:name="_Toc2272557"/>
      <w:r>
        <w:rPr>
          <w:rFonts w:hint="eastAsia" w:ascii="仿宋" w:hAnsi="仿宋" w:eastAsia="仿宋" w:cs="仿宋"/>
          <w:color w:val="auto"/>
          <w:sz w:val="24"/>
          <w:szCs w:val="24"/>
          <w:highlight w:val="none"/>
        </w:rPr>
        <w:t>（一）总则</w:t>
      </w:r>
      <w:bookmarkEnd w:id="46"/>
      <w:bookmarkEnd w:id="47"/>
      <w:bookmarkEnd w:id="48"/>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35 开标、评标及定标所依据的规则</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35.1《中华人民共和国招标投标法》；</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35.2《中华人民共和国招标投标法实施条例》；</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35.3《评标委员会和评标方法暂行规定》（七部委第12号令）；</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35.4《工程建设项目施工招标投标办法》（七部委2003年第30号令）；</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35.5《广东省实施〈中华人民共和国招标投标法〉办法》；</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35.6《房屋建筑和市政基础设施工程施工招标投标管理办法》（建设部令第89号）；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35.7《财政部 工业和信息化部关于印发〈政府采购促进中小企业发展管理办法〉的通知》（财库〔2020〕46号）；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35.8《广东省加强建设工程招标投标监督管理的若干规定》（粤发[2004]4号）；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35.9《广东省政府采购促进中小企业发展实施细则（试行）》</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35.10《广州市工程建设项目招标投标管理办法》（穗建规字〔2023〕12号）；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35.12本项目招标文件。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36．开标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招标人在招标文件要求提交投标文件的截止时间前收到的投标文件，开标时都当众予以解密、公布。</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36.4若递交投标文件的投标人不足3家，则重新组织招标。（当N个标段同时招标且不允许兼中时，若有效投标人不足N+2家，则重新组织招标）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36.5按下列程序进行开标：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36.5.2备用光盘的读取按投标须知前附表第36项的规定执行；</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36.5.3投标人代表、招标人代表、监标人、记录人等有关人员在开标记录上签字确认；若有关人员不签字的，不影响开标程序；</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36.5.4开标结束。</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36.7开标时，两个（含两个）以上的投标人加密打包投标文件电脑机器特征码一致的，不参与下一程序，并由评标委员会否决其投标。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37．评标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37.1评标委员会由招标人依法组建。</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37.2评标委员会在开始评标前，应了解评标专家的职责及守则，认真阅读附件1《评标委员会成员声明》的内容并签名，签字后方可进行评标。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37.3评标委员会的职责及守则：</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37.3.1根据评标细则，对投标文件进行认真评审，完成评审报告；</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37.3.2向招标人报告评审意见，推荐合格的中标候选人。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37.3.3</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37.3.4全体参与评标人员：</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37.3.4.1 必须遵守评标纪律、不得泄密；</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37.3.4.2 必须公正、不得循私；</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37.3.4.3 必须科学、不得草率；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37.3.4.4 必须客观、不得带有成见；</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37.3.4.5 必须平等、不得强加于人；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37.3.4.6 必须严谨、不得随意马虎。</w:t>
      </w:r>
    </w:p>
    <w:p>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37.5评标结束后，评标委员会递交评标报告并依法推荐中标候选人。 </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38．投标文件的澄清</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38.3 评标委员会或评标委员会专业评审组成员均应当阅读投标人的澄清，但应独立参考澄清对投标文件进行评审。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39．定标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 招标人根据评标委员会递交的评标报告，最终审定中标人。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 依法必须进行公开招标的项目，招标人应当确定排名第一的中标候选人为中标人。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bookmarkEnd w:id="44"/>
    <w:bookmarkEnd w:id="45"/>
    <w:p>
      <w:pPr>
        <w:pStyle w:val="8"/>
        <w:keepNext w:val="0"/>
        <w:keepLines w:val="0"/>
        <w:pageBreakBefore w:val="0"/>
        <w:kinsoku/>
        <w:wordWrap/>
        <w:overflowPunct/>
        <w:topLinePunct w:val="0"/>
        <w:autoSpaceDE/>
        <w:autoSpaceDN/>
        <w:bidi w:val="0"/>
        <w:adjustRightInd/>
        <w:spacing w:before="156" w:after="156" w:line="440" w:lineRule="exact"/>
        <w:ind w:firstLine="480" w:firstLineChars="200"/>
        <w:textAlignment w:val="auto"/>
        <w:rPr>
          <w:rFonts w:hint="eastAsia" w:ascii="仿宋" w:hAnsi="仿宋" w:eastAsia="仿宋" w:cs="仿宋"/>
          <w:color w:val="auto"/>
          <w:sz w:val="24"/>
          <w:szCs w:val="24"/>
          <w:highlight w:val="none"/>
        </w:rPr>
      </w:pPr>
      <w:bookmarkStart w:id="49" w:name="_Toc20863"/>
      <w:bookmarkStart w:id="50" w:name="_Toc2272564"/>
      <w:bookmarkStart w:id="51" w:name="_Toc21525509"/>
      <w:r>
        <w:rPr>
          <w:rFonts w:hint="eastAsia" w:ascii="仿宋" w:hAnsi="仿宋" w:eastAsia="仿宋" w:cs="仿宋"/>
          <w:color w:val="auto"/>
          <w:sz w:val="24"/>
          <w:szCs w:val="24"/>
          <w:highlight w:val="none"/>
        </w:rPr>
        <w:t>（二）开标评标办法程序和细则</w:t>
      </w:r>
      <w:bookmarkEnd w:id="49"/>
    </w:p>
    <w:p>
      <w:pPr>
        <w:keepNext w:val="0"/>
        <w:keepLines w:val="0"/>
        <w:pageBreakBefore w:val="0"/>
        <w:widowControl/>
        <w:kinsoku/>
        <w:wordWrap/>
        <w:overflowPunct/>
        <w:topLinePunct w:val="0"/>
        <w:autoSpaceDE/>
        <w:autoSpaceDN/>
        <w:bidi w:val="0"/>
        <w:adjustRightInd/>
        <w:snapToGrid/>
        <w:spacing w:before="156" w:after="156"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注：以下八种评标办法所述企业综合诚信评价分数即投标截止当日广州市工程招标行业协会网站上公布的企业综合诚信评价60日诚信分。</w:t>
      </w:r>
    </w:p>
    <w:p>
      <w:pPr>
        <w:pStyle w:val="8"/>
        <w:keepNext w:val="0"/>
        <w:keepLines w:val="0"/>
        <w:pageBreakBefore w:val="0"/>
        <w:kinsoku/>
        <w:wordWrap/>
        <w:overflowPunct/>
        <w:topLinePunct w:val="0"/>
        <w:autoSpaceDE/>
        <w:autoSpaceDN/>
        <w:bidi w:val="0"/>
        <w:adjustRightInd/>
        <w:spacing w:before="156" w:after="156" w:line="440" w:lineRule="exact"/>
        <w:ind w:firstLine="480" w:firstLineChars="200"/>
        <w:textAlignment w:val="auto"/>
        <w:rPr>
          <w:rFonts w:hint="eastAsia" w:ascii="仿宋" w:hAnsi="仿宋" w:eastAsia="仿宋" w:cs="仿宋"/>
          <w:color w:val="auto"/>
          <w:sz w:val="24"/>
          <w:szCs w:val="24"/>
          <w:highlight w:val="none"/>
        </w:rPr>
      </w:pPr>
      <w:bookmarkStart w:id="52" w:name="_Toc28469"/>
      <w:r>
        <w:rPr>
          <w:rFonts w:hint="eastAsia" w:ascii="仿宋" w:hAnsi="仿宋" w:eastAsia="仿宋" w:cs="仿宋"/>
          <w:color w:val="auto"/>
          <w:sz w:val="24"/>
          <w:szCs w:val="24"/>
          <w:highlight w:val="none"/>
        </w:rPr>
        <w:t>可选办法七（适合综合评分法四，技术标与经济标同时开启）</w:t>
      </w:r>
      <w:bookmarkEnd w:id="50"/>
      <w:bookmarkEnd w:id="51"/>
      <w:bookmarkEnd w:id="52"/>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40．开标和评标程序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40.1技术标（含资格审查文件）与经济标投标文件同时公开开标；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40.2由评标委员会对所有已公开开标的投标人进行资格审查；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40.3技术标投标文件有效性审查；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40.4技术标详细审查评分；</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40.5经济标详细审查评分；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40.6评标委员会按照投标人总得分由高至低排序；</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40.7经济标投标文件有效性审查；</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40.8评标委员会按排序向招标人推荐中标候选人名单，并递交资格审查报告及评标报告。</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41．开标细则</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41.1开标由招标人主持；</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细则</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41.2.1投标截止期前，各投标人递交投标文件（包括技术标投标文件、经济标投标文件）至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交易平台。有关投标文件提交的事项详见第一章投标须知。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41.2.2开标前，首先由招标人随机抽取确定该工程计算评标参考价的等分点值X。</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41.2.4按36.5.1的规定完成解密后，公布下列内容，并予以记录，记录提交评标委员会评审：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41.2.4.1开标时，公布：a、投标人名称；b、投标文件</w:t>
      </w:r>
      <w:r>
        <w:rPr>
          <w:rFonts w:hint="eastAsia" w:ascii="仿宋" w:hAnsi="仿宋" w:eastAsia="仿宋" w:cs="仿宋"/>
          <w:color w:val="auto"/>
          <w:sz w:val="24"/>
          <w:szCs w:val="24"/>
          <w:highlight w:val="none"/>
          <w:lang w:val="en-US" w:eastAsia="zh-CN"/>
        </w:rPr>
        <w:t>解密</w:t>
      </w:r>
      <w:r>
        <w:rPr>
          <w:rFonts w:hint="eastAsia" w:ascii="仿宋" w:hAnsi="仿宋" w:eastAsia="仿宋" w:cs="仿宋"/>
          <w:color w:val="auto"/>
          <w:sz w:val="24"/>
          <w:szCs w:val="24"/>
          <w:highlight w:val="none"/>
        </w:rPr>
        <w:t>情况；c、投标报价；d、投标保证金；e、项目经理（负责人）名称；f、法定代表人证明及授权委托等主要内容及开标记录表中的其他必要内容。投标报价以数字和文字两种方式表述的，应公布文字表述的投标报价。</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41.3招标人对开标过程进行记录，并存档备查，投标人在技术标开标记录上签字。</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 招标人将上述符合要求的投标文件，送至评标委员会进行评审。</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资格审查及评标细则</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42.1资格审查及评标均由招标人依法组建的评标委员会负责。</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42.2评标委员会的组成：方式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方式一：评标委员会为综合评标委员会，负责资格审查及评标工作。</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方式二：评标委员会由技术评审组和经济评审组组成。其中：资格审查及技术评审由技术评标组负责，经济评审由经济评审组负责。</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43．投标人资格审查</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43.2汇总资格审查情况，编写资格审查报告。</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43.3资格审查不合格的投标文件不参加下一阶段的评标，不参与评标参考价的计算。</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43.5资审合格后，投标人的资格发生变化而不满足投标人合格条件，在发出中标通知书前，资格问题仍未解决的，招标人将取消其中标资格。</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43.6资格审查合格的投标人少于3名的（当N个标段同时招标且不允许兼中时，资格审查合格的投标人少于N+2名），则本项目招标失败。</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44．技术标评审</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45．经济标评审和得分汇总</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45.1若通过技术标有效性审查的投标人中所有投标报价均大于等于最高投标限价，则本项目招标失败，由招标人依法重新招标。</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45.2计算评标参考价：</w:t>
      </w:r>
    </w:p>
    <w:p>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区间抽取法：</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vertAlign w:val="subscript"/>
        </w:rPr>
      </w:pPr>
      <w:r>
        <w:rPr>
          <w:rFonts w:hint="eastAsia" w:ascii="仿宋" w:hAnsi="仿宋" w:eastAsia="仿宋" w:cs="仿宋"/>
          <w:color w:val="auto"/>
          <w:kern w:val="0"/>
          <w:sz w:val="24"/>
          <w:szCs w:val="24"/>
          <w:highlight w:val="none"/>
        </w:rPr>
        <w:t>评标参考价=（Q</w:t>
      </w:r>
      <w:r>
        <w:rPr>
          <w:rFonts w:hint="eastAsia" w:ascii="仿宋" w:hAnsi="仿宋" w:eastAsia="仿宋" w:cs="仿宋"/>
          <w:color w:val="auto"/>
          <w:kern w:val="0"/>
          <w:sz w:val="24"/>
          <w:szCs w:val="24"/>
          <w:highlight w:val="none"/>
          <w:vertAlign w:val="subscript"/>
        </w:rPr>
        <w:t>高</w:t>
      </w:r>
      <w:r>
        <w:rPr>
          <w:rFonts w:hint="eastAsia" w:ascii="仿宋" w:hAnsi="仿宋" w:eastAsia="仿宋" w:cs="仿宋"/>
          <w:color w:val="auto"/>
          <w:kern w:val="0"/>
          <w:sz w:val="24"/>
          <w:szCs w:val="24"/>
          <w:highlight w:val="none"/>
        </w:rPr>
        <w:t>-Q</w:t>
      </w:r>
      <w:r>
        <w:rPr>
          <w:rFonts w:hint="eastAsia" w:ascii="仿宋" w:hAnsi="仿宋" w:eastAsia="仿宋" w:cs="仿宋"/>
          <w:color w:val="auto"/>
          <w:kern w:val="0"/>
          <w:sz w:val="24"/>
          <w:szCs w:val="24"/>
          <w:highlight w:val="none"/>
          <w:vertAlign w:val="subscript"/>
        </w:rPr>
        <w:t>低</w:t>
      </w:r>
      <w:r>
        <w:rPr>
          <w:rFonts w:hint="eastAsia" w:ascii="仿宋" w:hAnsi="仿宋" w:eastAsia="仿宋" w:cs="仿宋"/>
          <w:color w:val="auto"/>
          <w:kern w:val="0"/>
          <w:sz w:val="24"/>
          <w:szCs w:val="24"/>
          <w:highlight w:val="none"/>
        </w:rPr>
        <w:t>）/100*Ｘ+Q</w:t>
      </w:r>
      <w:r>
        <w:rPr>
          <w:rFonts w:hint="eastAsia" w:ascii="仿宋" w:hAnsi="仿宋" w:eastAsia="仿宋" w:cs="仿宋"/>
          <w:color w:val="auto"/>
          <w:kern w:val="0"/>
          <w:sz w:val="24"/>
          <w:szCs w:val="24"/>
          <w:highlight w:val="none"/>
          <w:vertAlign w:val="subscript"/>
        </w:rPr>
        <w:t>低</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Q</w:t>
      </w:r>
      <w:r>
        <w:rPr>
          <w:rFonts w:hint="eastAsia" w:ascii="仿宋" w:hAnsi="仿宋" w:eastAsia="仿宋" w:cs="仿宋"/>
          <w:color w:val="auto"/>
          <w:sz w:val="24"/>
          <w:szCs w:val="24"/>
          <w:highlight w:val="none"/>
          <w:vertAlign w:val="subscript"/>
        </w:rPr>
        <w:t>低</w:t>
      </w:r>
      <w:r>
        <w:rPr>
          <w:rFonts w:hint="eastAsia" w:ascii="仿宋" w:hAnsi="仿宋" w:eastAsia="仿宋" w:cs="仿宋"/>
          <w:color w:val="auto"/>
          <w:sz w:val="24"/>
          <w:szCs w:val="24"/>
          <w:highlight w:val="none"/>
        </w:rPr>
        <w:t>：为达到或超过技术标及格分数线的投标人最低报价与工程成本警示价两者中的较高值；</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Q</w:t>
      </w:r>
      <w:r>
        <w:rPr>
          <w:rFonts w:hint="eastAsia" w:ascii="仿宋" w:hAnsi="仿宋" w:eastAsia="仿宋" w:cs="仿宋"/>
          <w:color w:val="auto"/>
          <w:kern w:val="0"/>
          <w:sz w:val="24"/>
          <w:szCs w:val="24"/>
          <w:highlight w:val="none"/>
          <w:vertAlign w:val="subscript"/>
        </w:rPr>
        <w:t>高</w:t>
      </w:r>
      <w:r>
        <w:rPr>
          <w:rFonts w:hint="eastAsia" w:ascii="仿宋" w:hAnsi="仿宋" w:eastAsia="仿宋" w:cs="仿宋"/>
          <w:color w:val="auto"/>
          <w:sz w:val="24"/>
          <w:szCs w:val="24"/>
          <w:highlight w:val="none"/>
        </w:rPr>
        <w:t>：最高投标限价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X：为等分点值，在开标前从[0,100]整数中随机抽取</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45.3</w:t>
      </w:r>
      <w:r>
        <w:rPr>
          <w:rFonts w:hint="eastAsia" w:ascii="仿宋" w:hAnsi="仿宋" w:eastAsia="仿宋" w:cs="仿宋"/>
          <w:color w:val="auto"/>
          <w:sz w:val="24"/>
          <w:szCs w:val="24"/>
          <w:highlight w:val="none"/>
        </w:rPr>
        <w:t>当标价等于评标参考价时得100分，标价每高于评标参考价1%，扣1.5分，每低于评标参考价1%，扣1分，扣至0分为止，得出经济分，精确到小数点后两位。</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5"/>
        <w:keepNext w:val="0"/>
        <w:keepLines w:val="0"/>
        <w:pageBreakBefore w:val="0"/>
        <w:tabs>
          <w:tab w:val="left" w:pos="7380"/>
        </w:tabs>
        <w:kinsoku/>
        <w:wordWrap/>
        <w:overflowPunct/>
        <w:topLinePunct w:val="0"/>
        <w:autoSpaceDE/>
        <w:autoSpaceDN/>
        <w:bidi w:val="0"/>
        <w:adjustRightInd/>
        <w:snapToGrid w:val="0"/>
        <w:spacing w:after="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46.经济标的有效性审查</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46.2经济标的算术校核。评标委员会对进行经济标有效性审查的投标文件投标报价按照就低不就高的原则进行算术校核，具体标准如下：</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46.2.1如果数字表示的金额和用文字表示的金额不一致时，应以文字表示的金额为准；</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46.2.2经算术复核的投标人报价与其投标报价不一致时，按就低不就高原则确定其最终报价；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46.2.4当合价、金额累加错误时，按就低不就高原则，如果累加修正值小于原累加值，则按累加修正值；如果累加修正值大于原累加值，则按原累加值；</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24"/>
          <w:szCs w:val="24"/>
          <w:highlight w:val="none"/>
        </w:rPr>
        <w:t>49.若通过经济标有效性审查的投标人不足三家，应当依法重新招标。（当N个标段同时招标且不允许兼中时，若有效投标人不足N+2家，应当依法重新招标）</w:t>
      </w:r>
      <w:r>
        <w:rPr>
          <w:rFonts w:hint="eastAsia" w:ascii="仿宋" w:hAnsi="仿宋" w:eastAsia="仿宋" w:cs="仿宋"/>
          <w:color w:val="auto"/>
          <w:sz w:val="32"/>
          <w:szCs w:val="32"/>
          <w:highlight w:val="none"/>
        </w:rPr>
        <w:br w:type="page"/>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ind w:firstLine="562"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评标委员会成员声明</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本项目招标人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本人就参与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项目的评标工作，作出郑重声明：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如果本人违反上述声明内容，造成的后果由本人自行承担。</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声明人：</w:t>
      </w:r>
      <w:r>
        <w:rPr>
          <w:rFonts w:hint="eastAsia" w:ascii="仿宋" w:hAnsi="仿宋" w:eastAsia="仿宋" w:cs="仿宋"/>
          <w:color w:val="auto"/>
          <w:sz w:val="24"/>
          <w:szCs w:val="24"/>
          <w:highlight w:val="none"/>
          <w:u w:val="single"/>
        </w:rPr>
        <w:t xml:space="preserve">（签名）  </w:t>
      </w:r>
    </w:p>
    <w:p>
      <w:pPr>
        <w:spacing w:line="240" w:lineRule="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br w:type="page"/>
      </w:r>
    </w:p>
    <w:p>
      <w:pPr>
        <w:spacing w:line="360" w:lineRule="auto"/>
        <w:rPr>
          <w:rFonts w:hint="eastAsia" w:ascii="仿宋" w:hAnsi="仿宋" w:eastAsia="仿宋" w:cs="仿宋"/>
          <w:color w:val="auto"/>
          <w:sz w:val="32"/>
          <w:szCs w:val="32"/>
          <w:highlight w:val="none"/>
          <w:u w:val="single"/>
        </w:rPr>
      </w:pPr>
    </w:p>
    <w:p>
      <w:pPr>
        <w:widowControl/>
        <w:snapToGrid w:val="0"/>
        <w:spacing w:line="360" w:lineRule="auto"/>
        <w:ind w:right="10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附表一：</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资格审查表</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bl>
      <w:tblPr>
        <w:tblStyle w:val="33"/>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419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审查项目</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投标人参加投标的意思表达清楚，投标人代表被授权有效</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投标人均具有独立法人资格，按国家法律经营</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投标人均持有建设行政主管部门颁发的有效期内的企业资质证书及安全生产许可证；投标人资质符合公告要求</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资质证书扫描件或电子证照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r>
              <w:rPr>
                <w:rFonts w:hint="eastAsia" w:ascii="仿宋" w:hAnsi="仿宋" w:eastAsia="仿宋" w:cs="仿宋"/>
                <w:color w:val="auto"/>
                <w:sz w:val="21"/>
                <w:szCs w:val="21"/>
                <w:highlight w:val="none"/>
              </w:rPr>
              <w:t>、安全生产许可证扫描件或电子证照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投标人拟担任本工程项目负责人符合公告要求</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持有</w:t>
            </w:r>
            <w:r>
              <w:rPr>
                <w:rFonts w:hint="eastAsia" w:ascii="仿宋" w:hAnsi="仿宋" w:eastAsia="仿宋" w:cs="仿宋"/>
                <w:color w:val="auto"/>
                <w:sz w:val="21"/>
                <w:szCs w:val="21"/>
                <w:highlight w:val="none"/>
                <w:u w:val="single"/>
              </w:rPr>
              <w:t>在有效期内的</w:t>
            </w:r>
            <w:r>
              <w:rPr>
                <w:rFonts w:hint="eastAsia" w:ascii="仿宋" w:hAnsi="仿宋" w:eastAsia="仿宋" w:cs="仿宋"/>
                <w:color w:val="auto"/>
                <w:sz w:val="21"/>
                <w:szCs w:val="21"/>
                <w:highlight w:val="none"/>
              </w:rPr>
              <w:t>项目负责人安全生产考核合格证（B类）或建筑施工企业项目负责人安全生产考核合格证</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投标人拟担任本工程技术负责人符合公告要求</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拟委托技术负责人的相关证书</w:t>
            </w:r>
            <w:r>
              <w:rPr>
                <w:rFonts w:hint="eastAsia" w:ascii="仿宋" w:hAnsi="仿宋" w:eastAsia="仿宋" w:cs="仿宋"/>
                <w:color w:val="auto"/>
                <w:sz w:val="21"/>
                <w:szCs w:val="21"/>
                <w:highlight w:val="none"/>
                <w:lang w:val="en-US" w:eastAsia="zh-CN"/>
              </w:rPr>
              <w:t>清晰扫描件或电子证书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专职安全员须具有</w:t>
            </w:r>
            <w:r>
              <w:rPr>
                <w:rFonts w:hint="eastAsia" w:ascii="仿宋" w:hAnsi="仿宋" w:eastAsia="仿宋" w:cs="仿宋"/>
                <w:color w:val="auto"/>
                <w:sz w:val="21"/>
                <w:szCs w:val="21"/>
                <w:highlight w:val="none"/>
                <w:u w:val="single"/>
              </w:rPr>
              <w:t>在有效期内的</w:t>
            </w:r>
            <w:r>
              <w:rPr>
                <w:rFonts w:hint="eastAsia" w:ascii="仿宋" w:hAnsi="仿宋" w:eastAsia="仿宋" w:cs="仿宋"/>
                <w:color w:val="auto"/>
                <w:sz w:val="21"/>
                <w:szCs w:val="21"/>
                <w:highlight w:val="none"/>
              </w:rPr>
              <w:t>安全生产考核合格证（C证）或建筑施工企业专职安全生产管理人员安全生产考核合格证</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lang w:val="en-US" w:eastAsia="zh-CN"/>
              </w:rPr>
              <w:t>C3）</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专职安全员的安全生产考核合格证（C类）或建筑施工企业专职安全生产管理人员安全生产考核合格证</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lang w:val="en-US" w:eastAsia="zh-CN"/>
              </w:rPr>
              <w:t>C3）</w:t>
            </w:r>
            <w:r>
              <w:rPr>
                <w:rFonts w:hint="eastAsia" w:ascii="仿宋" w:hAnsi="仿宋" w:eastAsia="仿宋" w:cs="仿宋"/>
                <w:color w:val="auto"/>
                <w:sz w:val="21"/>
                <w:szCs w:val="21"/>
                <w:highlight w:val="none"/>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投标人提供的投标人声明符合公告要求</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投标人声明中签字的项目负责人和技术负责人与本项目拟派的项目负责人和技术负责人一致</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资格审查前，投标人须在广州市住房和城乡建设局建立企业信用档案及拟担任本工程项目负责人、专职安全员须是本企业中的在册人员</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投标人未出现以下情形：与其它投标人的单位负责人为同一人或者存在控股、管理关系的（按投标人提供的《投标人声明》第八条内容进行评审）。</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未被列入拖欠农民工工资失信联合惩戒对象名单</w:t>
            </w:r>
          </w:p>
        </w:tc>
        <w:tc>
          <w:tcPr>
            <w:tcW w:w="4199"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仿宋" w:hAnsi="仿宋" w:eastAsia="仿宋" w:cs="仿宋"/>
                <w:color w:val="auto"/>
                <w:sz w:val="21"/>
                <w:szCs w:val="21"/>
                <w:highlight w:val="none"/>
              </w:rPr>
            </w:pPr>
          </w:p>
        </w:tc>
      </w:tr>
    </w:tbl>
    <w:p>
      <w:pPr>
        <w:spacing w:line="480" w:lineRule="auto"/>
        <w:ind w:firstLine="470" w:firstLineChars="224"/>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pPr>
        <w:spacing w:line="360" w:lineRule="auto"/>
        <w:ind w:firstLine="470" w:firstLineChars="22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1、每一项目符合的打“○”，不符合的打“×”； </w:t>
      </w:r>
    </w:p>
    <w:p>
      <w:pPr>
        <w:spacing w:line="360" w:lineRule="auto"/>
        <w:ind w:firstLine="470" w:firstLineChars="224"/>
        <w:rPr>
          <w:rFonts w:hint="eastAsia" w:ascii="仿宋" w:hAnsi="仿宋" w:eastAsia="仿宋" w:cs="仿宋"/>
          <w:color w:val="auto"/>
          <w:szCs w:val="21"/>
          <w:highlight w:val="none"/>
        </w:rPr>
      </w:pPr>
      <w:r>
        <w:rPr>
          <w:rFonts w:hint="eastAsia" w:ascii="仿宋" w:hAnsi="仿宋" w:eastAsia="仿宋" w:cs="仿宋"/>
          <w:color w:val="auto"/>
          <w:szCs w:val="21"/>
          <w:highlight w:val="none"/>
        </w:rPr>
        <w:t>2、若评委意见不一致时，则按少数服从多数的原则，作出评审结论。汇总后，出现一个“×”的结论为“不通过”。</w:t>
      </w:r>
    </w:p>
    <w:p>
      <w:pPr>
        <w:spacing w:line="360" w:lineRule="auto"/>
        <w:ind w:firstLine="470" w:firstLineChars="224"/>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hint="eastAsia" w:ascii="仿宋" w:hAnsi="仿宋" w:eastAsia="仿宋" w:cs="仿宋"/>
          <w:color w:val="auto"/>
          <w:highlight w:val="none"/>
        </w:rPr>
        <w:sectPr>
          <w:footerReference r:id="rId10" w:type="first"/>
          <w:footerReference r:id="rId9" w:type="default"/>
          <w:endnotePr>
            <w:numFmt w:val="decimal"/>
          </w:endnotePr>
          <w:pgSz w:w="11906" w:h="16838"/>
          <w:pgMar w:top="1134" w:right="1417" w:bottom="1004" w:left="1417" w:header="851" w:footer="487" w:gutter="0"/>
          <w:pgNumType w:start="1"/>
          <w:cols w:space="0" w:num="1"/>
          <w:rtlGutter w:val="0"/>
          <w:docGrid w:type="lines" w:linePitch="312" w:charSpace="0"/>
        </w:sectPr>
      </w:pP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附表二</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技术标有效性审查表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投标人</w:t>
            </w:r>
          </w:p>
          <w:p>
            <w:pPr>
              <w:adjustRightInd w:val="0"/>
              <w:rPr>
                <w:rFonts w:hint="eastAsia" w:ascii="仿宋" w:hAnsi="仿宋" w:eastAsia="仿宋" w:cs="仿宋"/>
                <w:color w:val="auto"/>
                <w:szCs w:val="21"/>
                <w:highlight w:val="none"/>
              </w:rPr>
            </w:pPr>
          </w:p>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不符合招标文件要求的质量标准；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投标文件未按规定的格式</w:t>
            </w:r>
            <w:r>
              <w:rPr>
                <w:rFonts w:hint="eastAsia" w:ascii="仿宋" w:hAnsi="仿宋" w:eastAsia="仿宋" w:cs="仿宋"/>
                <w:color w:val="auto"/>
                <w:szCs w:val="21"/>
                <w:highlight w:val="none"/>
                <w:u w:val="single"/>
              </w:rPr>
              <w:t>（招标文件第四章投标文件技术标部分格式一、格式三）</w:t>
            </w:r>
            <w:r>
              <w:rPr>
                <w:rFonts w:hint="eastAsia" w:ascii="仿宋" w:hAnsi="仿宋" w:eastAsia="仿宋" w:cs="仿宋"/>
                <w:color w:val="auto"/>
                <w:szCs w:val="21"/>
                <w:highlight w:val="none"/>
              </w:rPr>
              <w:t>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val="en-US" w:eastAsia="zh-CN"/>
              </w:rPr>
              <w:t>无《关于投标保证金的承诺》的；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u w:val="single"/>
                <w:lang w:val="en-US" w:eastAsia="zh-CN"/>
              </w:rPr>
              <w:t>无《危险性较大的分部分项工程安全管理措施》的；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Cs w:val="21"/>
                <w:highlight w:val="none"/>
              </w:rPr>
            </w:pPr>
            <w:r>
              <w:rPr>
                <w:rFonts w:hint="eastAsia" w:ascii="仿宋" w:hAnsi="仿宋" w:eastAsia="仿宋" w:cs="仿宋"/>
                <w:color w:val="auto"/>
                <w:kern w:val="0"/>
                <w:sz w:val="20"/>
                <w:szCs w:val="20"/>
                <w:highlight w:val="none"/>
              </w:rPr>
              <w:t>投标人与</w:t>
            </w:r>
            <w:r>
              <w:rPr>
                <w:rFonts w:hint="eastAsia" w:ascii="仿宋" w:hAnsi="仿宋" w:eastAsia="仿宋" w:cs="仿宋"/>
                <w:b/>
                <w:bCs/>
                <w:color w:val="auto"/>
                <w:kern w:val="0"/>
                <w:sz w:val="20"/>
                <w:szCs w:val="20"/>
                <w:highlight w:val="none"/>
              </w:rPr>
              <w:t>本项目</w:t>
            </w:r>
            <w:r>
              <w:rPr>
                <w:rFonts w:hint="eastAsia" w:ascii="仿宋" w:hAnsi="仿宋" w:eastAsia="仿宋" w:cs="仿宋"/>
                <w:color w:val="auto"/>
                <w:kern w:val="0"/>
                <w:sz w:val="20"/>
                <w:szCs w:val="20"/>
                <w:highlight w:val="none"/>
              </w:rPr>
              <w:t>其他投标人加密打包投标文件电脑机器特征码一致的（以</w:t>
            </w:r>
            <w:r>
              <w:rPr>
                <w:rFonts w:hint="eastAsia" w:ascii="仿宋" w:hAnsi="仿宋" w:eastAsia="仿宋" w:cs="仿宋"/>
                <w:color w:val="auto"/>
                <w:kern w:val="0"/>
                <w:sz w:val="20"/>
                <w:szCs w:val="20"/>
                <w:highlight w:val="none"/>
                <w:u w:val="single"/>
              </w:rPr>
              <w:t>广州交易集团有限公司（广州公共资源交易中心）</w:t>
            </w:r>
            <w:r>
              <w:rPr>
                <w:rFonts w:hint="eastAsia" w:ascii="仿宋" w:hAnsi="仿宋" w:eastAsia="仿宋" w:cs="仿宋"/>
                <w:color w:val="auto"/>
                <w:kern w:val="0"/>
                <w:sz w:val="20"/>
                <w:szCs w:val="20"/>
                <w:highlight w:val="none"/>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hint="eastAsia" w:ascii="仿宋" w:hAnsi="仿宋" w:eastAsia="仿宋" w:cs="仿宋"/>
                <w:color w:val="auto"/>
                <w:szCs w:val="21"/>
                <w:highlight w:val="none"/>
              </w:rPr>
            </w:pPr>
          </w:p>
        </w:tc>
      </w:tr>
    </w:tbl>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3.凡出现以上任何一项情形，结论均为无效，否则就为有效。</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4.如对本表中某种情形的评审意见不一致时，以评标委员会过半数成员的意见作为评标委员会对该情形的认定结论。</w:t>
      </w:r>
      <w:r>
        <w:rPr>
          <w:rFonts w:hint="eastAsia" w:ascii="仿宋" w:hAnsi="仿宋" w:eastAsia="仿宋" w:cs="仿宋"/>
          <w:color w:val="auto"/>
          <w:highlight w:val="none"/>
        </w:rPr>
        <w:br w:type="page"/>
      </w:r>
      <w:r>
        <w:rPr>
          <w:rFonts w:hint="eastAsia" w:ascii="仿宋" w:hAnsi="仿宋" w:eastAsia="仿宋" w:cs="仿宋"/>
          <w:color w:val="auto"/>
          <w:szCs w:val="21"/>
          <w:highlight w:val="none"/>
        </w:rPr>
        <w:t>附表三</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经济标有效性审查表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bl>
      <w:tblPr>
        <w:tblStyle w:val="3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投标人</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投标报价低于成本的</w:t>
            </w:r>
            <w:r>
              <w:rPr>
                <w:rFonts w:hint="eastAsia" w:ascii="仿宋" w:hAnsi="仿宋" w:eastAsia="仿宋" w:cs="仿宋"/>
                <w:color w:val="auto"/>
                <w:szCs w:val="21"/>
                <w:highlight w:val="none"/>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r>
              <w:rPr>
                <w:rFonts w:hint="eastAsia" w:ascii="仿宋" w:hAnsi="仿宋" w:eastAsia="仿宋" w:cs="仿宋"/>
                <w:color w:val="auto"/>
                <w:szCs w:val="21"/>
                <w:highlight w:val="none"/>
              </w:rPr>
              <w:t>；</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投标文件未按规定的格式</w:t>
            </w:r>
            <w:r>
              <w:rPr>
                <w:rFonts w:hint="eastAsia" w:ascii="仿宋" w:hAnsi="仿宋" w:eastAsia="仿宋" w:cs="仿宋"/>
                <w:color w:val="auto"/>
                <w:szCs w:val="21"/>
                <w:highlight w:val="none"/>
                <w:u w:val="single"/>
              </w:rPr>
              <w:t>（招标文件第四章投标文件经济标投标部分格式九）</w:t>
            </w:r>
            <w:r>
              <w:rPr>
                <w:rFonts w:hint="eastAsia" w:ascii="仿宋" w:hAnsi="仿宋" w:eastAsia="仿宋" w:cs="仿宋"/>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highlight w:val="none"/>
              </w:rPr>
            </w:pPr>
          </w:p>
        </w:tc>
      </w:tr>
    </w:tbl>
    <w:p>
      <w:pPr>
        <w:ind w:firstLine="458"/>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注：1.本表使用GZZB2018-3招标文件范本，与范本内容不同之处均以下划线标明。</w:t>
      </w:r>
    </w:p>
    <w:p>
      <w:pPr>
        <w:ind w:firstLine="458"/>
        <w:rPr>
          <w:rFonts w:hint="eastAsia" w:ascii="仿宋" w:hAnsi="仿宋" w:eastAsia="仿宋" w:cs="仿宋"/>
          <w:color w:val="auto"/>
          <w:szCs w:val="21"/>
          <w:highlight w:val="none"/>
        </w:rPr>
      </w:pPr>
      <w:r>
        <w:rPr>
          <w:rFonts w:hint="eastAsia" w:ascii="仿宋" w:hAnsi="仿宋" w:eastAsia="仿宋" w:cs="仿宋"/>
          <w:color w:val="auto"/>
          <w:szCs w:val="21"/>
          <w:highlight w:val="none"/>
        </w:rPr>
        <w:t>2.凡出现以上任何一项情形，结论均为无效，否则就为有效。</w:t>
      </w:r>
    </w:p>
    <w:p>
      <w:pPr>
        <w:ind w:firstLine="458"/>
        <w:rPr>
          <w:rFonts w:hint="eastAsia" w:ascii="仿宋" w:hAnsi="仿宋" w:eastAsia="仿宋" w:cs="仿宋"/>
          <w:color w:val="auto"/>
          <w:szCs w:val="21"/>
          <w:highlight w:val="none"/>
        </w:rPr>
      </w:pPr>
      <w:r>
        <w:rPr>
          <w:rFonts w:hint="eastAsia" w:ascii="仿宋" w:hAnsi="仿宋" w:eastAsia="仿宋" w:cs="仿宋"/>
          <w:color w:val="auto"/>
          <w:szCs w:val="21"/>
          <w:highlight w:val="none"/>
        </w:rPr>
        <w:t>3.如对本表中某种情形的评审意见不一致时，以评标委员会过半数成员的意见作为评标委员会对该情形的认定结论。</w:t>
      </w:r>
    </w:p>
    <w:p>
      <w:pPr>
        <w:ind w:firstLine="458"/>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5"/>
        <w:ind w:firstLine="458"/>
        <w:rPr>
          <w:rFonts w:hint="eastAsia" w:ascii="仿宋" w:hAnsi="仿宋" w:eastAsia="仿宋" w:cs="仿宋"/>
          <w:color w:val="auto"/>
          <w:szCs w:val="21"/>
          <w:highlight w:val="none"/>
        </w:rPr>
        <w:sectPr>
          <w:endnotePr>
            <w:numFmt w:val="decimal"/>
          </w:endnotePr>
          <w:pgSz w:w="16838" w:h="11906" w:orient="landscape"/>
          <w:pgMar w:top="997" w:right="1134" w:bottom="1029" w:left="1247" w:header="851" w:footer="737" w:gutter="0"/>
          <w:cols w:space="0" w:num="1"/>
          <w:titlePg/>
          <w:rtlGutter w:val="0"/>
          <w:docGrid w:type="lines" w:linePitch="312" w:charSpace="0"/>
        </w:sectPr>
      </w:pPr>
      <w:r>
        <w:rPr>
          <w:rFonts w:hint="eastAsia" w:ascii="仿宋" w:hAnsi="仿宋" w:eastAsia="仿宋" w:cs="仿宋"/>
          <w:color w:val="auto"/>
          <w:szCs w:val="21"/>
          <w:highlight w:val="none"/>
        </w:rPr>
        <w:t>评委签名：</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附表四</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技术标详细审查评分表</w:t>
      </w:r>
    </w:p>
    <w:tbl>
      <w:tblPr>
        <w:tblStyle w:val="33"/>
        <w:tblW w:w="14948"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115"/>
        <w:gridCol w:w="1044"/>
        <w:gridCol w:w="12042"/>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blHeader/>
          <w:jc w:val="center"/>
        </w:trPr>
        <w:tc>
          <w:tcPr>
            <w:tcW w:w="747" w:type="dxa"/>
            <w:noWrap w:val="0"/>
            <w:vAlign w:val="center"/>
          </w:tcPr>
          <w:p>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评分项目</w:t>
            </w:r>
          </w:p>
        </w:tc>
        <w:tc>
          <w:tcPr>
            <w:tcW w:w="1115" w:type="dxa"/>
            <w:noWrap w:val="0"/>
            <w:vAlign w:val="center"/>
          </w:tcPr>
          <w:p>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w:t>
            </w:r>
          </w:p>
          <w:p>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1044" w:type="dxa"/>
            <w:noWrap w:val="0"/>
            <w:vAlign w:val="center"/>
          </w:tcPr>
          <w:p>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12042" w:type="dxa"/>
            <w:noWrap w:val="0"/>
            <w:vAlign w:val="center"/>
          </w:tcPr>
          <w:p>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6" w:hRule="atLeast"/>
          <w:jc w:val="center"/>
        </w:trPr>
        <w:tc>
          <w:tcPr>
            <w:tcW w:w="747" w:type="dxa"/>
            <w:vMerge w:val="restart"/>
            <w:noWrap w:val="0"/>
            <w:vAlign w:val="center"/>
          </w:tcPr>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项目管理机构能力（70分）</w:t>
            </w: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1044"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1、具有建筑工程相关专业高级(或以上)技术职称的，得2分；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拟委派的</w:t>
            </w:r>
            <w:r>
              <w:rPr>
                <w:rFonts w:hint="eastAsia" w:ascii="仿宋" w:hAnsi="仿宋" w:eastAsia="仿宋" w:cs="仿宋"/>
                <w:color w:val="auto"/>
                <w:szCs w:val="21"/>
                <w:highlight w:val="none"/>
              </w:rPr>
              <w:t>技术</w:t>
            </w:r>
            <w:r>
              <w:rPr>
                <w:rFonts w:hint="eastAsia" w:ascii="仿宋" w:hAnsi="仿宋" w:eastAsia="仿宋" w:cs="仿宋"/>
                <w:color w:val="auto"/>
                <w:szCs w:val="21"/>
                <w:highlight w:val="none"/>
                <w:lang w:val="zh-CN"/>
              </w:rPr>
              <w:t>负责人自2</w:t>
            </w:r>
            <w:r>
              <w:rPr>
                <w:rFonts w:hint="eastAsia" w:ascii="仿宋" w:hAnsi="仿宋" w:eastAsia="仿宋" w:cs="仿宋"/>
                <w:color w:val="auto"/>
                <w:szCs w:val="21"/>
                <w:highlight w:val="none"/>
              </w:rPr>
              <w:t>021</w:t>
            </w:r>
            <w:r>
              <w:rPr>
                <w:rFonts w:hint="eastAsia" w:ascii="仿宋" w:hAnsi="仿宋" w:eastAsia="仿宋" w:cs="仿宋"/>
                <w:color w:val="auto"/>
                <w:szCs w:val="21"/>
                <w:highlight w:val="none"/>
                <w:lang w:val="zh-CN"/>
              </w:rPr>
              <w:t>年1月1日至投标截止时间止，完成过质量合格的</w:t>
            </w:r>
            <w:r>
              <w:rPr>
                <w:rFonts w:hint="eastAsia" w:ascii="仿宋" w:hAnsi="仿宋" w:eastAsia="仿宋" w:cs="仿宋"/>
                <w:color w:val="auto"/>
                <w:szCs w:val="21"/>
                <w:highlight w:val="none"/>
              </w:rPr>
              <w:t>建筑工程</w:t>
            </w:r>
            <w:r>
              <w:rPr>
                <w:rFonts w:hint="eastAsia" w:ascii="仿宋" w:hAnsi="仿宋" w:eastAsia="仿宋" w:cs="仿宋"/>
                <w:color w:val="auto"/>
                <w:szCs w:val="21"/>
                <w:highlight w:val="none"/>
                <w:lang w:val="zh-TW"/>
              </w:rPr>
              <w:t>类似</w:t>
            </w:r>
            <w:r>
              <w:rPr>
                <w:rFonts w:hint="eastAsia" w:ascii="仿宋" w:hAnsi="仿宋" w:eastAsia="仿宋" w:cs="仿宋"/>
                <w:color w:val="auto"/>
                <w:szCs w:val="21"/>
                <w:highlight w:val="none"/>
                <w:lang w:val="zh-CN"/>
              </w:rPr>
              <w:t>业绩，</w:t>
            </w:r>
            <w:r>
              <w:rPr>
                <w:rFonts w:hint="eastAsia" w:ascii="仿宋" w:hAnsi="仿宋" w:eastAsia="仿宋" w:cs="仿宋"/>
                <w:color w:val="auto"/>
                <w:szCs w:val="21"/>
                <w:highlight w:val="none"/>
              </w:rPr>
              <w:t>每项得1分，最多</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rPr>
              <w:t>；</w:t>
            </w:r>
          </w:p>
          <w:p>
            <w:pPr>
              <w:tabs>
                <w:tab w:val="left" w:pos="360"/>
              </w:tabs>
              <w:snapToGrid w:val="0"/>
              <w:spacing w:line="360" w:lineRule="auto"/>
              <w:rPr>
                <w:rFonts w:hint="eastAsia" w:ascii="仿宋" w:hAnsi="仿宋" w:eastAsia="仿宋" w:cs="仿宋"/>
                <w:color w:val="auto"/>
                <w:szCs w:val="21"/>
                <w:highlight w:val="none"/>
                <w:lang w:val="zh-TW"/>
              </w:rPr>
            </w:pPr>
            <w:r>
              <w:rPr>
                <w:rFonts w:hint="eastAsia" w:ascii="仿宋" w:hAnsi="仿宋" w:eastAsia="仿宋" w:cs="仿宋"/>
                <w:color w:val="auto"/>
                <w:szCs w:val="21"/>
                <w:highlight w:val="none"/>
              </w:rPr>
              <w:t>3、拟委派的技术负责人自2021年1月1日至投标截止时间止，完成过质量合格的建筑工程项目，获得过国家级工程奖项的，每项得2分； 获得过省级</w:t>
            </w:r>
            <w:r>
              <w:rPr>
                <w:rFonts w:hint="eastAsia" w:ascii="仿宋" w:hAnsi="仿宋" w:eastAsia="仿宋" w:cs="仿宋"/>
                <w:color w:val="auto"/>
                <w:szCs w:val="21"/>
                <w:highlight w:val="none"/>
                <w:lang w:val="zh-CN"/>
              </w:rPr>
              <w:t>工程</w:t>
            </w:r>
            <w:r>
              <w:rPr>
                <w:rFonts w:hint="eastAsia" w:ascii="仿宋" w:hAnsi="仿宋" w:eastAsia="仿宋" w:cs="仿宋"/>
                <w:color w:val="auto"/>
                <w:szCs w:val="21"/>
                <w:highlight w:val="none"/>
              </w:rPr>
              <w:t>奖项的，每项得1分；获得过市级</w:t>
            </w:r>
            <w:r>
              <w:rPr>
                <w:rFonts w:hint="eastAsia" w:ascii="仿宋" w:hAnsi="仿宋" w:eastAsia="仿宋" w:cs="仿宋"/>
                <w:color w:val="auto"/>
                <w:szCs w:val="21"/>
                <w:highlight w:val="none"/>
                <w:lang w:val="zh-CN"/>
              </w:rPr>
              <w:t>工程</w:t>
            </w:r>
            <w:r>
              <w:rPr>
                <w:rFonts w:hint="eastAsia" w:ascii="仿宋" w:hAnsi="仿宋" w:eastAsia="仿宋" w:cs="仿宋"/>
                <w:color w:val="auto"/>
                <w:szCs w:val="21"/>
                <w:highlight w:val="none"/>
              </w:rPr>
              <w:t>奖项的，每项得0.5分。最多得3分；获奖时间以获奖证书发证时间为准。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安全负责人</w:t>
            </w:r>
          </w:p>
        </w:tc>
        <w:tc>
          <w:tcPr>
            <w:tcW w:w="1044"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1、具有安全类相关专业高级（或以上）工程师职称，得1分；具有安全类相关专业中级工程师职称，得0.5分；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2、具有安全相关专业本科</w:t>
            </w:r>
            <w:r>
              <w:rPr>
                <w:rFonts w:hint="eastAsia" w:ascii="仿宋" w:hAnsi="仿宋" w:eastAsia="仿宋" w:cs="仿宋"/>
                <w:color w:val="auto"/>
                <w:szCs w:val="21"/>
                <w:highlight w:val="none"/>
                <w:lang w:val="en-US" w:eastAsia="zh-CN"/>
              </w:rPr>
              <w:t>或</w:t>
            </w:r>
            <w:r>
              <w:rPr>
                <w:rFonts w:hint="eastAsia" w:ascii="仿宋" w:hAnsi="仿宋" w:eastAsia="仿宋" w:cs="仿宋"/>
                <w:color w:val="auto"/>
                <w:szCs w:val="21"/>
                <w:highlight w:val="none"/>
              </w:rPr>
              <w:t>以上学历，得1分；具有安全相关专</w:t>
            </w:r>
            <w:r>
              <w:rPr>
                <w:rFonts w:hint="eastAsia" w:ascii="仿宋" w:hAnsi="仿宋" w:eastAsia="仿宋" w:cs="仿宋"/>
                <w:color w:val="auto"/>
                <w:szCs w:val="21"/>
                <w:highlight w:val="none"/>
                <w:lang w:val="en-US" w:eastAsia="zh-CN"/>
              </w:rPr>
              <w:t>业</w:t>
            </w:r>
            <w:r>
              <w:rPr>
                <w:rFonts w:hint="eastAsia" w:ascii="仿宋" w:hAnsi="仿宋" w:eastAsia="仿宋" w:cs="仿宋"/>
                <w:color w:val="auto"/>
                <w:szCs w:val="21"/>
                <w:highlight w:val="none"/>
              </w:rPr>
              <w:t>专科学历，得0.5分；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拟委派的</w:t>
            </w:r>
            <w:r>
              <w:rPr>
                <w:rFonts w:hint="eastAsia" w:ascii="仿宋" w:hAnsi="仿宋" w:eastAsia="仿宋" w:cs="仿宋"/>
                <w:color w:val="auto"/>
                <w:szCs w:val="21"/>
                <w:highlight w:val="none"/>
              </w:rPr>
              <w:t>安全</w:t>
            </w:r>
            <w:r>
              <w:rPr>
                <w:rFonts w:hint="eastAsia" w:ascii="仿宋" w:hAnsi="仿宋" w:eastAsia="仿宋" w:cs="仿宋"/>
                <w:color w:val="auto"/>
                <w:szCs w:val="21"/>
                <w:highlight w:val="none"/>
                <w:lang w:val="zh-CN"/>
              </w:rPr>
              <w:t>负责人自2</w:t>
            </w:r>
            <w:r>
              <w:rPr>
                <w:rFonts w:hint="eastAsia" w:ascii="仿宋" w:hAnsi="仿宋" w:eastAsia="仿宋" w:cs="仿宋"/>
                <w:color w:val="auto"/>
                <w:szCs w:val="21"/>
                <w:highlight w:val="none"/>
              </w:rPr>
              <w:t>021</w:t>
            </w:r>
            <w:r>
              <w:rPr>
                <w:rFonts w:hint="eastAsia" w:ascii="仿宋" w:hAnsi="仿宋" w:eastAsia="仿宋" w:cs="仿宋"/>
                <w:color w:val="auto"/>
                <w:szCs w:val="21"/>
                <w:highlight w:val="none"/>
                <w:lang w:val="zh-CN"/>
              </w:rPr>
              <w:t>年1月1日至投标截止时间止，完成过质量合格的</w:t>
            </w:r>
            <w:r>
              <w:rPr>
                <w:rFonts w:hint="eastAsia" w:ascii="仿宋" w:hAnsi="仿宋" w:eastAsia="仿宋" w:cs="仿宋"/>
                <w:color w:val="auto"/>
                <w:szCs w:val="21"/>
                <w:highlight w:val="none"/>
              </w:rPr>
              <w:t>建筑工程</w:t>
            </w:r>
            <w:r>
              <w:rPr>
                <w:rFonts w:hint="eastAsia" w:ascii="仿宋" w:hAnsi="仿宋" w:eastAsia="仿宋" w:cs="仿宋"/>
                <w:color w:val="auto"/>
                <w:szCs w:val="21"/>
                <w:highlight w:val="none"/>
                <w:lang w:val="zh-TW"/>
              </w:rPr>
              <w:t>类似</w:t>
            </w:r>
            <w:r>
              <w:rPr>
                <w:rFonts w:hint="eastAsia" w:ascii="仿宋" w:hAnsi="仿宋" w:eastAsia="仿宋" w:cs="仿宋"/>
                <w:color w:val="auto"/>
                <w:szCs w:val="21"/>
                <w:highlight w:val="none"/>
                <w:lang w:val="zh-CN"/>
              </w:rPr>
              <w:t>业绩，</w:t>
            </w:r>
            <w:r>
              <w:rPr>
                <w:rFonts w:hint="eastAsia" w:ascii="仿宋" w:hAnsi="仿宋" w:eastAsia="仿宋" w:cs="仿宋"/>
                <w:color w:val="auto"/>
                <w:szCs w:val="21"/>
                <w:highlight w:val="none"/>
              </w:rPr>
              <w:t>每项得1分，最多</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rPr>
              <w:t>；</w:t>
            </w:r>
          </w:p>
          <w:p>
            <w:pPr>
              <w:tabs>
                <w:tab w:val="left" w:pos="360"/>
              </w:tabs>
              <w:snapToGrid w:val="0"/>
              <w:spacing w:line="360" w:lineRule="auto"/>
              <w:rPr>
                <w:rFonts w:hint="eastAsia" w:ascii="仿宋" w:hAnsi="仿宋" w:eastAsia="仿宋" w:cs="仿宋"/>
                <w:color w:val="auto"/>
                <w:szCs w:val="21"/>
                <w:highlight w:val="none"/>
                <w:lang w:val="zh-TW"/>
              </w:rPr>
            </w:pPr>
            <w:r>
              <w:rPr>
                <w:rFonts w:hint="eastAsia" w:ascii="仿宋" w:hAnsi="仿宋" w:eastAsia="仿宋" w:cs="仿宋"/>
                <w:color w:val="auto"/>
                <w:szCs w:val="21"/>
                <w:highlight w:val="none"/>
              </w:rPr>
              <w:t>4、拟委派的安全负责人自2021年1月1日至投标截止时间止，完成过质量合格的建筑工程项目，获得过国家级工程奖项的，每项得2分；获得过省级</w:t>
            </w:r>
            <w:r>
              <w:rPr>
                <w:rFonts w:hint="eastAsia" w:ascii="仿宋" w:hAnsi="仿宋" w:eastAsia="仿宋" w:cs="仿宋"/>
                <w:color w:val="auto"/>
                <w:szCs w:val="21"/>
                <w:highlight w:val="none"/>
                <w:lang w:val="zh-CN"/>
              </w:rPr>
              <w:t>工程</w:t>
            </w:r>
            <w:r>
              <w:rPr>
                <w:rFonts w:hint="eastAsia" w:ascii="仿宋" w:hAnsi="仿宋" w:eastAsia="仿宋" w:cs="仿宋"/>
                <w:color w:val="auto"/>
                <w:szCs w:val="21"/>
                <w:highlight w:val="none"/>
              </w:rPr>
              <w:t>奖项的，每项得1分；获得过市级</w:t>
            </w:r>
            <w:r>
              <w:rPr>
                <w:rFonts w:hint="eastAsia" w:ascii="仿宋" w:hAnsi="仿宋" w:eastAsia="仿宋" w:cs="仿宋"/>
                <w:color w:val="auto"/>
                <w:szCs w:val="21"/>
                <w:highlight w:val="none"/>
                <w:lang w:val="zh-CN"/>
              </w:rPr>
              <w:t>工程</w:t>
            </w:r>
            <w:r>
              <w:rPr>
                <w:rFonts w:hint="eastAsia" w:ascii="仿宋" w:hAnsi="仿宋" w:eastAsia="仿宋" w:cs="仿宋"/>
                <w:color w:val="auto"/>
                <w:szCs w:val="21"/>
                <w:highlight w:val="none"/>
              </w:rPr>
              <w:t>奖项的，每项得0.5分。最多得3分；获奖时间以获奖证书发证时间为准。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质量负责人</w:t>
            </w:r>
          </w:p>
        </w:tc>
        <w:tc>
          <w:tcPr>
            <w:tcW w:w="1044"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1、具有建筑工程相关专业</w:t>
            </w:r>
            <w:r>
              <w:rPr>
                <w:rFonts w:hint="eastAsia" w:ascii="仿宋" w:hAnsi="仿宋" w:eastAsia="仿宋" w:cs="仿宋"/>
                <w:color w:val="auto"/>
                <w:szCs w:val="21"/>
                <w:highlight w:val="none"/>
                <w:lang w:val="en-US" w:eastAsia="zh-CN"/>
              </w:rPr>
              <w:t>高</w:t>
            </w:r>
            <w:r>
              <w:rPr>
                <w:rFonts w:hint="eastAsia" w:ascii="仿宋" w:hAnsi="仿宋" w:eastAsia="仿宋" w:cs="仿宋"/>
                <w:color w:val="auto"/>
                <w:szCs w:val="21"/>
                <w:highlight w:val="none"/>
              </w:rPr>
              <w:t>级(或以上)技术职称的，得1分；具有建筑工程相关专业中级技术职称的，得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2、拟派质量负责人工作年限超过10年（不含），得1分；5年（不含）-10年（含），得0.5分；1年（含）-5年（含），得0.25分，其余情况不得分；（以毕业证书发证日期为准）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3、拟委派的质量负责人自2021年1月1日至投标截止时间止，完成过质量合格的建筑工程类似业绩，每项得1分，最多得5分；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拟委派的质量负责人自2021年1月1日至投标截止时间止，完成过质量合格的建筑工程项目，获得过国家级工程奖项的，每项得2分；获得过省级工程奖项的，每项得1分；获得过市级工程奖项的，每项得0.5分。最多得3分；获奖时间以获奖证书发证时间为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造价负责人</w:t>
            </w:r>
          </w:p>
        </w:tc>
        <w:tc>
          <w:tcPr>
            <w:tcW w:w="1044" w:type="dxa"/>
            <w:noWrap w:val="0"/>
            <w:vAlign w:val="center"/>
          </w:tcPr>
          <w:p>
            <w:pPr>
              <w:tabs>
                <w:tab w:val="center" w:pos="275"/>
                <w:tab w:val="left" w:pos="426"/>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1、取得一级注册造价工程师执业资格证，得1分；取得二级注册造价工程师执业资格证，得0.5分；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2、具有工程造价专业高级（或以上）工程师职称，得1分；具有工程造价专业中级工程师职称，得0.5分；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3、拟委派的造价负责人自2021年1月1日至投标截止时间止，完成过质量合格的建筑工程类似业绩，每项得1分，最多得5分；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拟委派的造价负责人自2021年1月1日至投标截止时间止，完成过质量合格的建筑工程项目，获得过国家级工程奖项的，每项得2分；获得过省级工程奖项的，每项得1分；获得过市级工程奖项的，每项得0.5分。最多得3分；获奖时间以获奖证书发证时间为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其它人员</w:t>
            </w:r>
          </w:p>
        </w:tc>
        <w:tc>
          <w:tcPr>
            <w:tcW w:w="1044" w:type="dxa"/>
            <w:noWrap w:val="0"/>
            <w:vAlign w:val="center"/>
          </w:tcPr>
          <w:p>
            <w:pPr>
              <w:tabs>
                <w:tab w:val="center" w:pos="275"/>
                <w:tab w:val="left" w:pos="426"/>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除项目负责人、技术负责人、质量负责人、安全负责人、造价负责人外，拟投入本项目组织机构配置完善合理，其中：</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1、配置给水排水专业技术人员1名，其中，具有给水排水高级工程师或以上，得5分；具有给水排水中级工程师，得2.5分；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2、配置电气专业技术人员1名，其中，具有电气高级工程师或以上，得5分；具有电气中级工程师，得2.5分；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3、配置材料专业技术人员1名，其中，具有材料工程高级工程师或以上，得5分；具有材料工程中级工程师，得2.5分；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4、配置焊接专业技术人员1名，其中，具有焊接高级工程师或以上，得5分；具有焊接中级工程师，得2.5分；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5、配置安全专业技术人员1名，其中，具有安全工程高级工程师或以上，得5分；具有安全工程中级工程师，得2.5分；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6、配置工程测量专业技术人员1名，其中，具有工程测量高级工程师或以上，得5分；具有工程测量中级工程师，得2.5分；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注：以上人员不得兼任，须提供相关证书扫描件，不提供、提供不全或不符合要求不得分。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747" w:type="dxa"/>
            <w:vMerge w:val="restart"/>
            <w:noWrap w:val="0"/>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企业资信（30分）</w:t>
            </w: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工程业绩</w:t>
            </w:r>
          </w:p>
        </w:tc>
        <w:tc>
          <w:tcPr>
            <w:tcW w:w="1044" w:type="dxa"/>
            <w:noWrap w:val="0"/>
            <w:vAlign w:val="center"/>
          </w:tcPr>
          <w:p>
            <w:pPr>
              <w:tabs>
                <w:tab w:val="center" w:pos="275"/>
                <w:tab w:val="left" w:pos="426"/>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投标人自2021年1月1日</w:t>
            </w:r>
            <w:r>
              <w:rPr>
                <w:rFonts w:hint="eastAsia" w:ascii="仿宋" w:hAnsi="仿宋" w:eastAsia="仿宋" w:cs="仿宋"/>
                <w:color w:val="auto"/>
                <w:szCs w:val="21"/>
                <w:highlight w:val="none"/>
                <w:lang w:val="zh-TW"/>
              </w:rPr>
              <w:t>至投标截止时间独立</w:t>
            </w:r>
            <w:r>
              <w:rPr>
                <w:rFonts w:hint="eastAsia" w:ascii="仿宋" w:hAnsi="仿宋" w:eastAsia="仿宋" w:cs="仿宋"/>
                <w:color w:val="auto"/>
                <w:szCs w:val="21"/>
                <w:highlight w:val="none"/>
              </w:rPr>
              <w:t>完成过质量合格的建筑工程</w:t>
            </w:r>
            <w:r>
              <w:rPr>
                <w:rFonts w:hint="eastAsia" w:ascii="仿宋" w:hAnsi="仿宋" w:eastAsia="仿宋" w:cs="仿宋"/>
                <w:color w:val="auto"/>
                <w:szCs w:val="21"/>
                <w:highlight w:val="none"/>
                <w:lang w:val="zh-TW"/>
              </w:rPr>
              <w:t>施工总承包项目类似工程业绩</w:t>
            </w:r>
            <w:r>
              <w:rPr>
                <w:rFonts w:hint="eastAsia" w:ascii="仿宋" w:hAnsi="仿宋" w:eastAsia="仿宋" w:cs="仿宋"/>
                <w:color w:val="auto"/>
                <w:szCs w:val="21"/>
                <w:highlight w:val="none"/>
              </w:rPr>
              <w:t>，每一项得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分，本项最高得11分。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vMerge w:val="restart"/>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第三方评价</w:t>
            </w:r>
          </w:p>
        </w:tc>
        <w:tc>
          <w:tcPr>
            <w:tcW w:w="1044" w:type="dxa"/>
            <w:noWrap w:val="0"/>
            <w:vAlign w:val="center"/>
          </w:tcPr>
          <w:p>
            <w:pPr>
              <w:tabs>
                <w:tab w:val="center" w:pos="275"/>
                <w:tab w:val="left" w:pos="426"/>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同时具有在有效期内的质量管理体系认证、工程绿色施工企业评价体系认证、工程施工安全标准化体系认证、工程施工现场环境与卫生控制规范认证、工程质量评价体系认证证书等认证证书的得5分，每少一项扣1分，扣完为止。</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注:本项最高得5分，需提供“认证证书”扫描件及在全国认证认可信息公共服务平台(http://cx.cnca.cn/)查询结果的截图，证书状态必须为“有效”，不提供、提供不全或不符合要求不得分。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vMerge w:val="continue"/>
            <w:noWrap w:val="0"/>
            <w:vAlign w:val="center"/>
          </w:tcPr>
          <w:p>
            <w:pPr>
              <w:spacing w:line="360" w:lineRule="auto"/>
              <w:jc w:val="center"/>
              <w:rPr>
                <w:rFonts w:hint="eastAsia" w:ascii="仿宋" w:hAnsi="仿宋" w:eastAsia="仿宋" w:cs="仿宋"/>
                <w:color w:val="auto"/>
                <w:szCs w:val="21"/>
                <w:highlight w:val="none"/>
              </w:rPr>
            </w:pPr>
          </w:p>
        </w:tc>
        <w:tc>
          <w:tcPr>
            <w:tcW w:w="1044" w:type="dxa"/>
            <w:noWrap w:val="0"/>
            <w:vAlign w:val="center"/>
          </w:tcPr>
          <w:p>
            <w:pPr>
              <w:tabs>
                <w:tab w:val="center" w:pos="275"/>
                <w:tab w:val="left" w:pos="426"/>
              </w:tabs>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投标人获得国家税务部门评定的“纳税信用等级A级”证书（需含最新评审年度 2023年）的连续年份：</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rPr>
              <w:t>连续获得5个年度及以上的得1分；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连续获得3~4个年度的得0.5分；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连续获得1~2个年度的得0.25分；其余情况不得分。</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注:本项最高得1分，不符合上述条件或不提供证明材料的，不得分。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工程奖项</w:t>
            </w:r>
          </w:p>
        </w:tc>
        <w:tc>
          <w:tcPr>
            <w:tcW w:w="1044"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7</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1.投标人自2021年1月1日至投标截止时间，承建的建筑施工总承包工程：</w:t>
            </w:r>
          </w:p>
          <w:p>
            <w:pPr>
              <w:tabs>
                <w:tab w:val="left" w:pos="36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（1）获得过国家级工程质量奖的，每项得2分</w:t>
            </w:r>
            <w:r>
              <w:rPr>
                <w:rFonts w:hint="eastAsia" w:ascii="仿宋" w:hAnsi="仿宋" w:eastAsia="仿宋" w:cs="仿宋"/>
                <w:color w:val="auto"/>
                <w:szCs w:val="21"/>
                <w:highlight w:val="none"/>
              </w:rPr>
              <w:t>；</w:t>
            </w:r>
          </w:p>
          <w:p>
            <w:pPr>
              <w:tabs>
                <w:tab w:val="left" w:pos="360"/>
              </w:tabs>
              <w:snapToGrid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）获得过省级工程质量奖的，每项得</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rPr>
              <w:t>；</w:t>
            </w:r>
          </w:p>
          <w:p>
            <w:pPr>
              <w:tabs>
                <w:tab w:val="left" w:pos="360"/>
              </w:tabs>
              <w:snapToGrid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）获得过市级（含副省级）工程质量奖的，每项得0.5分。</w:t>
            </w:r>
          </w:p>
          <w:p>
            <w:pPr>
              <w:tabs>
                <w:tab w:val="left" w:pos="360"/>
              </w:tabs>
              <w:snapToGrid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w:t>
            </w:r>
            <w:r>
              <w:rPr>
                <w:rFonts w:hint="eastAsia" w:ascii="仿宋" w:hAnsi="仿宋" w:eastAsia="仿宋" w:cs="仿宋"/>
                <w:color w:val="auto"/>
                <w:szCs w:val="21"/>
                <w:highlight w:val="none"/>
                <w:lang w:val="zh-TW"/>
              </w:rPr>
              <w:t>本项最高得7分，须提供</w:t>
            </w:r>
            <w:r>
              <w:rPr>
                <w:rFonts w:hint="eastAsia" w:ascii="仿宋" w:hAnsi="仿宋" w:eastAsia="仿宋" w:cs="仿宋"/>
                <w:color w:val="auto"/>
                <w:szCs w:val="21"/>
                <w:highlight w:val="none"/>
                <w:lang w:val="zh-CN"/>
              </w:rPr>
              <w:t>相关证明文件</w:t>
            </w:r>
            <w:r>
              <w:rPr>
                <w:rFonts w:hint="eastAsia" w:ascii="仿宋" w:hAnsi="仿宋" w:eastAsia="仿宋" w:cs="仿宋"/>
                <w:color w:val="auto"/>
                <w:szCs w:val="21"/>
                <w:highlight w:val="none"/>
                <w:lang w:val="zh-TW"/>
              </w:rPr>
              <w:t>证扫描件，</w:t>
            </w:r>
            <w:r>
              <w:rPr>
                <w:rFonts w:hint="eastAsia" w:ascii="仿宋" w:hAnsi="仿宋" w:eastAsia="仿宋" w:cs="仿宋"/>
                <w:color w:val="auto"/>
                <w:szCs w:val="21"/>
                <w:highlight w:val="none"/>
              </w:rPr>
              <w:t>如同一项目获奖按最高奖项只计算一次，</w:t>
            </w:r>
            <w:r>
              <w:rPr>
                <w:rFonts w:hint="eastAsia" w:ascii="仿宋" w:hAnsi="仿宋" w:eastAsia="仿宋" w:cs="仿宋"/>
                <w:color w:val="auto"/>
                <w:szCs w:val="21"/>
                <w:highlight w:val="none"/>
                <w:lang w:val="zh-TW"/>
              </w:rPr>
              <w:t>不提供、提供不全或不符合要求不得分。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747" w:type="dxa"/>
            <w:vMerge w:val="continue"/>
            <w:noWrap w:val="0"/>
            <w:vAlign w:val="center"/>
          </w:tcPr>
          <w:p>
            <w:pPr>
              <w:spacing w:line="360" w:lineRule="auto"/>
              <w:rPr>
                <w:rFonts w:hint="eastAsia" w:ascii="仿宋" w:hAnsi="仿宋" w:eastAsia="仿宋" w:cs="仿宋"/>
                <w:color w:val="auto"/>
                <w:szCs w:val="21"/>
                <w:highlight w:val="none"/>
              </w:rPr>
            </w:pPr>
          </w:p>
        </w:tc>
        <w:tc>
          <w:tcPr>
            <w:tcW w:w="1115"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工程研发能力</w:t>
            </w:r>
          </w:p>
        </w:tc>
        <w:tc>
          <w:tcPr>
            <w:tcW w:w="1044"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042" w:type="dxa"/>
            <w:noWrap w:val="0"/>
            <w:vAlign w:val="center"/>
          </w:tcPr>
          <w:p>
            <w:pPr>
              <w:tabs>
                <w:tab w:val="left" w:pos="360"/>
              </w:tabs>
              <w:snapToGrid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投标人自20</w:t>
            </w: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zh-CN"/>
              </w:rPr>
              <w:t>年1月1日至投标截止时间止，获得过</w:t>
            </w:r>
            <w:r>
              <w:rPr>
                <w:rFonts w:hint="eastAsia" w:ascii="仿宋" w:hAnsi="仿宋" w:eastAsia="仿宋" w:cs="仿宋"/>
                <w:color w:val="auto"/>
                <w:szCs w:val="21"/>
                <w:highlight w:val="none"/>
              </w:rPr>
              <w:t>建筑工程</w:t>
            </w:r>
            <w:r>
              <w:rPr>
                <w:rFonts w:hint="eastAsia" w:ascii="仿宋" w:hAnsi="仿宋" w:eastAsia="仿宋" w:cs="仿宋"/>
                <w:color w:val="auto"/>
                <w:szCs w:val="21"/>
                <w:highlight w:val="none"/>
                <w:lang w:val="zh-TW"/>
              </w:rPr>
              <w:t>类</w:t>
            </w:r>
            <w:r>
              <w:rPr>
                <w:rFonts w:hint="eastAsia" w:ascii="仿宋" w:hAnsi="仿宋" w:eastAsia="仿宋" w:cs="仿宋"/>
                <w:color w:val="auto"/>
                <w:szCs w:val="21"/>
                <w:highlight w:val="none"/>
                <w:lang w:val="zh-CN"/>
              </w:rPr>
              <w:t>专利证书（包括但不限于</w:t>
            </w:r>
            <w:r>
              <w:rPr>
                <w:rFonts w:hint="eastAsia" w:ascii="仿宋" w:hAnsi="仿宋" w:eastAsia="仿宋" w:cs="仿宋"/>
                <w:color w:val="auto"/>
                <w:szCs w:val="21"/>
                <w:highlight w:val="none"/>
                <w:lang w:val="zh-TW"/>
              </w:rPr>
              <w:t>发明专利、</w:t>
            </w:r>
            <w:r>
              <w:rPr>
                <w:rFonts w:hint="eastAsia" w:ascii="仿宋" w:hAnsi="仿宋" w:eastAsia="仿宋" w:cs="仿宋"/>
                <w:color w:val="auto"/>
                <w:szCs w:val="21"/>
                <w:highlight w:val="none"/>
                <w:lang w:val="zh-CN"/>
              </w:rPr>
              <w:t>实用新型专利）</w:t>
            </w:r>
            <w:r>
              <w:rPr>
                <w:rFonts w:hint="eastAsia" w:ascii="仿宋" w:hAnsi="仿宋" w:eastAsia="仿宋" w:cs="仿宋"/>
                <w:color w:val="auto"/>
                <w:szCs w:val="21"/>
                <w:highlight w:val="none"/>
                <w:lang w:val="zh-TW"/>
              </w:rPr>
              <w:t>每个得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TW"/>
              </w:rPr>
              <w:t>分</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zh-TW"/>
              </w:rPr>
              <w:t>本项最高得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TW"/>
              </w:rPr>
              <w:t>分。</w:t>
            </w:r>
          </w:p>
          <w:p>
            <w:pPr>
              <w:tabs>
                <w:tab w:val="left" w:pos="360"/>
              </w:tabs>
              <w:snapToGrid w:val="0"/>
              <w:spacing w:line="360" w:lineRule="auto"/>
              <w:rPr>
                <w:rFonts w:hint="eastAsia" w:ascii="仿宋" w:hAnsi="仿宋" w:eastAsia="仿宋" w:cs="仿宋"/>
                <w:color w:val="auto"/>
                <w:szCs w:val="21"/>
                <w:highlight w:val="none"/>
                <w:lang w:val="zh-TW"/>
              </w:rPr>
            </w:pPr>
            <w:r>
              <w:rPr>
                <w:rFonts w:hint="eastAsia" w:ascii="仿宋" w:hAnsi="仿宋" w:eastAsia="仿宋" w:cs="仿宋"/>
                <w:color w:val="auto"/>
                <w:szCs w:val="21"/>
                <w:highlight w:val="none"/>
                <w:lang w:val="zh-TW"/>
              </w:rPr>
              <w:t>注：</w:t>
            </w:r>
            <w:r>
              <w:rPr>
                <w:rFonts w:hint="eastAsia" w:ascii="仿宋" w:hAnsi="仿宋" w:eastAsia="仿宋" w:cs="仿宋"/>
                <w:color w:val="auto"/>
                <w:szCs w:val="21"/>
                <w:highlight w:val="none"/>
                <w:lang w:val="zh-CN"/>
              </w:rPr>
              <w:t>提交专利证书原件彩色扫描件和中华人民共和国国家知识产权局网站（http://cpquery.cnipa.gov.cn，包括但不限于</w:t>
            </w:r>
            <w:r>
              <w:rPr>
                <w:rFonts w:hint="eastAsia" w:ascii="仿宋" w:hAnsi="仿宋" w:eastAsia="仿宋" w:cs="仿宋"/>
                <w:color w:val="auto"/>
                <w:szCs w:val="21"/>
                <w:highlight w:val="none"/>
                <w:lang w:val="zh-TW"/>
              </w:rPr>
              <w:t>发明专利、</w:t>
            </w:r>
            <w:r>
              <w:rPr>
                <w:rFonts w:hint="eastAsia" w:ascii="仿宋" w:hAnsi="仿宋" w:eastAsia="仿宋" w:cs="仿宋"/>
                <w:color w:val="auto"/>
                <w:szCs w:val="21"/>
                <w:highlight w:val="none"/>
                <w:lang w:val="zh-CN"/>
              </w:rPr>
              <w:t>实用新型专利的查询结果的网页截图（</w:t>
            </w:r>
            <w:r>
              <w:rPr>
                <w:rFonts w:hint="eastAsia" w:ascii="仿宋" w:hAnsi="仿宋" w:eastAsia="仿宋" w:cs="仿宋"/>
                <w:color w:val="auto"/>
                <w:szCs w:val="21"/>
                <w:highlight w:val="none"/>
              </w:rPr>
              <w:t>显示</w:t>
            </w:r>
            <w:r>
              <w:rPr>
                <w:rFonts w:hint="eastAsia" w:ascii="仿宋" w:hAnsi="仿宋" w:eastAsia="仿宋" w:cs="仿宋"/>
                <w:color w:val="auto"/>
                <w:szCs w:val="21"/>
                <w:highlight w:val="none"/>
                <w:lang w:val="zh-CN"/>
              </w:rPr>
              <w:t>法律状态：专利权有效）。</w:t>
            </w:r>
            <w:r>
              <w:rPr>
                <w:rFonts w:hint="eastAsia" w:ascii="仿宋" w:hAnsi="仿宋" w:eastAsia="仿宋" w:cs="仿宋"/>
                <w:color w:val="auto"/>
                <w:szCs w:val="21"/>
                <w:highlight w:val="none"/>
                <w:lang w:val="zh-TW"/>
              </w:rPr>
              <w:t>不提供、提供不全或不符合要求不得分。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862" w:type="dxa"/>
            <w:gridSpan w:val="2"/>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1044"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12042" w:type="dxa"/>
            <w:noWrap w:val="0"/>
            <w:vAlign w:val="center"/>
          </w:tcPr>
          <w:p>
            <w:pPr>
              <w:spacing w:line="360" w:lineRule="auto"/>
              <w:rPr>
                <w:rFonts w:hint="eastAsia" w:ascii="仿宋" w:hAnsi="仿宋" w:eastAsia="仿宋" w:cs="仿宋"/>
                <w:color w:val="auto"/>
                <w:szCs w:val="21"/>
                <w:highlight w:val="none"/>
              </w:rPr>
            </w:pPr>
          </w:p>
        </w:tc>
      </w:tr>
    </w:tbl>
    <w:p>
      <w:pPr>
        <w:rPr>
          <w:rFonts w:hint="eastAsia" w:ascii="仿宋" w:hAnsi="仿宋" w:eastAsia="仿宋" w:cs="仿宋"/>
          <w:color w:val="auto"/>
          <w:highlight w:val="none"/>
        </w:rPr>
      </w:pPr>
    </w:p>
    <w:p>
      <w:pPr>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a.适用于施工总承包项目：金额以中标通知书为准，中标通知书上没有金额或免招标的，以施工合同（不含补充合同）为准。</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b.技术指标（具体要求在资格预审公告中明确）需在</w:t>
      </w:r>
      <w:r>
        <w:rPr>
          <w:rFonts w:hint="eastAsia" w:ascii="仿宋" w:hAnsi="仿宋" w:eastAsia="仿宋" w:cs="仿宋"/>
          <w:bCs/>
          <w:color w:val="auto"/>
          <w:szCs w:val="21"/>
          <w:highlight w:val="none"/>
        </w:rPr>
        <w:t>广州市住建行业信用管理平台</w:t>
      </w:r>
      <w:r>
        <w:rPr>
          <w:rFonts w:hint="eastAsia" w:ascii="仿宋" w:hAnsi="仿宋" w:eastAsia="仿宋" w:cs="仿宋"/>
          <w:color w:val="auto"/>
          <w:szCs w:val="21"/>
          <w:highlight w:val="none"/>
        </w:rPr>
        <w:t>业绩上传件中反映。</w:t>
      </w:r>
    </w:p>
    <w:p>
      <w:pPr>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c.完成时间以竣工验收文件为准。验收文件至少具有建设单位、设计、施工和监理单位盖章（适用于施工总承包项目）。</w:t>
      </w:r>
    </w:p>
    <w:p>
      <w:pPr>
        <w:numPr>
          <w:ilvl w:val="0"/>
          <w:numId w:val="3"/>
        </w:numPr>
        <w:spacing w:line="360" w:lineRule="auto"/>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如评标办法对投标人拟投入的项目管理人员进行评审的，应当要求投标人提供拟委派的项目管理人员近一个月（</w:t>
      </w:r>
      <w:r>
        <w:rPr>
          <w:rFonts w:hint="eastAsia" w:ascii="仿宋" w:hAnsi="仿宋" w:eastAsia="仿宋" w:cs="仿宋"/>
          <w:color w:val="auto"/>
          <w:szCs w:val="21"/>
          <w:highlight w:val="none"/>
          <w:lang w:val="en-US" w:eastAsia="zh-CN"/>
        </w:rPr>
        <w:t>2024年11月</w:t>
      </w:r>
      <w:r>
        <w:rPr>
          <w:rFonts w:hint="eastAsia" w:ascii="仿宋" w:hAnsi="仿宋" w:eastAsia="仿宋" w:cs="仿宋"/>
          <w:color w:val="auto"/>
          <w:szCs w:val="21"/>
          <w:highlight w:val="none"/>
        </w:rPr>
        <w:t>）在投标单位缴纳社保的记录。</w:t>
      </w:r>
    </w:p>
    <w:p>
      <w:pPr>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highlight w:val="none"/>
          <w:lang w:val="en-US" w:eastAsia="zh-CN"/>
        </w:rPr>
        <w:t>5、</w:t>
      </w:r>
      <w:r>
        <w:rPr>
          <w:rFonts w:hint="eastAsia" w:ascii="仿宋" w:hAnsi="仿宋" w:eastAsia="仿宋" w:cs="仿宋"/>
          <w:b/>
          <w:bCs/>
          <w:color w:val="auto"/>
          <w:szCs w:val="21"/>
          <w:highlight w:val="none"/>
        </w:rPr>
        <w:t>第三方评价：</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企业管理体系需提供官方认可的第三方机构出具的有效的“认证证书”扫描件及在全国认证认可信息公共服务平台（http://cx.cnca.cn/）查询到企业已认证的相关信息结果截图。第三方评价只计算投标人自身，即如投标人为集团公司，则不计算集团下属分公司所获称号，只计算指集团本部所获称号，同样如投标人为下属公司或分子机构等的，也不计算集团公司所获称号；不符合上述条件或未提供上述资料的不得分。</w:t>
      </w:r>
    </w:p>
    <w:p>
      <w:pPr>
        <w:pStyle w:val="10"/>
        <w:ind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②</w:t>
      </w:r>
      <w:r>
        <w:rPr>
          <w:rFonts w:hint="eastAsia" w:ascii="仿宋" w:hAnsi="仿宋" w:eastAsia="仿宋" w:cs="仿宋"/>
          <w:bCs/>
          <w:color w:val="auto"/>
          <w:szCs w:val="21"/>
          <w:highlight w:val="none"/>
        </w:rPr>
        <w:t>“纳税信用A级纳税人”只计算投标人自身（不计算投标人的分公司、子公司和分支机构），须提供</w:t>
      </w:r>
      <w:r>
        <w:rPr>
          <w:rFonts w:hint="eastAsia" w:ascii="仿宋" w:hAnsi="仿宋" w:eastAsia="仿宋" w:cs="仿宋"/>
          <w:bCs/>
          <w:color w:val="auto"/>
          <w:szCs w:val="21"/>
          <w:highlight w:val="none"/>
          <w:lang w:val="en-US" w:eastAsia="zh-CN"/>
        </w:rPr>
        <w:t>国家税务机关</w:t>
      </w:r>
      <w:r>
        <w:rPr>
          <w:rFonts w:hint="eastAsia" w:ascii="仿宋" w:hAnsi="仿宋" w:eastAsia="仿宋" w:cs="仿宋"/>
          <w:bCs/>
          <w:color w:val="auto"/>
          <w:szCs w:val="21"/>
          <w:highlight w:val="none"/>
        </w:rPr>
        <w:t>官网查询结果网页信息页及税务机关颁发的证书扫描件（不符合条件或无提交查询结果网页信息页的或无提供证书扫描件的不计分）。</w:t>
      </w:r>
    </w:p>
    <w:p>
      <w:pPr>
        <w:ind w:firstLine="36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lang w:val="en-US" w:eastAsia="zh-CN"/>
        </w:rPr>
        <w:t>6、</w:t>
      </w:r>
      <w:r>
        <w:rPr>
          <w:rFonts w:hint="eastAsia" w:ascii="仿宋" w:hAnsi="仿宋" w:eastAsia="仿宋" w:cs="仿宋"/>
          <w:b/>
          <w:bCs/>
          <w:color w:val="auto"/>
          <w:szCs w:val="21"/>
          <w:highlight w:val="none"/>
        </w:rPr>
        <w:t>工程获奖：</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获奖国家级奖项包括但不限于：中国建设工程鲁班奖、国家优质工程（金质奖）、国家优质工程（银质奖）、国家优质工程奖、中国土木工程詹天佑奖；省级奖项包括但不限于工程质量类获奖、建筑类工程奖；市级奖项包括但不限于工程质量类获奖、建筑类工程奖。其他非房建工程项目奖项不参与计分，奖项只计算承建单位，不含参建单位。同一项目按最高级别奖项只计一次得分。</w:t>
      </w:r>
    </w:p>
    <w:p>
      <w:pPr>
        <w:ind w:firstLine="360"/>
        <w:rPr>
          <w:rFonts w:hint="eastAsia" w:ascii="仿宋" w:hAnsi="仿宋" w:eastAsia="仿宋" w:cs="仿宋"/>
          <w:b/>
          <w:color w:val="auto"/>
          <w:szCs w:val="21"/>
          <w:highlight w:val="none"/>
        </w:rPr>
      </w:pPr>
      <w:r>
        <w:rPr>
          <w:rFonts w:hint="eastAsia" w:ascii="仿宋" w:hAnsi="仿宋" w:eastAsia="仿宋" w:cs="仿宋"/>
          <w:color w:val="auto"/>
          <w:highlight w:val="none"/>
          <w:lang w:val="en-US" w:eastAsia="zh-CN"/>
        </w:rPr>
        <w:t>7、</w:t>
      </w:r>
      <w:r>
        <w:rPr>
          <w:rFonts w:hint="eastAsia" w:ascii="仿宋" w:hAnsi="仿宋" w:eastAsia="仿宋" w:cs="仿宋"/>
          <w:b/>
          <w:color w:val="auto"/>
          <w:szCs w:val="21"/>
          <w:highlight w:val="none"/>
        </w:rPr>
        <w:t>项目管理机构</w:t>
      </w:r>
    </w:p>
    <w:p>
      <w:pPr>
        <w:ind w:firstLine="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w:t>
      </w:r>
      <w:r>
        <w:rPr>
          <w:rFonts w:hint="eastAsia" w:ascii="仿宋" w:hAnsi="仿宋" w:eastAsia="仿宋" w:cs="仿宋"/>
          <w:bCs/>
          <w:color w:val="auto"/>
          <w:szCs w:val="21"/>
          <w:highlight w:val="none"/>
        </w:rPr>
        <w:t>拟投入人员需同时提供相关任职资格（职称证或注册资格证或培训证或岗位证）证明材料扫描件及在投标单位（不含投标人子公司，含分公司）2024年</w:t>
      </w: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rPr>
        <w:t>月的社保证明</w:t>
      </w:r>
      <w:r>
        <w:rPr>
          <w:rFonts w:hint="eastAsia" w:ascii="仿宋" w:hAnsi="仿宋" w:eastAsia="仿宋" w:cs="仿宋"/>
          <w:color w:val="auto"/>
          <w:szCs w:val="21"/>
          <w:highlight w:val="none"/>
          <w:lang w:val="zh-TW"/>
        </w:rPr>
        <w:t>（若退休人员</w:t>
      </w:r>
      <w:r>
        <w:rPr>
          <w:rFonts w:hint="eastAsia" w:ascii="仿宋" w:hAnsi="仿宋" w:eastAsia="仿宋" w:cs="仿宋"/>
          <w:color w:val="auto"/>
          <w:szCs w:val="21"/>
          <w:highlight w:val="none"/>
        </w:rPr>
        <w:t>无</w:t>
      </w:r>
      <w:r>
        <w:rPr>
          <w:rFonts w:hint="eastAsia" w:ascii="仿宋" w:hAnsi="仿宋" w:eastAsia="仿宋" w:cs="仿宋"/>
          <w:color w:val="auto"/>
          <w:szCs w:val="21"/>
          <w:highlight w:val="none"/>
          <w:lang w:val="zh-TW"/>
        </w:rPr>
        <w:t>法提供社保</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val="zh-TW"/>
        </w:rPr>
        <w:t>则提供退休证明）</w:t>
      </w:r>
      <w:r>
        <w:rPr>
          <w:rFonts w:hint="eastAsia" w:ascii="仿宋" w:hAnsi="仿宋" w:eastAsia="仿宋" w:cs="仿宋"/>
          <w:bCs/>
          <w:color w:val="auto"/>
          <w:szCs w:val="21"/>
          <w:highlight w:val="none"/>
        </w:rPr>
        <w:t>，人员岗位不能相互兼任。</w:t>
      </w:r>
    </w:p>
    <w:p>
      <w:pPr>
        <w:ind w:firstLine="36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pPr>
        <w:snapToGrid w:val="0"/>
        <w:ind w:firstLine="211" w:firstLineChars="1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5.</w:t>
      </w:r>
      <w:r>
        <w:rPr>
          <w:rFonts w:hint="eastAsia" w:ascii="仿宋" w:hAnsi="仿宋" w:eastAsia="仿宋" w:cs="仿宋"/>
          <w:color w:val="auto"/>
          <w:szCs w:val="21"/>
          <w:highlight w:val="none"/>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p>
    <w:p>
      <w:pPr>
        <w:pStyle w:val="2"/>
        <w:ind w:firstLine="420" w:firstLineChars="200"/>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24"/>
          <w:szCs w:val="24"/>
          <w:highlight w:val="none"/>
          <w:lang w:val="en-US" w:eastAsia="zh-CN"/>
        </w:rPr>
      </w:pPr>
      <w:r>
        <w:rPr>
          <w:rFonts w:hint="eastAsia" w:ascii="仿宋" w:hAnsi="仿宋" w:eastAsia="仿宋" w:cs="仿宋"/>
          <w:b/>
          <w:strike/>
          <w:color w:val="auto"/>
          <w:sz w:val="36"/>
          <w:szCs w:val="36"/>
          <w:highlight w:val="none"/>
        </w:rPr>
        <w:br w:type="page"/>
      </w:r>
      <w:r>
        <w:rPr>
          <w:rFonts w:hint="eastAsia" w:ascii="仿宋" w:hAnsi="仿宋" w:eastAsia="仿宋" w:cs="仿宋"/>
          <w:color w:val="auto"/>
          <w:szCs w:val="21"/>
          <w:highlight w:val="none"/>
        </w:rPr>
        <w:t>附表五</w:t>
      </w:r>
      <w:r>
        <w:rPr>
          <w:rFonts w:hint="eastAsia" w:ascii="仿宋" w:hAnsi="仿宋" w:eastAsia="仿宋" w:cs="仿宋"/>
          <w:strike/>
          <w:dstrike w:val="0"/>
          <w:color w:val="auto"/>
          <w:szCs w:val="21"/>
          <w:highlight w:val="none"/>
        </w:rPr>
        <w:t>（适用于区间抽取法）</w:t>
      </w:r>
      <w:r>
        <w:rPr>
          <w:rFonts w:hint="eastAsia" w:ascii="仿宋" w:hAnsi="仿宋" w:eastAsia="仿宋" w:cs="仿宋"/>
          <w:strike/>
          <w:dstrike w:val="0"/>
          <w:color w:val="auto"/>
          <w:szCs w:val="21"/>
          <w:highlight w:val="none"/>
          <w:lang w:val="en-US" w:eastAsia="zh-CN"/>
        </w:rPr>
        <w:t xml:space="preserve"> </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经济标评分表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485"/>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投标报价PT（元）</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trike w:val="0"/>
                <w:color w:val="auto"/>
                <w:szCs w:val="21"/>
                <w:highlight w:val="none"/>
              </w:rPr>
            </w:pPr>
            <w:r>
              <w:rPr>
                <w:rFonts w:hint="eastAsia" w:ascii="仿宋" w:hAnsi="仿宋" w:eastAsia="仿宋" w:cs="仿宋"/>
                <w:strike w:val="0"/>
                <w:color w:val="auto"/>
                <w:szCs w:val="21"/>
                <w:highlight w:val="none"/>
              </w:rPr>
              <w:t>计算评标参考价的等分点值X</w:t>
            </w:r>
          </w:p>
        </w:tc>
        <w:tc>
          <w:tcPr>
            <w:tcW w:w="11796"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评标参考价PC（元）</w:t>
            </w:r>
          </w:p>
        </w:tc>
        <w:tc>
          <w:tcPr>
            <w:tcW w:w="11796"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偏差（（PT-PC）/PC）（%）</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减分（A）</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val="en-US" w:eastAsia="zh-CN"/>
              </w:rPr>
              <w:t>评审</w:t>
            </w:r>
            <w:r>
              <w:rPr>
                <w:rFonts w:hint="eastAsia" w:ascii="仿宋" w:hAnsi="仿宋" w:eastAsia="仿宋" w:cs="仿宋"/>
                <w:color w:val="auto"/>
                <w:szCs w:val="21"/>
                <w:highlight w:val="none"/>
                <w:u w:val="single"/>
              </w:rPr>
              <w:t>得分（</w:t>
            </w:r>
            <w:r>
              <w:rPr>
                <w:rFonts w:hint="eastAsia" w:ascii="仿宋" w:hAnsi="仿宋" w:eastAsia="仿宋" w:cs="仿宋"/>
                <w:color w:val="auto"/>
                <w:szCs w:val="21"/>
                <w:highlight w:val="none"/>
                <w:u w:val="single"/>
                <w:lang w:val="en-US" w:eastAsia="zh-CN"/>
              </w:rPr>
              <w:t>PF</w:t>
            </w:r>
            <w:r>
              <w:rPr>
                <w:rFonts w:hint="eastAsia" w:ascii="仿宋" w:hAnsi="仿宋" w:eastAsia="仿宋" w:cs="仿宋"/>
                <w:color w:val="auto"/>
                <w:szCs w:val="21"/>
                <w:highlight w:val="none"/>
                <w:u w:val="single"/>
              </w:rPr>
              <w:t>=100-A)</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经济标评审优惠政策</w:t>
            </w:r>
            <w:r>
              <w:rPr>
                <w:rFonts w:hint="eastAsia" w:ascii="仿宋" w:hAnsi="仿宋" w:eastAsia="仿宋" w:cs="仿宋"/>
                <w:color w:val="auto"/>
                <w:szCs w:val="21"/>
                <w:highlight w:val="none"/>
                <w:u w:val="single"/>
                <w:lang w:val="en-US" w:eastAsia="zh-CN"/>
              </w:rPr>
              <w:t>加分（JF）</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经济分</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I=PF+JF</w:t>
            </w:r>
            <w:r>
              <w:rPr>
                <w:rFonts w:hint="eastAsia" w:ascii="仿宋" w:hAnsi="仿宋" w:eastAsia="仿宋" w:cs="仿宋"/>
                <w:color w:val="auto"/>
                <w:szCs w:val="21"/>
                <w:highlight w:val="none"/>
                <w:u w:val="single"/>
                <w:lang w:eastAsia="zh-CN"/>
              </w:rPr>
              <w:t>）</w:t>
            </w: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评委签名：</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附表六</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算术复核表</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工程名称：                                           投标人：                                                  单位：元</w:t>
      </w:r>
    </w:p>
    <w:tbl>
      <w:tblPr>
        <w:tblStyle w:val="3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修正前投标</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修正后投标</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修正率</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∑A=A</w:t>
            </w:r>
            <w:r>
              <w:rPr>
                <w:rFonts w:hint="eastAsia" w:ascii="仿宋" w:hAnsi="仿宋" w:eastAsia="仿宋" w:cs="仿宋"/>
                <w:color w:val="auto"/>
                <w:kern w:val="0"/>
                <w:szCs w:val="21"/>
                <w:highlight w:val="none"/>
                <w:vertAlign w:val="subscript"/>
              </w:rPr>
              <w:t>1</w:t>
            </w:r>
            <w:r>
              <w:rPr>
                <w:rFonts w:hint="eastAsia" w:ascii="仿宋" w:hAnsi="仿宋" w:eastAsia="仿宋" w:cs="仿宋"/>
                <w:color w:val="auto"/>
                <w:kern w:val="0"/>
                <w:szCs w:val="21"/>
                <w:highlight w:val="none"/>
              </w:rPr>
              <w:t>+A</w:t>
            </w:r>
            <w:r>
              <w:rPr>
                <w:rFonts w:hint="eastAsia" w:ascii="仿宋" w:hAnsi="仿宋" w:eastAsia="仿宋" w:cs="仿宋"/>
                <w:color w:val="auto"/>
                <w:kern w:val="0"/>
                <w:szCs w:val="21"/>
                <w:highlight w:val="none"/>
                <w:vertAlign w:val="subscript"/>
              </w:rPr>
              <w:t>2</w:t>
            </w:r>
            <w:r>
              <w:rPr>
                <w:rFonts w:hint="eastAsia" w:ascii="仿宋" w:hAnsi="仿宋" w:eastAsia="仿宋" w:cs="仿宋"/>
                <w:color w:val="auto"/>
                <w:kern w:val="0"/>
                <w:szCs w:val="21"/>
                <w:highlight w:val="none"/>
              </w:rPr>
              <w:t>+…An；∑B=B</w:t>
            </w:r>
            <w:r>
              <w:rPr>
                <w:rFonts w:hint="eastAsia" w:ascii="仿宋" w:hAnsi="仿宋" w:eastAsia="仿宋" w:cs="仿宋"/>
                <w:color w:val="auto"/>
                <w:kern w:val="0"/>
                <w:szCs w:val="21"/>
                <w:highlight w:val="none"/>
                <w:vertAlign w:val="subscript"/>
              </w:rPr>
              <w:t>1</w:t>
            </w:r>
            <w:r>
              <w:rPr>
                <w:rFonts w:hint="eastAsia" w:ascii="仿宋" w:hAnsi="仿宋" w:eastAsia="仿宋" w:cs="仿宋"/>
                <w:color w:val="auto"/>
                <w:kern w:val="0"/>
                <w:szCs w:val="21"/>
                <w:highlight w:val="none"/>
              </w:rPr>
              <w:t>+B</w:t>
            </w:r>
            <w:r>
              <w:rPr>
                <w:rFonts w:hint="eastAsia" w:ascii="仿宋" w:hAnsi="仿宋" w:eastAsia="仿宋" w:cs="仿宋"/>
                <w:color w:val="auto"/>
                <w:kern w:val="0"/>
                <w:szCs w:val="21"/>
                <w:highlight w:val="none"/>
                <w:vertAlign w:val="subscript"/>
              </w:rPr>
              <w:t>2</w:t>
            </w:r>
            <w:r>
              <w:rPr>
                <w:rFonts w:hint="eastAsia" w:ascii="仿宋" w:hAnsi="仿宋" w:eastAsia="仿宋" w:cs="仿宋"/>
                <w:color w:val="auto"/>
                <w:kern w:val="0"/>
                <w:szCs w:val="21"/>
                <w:highlight w:val="none"/>
              </w:rPr>
              <w:t>+…Bn</w:t>
            </w:r>
          </w:p>
        </w:tc>
      </w:tr>
    </w:tbl>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修正原则：</w:t>
      </w:r>
      <w:r>
        <w:rPr>
          <w:rFonts w:hint="eastAsia" w:ascii="仿宋" w:hAnsi="仿宋" w:eastAsia="仿宋" w:cs="仿宋"/>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仿宋" w:hAnsi="仿宋" w:eastAsia="仿宋" w:cs="仿宋"/>
          <w:color w:val="auto"/>
          <w:kern w:val="0"/>
          <w:szCs w:val="21"/>
          <w:highlight w:val="none"/>
        </w:rPr>
        <w:tab/>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评委签名：</w:t>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日期：</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算术复核表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36"/>
                <w:szCs w:val="36"/>
                <w:highlight w:val="none"/>
              </w:rPr>
            </w:pPr>
          </w:p>
        </w:tc>
      </w:tr>
    </w:tbl>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评委签名：</w:t>
      </w:r>
    </w:p>
    <w:p>
      <w:pPr>
        <w:spacing w:line="360" w:lineRule="auto"/>
        <w:jc w:val="center"/>
        <w:rPr>
          <w:rFonts w:hint="eastAsia" w:ascii="仿宋" w:hAnsi="仿宋" w:eastAsia="仿宋" w:cs="仿宋"/>
          <w:color w:val="auto"/>
          <w:szCs w:val="21"/>
          <w:highlight w:val="none"/>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7" w:right="1134" w:bottom="1417" w:left="1247" w:header="851" w:footer="907" w:gutter="0"/>
          <w:cols w:space="0" w:num="1"/>
          <w:titlePg/>
          <w:rtlGutter w:val="0"/>
          <w:docGrid w:type="lines" w:linePitch="312" w:charSpace="0"/>
        </w:sectPr>
      </w:pPr>
    </w:p>
    <w:p>
      <w:pPr>
        <w:pStyle w:val="3"/>
        <w:rPr>
          <w:rFonts w:hint="eastAsia" w:ascii="仿宋" w:hAnsi="仿宋" w:eastAsia="仿宋" w:cs="仿宋"/>
          <w:color w:val="auto"/>
          <w:highlight w:val="none"/>
        </w:rPr>
      </w:pPr>
      <w:bookmarkStart w:id="53" w:name="_Toc2272566"/>
      <w:bookmarkStart w:id="54" w:name="_Toc6095"/>
      <w:bookmarkStart w:id="55" w:name="_Toc15287"/>
      <w:bookmarkStart w:id="56" w:name="_Toc21525511"/>
      <w:r>
        <w:rPr>
          <w:rFonts w:hint="eastAsia" w:ascii="仿宋" w:hAnsi="仿宋" w:eastAsia="仿宋" w:cs="仿宋"/>
          <w:color w:val="auto"/>
          <w:highlight w:val="none"/>
        </w:rPr>
        <w:t>第三章  合同条款</w:t>
      </w:r>
      <w:bookmarkEnd w:id="53"/>
      <w:bookmarkEnd w:id="54"/>
      <w:bookmarkEnd w:id="55"/>
      <w:bookmarkEnd w:id="56"/>
    </w:p>
    <w:p>
      <w:pPr>
        <w:ind w:firstLine="450"/>
        <w:jc w:val="center"/>
        <w:rPr>
          <w:rFonts w:hint="eastAsia" w:ascii="仿宋" w:hAnsi="仿宋" w:eastAsia="仿宋" w:cs="仿宋"/>
          <w:color w:val="auto"/>
          <w:sz w:val="32"/>
          <w:szCs w:val="18"/>
          <w:highlight w:val="none"/>
        </w:rPr>
      </w:pPr>
      <w:r>
        <w:rPr>
          <w:rFonts w:hint="eastAsia" w:ascii="仿宋" w:hAnsi="仿宋" w:eastAsia="仿宋" w:cs="仿宋"/>
          <w:color w:val="auto"/>
          <w:sz w:val="32"/>
          <w:szCs w:val="18"/>
          <w:highlight w:val="none"/>
        </w:rPr>
        <w:t>（另册）</w:t>
      </w:r>
    </w:p>
    <w:p>
      <w:pPr>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pStyle w:val="5"/>
        <w:spacing w:line="360" w:lineRule="auto"/>
        <w:rPr>
          <w:rFonts w:hint="eastAsia" w:ascii="仿宋" w:hAnsi="仿宋" w:eastAsia="仿宋" w:cs="仿宋"/>
          <w:color w:val="auto"/>
          <w:sz w:val="24"/>
          <w:szCs w:val="24"/>
          <w:highlight w:val="none"/>
        </w:rPr>
      </w:pPr>
    </w:p>
    <w:p>
      <w:pPr>
        <w:rPr>
          <w:rFonts w:hint="eastAsia" w:ascii="仿宋" w:hAnsi="仿宋" w:eastAsia="仿宋" w:cs="仿宋"/>
          <w:color w:val="auto"/>
          <w:highlight w:val="none"/>
        </w:rPr>
      </w:pPr>
      <w:bookmarkStart w:id="57" w:name="_Toc2272567"/>
      <w:bookmarkStart w:id="58" w:name="_Toc15615"/>
      <w:bookmarkStart w:id="59" w:name="_Toc21525512"/>
      <w:bookmarkStart w:id="60" w:name="_Toc1659"/>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第四章  投标文件格式</w:t>
      </w:r>
      <w:bookmarkEnd w:id="57"/>
      <w:bookmarkEnd w:id="58"/>
      <w:bookmarkEnd w:id="59"/>
      <w:bookmarkEnd w:id="60"/>
    </w:p>
    <w:p>
      <w:pPr>
        <w:autoSpaceDE w:val="0"/>
        <w:autoSpaceDN w:val="0"/>
        <w:adjustRightInd w:val="0"/>
        <w:jc w:val="center"/>
        <w:outlineLvl w:val="1"/>
        <w:rPr>
          <w:rFonts w:hint="eastAsia" w:ascii="仿宋" w:hAnsi="仿宋" w:eastAsia="仿宋" w:cs="仿宋"/>
          <w:b/>
          <w:bCs/>
          <w:color w:val="auto"/>
          <w:sz w:val="24"/>
          <w:szCs w:val="24"/>
          <w:highlight w:val="none"/>
          <w:lang w:val="en-US" w:eastAsia="zh-CN"/>
        </w:rPr>
      </w:pPr>
      <w:bookmarkStart w:id="61" w:name="_Toc15435"/>
      <w:bookmarkStart w:id="62" w:name="_Toc17381"/>
      <w:r>
        <w:rPr>
          <w:rFonts w:hint="eastAsia" w:ascii="仿宋" w:hAnsi="仿宋" w:eastAsia="仿宋" w:cs="仿宋"/>
          <w:b/>
          <w:bCs/>
          <w:color w:val="auto"/>
          <w:sz w:val="24"/>
          <w:szCs w:val="24"/>
          <w:highlight w:val="none"/>
          <w:lang w:val="en-US" w:eastAsia="zh-CN"/>
        </w:rPr>
        <w:t>一、投标文件技术标部分格式</w:t>
      </w:r>
      <w:bookmarkEnd w:id="61"/>
      <w:bookmarkEnd w:id="62"/>
    </w:p>
    <w:p>
      <w:pPr>
        <w:pStyle w:val="8"/>
        <w:rPr>
          <w:rFonts w:hint="eastAsia" w:ascii="仿宋" w:hAnsi="仿宋" w:eastAsia="仿宋" w:cs="仿宋"/>
          <w:color w:val="auto"/>
          <w:highlight w:val="none"/>
        </w:rPr>
      </w:pPr>
      <w:bookmarkStart w:id="63" w:name="_Toc31519"/>
      <w:bookmarkStart w:id="64" w:name="_Toc8759"/>
      <w:bookmarkStart w:id="65" w:name="_Toc60070621"/>
      <w:bookmarkStart w:id="66" w:name="_Toc14667"/>
      <w:bookmarkStart w:id="67" w:name="_Toc26204"/>
      <w:bookmarkStart w:id="68" w:name="_Toc4482"/>
      <w:bookmarkStart w:id="69" w:name="_Toc14077"/>
      <w:bookmarkStart w:id="70" w:name="_Toc100130491"/>
      <w:r>
        <w:rPr>
          <w:rFonts w:hint="eastAsia" w:ascii="仿宋" w:hAnsi="仿宋" w:eastAsia="仿宋" w:cs="仿宋"/>
          <w:color w:val="auto"/>
          <w:highlight w:val="none"/>
        </w:rPr>
        <w:t>格式一：</w:t>
      </w:r>
      <w:bookmarkEnd w:id="63"/>
      <w:bookmarkEnd w:id="64"/>
      <w:bookmarkEnd w:id="65"/>
      <w:bookmarkEnd w:id="66"/>
      <w:bookmarkEnd w:id="67"/>
      <w:bookmarkEnd w:id="68"/>
      <w:bookmarkEnd w:id="69"/>
      <w:bookmarkEnd w:id="70"/>
    </w:p>
    <w:p>
      <w:pPr>
        <w:jc w:val="center"/>
        <w:rPr>
          <w:rFonts w:hint="eastAsia" w:ascii="仿宋" w:hAnsi="仿宋" w:eastAsia="仿宋" w:cs="仿宋"/>
          <w:b/>
          <w:color w:val="auto"/>
          <w:sz w:val="36"/>
          <w:szCs w:val="36"/>
          <w:highlight w:val="none"/>
        </w:rPr>
      </w:pPr>
      <w:bookmarkStart w:id="71" w:name="_Toc58838587"/>
      <w:r>
        <w:rPr>
          <w:rFonts w:hint="eastAsia" w:ascii="仿宋" w:hAnsi="仿宋" w:eastAsia="仿宋" w:cs="仿宋"/>
          <w:b/>
          <w:color w:val="auto"/>
          <w:sz w:val="36"/>
          <w:szCs w:val="36"/>
          <w:highlight w:val="none"/>
        </w:rPr>
        <w:t>广州建设工程施工招标投标书（技术标）</w:t>
      </w:r>
      <w:bookmarkEnd w:id="71"/>
    </w:p>
    <w:tbl>
      <w:tblPr>
        <w:tblStyle w:val="33"/>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3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3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color w:val="auto"/>
                <w:sz w:val="24"/>
                <w:szCs w:val="24"/>
                <w:highlight w:val="none"/>
                <w:lang w:val="zh-CN"/>
              </w:rPr>
            </w:pPr>
          </w:p>
        </w:tc>
      </w:tr>
    </w:tbl>
    <w:p>
      <w:pPr>
        <w:tabs>
          <w:tab w:val="left" w:pos="72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p>
    <w:p>
      <w:pPr>
        <w:pStyle w:val="8"/>
        <w:rPr>
          <w:rFonts w:hint="eastAsia" w:ascii="仿宋" w:hAnsi="仿宋" w:eastAsia="仿宋" w:cs="仿宋"/>
          <w:color w:val="auto"/>
          <w:highlight w:val="none"/>
        </w:rPr>
      </w:pPr>
      <w:bookmarkStart w:id="72" w:name="_Toc100130492"/>
      <w:bookmarkStart w:id="73" w:name="_Toc28846"/>
      <w:bookmarkStart w:id="74" w:name="_Toc58838603"/>
      <w:bookmarkStart w:id="75" w:name="_Toc9557"/>
      <w:bookmarkStart w:id="76" w:name="_Toc60070631"/>
      <w:bookmarkStart w:id="77" w:name="_Toc29195"/>
      <w:bookmarkStart w:id="78" w:name="_Toc15617"/>
      <w:bookmarkStart w:id="79" w:name="_Toc1024"/>
      <w:bookmarkStart w:id="80" w:name="_Toc13426"/>
      <w:r>
        <w:rPr>
          <w:rFonts w:hint="eastAsia" w:ascii="仿宋" w:hAnsi="仿宋" w:eastAsia="仿宋" w:cs="仿宋"/>
          <w:color w:val="auto"/>
          <w:highlight w:val="none"/>
        </w:rPr>
        <w:t>格式二：</w:t>
      </w:r>
      <w:bookmarkEnd w:id="72"/>
      <w:bookmarkEnd w:id="73"/>
      <w:bookmarkEnd w:id="74"/>
      <w:bookmarkEnd w:id="75"/>
      <w:bookmarkEnd w:id="76"/>
      <w:bookmarkEnd w:id="77"/>
      <w:bookmarkEnd w:id="78"/>
      <w:bookmarkEnd w:id="79"/>
      <w:bookmarkEnd w:id="80"/>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参与编制技术标投标文件人员名单</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495"/>
        <w:gridCol w:w="2565"/>
        <w:gridCol w:w="246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所承担工作</w:t>
            </w: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81"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仿宋" w:hAnsi="仿宋" w:eastAsia="仿宋" w:cs="仿宋"/>
                <w:color w:val="auto"/>
                <w:szCs w:val="21"/>
                <w:highlight w:val="none"/>
              </w:rPr>
            </w:pPr>
          </w:p>
        </w:tc>
      </w:tr>
    </w:tbl>
    <w:p>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注：参与编制技术标书所有人员名单应包括如编制技术投标方案、负责清样校对、负责打印及复印等所有人员在内的人员名单。</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outlineLvl w:val="2"/>
        <w:rPr>
          <w:rFonts w:hint="eastAsia" w:ascii="仿宋" w:hAnsi="仿宋" w:eastAsia="仿宋" w:cs="仿宋"/>
          <w:color w:val="auto"/>
          <w:highlight w:val="none"/>
        </w:rPr>
      </w:pPr>
      <w:bookmarkStart w:id="81" w:name="_Toc13566"/>
      <w:bookmarkStart w:id="82" w:name="_Toc1104"/>
      <w:bookmarkStart w:id="83" w:name="_Toc9315"/>
      <w:bookmarkStart w:id="84" w:name="_Toc19483"/>
      <w:bookmarkStart w:id="85" w:name="_Toc100130493"/>
      <w:bookmarkStart w:id="86" w:name="_Toc28242"/>
      <w:r>
        <w:rPr>
          <w:rFonts w:hint="eastAsia" w:ascii="仿宋" w:hAnsi="仿宋" w:eastAsia="仿宋" w:cs="仿宋"/>
          <w:color w:val="auto"/>
          <w:kern w:val="0"/>
          <w:sz w:val="27"/>
          <w:szCs w:val="27"/>
          <w:highlight w:val="none"/>
        </w:rPr>
        <w:t>格式三：</w:t>
      </w:r>
      <w:bookmarkEnd w:id="81"/>
      <w:bookmarkEnd w:id="82"/>
      <w:bookmarkEnd w:id="83"/>
      <w:bookmarkEnd w:id="84"/>
      <w:bookmarkEnd w:id="85"/>
      <w:bookmarkEnd w:id="86"/>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响应招标文件所附施工组织设计要点的承诺书</w:t>
      </w:r>
    </w:p>
    <w:p>
      <w:pPr>
        <w:jc w:val="center"/>
        <w:rPr>
          <w:rFonts w:hint="eastAsia" w:ascii="仿宋" w:hAnsi="仿宋" w:eastAsia="仿宋" w:cs="仿宋"/>
          <w:b/>
          <w:color w:val="auto"/>
          <w:sz w:val="36"/>
          <w:szCs w:val="36"/>
          <w:highlight w:val="none"/>
        </w:rPr>
      </w:pP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（招标人）</w:t>
      </w:r>
      <w:r>
        <w:rPr>
          <w:rFonts w:hint="eastAsia" w:ascii="仿宋" w:hAnsi="仿宋" w:eastAsia="仿宋" w:cs="仿宋"/>
          <w:color w:val="auto"/>
          <w:sz w:val="24"/>
          <w:szCs w:val="24"/>
          <w:highlight w:val="none"/>
        </w:rPr>
        <w:t>：</w:t>
      </w:r>
    </w:p>
    <w:p>
      <w:pPr>
        <w:spacing w:line="360" w:lineRule="auto"/>
        <w:ind w:firstLine="566" w:firstLineChars="2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我方承诺，如中标承建</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，将按招标文件所附的本工程</w:t>
      </w:r>
      <w:r>
        <w:rPr>
          <w:rFonts w:hint="eastAsia" w:ascii="仿宋" w:hAnsi="仿宋" w:eastAsia="仿宋" w:cs="仿宋"/>
          <w:color w:val="auto"/>
          <w:sz w:val="24"/>
          <w:szCs w:val="24"/>
          <w:highlight w:val="none"/>
          <w:u w:val="single"/>
        </w:rPr>
        <w:t xml:space="preserve"> 施工组织设计要点 </w:t>
      </w:r>
      <w:r>
        <w:rPr>
          <w:rFonts w:hint="eastAsia" w:ascii="仿宋" w:hAnsi="仿宋" w:eastAsia="仿宋" w:cs="仿宋"/>
          <w:color w:val="auto"/>
          <w:sz w:val="24"/>
          <w:szCs w:val="24"/>
          <w:highlight w:val="none"/>
        </w:rPr>
        <w:t>进行响应的基础上自行组织施工。并承诺在中标后按招标文件所附的</w:t>
      </w:r>
      <w:r>
        <w:rPr>
          <w:rFonts w:hint="eastAsia" w:ascii="仿宋" w:hAnsi="仿宋" w:eastAsia="仿宋" w:cs="仿宋"/>
          <w:color w:val="auto"/>
          <w:sz w:val="24"/>
          <w:szCs w:val="24"/>
          <w:highlight w:val="none"/>
          <w:u w:val="single"/>
        </w:rPr>
        <w:t xml:space="preserve"> 施工组织设计要点 </w:t>
      </w:r>
      <w:r>
        <w:rPr>
          <w:rFonts w:hint="eastAsia" w:ascii="仿宋" w:hAnsi="仿宋" w:eastAsia="仿宋" w:cs="仿宋"/>
          <w:color w:val="auto"/>
          <w:sz w:val="24"/>
          <w:szCs w:val="24"/>
          <w:highlight w:val="none"/>
        </w:rPr>
        <w:t>基础上编制详细的施工组织设计，并报经监理单位和建设单位审批后实施。</w:t>
      </w:r>
    </w:p>
    <w:p>
      <w:pPr>
        <w:topLinePunct/>
        <w:adjustRightInd w:val="0"/>
        <w:snapToGrid w:val="0"/>
        <w:spacing w:line="360" w:lineRule="auto"/>
        <w:ind w:firstLine="585" w:firstLineChars="236"/>
        <w:rPr>
          <w:rFonts w:hint="eastAsia" w:ascii="仿宋" w:hAnsi="仿宋" w:eastAsia="仿宋" w:cs="仿宋"/>
          <w:snapToGrid w:val="0"/>
          <w:color w:val="auto"/>
          <w:spacing w:val="4"/>
          <w:kern w:val="0"/>
          <w:sz w:val="24"/>
          <w:szCs w:val="24"/>
          <w:highlight w:val="none"/>
        </w:rPr>
      </w:pPr>
    </w:p>
    <w:p>
      <w:pPr>
        <w:topLinePunct/>
        <w:adjustRightInd w:val="0"/>
        <w:snapToGrid w:val="0"/>
        <w:spacing w:line="360" w:lineRule="auto"/>
        <w:ind w:firstLine="585" w:firstLineChars="236"/>
        <w:rPr>
          <w:rFonts w:hint="eastAsia" w:ascii="仿宋" w:hAnsi="仿宋" w:eastAsia="仿宋" w:cs="仿宋"/>
          <w:snapToGrid w:val="0"/>
          <w:color w:val="auto"/>
          <w:spacing w:val="4"/>
          <w:kern w:val="0"/>
          <w:sz w:val="24"/>
          <w:szCs w:val="24"/>
          <w:highlight w:val="none"/>
        </w:rPr>
      </w:pPr>
    </w:p>
    <w:p>
      <w:pPr>
        <w:topLinePunct/>
        <w:adjustRightInd w:val="0"/>
        <w:snapToGrid w:val="0"/>
        <w:spacing w:line="360" w:lineRule="auto"/>
        <w:ind w:firstLine="585" w:firstLineChars="236"/>
        <w:rPr>
          <w:rFonts w:hint="eastAsia" w:ascii="仿宋" w:hAnsi="仿宋" w:eastAsia="仿宋" w:cs="仿宋"/>
          <w:snapToGrid w:val="0"/>
          <w:color w:val="auto"/>
          <w:spacing w:val="4"/>
          <w:kern w:val="0"/>
          <w:sz w:val="24"/>
          <w:szCs w:val="24"/>
          <w:highlight w:val="none"/>
        </w:rPr>
      </w:pPr>
    </w:p>
    <w:p>
      <w:pPr>
        <w:topLinePunct/>
        <w:adjustRightInd w:val="0"/>
        <w:snapToGrid w:val="0"/>
        <w:spacing w:line="360" w:lineRule="auto"/>
        <w:ind w:firstLine="585" w:firstLineChars="236"/>
        <w:rPr>
          <w:rFonts w:hint="eastAsia" w:ascii="仿宋" w:hAnsi="仿宋" w:eastAsia="仿宋" w:cs="仿宋"/>
          <w:snapToGrid w:val="0"/>
          <w:color w:val="auto"/>
          <w:spacing w:val="4"/>
          <w:kern w:val="0"/>
          <w:sz w:val="24"/>
          <w:szCs w:val="24"/>
          <w:highlight w:val="none"/>
        </w:rPr>
      </w:pPr>
    </w:p>
    <w:p>
      <w:pPr>
        <w:topLinePunct/>
        <w:adjustRightInd w:val="0"/>
        <w:snapToGrid w:val="0"/>
        <w:spacing w:line="360" w:lineRule="auto"/>
        <w:ind w:firstLine="585" w:firstLineChars="236"/>
        <w:rPr>
          <w:rFonts w:hint="eastAsia" w:ascii="仿宋" w:hAnsi="仿宋" w:eastAsia="仿宋" w:cs="仿宋"/>
          <w:snapToGrid w:val="0"/>
          <w:color w:val="auto"/>
          <w:spacing w:val="4"/>
          <w:kern w:val="0"/>
          <w:sz w:val="24"/>
          <w:szCs w:val="24"/>
          <w:highlight w:val="none"/>
        </w:rPr>
      </w:pPr>
      <w:r>
        <w:rPr>
          <w:rFonts w:hint="eastAsia" w:ascii="仿宋" w:hAnsi="仿宋" w:eastAsia="仿宋" w:cs="仿宋"/>
          <w:snapToGrid w:val="0"/>
          <w:color w:val="auto"/>
          <w:spacing w:val="4"/>
          <w:kern w:val="0"/>
          <w:sz w:val="24"/>
          <w:szCs w:val="24"/>
          <w:highlight w:val="none"/>
        </w:rPr>
        <w:t>投 标 人：    （盖章）</w:t>
      </w:r>
    </w:p>
    <w:p>
      <w:pPr>
        <w:topLinePunct/>
        <w:adjustRightInd w:val="0"/>
        <w:snapToGrid w:val="0"/>
        <w:spacing w:line="360" w:lineRule="auto"/>
        <w:ind w:firstLine="585" w:firstLineChars="236"/>
        <w:rPr>
          <w:rFonts w:hint="eastAsia" w:ascii="仿宋" w:hAnsi="仿宋" w:eastAsia="仿宋" w:cs="仿宋"/>
          <w:snapToGrid w:val="0"/>
          <w:color w:val="auto"/>
          <w:spacing w:val="4"/>
          <w:kern w:val="0"/>
          <w:sz w:val="24"/>
          <w:szCs w:val="24"/>
          <w:highlight w:val="none"/>
        </w:rPr>
      </w:pPr>
      <w:r>
        <w:rPr>
          <w:rFonts w:hint="eastAsia" w:ascii="仿宋" w:hAnsi="仿宋" w:eastAsia="仿宋" w:cs="仿宋"/>
          <w:snapToGrid w:val="0"/>
          <w:color w:val="auto"/>
          <w:spacing w:val="4"/>
          <w:kern w:val="0"/>
          <w:sz w:val="24"/>
          <w:szCs w:val="24"/>
          <w:highlight w:val="none"/>
        </w:rPr>
        <w:t>法定代表人或授权代理人（签字或盖章）：</w:t>
      </w:r>
    </w:p>
    <w:p>
      <w:pPr>
        <w:autoSpaceDE w:val="0"/>
        <w:autoSpaceDN w:val="0"/>
        <w:adjustRightInd w:val="0"/>
        <w:spacing w:line="360" w:lineRule="auto"/>
        <w:ind w:firstLine="585" w:firstLineChars="236"/>
        <w:rPr>
          <w:rFonts w:hint="eastAsia" w:ascii="仿宋" w:hAnsi="仿宋" w:eastAsia="仿宋" w:cs="仿宋"/>
          <w:bCs/>
          <w:color w:val="auto"/>
          <w:sz w:val="24"/>
          <w:szCs w:val="24"/>
          <w:highlight w:val="none"/>
        </w:rPr>
      </w:pPr>
      <w:r>
        <w:rPr>
          <w:rFonts w:hint="eastAsia" w:ascii="仿宋" w:hAnsi="仿宋" w:eastAsia="仿宋" w:cs="仿宋"/>
          <w:snapToGrid w:val="0"/>
          <w:color w:val="auto"/>
          <w:spacing w:val="4"/>
          <w:kern w:val="0"/>
          <w:sz w:val="24"/>
          <w:szCs w:val="24"/>
          <w:highlight w:val="none"/>
        </w:rPr>
        <w:t>日    期：    年    月    日</w:t>
      </w:r>
    </w:p>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br w:type="page"/>
      </w:r>
    </w:p>
    <w:p>
      <w:pPr>
        <w:spacing w:line="360" w:lineRule="auto"/>
        <w:jc w:val="left"/>
        <w:outlineLvl w:val="2"/>
        <w:rPr>
          <w:rFonts w:hint="eastAsia" w:ascii="仿宋" w:hAnsi="仿宋" w:eastAsia="仿宋" w:cs="仿宋"/>
          <w:color w:val="auto"/>
          <w:kern w:val="0"/>
          <w:sz w:val="27"/>
          <w:szCs w:val="27"/>
          <w:highlight w:val="none"/>
        </w:rPr>
      </w:pPr>
      <w:bookmarkStart w:id="87" w:name="_Toc2656"/>
      <w:r>
        <w:rPr>
          <w:rFonts w:hint="eastAsia" w:ascii="仿宋" w:hAnsi="仿宋" w:eastAsia="仿宋" w:cs="仿宋"/>
          <w:color w:val="auto"/>
          <w:kern w:val="0"/>
          <w:sz w:val="27"/>
          <w:szCs w:val="27"/>
          <w:highlight w:val="none"/>
        </w:rPr>
        <w:t>格式四：</w:t>
      </w:r>
      <w:bookmarkEnd w:id="87"/>
    </w:p>
    <w:p>
      <w:pPr>
        <w:spacing w:line="360" w:lineRule="auto"/>
        <w:jc w:val="left"/>
        <w:rPr>
          <w:rFonts w:hint="eastAsia" w:ascii="仿宋" w:hAnsi="仿宋" w:eastAsia="仿宋" w:cs="仿宋"/>
          <w:color w:val="auto"/>
          <w:sz w:val="24"/>
          <w:szCs w:val="20"/>
          <w:highlight w:val="none"/>
        </w:rPr>
      </w:pPr>
    </w:p>
    <w:p>
      <w:pPr>
        <w:keepNext/>
        <w:keepLines/>
        <w:pageBreakBefore w:val="0"/>
        <w:widowControl w:val="0"/>
        <w:kinsoku/>
        <w:wordWrap/>
        <w:overflowPunct/>
        <w:topLinePunct w:val="0"/>
        <w:autoSpaceDE/>
        <w:autoSpaceDN/>
        <w:bidi w:val="0"/>
        <w:adjustRightInd/>
        <w:snapToGrid/>
        <w:spacing w:line="416" w:lineRule="auto"/>
        <w:ind w:left="454"/>
        <w:jc w:val="center"/>
        <w:textAlignment w:val="auto"/>
        <w:outlineLvl w:val="9"/>
        <w:rPr>
          <w:rFonts w:hint="eastAsia" w:ascii="仿宋" w:hAnsi="仿宋" w:eastAsia="仿宋" w:cs="仿宋"/>
          <w:b/>
          <w:bCs/>
          <w:color w:val="auto"/>
          <w:sz w:val="32"/>
          <w:szCs w:val="32"/>
          <w:highlight w:val="none"/>
        </w:rPr>
      </w:pPr>
      <w:bookmarkStart w:id="88" w:name="_Toc19935"/>
      <w:r>
        <w:rPr>
          <w:rFonts w:hint="eastAsia" w:ascii="仿宋" w:hAnsi="仿宋" w:eastAsia="仿宋" w:cs="仿宋"/>
          <w:b/>
          <w:bCs/>
          <w:color w:val="auto"/>
          <w:sz w:val="32"/>
          <w:szCs w:val="32"/>
          <w:highlight w:val="none"/>
        </w:rPr>
        <w:t>关于投标保证金的承诺</w:t>
      </w:r>
      <w:bookmarkEnd w:id="88"/>
    </w:p>
    <w:p>
      <w:pPr>
        <w:pStyle w:val="2"/>
        <w:spacing w:line="560" w:lineRule="exact"/>
        <w:ind w:firstLine="560" w:firstLineChars="200"/>
        <w:rPr>
          <w:rFonts w:hint="eastAsia" w:ascii="仿宋" w:hAnsi="仿宋" w:eastAsia="仿宋" w:cs="仿宋"/>
          <w:color w:val="auto"/>
          <w:sz w:val="28"/>
          <w:szCs w:val="28"/>
          <w:highlight w:val="none"/>
        </w:rPr>
      </w:pPr>
    </w:p>
    <w:p>
      <w:pPr>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本公司就参加</w:t>
      </w:r>
      <w:r>
        <w:rPr>
          <w:rFonts w:hint="eastAsia" w:ascii="仿宋" w:hAnsi="仿宋" w:eastAsia="仿宋" w:cs="仿宋"/>
          <w:color w:val="auto"/>
          <w:sz w:val="28"/>
          <w:szCs w:val="28"/>
          <w:highlight w:val="none"/>
          <w:u w:val="single"/>
        </w:rPr>
        <w:t xml:space="preserve">      （招标项目名称）     </w:t>
      </w:r>
      <w:r>
        <w:rPr>
          <w:rFonts w:hint="eastAsia" w:ascii="仿宋" w:hAnsi="仿宋" w:eastAsia="仿宋" w:cs="仿宋"/>
          <w:color w:val="auto"/>
          <w:sz w:val="28"/>
          <w:szCs w:val="28"/>
          <w:highlight w:val="none"/>
        </w:rPr>
        <w:t>项目的投标工作，作出郑重声明：</w:t>
      </w:r>
    </w:p>
    <w:p>
      <w:pPr>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pPr>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本公司违反上述保证的，将被视为虚假承诺，按相关规定进行信用记录。本公司对失信行为产生的一切后果已知悉，并承担由此产生的相应责任。</w:t>
      </w:r>
    </w:p>
    <w:p>
      <w:pPr>
        <w:jc w:val="left"/>
        <w:rPr>
          <w:rFonts w:hint="eastAsia" w:ascii="仿宋" w:hAnsi="仿宋" w:eastAsia="仿宋" w:cs="仿宋"/>
          <w:color w:val="auto"/>
          <w:spacing w:val="4"/>
          <w:kern w:val="0"/>
          <w:szCs w:val="21"/>
          <w:highlight w:val="none"/>
        </w:rPr>
      </w:pPr>
      <w:r>
        <w:rPr>
          <w:rFonts w:hint="eastAsia" w:ascii="仿宋" w:hAnsi="仿宋" w:eastAsia="仿宋" w:cs="仿宋"/>
          <w:color w:val="auto"/>
          <w:sz w:val="28"/>
          <w:szCs w:val="28"/>
          <w:highlight w:val="none"/>
        </w:rPr>
        <w:t>特此承诺。</w:t>
      </w:r>
    </w:p>
    <w:p>
      <w:pPr>
        <w:jc w:val="left"/>
        <w:rPr>
          <w:rFonts w:hint="eastAsia" w:ascii="仿宋" w:hAnsi="仿宋" w:eastAsia="仿宋" w:cs="仿宋"/>
          <w:color w:val="auto"/>
          <w:spacing w:val="4"/>
          <w:kern w:val="0"/>
          <w:szCs w:val="21"/>
          <w:highlight w:val="none"/>
        </w:rPr>
      </w:pPr>
    </w:p>
    <w:p>
      <w:pPr>
        <w:jc w:val="left"/>
        <w:rPr>
          <w:rFonts w:hint="eastAsia" w:ascii="仿宋" w:hAnsi="仿宋" w:eastAsia="仿宋" w:cs="仿宋"/>
          <w:color w:val="auto"/>
          <w:spacing w:val="4"/>
          <w:kern w:val="0"/>
          <w:szCs w:val="21"/>
          <w:highlight w:val="none"/>
        </w:rPr>
      </w:pPr>
    </w:p>
    <w:p>
      <w:pPr>
        <w:pStyle w:val="6"/>
        <w:rPr>
          <w:rFonts w:hint="eastAsia" w:ascii="仿宋" w:hAnsi="仿宋" w:eastAsia="仿宋" w:cs="仿宋"/>
          <w:color w:val="auto"/>
          <w:spacing w:val="4"/>
          <w:szCs w:val="21"/>
          <w:highlight w:val="none"/>
        </w:rPr>
      </w:pPr>
    </w:p>
    <w:p>
      <w:pPr>
        <w:rPr>
          <w:rFonts w:hint="eastAsia" w:ascii="仿宋" w:hAnsi="仿宋" w:eastAsia="仿宋" w:cs="仿宋"/>
          <w:color w:val="auto"/>
          <w:szCs w:val="24"/>
          <w:highlight w:val="none"/>
        </w:rPr>
      </w:pP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　　（盖章）</w:t>
      </w:r>
    </w:p>
    <w:p>
      <w:pPr>
        <w:autoSpaceDN w:val="0"/>
        <w:ind w:firstLine="3920" w:firstLineChars="1400"/>
        <w:rPr>
          <w:rFonts w:hint="eastAsia" w:ascii="仿宋" w:hAnsi="仿宋" w:eastAsia="仿宋" w:cs="仿宋"/>
          <w:color w:val="auto"/>
          <w:szCs w:val="20"/>
          <w:highlight w:val="none"/>
        </w:rPr>
      </w:pPr>
      <w:r>
        <w:rPr>
          <w:rFonts w:hint="eastAsia" w:ascii="仿宋" w:hAnsi="仿宋" w:eastAsia="仿宋" w:cs="仿宋"/>
          <w:color w:val="auto"/>
          <w:sz w:val="28"/>
          <w:szCs w:val="28"/>
          <w:highlight w:val="none"/>
        </w:rPr>
        <w:t xml:space="preserve">    日  期：</w:t>
      </w: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r>
        <w:rPr>
          <w:rFonts w:hint="eastAsia" w:ascii="仿宋" w:hAnsi="仿宋" w:eastAsia="仿宋" w:cs="仿宋"/>
          <w:color w:val="auto"/>
          <w:szCs w:val="20"/>
          <w:highlight w:val="none"/>
        </w:rPr>
        <w:br w:type="page"/>
      </w:r>
    </w:p>
    <w:p>
      <w:pPr>
        <w:pStyle w:val="2"/>
        <w:rPr>
          <w:rFonts w:hint="eastAsia" w:ascii="仿宋" w:hAnsi="仿宋" w:eastAsia="仿宋" w:cs="仿宋"/>
        </w:rPr>
      </w:pPr>
      <w:r>
        <w:rPr>
          <w:rFonts w:hint="eastAsia" w:ascii="仿宋" w:hAnsi="仿宋" w:eastAsia="仿宋" w:cs="仿宋"/>
          <w:sz w:val="27"/>
          <w:szCs w:val="27"/>
        </w:rPr>
        <w:t>格式</w:t>
      </w:r>
      <w:r>
        <w:rPr>
          <w:rFonts w:hint="eastAsia" w:ascii="仿宋" w:hAnsi="仿宋" w:eastAsia="仿宋" w:cs="仿宋"/>
          <w:sz w:val="27"/>
          <w:szCs w:val="27"/>
          <w:lang w:val="en-US" w:eastAsia="zh-CN"/>
        </w:rPr>
        <w:t>五</w:t>
      </w:r>
      <w:r>
        <w:rPr>
          <w:rFonts w:hint="eastAsia" w:ascii="仿宋" w:hAnsi="仿宋" w:eastAsia="仿宋" w:cs="仿宋"/>
          <w:sz w:val="27"/>
          <w:szCs w:val="27"/>
        </w:rPr>
        <w:t>：</w:t>
      </w:r>
    </w:p>
    <w:p>
      <w:pPr>
        <w:jc w:val="center"/>
        <w:rPr>
          <w:rFonts w:hint="eastAsia" w:ascii="仿宋" w:hAnsi="仿宋" w:eastAsia="仿宋" w:cs="仿宋"/>
          <w:b/>
          <w:sz w:val="36"/>
          <w:szCs w:val="36"/>
        </w:rPr>
      </w:pPr>
      <w:r>
        <w:rPr>
          <w:rFonts w:hint="eastAsia" w:ascii="仿宋" w:hAnsi="仿宋" w:eastAsia="仿宋" w:cs="仿宋"/>
          <w:b/>
          <w:sz w:val="36"/>
          <w:szCs w:val="36"/>
        </w:rPr>
        <w:t>危险性较大的分部分项工程安全管理措施</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1、根据中华人民共和国住房和城乡建设部令第37号《危险性较大的分部分项工程安全管理规定》（以下简称“37号文”），投标人在投标时须补充完善危大工程清单并结合本工程的类型和特点，科学、合理地设置本项目的危险性较大的分部分项工程安全管理措施，危险性较大的分部分项工程安全管理措施由投标人结合招标人对本工程的具体要求自行设定。</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2、招标人根据设计文件的要求及37号文的规定列出“危险性较大的分部分项工程清单及超过一定规模的危险性较大的分部分项工程清单”中与本招标项目相关的清单项，具体详见第5点“打√”标识。</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（1）投标单位同意建设单位在清单中标识的该项请在对应项打“√”标识。</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（2）投标单位对清单中认为需要补充的该项请在对应项打“√”标识。</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（3）投标单位不同意建设单位在清单中标识的该项请在对应项打“×”标识，并在备注栏填上相关说明。</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3、中标后应当根据招标人提供的下述第5点清单，编制专项施工方案。</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07"/>
        <w:autoSpaceDE w:val="0"/>
        <w:autoSpaceDN w:val="0"/>
        <w:adjustRightInd w:val="0"/>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rPr>
        <w:t>5、危险性较大的分部分项工程清单及超过一定规模的危险性较大的分部分项工程清单：</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8"/>
        <w:gridCol w:w="1352"/>
        <w:gridCol w:w="135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一、危险性较大的分部分项工程清单</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投标单位</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一、基坑支护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（一）开挖深度超过3m（含3m）的基坑（槽）的土方开挖、支护、降水工程。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（二）开挖深度虽未超过3m，但地质条件、周围环境和地下管线复杂，或影响毗邻建、构筑物安全的基坑（槽）的土方开挖、支护、降水工程。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（一）各类工具式模板工程：包括滑模、爬模、飞模、隧道模等工程。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（三）承重支撑体系：用于钢结构安装等满堂支撑体系。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三、起重吊装及起重机械安装拆卸工程(由施工单位自行判断)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（一）采用非常规起重设备、方法，且单件起吊重量在10kN及以上的起重吊装工程。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（二）采用起重机械进行安装的工程。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（三）起重机械安装和拆卸工程。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（一）搭设高度24m及以上的落地式钢管脚手架工程（包括采光井、电梯井脚手架）。</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（二）附着式升降脚手架工程。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（三）悬挑式脚手架工程。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（四）高处作业吊篮。</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（五）卸料平台、操作平台工程。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（六）异型脚手架工程。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可能影响行人、交通、电力设施、通讯设施或其它建、构筑物安全的拆除工程。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采用矿山法、盾构法、顶管法施工的隧道、洞室工程。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（一）建筑幕墙安装工程。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（二）钢结构、网架和索膜结构安装工程。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（三）人工挖孔桩工程。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（四）水下作业工程。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（五）装配式建筑混凝土预制构件安装工程。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（六）采用新技术、新工艺、新材料、新设备可能影响工程施工安全，尚无国家、行业及地方技术标准的分部分项工程。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46" w:beforeLines="15" w:after="46" w:afterLines="15"/>
              <w:ind w:left="-42" w:leftChars="-20" w:right="-48" w:rightChars="-23"/>
              <w:jc w:val="center"/>
              <w:rPr>
                <w:rFonts w:hint="eastAsia" w:ascii="仿宋" w:hAnsi="仿宋" w:eastAsia="仿宋" w:cs="仿宋"/>
                <w:b/>
                <w:sz w:val="24"/>
                <w:szCs w:val="24"/>
              </w:rPr>
            </w:pPr>
            <w:r>
              <w:rPr>
                <w:rFonts w:hint="eastAsia" w:ascii="仿宋" w:hAnsi="仿宋" w:eastAsia="仿宋" w:cs="仿宋"/>
                <w:b/>
                <w:bCs/>
                <w:sz w:val="24"/>
                <w:szCs w:val="24"/>
              </w:rPr>
              <w:t>二、超过一定规模的危险性较大的分部分项工程清单</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b/>
              </w:rPr>
              <w:t>招标人</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b/>
              </w:rPr>
              <w:t>投标单位</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一、深基坑工程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开挖深度超过5m（含5m）的基坑（槽）的土方开挖、支护、降水工程。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（一）各类工具式模板工程：包括滑模、爬模、飞模、隧道模等工程。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（二）混凝土模板支撑工程：搭设高度8m及以上，或搭设跨度18m及以上，或施工总荷载（设计值）15kN/m2及以上，或集中线荷载（设计值）20kN/m及以上。</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（三）承重支撑体系：用于钢结构安装等满堂支撑体系，承受单点集中荷载7kN及以上。</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b/>
                <w:sz w:val="24"/>
                <w:szCs w:val="24"/>
              </w:rPr>
            </w:pPr>
            <w:r>
              <w:rPr>
                <w:rFonts w:hint="eastAsia" w:ascii="仿宋" w:hAnsi="仿宋" w:eastAsia="仿宋" w:cs="仿宋"/>
                <w:sz w:val="24"/>
                <w:szCs w:val="24"/>
              </w:rPr>
              <w:t>三、起重吊装及起重机械安装拆卸工程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（一）采用非常规起重设备、方法，且单件起吊重量在100kN及以上的起重吊装工程。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（二）起重量300kN及以上，或搭设总高度200m及以上，或搭设基础标高在200m及以上的起重机械安装和拆卸工程。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b/>
                <w:sz w:val="24"/>
                <w:szCs w:val="24"/>
              </w:rPr>
            </w:pPr>
            <w:r>
              <w:rPr>
                <w:rFonts w:hint="eastAsia" w:ascii="仿宋" w:hAnsi="仿宋" w:eastAsia="仿宋" w:cs="仿宋"/>
                <w:sz w:val="24"/>
                <w:szCs w:val="24"/>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（一）搭设高度50m及以上的落地式钢管脚手架工程。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（二）提升高度在150m及以上的附着式升降脚手架工程或附着式升降操作平台工程。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（三）分段架体搭设高度20m及以上的悬挑式脚手架工程。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b/>
                <w:sz w:val="24"/>
                <w:szCs w:val="24"/>
              </w:rPr>
            </w:pPr>
            <w:r>
              <w:rPr>
                <w:rFonts w:hint="eastAsia" w:ascii="仿宋" w:hAnsi="仿宋" w:eastAsia="仿宋" w:cs="仿宋"/>
                <w:sz w:val="24"/>
                <w:szCs w:val="24"/>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（一）码头、桥梁、高架、烟囱、水塔或拆除中容易引起有毒有害气（液）体或粉尘扩散、易燃易爆事故发生的特殊建、构筑物的拆除工程。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（二）文物保护建筑、优秀历史建筑或历史文化风貌区影响范围内的拆除工程。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b/>
                <w:sz w:val="24"/>
                <w:szCs w:val="24"/>
              </w:rPr>
            </w:pPr>
            <w:r>
              <w:rPr>
                <w:rFonts w:hint="eastAsia" w:ascii="仿宋" w:hAnsi="仿宋" w:eastAsia="仿宋" w:cs="仿宋"/>
                <w:sz w:val="24"/>
                <w:szCs w:val="24"/>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采用矿山法、盾构法、顶管法施工的隧道、洞室工程。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left"/>
              <w:rPr>
                <w:rFonts w:hint="eastAsia" w:ascii="仿宋" w:hAnsi="仿宋" w:eastAsia="仿宋" w:cs="仿宋"/>
                <w:b/>
                <w:sz w:val="24"/>
                <w:szCs w:val="24"/>
              </w:rPr>
            </w:pPr>
            <w:r>
              <w:rPr>
                <w:rFonts w:hint="eastAsia" w:ascii="仿宋" w:hAnsi="仿宋" w:eastAsia="仿宋" w:cs="仿宋"/>
                <w:sz w:val="24"/>
                <w:szCs w:val="24"/>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（一）施工高度50m及以上的建筑幕墙安装工程。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（二）跨度36m及以上的钢结构安装工程，或跨度60m及以上的网架和索膜结构安装工程。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（三）开挖深度16m及以上的人工挖孔桩工程。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（四）水下作业工程。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（五）重量1000kN及以上的大型结构整体顶升、平移、转体等施工工艺。</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r>
              <w:rPr>
                <w:rFonts w:hint="eastAsia" w:ascii="仿宋" w:hAnsi="仿宋" w:eastAsia="仿宋" w:cs="仿宋"/>
                <w:sz w:val="24"/>
                <w:szCs w:val="24"/>
              </w:rPr>
              <w:t>（六）采用新技术、新工艺、新材料、新设备可能影响工程施工安全，尚无国家、行业及地方技术标准的分部分项工程。</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jc w:val="center"/>
              <w:rPr>
                <w:rFonts w:hint="eastAsia" w:ascii="仿宋" w:hAnsi="仿宋" w:eastAsia="仿宋" w:cs="仿宋"/>
                <w:sz w:val="24"/>
                <w:szCs w:val="24"/>
              </w:rPr>
            </w:pPr>
            <w:r>
              <w:rPr>
                <w:rFonts w:hint="eastAsia" w:ascii="仿宋" w:hAnsi="仿宋" w:eastAsia="仿宋" w:cs="仿宋"/>
                <w:sz w:val="24"/>
                <w:szCs w:val="24"/>
              </w:rPr>
              <w:t>(   )</w:t>
            </w:r>
          </w:p>
        </w:tc>
        <w:tc>
          <w:tcPr>
            <w:tcW w:w="40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46" w:beforeLines="15" w:after="46" w:afterLines="15"/>
              <w:ind w:left="-42" w:leftChars="-20" w:right="-48" w:rightChars="-23"/>
              <w:rPr>
                <w:rFonts w:hint="eastAsia" w:ascii="仿宋" w:hAnsi="仿宋" w:eastAsia="仿宋" w:cs="仿宋"/>
                <w:sz w:val="24"/>
                <w:szCs w:val="24"/>
              </w:rPr>
            </w:pPr>
          </w:p>
        </w:tc>
      </w:tr>
    </w:tbl>
    <w:p>
      <w:pPr>
        <w:spacing w:line="360" w:lineRule="auto"/>
        <w:rPr>
          <w:rFonts w:hint="eastAsia" w:ascii="仿宋" w:hAnsi="仿宋" w:eastAsia="仿宋" w:cs="仿宋"/>
          <w:sz w:val="24"/>
          <w:szCs w:val="24"/>
        </w:rPr>
      </w:pPr>
    </w:p>
    <w:p>
      <w:pPr>
        <w:spacing w:line="360" w:lineRule="auto"/>
        <w:ind w:firstLine="3000" w:firstLineChars="1250"/>
        <w:rPr>
          <w:rFonts w:hint="eastAsia" w:ascii="仿宋" w:hAnsi="仿宋" w:eastAsia="仿宋" w:cs="仿宋"/>
          <w:sz w:val="24"/>
          <w:szCs w:val="24"/>
        </w:rPr>
      </w:pPr>
    </w:p>
    <w:p>
      <w:pPr>
        <w:spacing w:line="360" w:lineRule="auto"/>
        <w:ind w:firstLine="4048" w:firstLineChars="1687"/>
        <w:rPr>
          <w:rFonts w:hint="eastAsia" w:ascii="仿宋" w:hAnsi="仿宋" w:eastAsia="仿宋" w:cs="仿宋"/>
          <w:sz w:val="24"/>
          <w:szCs w:val="24"/>
          <w:u w:val="single"/>
        </w:rPr>
      </w:pPr>
      <w:r>
        <w:rPr>
          <w:rFonts w:hint="eastAsia" w:ascii="仿宋" w:hAnsi="仿宋" w:eastAsia="仿宋" w:cs="仿宋"/>
          <w:sz w:val="24"/>
          <w:szCs w:val="24"/>
        </w:rPr>
        <w:t>投标人（盖章）：</w:t>
      </w:r>
    </w:p>
    <w:p>
      <w:pPr>
        <w:spacing w:line="360" w:lineRule="auto"/>
        <w:ind w:firstLine="4048" w:firstLineChars="1687"/>
        <w:rPr>
          <w:rFonts w:hint="eastAsia" w:ascii="仿宋" w:hAnsi="仿宋" w:eastAsia="仿宋" w:cs="仿宋"/>
          <w:sz w:val="24"/>
          <w:szCs w:val="24"/>
          <w:u w:val="single"/>
        </w:rPr>
      </w:pPr>
      <w:r>
        <w:rPr>
          <w:rFonts w:hint="eastAsia" w:ascii="仿宋" w:hAnsi="仿宋" w:eastAsia="仿宋" w:cs="仿宋"/>
          <w:sz w:val="24"/>
          <w:szCs w:val="24"/>
        </w:rPr>
        <w:t>法定代表人或授权代理人（签名或盖章）：</w:t>
      </w:r>
    </w:p>
    <w:p>
      <w:pPr>
        <w:spacing w:line="360" w:lineRule="auto"/>
        <w:ind w:firstLine="4080" w:firstLineChars="1700"/>
        <w:rPr>
          <w:rFonts w:hint="eastAsia" w:ascii="仿宋" w:hAnsi="仿宋" w:eastAsia="仿宋" w:cs="仿宋"/>
        </w:rPr>
      </w:pPr>
      <w:r>
        <w:rPr>
          <w:rFonts w:hint="eastAsia" w:ascii="仿宋" w:hAnsi="仿宋" w:eastAsia="仿宋" w:cs="仿宋"/>
          <w:sz w:val="24"/>
          <w:szCs w:val="24"/>
        </w:rPr>
        <w:t>日  期：   年  月  日</w:t>
      </w:r>
    </w:p>
    <w:p>
      <w:pPr>
        <w:spacing w:line="360" w:lineRule="auto"/>
        <w:rPr>
          <w:rFonts w:hint="eastAsia" w:ascii="仿宋" w:hAnsi="仿宋" w:eastAsia="仿宋" w:cs="仿宋"/>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outlineLvl w:val="2"/>
        <w:rPr>
          <w:rFonts w:hint="eastAsia" w:ascii="仿宋" w:hAnsi="仿宋" w:eastAsia="仿宋" w:cs="仿宋"/>
          <w:color w:val="auto"/>
          <w:highlight w:val="none"/>
        </w:rPr>
      </w:pPr>
      <w:bookmarkStart w:id="89" w:name="_Toc18419"/>
      <w:r>
        <w:rPr>
          <w:rFonts w:hint="eastAsia" w:ascii="仿宋" w:hAnsi="仿宋" w:eastAsia="仿宋" w:cs="仿宋"/>
          <w:color w:val="auto"/>
          <w:kern w:val="0"/>
          <w:sz w:val="27"/>
          <w:szCs w:val="27"/>
          <w:highlight w:val="none"/>
        </w:rPr>
        <w:t>格式六：</w:t>
      </w:r>
      <w:bookmarkEnd w:id="89"/>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施工项目管理团队人员信息表</w:t>
      </w:r>
    </w:p>
    <w:tbl>
      <w:tblPr>
        <w:tblStyle w:val="33"/>
        <w:tblW w:w="9180" w:type="dxa"/>
        <w:tblInd w:w="0" w:type="dxa"/>
        <w:tblLayout w:type="fixed"/>
        <w:tblCellMar>
          <w:top w:w="0" w:type="dxa"/>
          <w:left w:w="108" w:type="dxa"/>
          <w:bottom w:w="0" w:type="dxa"/>
          <w:right w:w="108" w:type="dxa"/>
        </w:tblCellMar>
      </w:tblPr>
      <w:tblGrid>
        <w:gridCol w:w="1242"/>
        <w:gridCol w:w="1744"/>
        <w:gridCol w:w="1549"/>
        <w:gridCol w:w="1417"/>
        <w:gridCol w:w="3228"/>
      </w:tblGrid>
      <w:tr>
        <w:tblPrEx>
          <w:tblCellMar>
            <w:top w:w="0" w:type="dxa"/>
            <w:left w:w="108" w:type="dxa"/>
            <w:bottom w:w="0" w:type="dxa"/>
            <w:right w:w="108" w:type="dxa"/>
          </w:tblCellMar>
        </w:tblPrEx>
        <w:trPr>
          <w:trHeight w:val="97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7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姓名</w:t>
            </w:r>
          </w:p>
        </w:tc>
        <w:tc>
          <w:tcPr>
            <w:tcW w:w="15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岗位</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职称</w:t>
            </w:r>
          </w:p>
        </w:tc>
        <w:tc>
          <w:tcPr>
            <w:tcW w:w="32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职称证书或资格证书编号</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7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3787" w:hRule="atLeast"/>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1、“岗位”要求</w:t>
            </w:r>
            <w:r>
              <w:rPr>
                <w:rFonts w:hint="eastAsia" w:ascii="仿宋" w:hAnsi="仿宋" w:eastAsia="仿宋" w:cs="仿宋"/>
                <w:b/>
                <w:bCs/>
                <w:color w:val="auto"/>
                <w:kern w:val="0"/>
                <w:szCs w:val="21"/>
                <w:highlight w:val="none"/>
              </w:rPr>
              <w:t>（除项目负责人和专职安全员外）</w:t>
            </w:r>
            <w:r>
              <w:rPr>
                <w:rFonts w:hint="eastAsia" w:ascii="仿宋" w:hAnsi="仿宋" w:eastAsia="仿宋" w:cs="仿宋"/>
                <w:color w:val="auto"/>
                <w:kern w:val="0"/>
                <w:szCs w:val="21"/>
                <w:highlight w:val="none"/>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110"/>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注：附相关的证明材料。</w:t>
      </w:r>
    </w:p>
    <w:p>
      <w:pPr>
        <w:topLinePunct/>
        <w:adjustRightInd w:val="0"/>
        <w:snapToGrid w:val="0"/>
        <w:rPr>
          <w:rFonts w:hint="eastAsia" w:ascii="仿宋" w:hAnsi="仿宋" w:eastAsia="仿宋" w:cs="仿宋"/>
          <w:color w:val="auto"/>
          <w:spacing w:val="4"/>
          <w:kern w:val="0"/>
          <w:szCs w:val="21"/>
          <w:highlight w:val="none"/>
        </w:rPr>
      </w:pPr>
    </w:p>
    <w:p>
      <w:pPr>
        <w:topLinePunct/>
        <w:adjustRightInd w:val="0"/>
        <w:snapToGrid w:val="0"/>
        <w:spacing w:line="276" w:lineRule="auto"/>
        <w:ind w:firstLine="3306" w:firstLineChars="1450"/>
        <w:jc w:val="left"/>
        <w:rPr>
          <w:rFonts w:hint="eastAsia" w:ascii="仿宋" w:hAnsi="仿宋" w:eastAsia="仿宋" w:cs="仿宋"/>
          <w:color w:val="auto"/>
          <w:spacing w:val="4"/>
          <w:kern w:val="0"/>
          <w:sz w:val="22"/>
          <w:highlight w:val="none"/>
        </w:rPr>
      </w:pPr>
      <w:r>
        <w:rPr>
          <w:rFonts w:hint="eastAsia" w:ascii="仿宋" w:hAnsi="仿宋" w:eastAsia="仿宋" w:cs="仿宋"/>
          <w:color w:val="auto"/>
          <w:spacing w:val="4"/>
          <w:kern w:val="0"/>
          <w:sz w:val="22"/>
          <w:highlight w:val="none"/>
        </w:rPr>
        <w:t>投标人：　　（盖章）</w:t>
      </w:r>
    </w:p>
    <w:p>
      <w:pPr>
        <w:topLinePunct/>
        <w:adjustRightInd w:val="0"/>
        <w:snapToGrid w:val="0"/>
        <w:spacing w:line="276" w:lineRule="auto"/>
        <w:ind w:firstLine="3306" w:firstLineChars="1450"/>
        <w:jc w:val="left"/>
        <w:rPr>
          <w:rFonts w:hint="eastAsia" w:ascii="仿宋" w:hAnsi="仿宋" w:eastAsia="仿宋" w:cs="仿宋"/>
          <w:color w:val="auto"/>
          <w:spacing w:val="4"/>
          <w:kern w:val="0"/>
          <w:sz w:val="22"/>
          <w:highlight w:val="none"/>
        </w:rPr>
      </w:pPr>
      <w:r>
        <w:rPr>
          <w:rFonts w:hint="eastAsia" w:ascii="仿宋" w:hAnsi="仿宋" w:eastAsia="仿宋" w:cs="仿宋"/>
          <w:color w:val="auto"/>
          <w:spacing w:val="4"/>
          <w:kern w:val="0"/>
          <w:sz w:val="22"/>
          <w:highlight w:val="none"/>
        </w:rPr>
        <w:t>法定代表人或授权代理人(签字或盖章)：</w:t>
      </w:r>
    </w:p>
    <w:p>
      <w:pPr>
        <w:autoSpaceDE w:val="0"/>
        <w:autoSpaceDN w:val="0"/>
        <w:adjustRightInd w:val="0"/>
        <w:spacing w:line="276" w:lineRule="auto"/>
        <w:ind w:firstLine="3306" w:firstLineChars="1450"/>
        <w:jc w:val="left"/>
        <w:rPr>
          <w:rFonts w:hint="eastAsia" w:ascii="仿宋" w:hAnsi="仿宋" w:eastAsia="仿宋" w:cs="仿宋"/>
          <w:color w:val="auto"/>
          <w:spacing w:val="4"/>
          <w:kern w:val="0"/>
          <w:sz w:val="22"/>
          <w:highlight w:val="none"/>
        </w:rPr>
      </w:pPr>
      <w:r>
        <w:rPr>
          <w:rFonts w:hint="eastAsia" w:ascii="仿宋" w:hAnsi="仿宋" w:eastAsia="仿宋" w:cs="仿宋"/>
          <w:color w:val="auto"/>
          <w:spacing w:val="4"/>
          <w:kern w:val="0"/>
          <w:sz w:val="22"/>
          <w:highlight w:val="none"/>
        </w:rPr>
        <w:t>日   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outlineLvl w:val="2"/>
        <w:rPr>
          <w:rFonts w:hint="eastAsia" w:ascii="仿宋" w:hAnsi="仿宋" w:eastAsia="仿宋" w:cs="仿宋"/>
          <w:color w:val="auto"/>
          <w:highlight w:val="none"/>
        </w:rPr>
      </w:pPr>
      <w:bookmarkStart w:id="90" w:name="_Toc23550"/>
      <w:r>
        <w:rPr>
          <w:rFonts w:hint="eastAsia" w:ascii="仿宋" w:hAnsi="仿宋" w:eastAsia="仿宋" w:cs="仿宋"/>
          <w:color w:val="auto"/>
          <w:kern w:val="0"/>
          <w:sz w:val="27"/>
          <w:szCs w:val="27"/>
          <w:highlight w:val="none"/>
        </w:rPr>
        <w:t>格式七：</w:t>
      </w:r>
      <w:bookmarkEnd w:id="90"/>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企业业绩信息表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0"/>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49" w:type="pct"/>
            <w:vMerge w:val="restart"/>
            <w:noWrap w:val="0"/>
            <w:vAlign w:val="center"/>
          </w:tcPr>
          <w:p>
            <w:pPr>
              <w:pStyle w:val="2"/>
              <w:jc w:val="center"/>
              <w:rPr>
                <w:rFonts w:hint="eastAsia" w:ascii="仿宋" w:hAnsi="仿宋" w:eastAsia="仿宋" w:cs="仿宋"/>
                <w:color w:val="auto"/>
                <w:kern w:val="2"/>
                <w:sz w:val="21"/>
                <w:highlight w:val="none"/>
                <w:lang w:val="en-US" w:eastAsia="zh-CN"/>
              </w:rPr>
            </w:pPr>
            <w:r>
              <w:rPr>
                <w:rFonts w:hint="eastAsia" w:ascii="仿宋" w:hAnsi="仿宋" w:eastAsia="仿宋" w:cs="仿宋"/>
                <w:bCs/>
                <w:color w:val="auto"/>
                <w:kern w:val="2"/>
                <w:sz w:val="24"/>
                <w:szCs w:val="24"/>
                <w:highlight w:val="none"/>
                <w:lang w:val="zh-CN" w:eastAsia="zh-CN"/>
              </w:rPr>
              <w:t>类似工程业绩</w:t>
            </w:r>
          </w:p>
        </w:tc>
        <w:tc>
          <w:tcPr>
            <w:tcW w:w="1249" w:type="pct"/>
            <w:noWrap w:val="0"/>
            <w:vAlign w:val="center"/>
          </w:tcPr>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金额</w:t>
            </w: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49" w:type="pct"/>
            <w:vMerge w:val="continue"/>
            <w:noWrap w:val="0"/>
            <w:vAlign w:val="center"/>
          </w:tcPr>
          <w:p>
            <w:pPr>
              <w:pStyle w:val="2"/>
              <w:jc w:val="center"/>
              <w:rPr>
                <w:rFonts w:hint="eastAsia" w:ascii="仿宋" w:hAnsi="仿宋" w:eastAsia="仿宋" w:cs="仿宋"/>
                <w:color w:val="auto"/>
                <w:kern w:val="2"/>
                <w:sz w:val="21"/>
                <w:highlight w:val="none"/>
                <w:lang w:val="en-US" w:eastAsia="zh-CN"/>
              </w:rPr>
            </w:pPr>
          </w:p>
        </w:tc>
        <w:tc>
          <w:tcPr>
            <w:tcW w:w="1249"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49" w:type="pct"/>
            <w:vMerge w:val="continue"/>
            <w:noWrap w:val="0"/>
            <w:vAlign w:val="center"/>
          </w:tcPr>
          <w:p>
            <w:pPr>
              <w:pStyle w:val="2"/>
              <w:jc w:val="center"/>
              <w:rPr>
                <w:rFonts w:hint="eastAsia" w:ascii="仿宋" w:hAnsi="仿宋" w:eastAsia="仿宋" w:cs="仿宋"/>
                <w:color w:val="auto"/>
                <w:kern w:val="2"/>
                <w:sz w:val="21"/>
                <w:highlight w:val="none"/>
                <w:lang w:val="en-US" w:eastAsia="zh-CN"/>
              </w:rPr>
            </w:pPr>
          </w:p>
        </w:tc>
        <w:tc>
          <w:tcPr>
            <w:tcW w:w="1249"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249" w:type="pct"/>
            <w:vMerge w:val="restart"/>
            <w:noWrap w:val="0"/>
            <w:vAlign w:val="center"/>
          </w:tcPr>
          <w:p>
            <w:pPr>
              <w:pStyle w:val="2"/>
              <w:jc w:val="center"/>
              <w:rPr>
                <w:rFonts w:hint="eastAsia" w:ascii="仿宋" w:hAnsi="仿宋" w:eastAsia="仿宋" w:cs="仿宋"/>
                <w:color w:val="auto"/>
                <w:kern w:val="2"/>
                <w:sz w:val="21"/>
                <w:highlight w:val="none"/>
                <w:lang w:val="en-US" w:eastAsia="zh-CN"/>
              </w:rPr>
            </w:pPr>
            <w:r>
              <w:rPr>
                <w:rFonts w:hint="eastAsia" w:ascii="仿宋" w:hAnsi="仿宋" w:eastAsia="仿宋" w:cs="仿宋"/>
                <w:bCs/>
                <w:color w:val="auto"/>
                <w:kern w:val="2"/>
                <w:sz w:val="24"/>
                <w:szCs w:val="24"/>
                <w:highlight w:val="none"/>
                <w:lang w:val="zh-CN" w:eastAsia="zh-CN"/>
              </w:rPr>
              <w:t>获奖情况</w:t>
            </w:r>
          </w:p>
        </w:tc>
        <w:tc>
          <w:tcPr>
            <w:tcW w:w="1249" w:type="pct"/>
            <w:noWrap w:val="0"/>
            <w:vAlign w:val="center"/>
          </w:tcPr>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所获奖项</w:t>
            </w:r>
          </w:p>
        </w:tc>
        <w:tc>
          <w:tcPr>
            <w:tcW w:w="1250" w:type="pct"/>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49" w:type="pct"/>
            <w:vMerge w:val="continue"/>
            <w:noWrap w:val="0"/>
            <w:vAlign w:val="top"/>
          </w:tcPr>
          <w:p>
            <w:pPr>
              <w:pStyle w:val="2"/>
              <w:rPr>
                <w:rFonts w:hint="eastAsia" w:ascii="仿宋" w:hAnsi="仿宋" w:eastAsia="仿宋" w:cs="仿宋"/>
                <w:color w:val="auto"/>
                <w:kern w:val="2"/>
                <w:sz w:val="21"/>
                <w:highlight w:val="none"/>
                <w:lang w:val="en-US" w:eastAsia="zh-CN"/>
              </w:rPr>
            </w:pPr>
          </w:p>
        </w:tc>
        <w:tc>
          <w:tcPr>
            <w:tcW w:w="1249" w:type="pct"/>
            <w:noWrap w:val="0"/>
            <w:vAlign w:val="top"/>
          </w:tcPr>
          <w:p>
            <w:pPr>
              <w:pStyle w:val="2"/>
              <w:rPr>
                <w:rFonts w:hint="eastAsia" w:ascii="仿宋" w:hAnsi="仿宋" w:eastAsia="仿宋" w:cs="仿宋"/>
                <w:color w:val="auto"/>
                <w:kern w:val="2"/>
                <w:sz w:val="21"/>
                <w:highlight w:val="none"/>
                <w:lang w:val="en-US" w:eastAsia="zh-CN"/>
              </w:rPr>
            </w:pPr>
          </w:p>
        </w:tc>
        <w:tc>
          <w:tcPr>
            <w:tcW w:w="1250" w:type="pct"/>
            <w:noWrap w:val="0"/>
            <w:vAlign w:val="top"/>
          </w:tcPr>
          <w:p>
            <w:pPr>
              <w:pStyle w:val="2"/>
              <w:rPr>
                <w:rFonts w:hint="eastAsia" w:ascii="仿宋" w:hAnsi="仿宋" w:eastAsia="仿宋" w:cs="仿宋"/>
                <w:color w:val="auto"/>
                <w:kern w:val="2"/>
                <w:sz w:val="21"/>
                <w:highlight w:val="none"/>
                <w:lang w:val="en-US" w:eastAsia="zh-CN"/>
              </w:rPr>
            </w:pPr>
          </w:p>
        </w:tc>
        <w:tc>
          <w:tcPr>
            <w:tcW w:w="1250" w:type="pct"/>
            <w:noWrap w:val="0"/>
            <w:vAlign w:val="top"/>
          </w:tcPr>
          <w:p>
            <w:pPr>
              <w:pStyle w:val="2"/>
              <w:rPr>
                <w:rFonts w:hint="eastAsia" w:ascii="仿宋" w:hAnsi="仿宋" w:eastAsia="仿宋" w:cs="仿宋"/>
                <w:color w:val="auto"/>
                <w:kern w:val="2"/>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249" w:type="pct"/>
            <w:vMerge w:val="continue"/>
            <w:noWrap w:val="0"/>
            <w:vAlign w:val="top"/>
          </w:tcPr>
          <w:p>
            <w:pPr>
              <w:pStyle w:val="2"/>
              <w:rPr>
                <w:rFonts w:hint="eastAsia" w:ascii="仿宋" w:hAnsi="仿宋" w:eastAsia="仿宋" w:cs="仿宋"/>
                <w:color w:val="auto"/>
                <w:kern w:val="2"/>
                <w:sz w:val="21"/>
                <w:highlight w:val="none"/>
                <w:lang w:val="en-US" w:eastAsia="zh-CN"/>
              </w:rPr>
            </w:pPr>
          </w:p>
        </w:tc>
        <w:tc>
          <w:tcPr>
            <w:tcW w:w="1249" w:type="pct"/>
            <w:noWrap w:val="0"/>
            <w:vAlign w:val="top"/>
          </w:tcPr>
          <w:p>
            <w:pPr>
              <w:pStyle w:val="2"/>
              <w:rPr>
                <w:rFonts w:hint="eastAsia" w:ascii="仿宋" w:hAnsi="仿宋" w:eastAsia="仿宋" w:cs="仿宋"/>
                <w:color w:val="auto"/>
                <w:kern w:val="2"/>
                <w:sz w:val="21"/>
                <w:highlight w:val="none"/>
                <w:lang w:val="en-US" w:eastAsia="zh-CN"/>
              </w:rPr>
            </w:pPr>
          </w:p>
        </w:tc>
        <w:tc>
          <w:tcPr>
            <w:tcW w:w="1250" w:type="pct"/>
            <w:noWrap w:val="0"/>
            <w:vAlign w:val="top"/>
          </w:tcPr>
          <w:p>
            <w:pPr>
              <w:pStyle w:val="2"/>
              <w:rPr>
                <w:rFonts w:hint="eastAsia" w:ascii="仿宋" w:hAnsi="仿宋" w:eastAsia="仿宋" w:cs="仿宋"/>
                <w:color w:val="auto"/>
                <w:kern w:val="2"/>
                <w:sz w:val="21"/>
                <w:highlight w:val="none"/>
                <w:lang w:val="en-US" w:eastAsia="zh-CN"/>
              </w:rPr>
            </w:pPr>
          </w:p>
        </w:tc>
        <w:tc>
          <w:tcPr>
            <w:tcW w:w="1250" w:type="pct"/>
            <w:noWrap w:val="0"/>
            <w:vAlign w:val="top"/>
          </w:tcPr>
          <w:p>
            <w:pPr>
              <w:pStyle w:val="2"/>
              <w:rPr>
                <w:rFonts w:hint="eastAsia" w:ascii="仿宋" w:hAnsi="仿宋" w:eastAsia="仿宋" w:cs="仿宋"/>
                <w:color w:val="auto"/>
                <w:kern w:val="2"/>
                <w:sz w:val="21"/>
                <w:highlight w:val="none"/>
                <w:lang w:val="en-US" w:eastAsia="zh-CN"/>
              </w:rPr>
            </w:pPr>
          </w:p>
        </w:tc>
      </w:tr>
    </w:tbl>
    <w:p>
      <w:pPr>
        <w:pStyle w:val="2"/>
        <w:rPr>
          <w:rFonts w:hint="eastAsia" w:ascii="仿宋" w:hAnsi="仿宋" w:eastAsia="仿宋" w:cs="仿宋"/>
          <w:color w:val="auto"/>
          <w:highlight w:val="none"/>
        </w:rPr>
      </w:pPr>
    </w:p>
    <w:p>
      <w:pPr>
        <w:pStyle w:val="5"/>
        <w:ind w:firstLine="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备注：投标人需根据招标文件要求提供相应证明材料。如投标人具有多项业绩的，表格可根据投标人的需要进行扩展，投标人应准确填写有关信息。</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jc w:val="center"/>
        <w:outlineLvl w:val="1"/>
        <w:rPr>
          <w:rFonts w:hint="eastAsia" w:ascii="仿宋" w:hAnsi="仿宋" w:eastAsia="仿宋" w:cs="仿宋"/>
          <w:bCs/>
          <w:color w:val="auto"/>
          <w:sz w:val="28"/>
          <w:szCs w:val="28"/>
          <w:highlight w:val="none"/>
        </w:rPr>
      </w:pPr>
      <w:bookmarkStart w:id="91" w:name="_Toc3190"/>
      <w:bookmarkStart w:id="92" w:name="_Toc26920"/>
      <w:r>
        <w:rPr>
          <w:rFonts w:hint="eastAsia" w:ascii="仿宋" w:hAnsi="仿宋" w:eastAsia="仿宋" w:cs="仿宋"/>
          <w:b/>
          <w:color w:val="auto"/>
          <w:sz w:val="28"/>
          <w:szCs w:val="28"/>
          <w:highlight w:val="none"/>
        </w:rPr>
        <w:t>二、投标文件经济标部分格式</w:t>
      </w:r>
      <w:bookmarkEnd w:id="91"/>
      <w:bookmarkEnd w:id="92"/>
    </w:p>
    <w:p>
      <w:pPr>
        <w:pStyle w:val="8"/>
        <w:rPr>
          <w:rFonts w:hint="eastAsia" w:ascii="仿宋" w:hAnsi="仿宋" w:eastAsia="仿宋" w:cs="仿宋"/>
          <w:color w:val="auto"/>
          <w:highlight w:val="none"/>
          <w:lang w:val="zh-CN"/>
        </w:rPr>
      </w:pPr>
      <w:bookmarkStart w:id="93" w:name="_Toc58838605"/>
      <w:bookmarkStart w:id="94" w:name="_Toc6493862"/>
      <w:bookmarkStart w:id="95" w:name="_Toc5981"/>
      <w:bookmarkStart w:id="96" w:name="_Toc31077"/>
      <w:bookmarkStart w:id="97" w:name="_Toc100130498"/>
      <w:bookmarkStart w:id="98" w:name="_Toc9057"/>
      <w:bookmarkStart w:id="99" w:name="_Toc60070633"/>
      <w:bookmarkStart w:id="100" w:name="_Toc17200"/>
      <w:bookmarkStart w:id="101" w:name="_Toc3419"/>
      <w:bookmarkStart w:id="102" w:name="_Toc26995"/>
      <w:r>
        <w:rPr>
          <w:rFonts w:hint="eastAsia" w:ascii="仿宋" w:hAnsi="仿宋" w:eastAsia="仿宋" w:cs="仿宋"/>
          <w:color w:val="auto"/>
          <w:highlight w:val="none"/>
        </w:rPr>
        <w:t>格式</w:t>
      </w:r>
      <w:bookmarkEnd w:id="93"/>
      <w:bookmarkEnd w:id="94"/>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w:t>
      </w:r>
      <w:bookmarkEnd w:id="95"/>
      <w:bookmarkEnd w:id="96"/>
      <w:bookmarkEnd w:id="97"/>
      <w:bookmarkEnd w:id="98"/>
      <w:bookmarkEnd w:id="99"/>
      <w:bookmarkEnd w:id="100"/>
      <w:bookmarkEnd w:id="101"/>
      <w:bookmarkEnd w:id="102"/>
    </w:p>
    <w:p>
      <w:pPr>
        <w:jc w:val="center"/>
        <w:rPr>
          <w:rFonts w:hint="eastAsia" w:ascii="仿宋" w:hAnsi="仿宋" w:eastAsia="仿宋" w:cs="仿宋"/>
          <w:b/>
          <w:color w:val="auto"/>
          <w:sz w:val="36"/>
          <w:szCs w:val="36"/>
          <w:highlight w:val="none"/>
        </w:rPr>
      </w:pPr>
      <w:bookmarkStart w:id="103" w:name="_Toc58838606"/>
      <w:r>
        <w:rPr>
          <w:rFonts w:hint="eastAsia" w:ascii="仿宋" w:hAnsi="仿宋" w:eastAsia="仿宋" w:cs="仿宋"/>
          <w:b/>
          <w:color w:val="auto"/>
          <w:sz w:val="36"/>
          <w:szCs w:val="36"/>
          <w:highlight w:val="none"/>
        </w:rPr>
        <w:t>广州建设工程施工招标投标书（经济标）</w:t>
      </w:r>
      <w:bookmarkEnd w:id="103"/>
    </w:p>
    <w:tbl>
      <w:tblPr>
        <w:tblStyle w:val="33"/>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仿宋" w:hAnsi="仿宋" w:eastAsia="仿宋" w:cs="仿宋"/>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大写：</w:t>
            </w:r>
            <w:r>
              <w:rPr>
                <w:rFonts w:hint="eastAsia" w:ascii="仿宋" w:hAnsi="仿宋" w:eastAsia="仿宋" w:cs="仿宋"/>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小写：</w:t>
            </w:r>
            <w:r>
              <w:rPr>
                <w:rFonts w:hint="eastAsia" w:ascii="仿宋" w:hAnsi="仿宋" w:eastAsia="仿宋" w:cs="仿宋"/>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zh-CN"/>
              </w:rPr>
              <w:t>其中：</w:t>
            </w:r>
            <w:r>
              <w:rPr>
                <w:rFonts w:hint="eastAsia" w:ascii="仿宋" w:hAnsi="仿宋" w:eastAsia="仿宋" w:cs="仿宋"/>
                <w:bCs/>
                <w:color w:val="auto"/>
                <w:sz w:val="24"/>
                <w:szCs w:val="24"/>
                <w:highlight w:val="none"/>
                <w:lang w:val="zh-CN"/>
              </w:rPr>
              <w:t>人工费</w:t>
            </w:r>
            <w:r>
              <w:rPr>
                <w:rFonts w:hint="eastAsia" w:ascii="仿宋" w:hAnsi="仿宋" w:eastAsia="仿宋" w:cs="仿宋"/>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大写：</w:t>
            </w:r>
            <w:r>
              <w:rPr>
                <w:rFonts w:hint="eastAsia" w:ascii="仿宋" w:hAnsi="仿宋" w:eastAsia="仿宋" w:cs="仿宋"/>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小写：</w:t>
            </w:r>
            <w:r>
              <w:rPr>
                <w:rFonts w:hint="eastAsia" w:ascii="仿宋" w:hAnsi="仿宋" w:eastAsia="仿宋" w:cs="仿宋"/>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color w:val="auto"/>
                <w:sz w:val="24"/>
                <w:szCs w:val="24"/>
                <w:highlight w:val="none"/>
                <w:lang w:val="zh-CN"/>
              </w:rPr>
            </w:pPr>
            <w:r>
              <w:rPr>
                <w:rFonts w:hint="eastAsia" w:ascii="仿宋" w:hAnsi="仿宋" w:eastAsia="仿宋" w:cs="仿宋"/>
                <w:bCs/>
                <w:color w:val="auto"/>
                <w:sz w:val="24"/>
                <w:szCs w:val="24"/>
                <w:highlight w:val="none"/>
                <w:lang w:val="zh-CN"/>
              </w:rPr>
              <w:t>其中：</w:t>
            </w:r>
            <w:r>
              <w:rPr>
                <w:rFonts w:hint="eastAsia" w:ascii="仿宋" w:hAnsi="仿宋" w:eastAsia="仿宋" w:cs="仿宋"/>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大写：</w:t>
            </w:r>
            <w:r>
              <w:rPr>
                <w:rFonts w:hint="eastAsia" w:ascii="仿宋" w:hAnsi="仿宋" w:eastAsia="仿宋" w:cs="仿宋"/>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小写：</w:t>
            </w:r>
            <w:r>
              <w:rPr>
                <w:rFonts w:hint="eastAsia" w:ascii="仿宋" w:hAnsi="仿宋" w:eastAsia="仿宋" w:cs="仿宋"/>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其中： 暂列金额</w:t>
            </w:r>
            <w:r>
              <w:rPr>
                <w:rFonts w:hint="eastAsia" w:ascii="仿宋" w:hAnsi="仿宋" w:eastAsia="仿宋" w:cs="仿宋"/>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大写：</w:t>
            </w:r>
            <w:r>
              <w:rPr>
                <w:rFonts w:hint="eastAsia" w:ascii="仿宋" w:hAnsi="仿宋" w:eastAsia="仿宋" w:cs="仿宋"/>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小写：</w:t>
            </w:r>
            <w:r>
              <w:rPr>
                <w:rFonts w:hint="eastAsia" w:ascii="仿宋" w:hAnsi="仿宋" w:eastAsia="仿宋" w:cs="仿宋"/>
                <w:bCs/>
                <w:color w:val="auto"/>
                <w:sz w:val="24"/>
                <w:szCs w:val="24"/>
                <w:highlight w:val="none"/>
                <w:lang w:val="zh-CN"/>
              </w:rPr>
              <w:t xml:space="preserve"> </w:t>
            </w:r>
          </w:p>
        </w:tc>
      </w:tr>
    </w:tbl>
    <w:p>
      <w:pPr>
        <w:pStyle w:val="5"/>
        <w:spacing w:after="0" w:line="360" w:lineRule="auto"/>
        <w:ind w:left="-2" w:leftChars="-1" w:firstLineChars="175"/>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p>
    <w:p>
      <w:pPr>
        <w:outlineLvl w:val="2"/>
        <w:rPr>
          <w:rFonts w:hint="eastAsia" w:ascii="仿宋" w:hAnsi="仿宋" w:eastAsia="仿宋" w:cs="仿宋"/>
          <w:color w:val="auto"/>
          <w:kern w:val="0"/>
          <w:sz w:val="27"/>
          <w:szCs w:val="27"/>
          <w:highlight w:val="none"/>
          <w:lang w:val="en-US" w:eastAsia="zh-CN" w:bidi="ar-SA"/>
        </w:rPr>
      </w:pPr>
      <w:bookmarkStart w:id="104" w:name="_Toc100130499"/>
      <w:bookmarkStart w:id="105" w:name="_Toc22913"/>
      <w:bookmarkStart w:id="106" w:name="_Toc5265"/>
      <w:bookmarkStart w:id="107" w:name="_Toc60070635"/>
      <w:bookmarkStart w:id="108" w:name="_Toc32190"/>
      <w:bookmarkStart w:id="109" w:name="_Toc18260"/>
      <w:bookmarkStart w:id="110" w:name="_Toc9770"/>
      <w:r>
        <w:rPr>
          <w:rFonts w:hint="eastAsia" w:ascii="仿宋" w:hAnsi="仿宋" w:eastAsia="仿宋" w:cs="仿宋"/>
          <w:color w:val="auto"/>
          <w:kern w:val="0"/>
          <w:sz w:val="27"/>
          <w:szCs w:val="27"/>
          <w:highlight w:val="none"/>
          <w:lang w:val="en-US" w:eastAsia="zh-CN" w:bidi="ar-SA"/>
        </w:rPr>
        <w:t>格式九：</w:t>
      </w:r>
      <w:bookmarkEnd w:id="104"/>
      <w:bookmarkEnd w:id="105"/>
      <w:bookmarkEnd w:id="106"/>
      <w:bookmarkEnd w:id="107"/>
      <w:bookmarkEnd w:id="108"/>
      <w:bookmarkEnd w:id="109"/>
      <w:bookmarkEnd w:id="110"/>
    </w:p>
    <w:p>
      <w:pPr>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对投标文件编制的承诺</w:t>
      </w:r>
    </w:p>
    <w:p>
      <w:pPr>
        <w:pStyle w:val="5"/>
        <w:spacing w:after="0" w:line="360" w:lineRule="auto"/>
        <w:ind w:left="-2" w:leftChars="-1"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本公司授权</w:t>
      </w:r>
      <w:r>
        <w:rPr>
          <w:rFonts w:hint="eastAsia" w:ascii="仿宋" w:hAnsi="仿宋" w:eastAsia="仿宋" w:cs="仿宋"/>
          <w:color w:val="auto"/>
          <w:sz w:val="24"/>
          <w:szCs w:val="24"/>
          <w:highlight w:val="none"/>
          <w:u w:val="single"/>
        </w:rPr>
        <w:t xml:space="preserve">         （身份证号：               ）</w:t>
      </w:r>
      <w:r>
        <w:rPr>
          <w:rFonts w:hint="eastAsia" w:ascii="仿宋" w:hAnsi="仿宋" w:eastAsia="仿宋" w:cs="仿宋"/>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5"/>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附件：《投标文件编制情况》</w:t>
      </w:r>
    </w:p>
    <w:p>
      <w:pPr>
        <w:spacing w:line="360" w:lineRule="auto"/>
        <w:ind w:right="90" w:firstLine="4920" w:firstLineChars="20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投标人名称：</w:t>
      </w:r>
      <w:r>
        <w:rPr>
          <w:rFonts w:hint="eastAsia" w:ascii="仿宋" w:hAnsi="仿宋" w:eastAsia="仿宋" w:cs="仿宋"/>
          <w:color w:val="auto"/>
          <w:sz w:val="24"/>
          <w:szCs w:val="24"/>
          <w:highlight w:val="none"/>
          <w:u w:val="single"/>
        </w:rPr>
        <w:t xml:space="preserve">                   </w:t>
      </w:r>
    </w:p>
    <w:p>
      <w:pPr>
        <w:spacing w:line="360" w:lineRule="auto"/>
        <w:ind w:firstLine="4440" w:firstLineChars="18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 </w:t>
      </w: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24"/>
          <w:szCs w:val="24"/>
          <w:highlight w:val="none"/>
        </w:rPr>
        <w:t xml:space="preserve">    </w:t>
      </w:r>
    </w:p>
    <w:p>
      <w:pPr>
        <w:pStyle w:val="5"/>
        <w:spacing w:after="0" w:line="360" w:lineRule="auto"/>
        <w:ind w:firstLine="0"/>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outlineLvl w:val="2"/>
        <w:rPr>
          <w:rFonts w:hint="eastAsia" w:ascii="仿宋" w:hAnsi="仿宋" w:eastAsia="仿宋" w:cs="仿宋"/>
          <w:b/>
          <w:color w:val="auto"/>
          <w:sz w:val="32"/>
          <w:szCs w:val="32"/>
          <w:highlight w:val="none"/>
        </w:rPr>
      </w:pPr>
      <w:bookmarkStart w:id="111" w:name="_Toc22641"/>
      <w:r>
        <w:rPr>
          <w:rFonts w:hint="eastAsia" w:ascii="仿宋" w:hAnsi="仿宋" w:eastAsia="仿宋" w:cs="仿宋"/>
          <w:color w:val="auto"/>
          <w:kern w:val="0"/>
          <w:sz w:val="27"/>
          <w:szCs w:val="27"/>
          <w:highlight w:val="none"/>
          <w:lang w:val="en-US" w:eastAsia="zh-CN" w:bidi="ar-SA"/>
        </w:rPr>
        <w:t>格式十：</w:t>
      </w:r>
      <w:bookmarkEnd w:id="111"/>
    </w:p>
    <w:p>
      <w:pPr>
        <w:pStyle w:val="5"/>
        <w:spacing w:after="0" w:line="360" w:lineRule="auto"/>
        <w:ind w:firstLine="643" w:firstLineChars="200"/>
        <w:jc w:val="center"/>
        <w:rPr>
          <w:rFonts w:hint="eastAsia" w:ascii="仿宋" w:hAnsi="仿宋" w:eastAsia="仿宋" w:cs="仿宋"/>
          <w:color w:val="auto"/>
          <w:sz w:val="18"/>
          <w:szCs w:val="18"/>
          <w:highlight w:val="none"/>
        </w:rPr>
      </w:pPr>
      <w:r>
        <w:rPr>
          <w:rFonts w:hint="eastAsia" w:ascii="仿宋" w:hAnsi="仿宋" w:eastAsia="仿宋" w:cs="仿宋"/>
          <w:b/>
          <w:color w:val="auto"/>
          <w:sz w:val="32"/>
          <w:szCs w:val="32"/>
          <w:highlight w:val="none"/>
        </w:rPr>
        <w:t>投标文件编制情况</w:t>
      </w:r>
    </w:p>
    <w:p>
      <w:pPr>
        <w:pStyle w:val="5"/>
        <w:spacing w:after="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1.投标文件报价编制方式： □自行编制的，编制的负责人：</w:t>
      </w:r>
      <w:r>
        <w:rPr>
          <w:rFonts w:hint="eastAsia" w:ascii="仿宋" w:hAnsi="仿宋" w:eastAsia="仿宋" w:cs="仿宋"/>
          <w:color w:val="auto"/>
          <w:sz w:val="24"/>
          <w:szCs w:val="24"/>
          <w:highlight w:val="none"/>
          <w:u w:val="single"/>
        </w:rPr>
        <w:t xml:space="preserve"> （盖造价工程师执业专用章或全国建设工程造价员章，执业单位应与投标人一致） </w:t>
      </w:r>
      <w:r>
        <w:rPr>
          <w:rFonts w:hint="eastAsia" w:ascii="仿宋" w:hAnsi="仿宋" w:eastAsia="仿宋" w:cs="仿宋"/>
          <w:color w:val="auto"/>
          <w:sz w:val="24"/>
          <w:szCs w:val="24"/>
          <w:highlight w:val="none"/>
        </w:rPr>
        <w:t>。□委托编制的，受委托单位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，编制的负责人：</w:t>
      </w:r>
      <w:r>
        <w:rPr>
          <w:rFonts w:hint="eastAsia" w:ascii="仿宋" w:hAnsi="仿宋" w:eastAsia="仿宋" w:cs="仿宋"/>
          <w:color w:val="auto"/>
          <w:sz w:val="24"/>
          <w:szCs w:val="24"/>
          <w:highlight w:val="none"/>
          <w:u w:val="single"/>
        </w:rPr>
        <w:t xml:space="preserve"> （盖造价工程师执业专用章或全国建设工程造价员章，执业单位应与受委托单位一致） </w:t>
      </w:r>
      <w:r>
        <w:rPr>
          <w:rFonts w:hint="eastAsia" w:ascii="仿宋" w:hAnsi="仿宋" w:eastAsia="仿宋" w:cs="仿宋"/>
          <w:color w:val="auto"/>
          <w:sz w:val="24"/>
          <w:szCs w:val="24"/>
          <w:highlight w:val="none"/>
        </w:rPr>
        <w:t>。</w:t>
      </w:r>
    </w:p>
    <w:p>
      <w:pPr>
        <w:pStyle w:val="5"/>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2.投标文件加密打包的电脑情况</w:t>
      </w:r>
    </w:p>
    <w:tbl>
      <w:tblPr>
        <w:tblStyle w:val="33"/>
        <w:tblW w:w="9320" w:type="dxa"/>
        <w:tblInd w:w="0" w:type="dxa"/>
        <w:tblLayout w:type="fixed"/>
        <w:tblCellMar>
          <w:top w:w="0" w:type="dxa"/>
          <w:left w:w="108" w:type="dxa"/>
          <w:bottom w:w="0" w:type="dxa"/>
          <w:right w:w="108" w:type="dxa"/>
        </w:tblCellMar>
      </w:tblPr>
      <w:tblGrid>
        <w:gridCol w:w="9320"/>
      </w:tblGrid>
      <w:tr>
        <w:tblPrEx>
          <w:tblCellMar>
            <w:top w:w="0" w:type="dxa"/>
            <w:left w:w="108" w:type="dxa"/>
            <w:bottom w:w="0" w:type="dxa"/>
            <w:right w:w="108" w:type="dxa"/>
          </w:tblCellMar>
        </w:tblPrEx>
        <w:trPr>
          <w:trHeight w:val="3269" w:hRule="atLeast"/>
        </w:trPr>
        <w:tc>
          <w:tcPr>
            <w:tcW w:w="9320" w:type="dxa"/>
            <w:shd w:val="clear" w:color="auto" w:fill="auto"/>
          </w:tcPr>
          <w:p>
            <w:pPr>
              <w:pStyle w:val="5"/>
              <w:spacing w:after="0"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投标文件加密打包的电脑     自有    □      外包    □     其他    □</w:t>
            </w:r>
          </w:p>
          <w:p>
            <w:pPr>
              <w:pStyle w:val="5"/>
              <w:spacing w:after="0"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电脑类型</w:t>
            </w:r>
          </w:p>
          <w:p>
            <w:pPr>
              <w:pStyle w:val="5"/>
              <w:spacing w:after="0"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电脑所属单位</w:t>
            </w:r>
          </w:p>
          <w:p>
            <w:pPr>
              <w:pStyle w:val="5"/>
              <w:spacing w:after="0"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电脑所在地址        （如××市××区（县） ××街（路）××号××大厦××房）</w:t>
            </w:r>
          </w:p>
        </w:tc>
      </w:tr>
    </w:tbl>
    <w:p>
      <w:pPr>
        <w:spacing w:line="360" w:lineRule="auto"/>
        <w:rPr>
          <w:rFonts w:hint="eastAsia" w:ascii="仿宋" w:hAnsi="仿宋" w:eastAsia="仿宋" w:cs="仿宋"/>
          <w:color w:val="auto"/>
          <w:sz w:val="24"/>
          <w:szCs w:val="24"/>
          <w:highlight w:val="none"/>
        </w:rPr>
      </w:pPr>
    </w:p>
    <w:p>
      <w:pPr>
        <w:spacing w:line="320" w:lineRule="exact"/>
        <w:rPr>
          <w:rFonts w:hint="eastAsia" w:ascii="仿宋" w:hAnsi="仿宋" w:eastAsia="仿宋" w:cs="仿宋"/>
          <w:color w:val="auto"/>
          <w:szCs w:val="21"/>
          <w:highlight w:val="none"/>
        </w:rPr>
      </w:pPr>
    </w:p>
    <w:p>
      <w:pPr>
        <w:rPr>
          <w:rStyle w:val="57"/>
          <w:rFonts w:hint="eastAsia" w:ascii="仿宋" w:hAnsi="仿宋" w:eastAsia="仿宋" w:cs="仿宋"/>
          <w:color w:val="auto"/>
          <w:highlight w:val="none"/>
        </w:rPr>
      </w:pPr>
      <w:bookmarkStart w:id="112" w:name="_Toc2272568"/>
      <w:bookmarkStart w:id="113" w:name="_Toc21525513"/>
      <w:r>
        <w:rPr>
          <w:rStyle w:val="57"/>
          <w:rFonts w:hint="eastAsia" w:ascii="仿宋" w:hAnsi="仿宋" w:eastAsia="仿宋" w:cs="仿宋"/>
          <w:color w:val="auto"/>
          <w:highlight w:val="none"/>
        </w:rPr>
        <w:br w:type="page"/>
      </w:r>
    </w:p>
    <w:p>
      <w:pPr>
        <w:pStyle w:val="8"/>
        <w:rPr>
          <w:rFonts w:hint="eastAsia" w:ascii="仿宋" w:hAnsi="仿宋" w:eastAsia="仿宋" w:cs="仿宋"/>
          <w:color w:val="auto"/>
          <w:highlight w:val="none"/>
        </w:rPr>
      </w:pPr>
      <w:bookmarkStart w:id="114" w:name="_Toc5733"/>
      <w:bookmarkStart w:id="115" w:name="_Toc25799"/>
      <w:bookmarkStart w:id="116" w:name="_Toc3052"/>
      <w:r>
        <w:rPr>
          <w:rFonts w:hint="eastAsia" w:ascii="仿宋" w:hAnsi="仿宋" w:eastAsia="仿宋" w:cs="仿宋"/>
          <w:color w:val="auto"/>
          <w:highlight w:val="none"/>
        </w:rPr>
        <w:t>格式十</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w:t>
      </w:r>
      <w:bookmarkEnd w:id="114"/>
      <w:bookmarkEnd w:id="115"/>
      <w:bookmarkEnd w:id="116"/>
    </w:p>
    <w:p>
      <w:pPr>
        <w:jc w:val="center"/>
        <w:rPr>
          <w:rFonts w:hint="eastAsia" w:ascii="仿宋" w:hAnsi="仿宋" w:eastAsia="仿宋" w:cs="仿宋"/>
          <w:b/>
          <w:color w:val="auto"/>
          <w:sz w:val="36"/>
          <w:szCs w:val="36"/>
          <w:highlight w:val="none"/>
        </w:rPr>
      </w:pPr>
      <w:bookmarkStart w:id="117" w:name="_Toc58838608"/>
      <w:r>
        <w:rPr>
          <w:rFonts w:hint="eastAsia" w:ascii="仿宋" w:hAnsi="仿宋" w:eastAsia="仿宋" w:cs="仿宋"/>
          <w:b/>
          <w:color w:val="auto"/>
          <w:sz w:val="36"/>
          <w:szCs w:val="36"/>
          <w:highlight w:val="none"/>
        </w:rPr>
        <w:t>参与编制经济标投标文件人员名单</w:t>
      </w:r>
      <w:bookmarkEnd w:id="117"/>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499"/>
        <w:gridCol w:w="2562"/>
        <w:gridCol w:w="245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tabs>
                <w:tab w:val="left" w:pos="72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所承担工作</w:t>
            </w: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80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79"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1321"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c>
          <w:tcPr>
            <w:tcW w:w="797" w:type="pct"/>
            <w:noWrap w:val="0"/>
            <w:vAlign w:val="center"/>
          </w:tcPr>
          <w:p>
            <w:pPr>
              <w:tabs>
                <w:tab w:val="left" w:pos="720"/>
              </w:tabs>
              <w:snapToGrid w:val="0"/>
              <w:jc w:val="center"/>
              <w:rPr>
                <w:rFonts w:hint="eastAsia" w:ascii="仿宋" w:hAnsi="仿宋" w:eastAsia="仿宋" w:cs="仿宋"/>
                <w:color w:val="auto"/>
                <w:sz w:val="24"/>
                <w:szCs w:val="24"/>
                <w:highlight w:val="none"/>
              </w:rPr>
            </w:pPr>
          </w:p>
        </w:tc>
      </w:tr>
    </w:tbl>
    <w:p>
      <w:pPr>
        <w:tabs>
          <w:tab w:val="left" w:pos="720"/>
        </w:tabs>
        <w:snapToGrid w:val="0"/>
        <w:rPr>
          <w:rFonts w:hint="eastAsia" w:ascii="仿宋" w:hAnsi="仿宋" w:eastAsia="仿宋" w:cs="仿宋"/>
          <w:color w:val="auto"/>
          <w:sz w:val="24"/>
          <w:szCs w:val="24"/>
          <w:highlight w:val="none"/>
        </w:rPr>
      </w:pPr>
    </w:p>
    <w:p>
      <w:pPr>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注：参与编制经济标书所有人员名单应包括如编制各种专业工程量清单投标报价、负责清样校对、负责打印及复印等所有人员在内的人员名单。</w:t>
      </w:r>
    </w:p>
    <w:p>
      <w:pPr>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br w:type="page"/>
      </w:r>
    </w:p>
    <w:p>
      <w:pPr>
        <w:snapToGrid/>
        <w:spacing w:line="360" w:lineRule="auto"/>
        <w:ind w:firstLine="0" w:firstLineChars="0"/>
        <w:jc w:val="both"/>
        <w:outlineLvl w:val="2"/>
        <w:rPr>
          <w:rFonts w:hint="eastAsia" w:ascii="仿宋" w:hAnsi="仿宋" w:eastAsia="仿宋" w:cs="仿宋"/>
          <w:color w:val="auto"/>
          <w:sz w:val="24"/>
          <w:szCs w:val="20"/>
          <w:highlight w:val="none"/>
        </w:rPr>
      </w:pPr>
      <w:bookmarkStart w:id="118" w:name="_Toc245"/>
      <w:r>
        <w:rPr>
          <w:rFonts w:hint="eastAsia" w:ascii="仿宋" w:hAnsi="仿宋" w:eastAsia="仿宋" w:cs="仿宋"/>
          <w:bCs w:val="0"/>
          <w:snapToGrid w:val="0"/>
          <w:color w:val="auto"/>
          <w:spacing w:val="4"/>
          <w:kern w:val="0"/>
          <w:sz w:val="24"/>
          <w:szCs w:val="20"/>
          <w:highlight w:val="none"/>
          <w:u w:val="single"/>
          <w:lang w:val="en-US" w:eastAsia="zh-CN"/>
        </w:rPr>
        <w:t>格式十二：</w:t>
      </w:r>
      <w:bookmarkEnd w:id="118"/>
    </w:p>
    <w:p>
      <w:pPr>
        <w:tabs>
          <w:tab w:val="left" w:pos="720"/>
        </w:tabs>
        <w:snapToGrid w:val="0"/>
        <w:spacing w:line="360" w:lineRule="auto"/>
        <w:ind w:firstLine="0" w:firstLineChars="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如有</w:t>
      </w:r>
      <w:r>
        <w:rPr>
          <w:rFonts w:hint="eastAsia" w:ascii="仿宋" w:hAnsi="仿宋" w:eastAsia="仿宋" w:cs="仿宋"/>
          <w:b/>
          <w:color w:val="auto"/>
          <w:sz w:val="32"/>
          <w:szCs w:val="32"/>
          <w:highlight w:val="none"/>
          <w:lang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line="460" w:lineRule="exact"/>
        <w:ind w:firstLine="0" w:firstLineChars="0"/>
        <w:jc w:val="center"/>
        <w:textAlignment w:val="auto"/>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本公司郑重声明，根据《政府采购促进中小企业发展管理办法》（财库﹝2020﹞46号）的规定，本公司参加</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的</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（项目名称）</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lang w:val="en-US" w:eastAsia="zh-CN"/>
        </w:rPr>
        <w:t>招标</w:t>
      </w:r>
      <w:r>
        <w:rPr>
          <w:rFonts w:hint="eastAsia" w:ascii="仿宋" w:hAnsi="仿宋" w:eastAsia="仿宋" w:cs="仿宋"/>
          <w:color w:val="auto"/>
          <w:sz w:val="24"/>
          <w:szCs w:val="20"/>
          <w:highlight w:val="none"/>
        </w:rPr>
        <w:t>活动，工程的施工单位全部为符合政策要求的中小企业。相关企业的具体情况如下：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（项目名称）</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，属于</w:t>
      </w:r>
      <w:r>
        <w:rPr>
          <w:rFonts w:hint="eastAsia" w:ascii="仿宋" w:hAnsi="仿宋" w:eastAsia="仿宋" w:cs="仿宋"/>
          <w:color w:val="auto"/>
          <w:sz w:val="24"/>
          <w:szCs w:val="20"/>
          <w:highlight w:val="none"/>
          <w:u w:val="single"/>
        </w:rPr>
        <w:t>建筑业</w:t>
      </w:r>
      <w:r>
        <w:rPr>
          <w:rFonts w:hint="eastAsia" w:ascii="仿宋" w:hAnsi="仿宋" w:eastAsia="仿宋" w:cs="仿宋"/>
          <w:color w:val="auto"/>
          <w:sz w:val="24"/>
          <w:szCs w:val="20"/>
          <w:highlight w:val="none"/>
        </w:rPr>
        <w:t>；承建（承接）企业为</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（企业名称）</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，从业人员</w:t>
      </w:r>
      <w:r>
        <w:rPr>
          <w:rFonts w:hint="eastAsia" w:ascii="仿宋" w:hAnsi="仿宋" w:eastAsia="仿宋" w:cs="仿宋"/>
          <w:color w:val="auto"/>
          <w:sz w:val="24"/>
          <w:szCs w:val="20"/>
          <w:highlight w:val="none"/>
          <w:u w:val="single"/>
          <w:lang w:eastAsia="zh-CN"/>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人，营业收入为</w:t>
      </w:r>
      <w:r>
        <w:rPr>
          <w:rFonts w:hint="eastAsia" w:ascii="仿宋" w:hAnsi="仿宋" w:eastAsia="仿宋" w:cs="仿宋"/>
          <w:color w:val="auto"/>
          <w:sz w:val="24"/>
          <w:szCs w:val="20"/>
          <w:highlight w:val="none"/>
          <w:u w:val="single"/>
          <w:lang w:eastAsia="zh-CN"/>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万元，资产总额为</w:t>
      </w:r>
      <w:r>
        <w:rPr>
          <w:rFonts w:hint="eastAsia" w:ascii="仿宋" w:hAnsi="仿宋" w:eastAsia="仿宋" w:cs="仿宋"/>
          <w:color w:val="auto"/>
          <w:sz w:val="24"/>
          <w:szCs w:val="20"/>
          <w:highlight w:val="none"/>
          <w:u w:val="single"/>
          <w:lang w:eastAsia="zh-CN"/>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万元，属于</w:t>
      </w:r>
      <w:r>
        <w:rPr>
          <w:rFonts w:hint="eastAsia" w:ascii="仿宋" w:hAnsi="仿宋" w:eastAsia="仿宋" w:cs="仿宋"/>
          <w:color w:val="auto"/>
          <w:sz w:val="24"/>
          <w:szCs w:val="20"/>
          <w:highlight w:val="none"/>
          <w:u w:val="single"/>
        </w:rPr>
        <w:t>（□小型企业、□微型企业）</w:t>
      </w:r>
      <w:r>
        <w:rPr>
          <w:rFonts w:hint="eastAsia" w:ascii="仿宋" w:hAnsi="仿宋" w:eastAsia="仿宋" w:cs="仿宋"/>
          <w:color w:val="auto"/>
          <w:sz w:val="24"/>
          <w:szCs w:val="20"/>
          <w:highlight w:val="none"/>
        </w:rPr>
        <w:t>；在本项目中拟承担工作，在本项目的合同份额占合同总金额</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pStyle w:val="2"/>
        <w:keepNext w:val="0"/>
        <w:keepLines w:val="0"/>
        <w:pageBreakBefore w:val="0"/>
        <w:widowControl w:val="0"/>
        <w:kinsoku/>
        <w:wordWrap/>
        <w:overflowPunct/>
        <w:topLinePunct w:val="0"/>
        <w:autoSpaceDE/>
        <w:autoSpaceDN/>
        <w:bidi w:val="0"/>
        <w:adjustRightInd/>
        <w:spacing w:line="460" w:lineRule="exact"/>
        <w:ind w:left="4620" w:leftChars="2200" w:firstLine="0" w:firstLineChars="0"/>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4620" w:leftChars="2200" w:firstLine="0" w:firstLineChars="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投标人</w:t>
      </w:r>
      <w:r>
        <w:rPr>
          <w:rFonts w:hint="eastAsia" w:ascii="仿宋" w:hAnsi="仿宋" w:eastAsia="仿宋" w:cs="仿宋"/>
          <w:color w:val="auto"/>
          <w:sz w:val="24"/>
          <w:szCs w:val="20"/>
          <w:highlight w:val="none"/>
        </w:rPr>
        <w:t>名称（盖章</w:t>
      </w:r>
      <w:r>
        <w:rPr>
          <w:rFonts w:hint="eastAsia" w:ascii="仿宋" w:hAnsi="仿宋" w:eastAsia="仿宋" w:cs="仿宋"/>
          <w:color w:val="auto"/>
          <w:sz w:val="24"/>
          <w:szCs w:val="20"/>
          <w:highlight w:val="none"/>
          <w:lang w:val="en-US" w:eastAsia="zh-CN"/>
        </w:rPr>
        <w:t>或电子印章</w:t>
      </w:r>
      <w:r>
        <w:rPr>
          <w:rFonts w:hint="eastAsia" w:ascii="仿宋" w:hAnsi="仿宋" w:eastAsia="仿宋" w:cs="仿宋"/>
          <w:color w:val="auto"/>
          <w:sz w:val="24"/>
          <w:szCs w:val="20"/>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4620" w:leftChars="2200" w:firstLine="0" w:firstLineChars="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日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期：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年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月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color w:val="auto"/>
          <w:sz w:val="24"/>
          <w:szCs w:val="20"/>
          <w:highlight w:val="none"/>
        </w:rPr>
      </w:pPr>
    </w:p>
    <w:p>
      <w:pPr>
        <w:pStyle w:val="2"/>
        <w:rPr>
          <w:rFonts w:hint="eastAsia" w:ascii="仿宋" w:hAnsi="仿宋" w:eastAsia="仿宋" w:cs="仿宋"/>
          <w:color w:val="auto"/>
          <w:sz w:val="24"/>
          <w:szCs w:val="20"/>
          <w:highlight w:val="none"/>
        </w:rPr>
      </w:pPr>
    </w:p>
    <w:p>
      <w:pPr>
        <w:snapToGrid/>
        <w:spacing w:line="360" w:lineRule="auto"/>
        <w:ind w:firstLine="422" w:firstLineChars="20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vertAlign w:val="baseline"/>
          <w:lang w:val="en-US" w:eastAsia="zh-CN"/>
        </w:rPr>
        <w:t>注：1、</w:t>
      </w:r>
      <w:r>
        <w:rPr>
          <w:rFonts w:hint="eastAsia" w:ascii="仿宋" w:hAnsi="仿宋" w:eastAsia="仿宋" w:cs="仿宋"/>
          <w:b/>
          <w:bCs/>
          <w:color w:val="auto"/>
          <w:sz w:val="21"/>
          <w:szCs w:val="21"/>
          <w:highlight w:val="none"/>
        </w:rPr>
        <w:t>从业人员、营业收入、资产总额填报上一年度数据，无上一年度数据的新成立企业可不填报。</w:t>
      </w:r>
    </w:p>
    <w:p>
      <w:pPr>
        <w:pStyle w:val="2"/>
        <w:ind w:firstLine="843" w:firstLineChars="400"/>
        <w:rPr>
          <w:rFonts w:hint="eastAsia" w:ascii="仿宋" w:hAnsi="仿宋" w:eastAsia="仿宋" w:cs="仿宋"/>
          <w:b/>
          <w:bCs/>
          <w:color w:val="auto"/>
          <w:highlight w:val="none"/>
          <w:u w:val="single"/>
          <w:lang w:eastAsia="zh-CN"/>
        </w:rPr>
      </w:pPr>
      <w:r>
        <w:rPr>
          <w:rFonts w:hint="eastAsia" w:ascii="仿宋" w:hAnsi="仿宋" w:eastAsia="仿宋" w:cs="仿宋"/>
          <w:b/>
          <w:bCs/>
          <w:color w:val="auto"/>
          <w:highlight w:val="none"/>
          <w:u w:val="single"/>
          <w:lang w:val="en-US" w:eastAsia="zh-CN"/>
        </w:rPr>
        <w:t>2、《中小企业声明函》（如有）</w:t>
      </w:r>
      <w:r>
        <w:rPr>
          <w:rFonts w:hint="eastAsia" w:ascii="仿宋" w:hAnsi="仿宋" w:eastAsia="仿宋" w:cs="仿宋"/>
          <w:b/>
          <w:bCs/>
          <w:color w:val="auto"/>
          <w:highlight w:val="none"/>
          <w:u w:val="single"/>
        </w:rPr>
        <w:t>适用于小</w:t>
      </w:r>
      <w:r>
        <w:rPr>
          <w:rFonts w:hint="eastAsia" w:ascii="仿宋" w:hAnsi="仿宋" w:eastAsia="仿宋" w:cs="仿宋"/>
          <w:b/>
          <w:bCs/>
          <w:color w:val="auto"/>
          <w:highlight w:val="none"/>
          <w:u w:val="single"/>
          <w:lang w:val="en-US" w:eastAsia="zh-CN"/>
        </w:rPr>
        <w:t>微</w:t>
      </w:r>
      <w:r>
        <w:rPr>
          <w:rFonts w:hint="eastAsia" w:ascii="仿宋" w:hAnsi="仿宋" w:eastAsia="仿宋" w:cs="仿宋"/>
          <w:b/>
          <w:bCs/>
          <w:color w:val="auto"/>
          <w:highlight w:val="none"/>
          <w:u w:val="single"/>
        </w:rPr>
        <w:t>企业参加招投标活动的</w:t>
      </w:r>
      <w:r>
        <w:rPr>
          <w:rFonts w:hint="eastAsia" w:ascii="仿宋" w:hAnsi="仿宋" w:eastAsia="仿宋" w:cs="仿宋"/>
          <w:b/>
          <w:bCs/>
          <w:color w:val="auto"/>
          <w:highlight w:val="none"/>
          <w:u w:val="single"/>
          <w:lang w:eastAsia="zh-CN"/>
        </w:rPr>
        <w:t>。投标人应当自行核实是否属于小微企业，并认真填写，若有虚假将追究其责任。</w:t>
      </w:r>
    </w:p>
    <w:p>
      <w:pPr>
        <w:pStyle w:val="2"/>
        <w:ind w:firstLine="843" w:firstLineChars="400"/>
        <w:rPr>
          <w:rFonts w:hint="eastAsia" w:ascii="仿宋" w:hAnsi="仿宋" w:eastAsia="仿宋" w:cs="仿宋"/>
          <w:b/>
          <w:bCs/>
          <w:color w:val="auto"/>
          <w:highlight w:val="none"/>
          <w:u w:val="single"/>
          <w:lang w:eastAsia="zh-CN"/>
        </w:rPr>
      </w:pPr>
      <w:r>
        <w:rPr>
          <w:rFonts w:hint="eastAsia" w:ascii="仿宋" w:hAnsi="仿宋" w:eastAsia="仿宋" w:cs="仿宋"/>
          <w:b/>
          <w:bCs/>
          <w:color w:val="auto"/>
          <w:highlight w:val="none"/>
          <w:u w:val="single"/>
          <w:lang w:val="en-US" w:eastAsia="zh-CN"/>
        </w:rPr>
        <w:t>3、</w:t>
      </w:r>
      <w:r>
        <w:rPr>
          <w:rFonts w:hint="eastAsia" w:ascii="仿宋" w:hAnsi="仿宋" w:eastAsia="仿宋" w:cs="仿宋"/>
          <w:b/>
          <w:bCs/>
          <w:color w:val="auto"/>
          <w:highlight w:val="none"/>
          <w:u w:val="single"/>
          <w:lang w:eastAsia="zh-CN"/>
        </w:rPr>
        <w:t>需按照本项目对应行业出具</w:t>
      </w:r>
      <w:r>
        <w:rPr>
          <w:rFonts w:hint="eastAsia" w:ascii="仿宋" w:hAnsi="仿宋" w:eastAsia="仿宋" w:cs="仿宋"/>
          <w:b/>
          <w:bCs/>
          <w:color w:val="auto"/>
          <w:highlight w:val="none"/>
          <w:u w:val="single"/>
          <w:lang w:val="en-US" w:eastAsia="zh-CN"/>
        </w:rPr>
        <w:t>《中小企业声明函》</w:t>
      </w:r>
      <w:r>
        <w:rPr>
          <w:rFonts w:hint="eastAsia" w:ascii="仿宋" w:hAnsi="仿宋" w:eastAsia="仿宋" w:cs="仿宋"/>
          <w:b/>
          <w:bCs/>
          <w:color w:val="auto"/>
          <w:highlight w:val="none"/>
          <w:u w:val="single"/>
          <w:lang w:eastAsia="zh-CN"/>
        </w:rPr>
        <w:t>，而非按照供应商的经营范围出具。</w:t>
      </w:r>
    </w:p>
    <w:p>
      <w:pPr>
        <w:snapToGrid/>
        <w:spacing w:line="360" w:lineRule="auto"/>
        <w:ind w:firstLine="0" w:firstLineChars="0"/>
        <w:jc w:val="both"/>
        <w:outlineLvl w:val="2"/>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rPr>
        <w:br w:type="page"/>
      </w:r>
      <w:bookmarkStart w:id="119" w:name="_Toc10445"/>
      <w:r>
        <w:rPr>
          <w:rFonts w:hint="eastAsia" w:ascii="仿宋" w:hAnsi="仿宋" w:eastAsia="仿宋" w:cs="仿宋"/>
          <w:b w:val="0"/>
          <w:bCs w:val="0"/>
          <w:snapToGrid w:val="0"/>
          <w:color w:val="auto"/>
          <w:spacing w:val="4"/>
          <w:kern w:val="0"/>
          <w:sz w:val="24"/>
          <w:szCs w:val="20"/>
          <w:highlight w:val="none"/>
          <w:u w:val="single"/>
          <w:lang w:val="en-US" w:eastAsia="zh-CN"/>
        </w:rPr>
        <w:t>格式十三：</w:t>
      </w:r>
      <w:bookmarkEnd w:id="119"/>
    </w:p>
    <w:p>
      <w:pPr>
        <w:pStyle w:val="111"/>
        <w:jc w:val="center"/>
        <w:outlineLvl w:val="9"/>
        <w:rPr>
          <w:rFonts w:hint="eastAsia" w:ascii="仿宋" w:hAnsi="仿宋" w:eastAsia="仿宋" w:cs="仿宋"/>
          <w:color w:val="auto"/>
          <w:highlight w:val="none"/>
          <w:lang w:eastAsia="zh-CN"/>
        </w:rPr>
      </w:pPr>
      <w:r>
        <w:rPr>
          <w:rFonts w:hint="eastAsia" w:ascii="仿宋" w:hAnsi="仿宋" w:eastAsia="仿宋" w:cs="仿宋"/>
          <w:b/>
          <w:color w:val="auto"/>
          <w:kern w:val="2"/>
          <w:sz w:val="32"/>
          <w:szCs w:val="32"/>
          <w:highlight w:val="none"/>
          <w:lang w:eastAsia="zh-CN" w:bidi="ar-SA"/>
        </w:rPr>
        <w:t>监狱企业</w:t>
      </w:r>
      <w:r>
        <w:rPr>
          <w:rFonts w:hint="eastAsia" w:ascii="仿宋" w:hAnsi="仿宋" w:eastAsia="仿宋" w:cs="仿宋"/>
          <w:b/>
          <w:color w:val="auto"/>
          <w:kern w:val="2"/>
          <w:sz w:val="32"/>
          <w:szCs w:val="32"/>
          <w:highlight w:val="none"/>
          <w:lang w:val="en-US" w:eastAsia="zh-CN" w:bidi="ar-SA"/>
        </w:rPr>
        <w:t>证明文件</w:t>
      </w:r>
      <w:r>
        <w:rPr>
          <w:rFonts w:hint="eastAsia" w:ascii="仿宋" w:hAnsi="仿宋" w:eastAsia="仿宋" w:cs="仿宋"/>
          <w:b/>
          <w:color w:val="auto"/>
          <w:kern w:val="2"/>
          <w:sz w:val="32"/>
          <w:szCs w:val="32"/>
          <w:highlight w:val="none"/>
          <w:lang w:eastAsia="zh-CN" w:bidi="ar-SA"/>
        </w:rPr>
        <w:t>（</w:t>
      </w:r>
      <w:r>
        <w:rPr>
          <w:rFonts w:hint="eastAsia" w:ascii="仿宋" w:hAnsi="仿宋" w:eastAsia="仿宋" w:cs="仿宋"/>
          <w:b/>
          <w:color w:val="auto"/>
          <w:kern w:val="2"/>
          <w:sz w:val="32"/>
          <w:szCs w:val="32"/>
          <w:highlight w:val="none"/>
          <w:lang w:val="en-US" w:eastAsia="zh-CN" w:bidi="ar-SA"/>
        </w:rPr>
        <w:t>如有</w:t>
      </w:r>
      <w:r>
        <w:rPr>
          <w:rFonts w:hint="eastAsia" w:ascii="仿宋" w:hAnsi="仿宋" w:eastAsia="仿宋" w:cs="仿宋"/>
          <w:b/>
          <w:color w:val="auto"/>
          <w:kern w:val="2"/>
          <w:sz w:val="32"/>
          <w:szCs w:val="32"/>
          <w:highlight w:val="none"/>
          <w:lang w:eastAsia="zh-CN" w:bidi="ar-SA"/>
        </w:rPr>
        <w:t>）</w:t>
      </w: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pStyle w:val="111"/>
        <w:ind w:firstLine="480"/>
        <w:rPr>
          <w:rFonts w:hint="eastAsia" w:ascii="仿宋" w:hAnsi="仿宋" w:eastAsia="仿宋" w:cs="仿宋"/>
          <w:color w:val="auto"/>
          <w:highlight w:val="none"/>
          <w:lang w:val="en-US" w:eastAsia="zh-CN"/>
        </w:rPr>
      </w:pPr>
    </w:p>
    <w:p>
      <w:pPr>
        <w:spacing w:line="240" w:lineRule="auto"/>
        <w:ind w:firstLine="422" w:firstLineChars="20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40" w:lineRule="auto"/>
        <w:ind w:firstLine="843" w:firstLineChars="40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pPr>
        <w:pStyle w:val="111"/>
        <w:ind w:firstLine="0"/>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20" w:name="_Toc15439"/>
      <w:r>
        <w:rPr>
          <w:rFonts w:hint="eastAsia" w:ascii="仿宋" w:hAnsi="仿宋" w:eastAsia="仿宋" w:cs="仿宋"/>
          <w:b w:val="0"/>
          <w:snapToGrid w:val="0"/>
          <w:color w:val="auto"/>
          <w:spacing w:val="4"/>
          <w:sz w:val="24"/>
          <w:highlight w:val="none"/>
          <w:u w:val="single"/>
          <w:lang w:eastAsia="zh-CN" w:bidi="ar-SA"/>
        </w:rPr>
        <w:t>格式十</w:t>
      </w:r>
      <w:r>
        <w:rPr>
          <w:rFonts w:hint="eastAsia" w:ascii="仿宋" w:hAnsi="仿宋" w:eastAsia="仿宋" w:cs="仿宋"/>
          <w:b w:val="0"/>
          <w:snapToGrid w:val="0"/>
          <w:color w:val="auto"/>
          <w:spacing w:val="4"/>
          <w:sz w:val="24"/>
          <w:highlight w:val="none"/>
          <w:u w:val="single"/>
          <w:lang w:val="en-US" w:eastAsia="zh-CN" w:bidi="ar-SA"/>
        </w:rPr>
        <w:t>四</w:t>
      </w:r>
      <w:r>
        <w:rPr>
          <w:rFonts w:hint="eastAsia" w:ascii="仿宋" w:hAnsi="仿宋" w:eastAsia="仿宋" w:cs="仿宋"/>
          <w:b w:val="0"/>
          <w:snapToGrid w:val="0"/>
          <w:color w:val="auto"/>
          <w:spacing w:val="4"/>
          <w:sz w:val="24"/>
          <w:highlight w:val="none"/>
          <w:u w:val="single"/>
          <w:lang w:eastAsia="zh-CN" w:bidi="ar-SA"/>
        </w:rPr>
        <w:t>：</w:t>
      </w:r>
      <w:bookmarkEnd w:id="120"/>
    </w:p>
    <w:p>
      <w:pPr>
        <w:pStyle w:val="111"/>
        <w:ind w:firstLine="480"/>
        <w:rPr>
          <w:rFonts w:hint="eastAsia" w:ascii="仿宋" w:hAnsi="仿宋" w:eastAsia="仿宋" w:cs="仿宋"/>
          <w:color w:val="auto"/>
          <w:highlight w:val="none"/>
        </w:rPr>
      </w:pPr>
    </w:p>
    <w:p>
      <w:pPr>
        <w:pStyle w:val="111"/>
        <w:jc w:val="center"/>
        <w:outlineLvl w:val="9"/>
        <w:rPr>
          <w:rFonts w:hint="eastAsia" w:ascii="仿宋" w:hAnsi="仿宋" w:eastAsia="仿宋" w:cs="仿宋"/>
          <w:b/>
          <w:color w:val="auto"/>
          <w:kern w:val="2"/>
          <w:sz w:val="32"/>
          <w:szCs w:val="32"/>
          <w:highlight w:val="none"/>
          <w:lang w:eastAsia="zh-CN" w:bidi="ar-SA"/>
        </w:rPr>
      </w:pPr>
      <w:r>
        <w:rPr>
          <w:rFonts w:hint="eastAsia" w:ascii="仿宋" w:hAnsi="仿宋" w:eastAsia="仿宋" w:cs="仿宋"/>
          <w:b/>
          <w:color w:val="auto"/>
          <w:kern w:val="2"/>
          <w:sz w:val="32"/>
          <w:szCs w:val="32"/>
          <w:highlight w:val="none"/>
          <w:lang w:eastAsia="zh-CN" w:bidi="ar-SA"/>
        </w:rPr>
        <w:t>残疾人福利性单位声明函（</w:t>
      </w:r>
      <w:r>
        <w:rPr>
          <w:rFonts w:hint="eastAsia" w:ascii="仿宋" w:hAnsi="仿宋" w:eastAsia="仿宋" w:cs="仿宋"/>
          <w:b/>
          <w:color w:val="auto"/>
          <w:kern w:val="2"/>
          <w:sz w:val="32"/>
          <w:szCs w:val="32"/>
          <w:highlight w:val="none"/>
          <w:lang w:val="en-US" w:eastAsia="zh-CN" w:bidi="ar-SA"/>
        </w:rPr>
        <w:t>如有</w:t>
      </w:r>
      <w:r>
        <w:rPr>
          <w:rFonts w:hint="eastAsia" w:ascii="仿宋" w:hAnsi="仿宋" w:eastAsia="仿宋" w:cs="仿宋"/>
          <w:b/>
          <w:color w:val="auto"/>
          <w:kern w:val="2"/>
          <w:sz w:val="32"/>
          <w:szCs w:val="32"/>
          <w:highlight w:val="none"/>
          <w:lang w:eastAsia="zh-CN" w:bidi="ar-SA"/>
        </w:rPr>
        <w:t>）</w:t>
      </w:r>
    </w:p>
    <w:p>
      <w:pPr>
        <w:pStyle w:val="111"/>
        <w:spacing w:line="360" w:lineRule="auto"/>
        <w:ind w:firstLine="480" w:firstLineChars="200"/>
        <w:rPr>
          <w:rFonts w:hint="eastAsia" w:ascii="仿宋" w:hAnsi="仿宋" w:eastAsia="仿宋" w:cs="仿宋"/>
          <w:color w:val="auto"/>
          <w:sz w:val="24"/>
          <w:szCs w:val="20"/>
          <w:highlight w:val="none"/>
        </w:rPr>
      </w:pPr>
    </w:p>
    <w:p>
      <w:pPr>
        <w:pStyle w:val="111"/>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p>
    <w:p>
      <w:pPr>
        <w:pStyle w:val="1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项目名称</w:t>
      </w:r>
      <w:r>
        <w:rPr>
          <w:rFonts w:hint="eastAsia" w:ascii="仿宋" w:hAnsi="仿宋" w:eastAsia="仿宋" w:cs="仿宋"/>
          <w:color w:val="auto"/>
          <w:sz w:val="24"/>
          <w:szCs w:val="20"/>
          <w:highlight w:val="none"/>
          <w:u w:val="single"/>
        </w:rPr>
        <w:t>）</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none"/>
          <w:lang w:val="en-US" w:eastAsia="zh-CN"/>
        </w:rPr>
        <w:t>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由本单位承担工程。</w:t>
      </w:r>
    </w:p>
    <w:p>
      <w:pPr>
        <w:pStyle w:val="111"/>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napToGrid/>
        <w:spacing w:line="360" w:lineRule="auto"/>
        <w:ind w:firstLine="5040" w:firstLineChars="2100"/>
        <w:jc w:val="both"/>
        <w:rPr>
          <w:rFonts w:hint="eastAsia" w:ascii="仿宋" w:hAnsi="仿宋" w:eastAsia="仿宋" w:cs="仿宋"/>
          <w:color w:val="auto"/>
          <w:sz w:val="24"/>
          <w:szCs w:val="20"/>
          <w:highlight w:val="none"/>
          <w:lang w:val="en-US" w:eastAsia="zh-CN"/>
        </w:rPr>
      </w:pPr>
    </w:p>
    <w:p>
      <w:pPr>
        <w:snapToGrid/>
        <w:spacing w:line="360" w:lineRule="auto"/>
        <w:ind w:firstLine="5040" w:firstLineChars="2100"/>
        <w:jc w:val="both"/>
        <w:rPr>
          <w:rFonts w:hint="eastAsia" w:ascii="仿宋" w:hAnsi="仿宋" w:eastAsia="仿宋" w:cs="仿宋"/>
          <w:color w:val="auto"/>
          <w:sz w:val="24"/>
          <w:szCs w:val="20"/>
          <w:highlight w:val="none"/>
          <w:lang w:val="en-US" w:eastAsia="zh-CN"/>
        </w:rPr>
      </w:pPr>
    </w:p>
    <w:p>
      <w:pPr>
        <w:pStyle w:val="2"/>
        <w:rPr>
          <w:rFonts w:hint="eastAsia" w:ascii="仿宋" w:hAnsi="仿宋" w:eastAsia="仿宋" w:cs="仿宋"/>
          <w:color w:val="auto"/>
          <w:sz w:val="24"/>
          <w:szCs w:val="20"/>
          <w:highlight w:val="none"/>
          <w:lang w:val="en-US" w:eastAsia="zh-CN"/>
        </w:rPr>
      </w:pPr>
    </w:p>
    <w:p>
      <w:pPr>
        <w:pStyle w:val="2"/>
        <w:rPr>
          <w:rFonts w:hint="eastAsia" w:ascii="仿宋" w:hAnsi="仿宋" w:eastAsia="仿宋" w:cs="仿宋"/>
          <w:color w:val="auto"/>
          <w:sz w:val="24"/>
          <w:szCs w:val="20"/>
          <w:highlight w:val="none"/>
          <w:lang w:val="en-US" w:eastAsia="zh-CN"/>
        </w:rPr>
      </w:pPr>
    </w:p>
    <w:p>
      <w:pPr>
        <w:spacing w:line="360" w:lineRule="auto"/>
        <w:ind w:firstLine="5040" w:firstLineChars="2100"/>
        <w:jc w:val="both"/>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投标人</w:t>
      </w:r>
      <w:r>
        <w:rPr>
          <w:rFonts w:hint="eastAsia" w:ascii="仿宋" w:hAnsi="仿宋" w:eastAsia="仿宋" w:cs="仿宋"/>
          <w:color w:val="auto"/>
          <w:sz w:val="24"/>
          <w:szCs w:val="20"/>
          <w:highlight w:val="none"/>
        </w:rPr>
        <w:t>名称（盖章</w:t>
      </w:r>
      <w:r>
        <w:rPr>
          <w:rFonts w:hint="eastAsia" w:ascii="仿宋" w:hAnsi="仿宋" w:eastAsia="仿宋" w:cs="仿宋"/>
          <w:color w:val="auto"/>
          <w:sz w:val="24"/>
          <w:szCs w:val="20"/>
          <w:highlight w:val="none"/>
          <w:lang w:val="en-US" w:eastAsia="zh-CN"/>
        </w:rPr>
        <w:t>或电子印章</w:t>
      </w:r>
      <w:r>
        <w:rPr>
          <w:rFonts w:hint="eastAsia" w:ascii="仿宋" w:hAnsi="仿宋" w:eastAsia="仿宋" w:cs="仿宋"/>
          <w:color w:val="auto"/>
          <w:sz w:val="24"/>
          <w:szCs w:val="20"/>
          <w:highlight w:val="none"/>
        </w:rPr>
        <w:t>）：</w:t>
      </w:r>
    </w:p>
    <w:p>
      <w:pPr>
        <w:spacing w:line="360" w:lineRule="auto"/>
        <w:ind w:firstLine="5040" w:firstLineChars="2100"/>
        <w:jc w:val="both"/>
        <w:rPr>
          <w:rFonts w:hint="eastAsia" w:ascii="仿宋" w:hAnsi="仿宋" w:eastAsia="仿宋" w:cs="仿宋"/>
          <w:color w:val="auto"/>
          <w:highlight w:val="none"/>
        </w:rPr>
      </w:pPr>
      <w:r>
        <w:rPr>
          <w:rFonts w:hint="eastAsia" w:ascii="仿宋" w:hAnsi="仿宋" w:eastAsia="仿宋" w:cs="仿宋"/>
          <w:color w:val="auto"/>
          <w:sz w:val="24"/>
          <w:szCs w:val="20"/>
          <w:highlight w:val="none"/>
        </w:rPr>
        <w:t xml:space="preserve">日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期：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年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月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日</w:t>
      </w: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240" w:lineRule="auto"/>
        <w:ind w:firstLine="632" w:firstLineChars="300"/>
        <w:jc w:val="both"/>
        <w:rPr>
          <w:rFonts w:hint="eastAsia" w:ascii="仿宋" w:hAnsi="仿宋" w:eastAsia="仿宋" w:cs="仿宋"/>
          <w:b/>
          <w:bCs/>
          <w:i w:val="0"/>
          <w:iCs w:val="0"/>
          <w:color w:val="auto"/>
          <w:szCs w:val="21"/>
          <w:highlight w:val="none"/>
        </w:rPr>
      </w:pPr>
      <w:r>
        <w:rPr>
          <w:rFonts w:hint="eastAsia" w:ascii="仿宋" w:hAnsi="仿宋" w:eastAsia="仿宋" w:cs="仿宋"/>
          <w:b/>
          <w:bCs/>
          <w:i w:val="0"/>
          <w:iCs w:val="0"/>
          <w:color w:val="auto"/>
          <w:szCs w:val="21"/>
          <w:highlight w:val="none"/>
        </w:rPr>
        <w:t>注：</w:t>
      </w:r>
      <w:r>
        <w:rPr>
          <w:rFonts w:hint="eastAsia" w:ascii="仿宋" w:hAnsi="仿宋" w:eastAsia="仿宋" w:cs="仿宋"/>
          <w:b/>
          <w:bCs/>
          <w:i w:val="0"/>
          <w:iCs w:val="0"/>
          <w:color w:val="auto"/>
          <w:szCs w:val="21"/>
          <w:highlight w:val="none"/>
          <w:lang w:val="en-US" w:eastAsia="zh-CN"/>
        </w:rPr>
        <w:t>1、</w:t>
      </w:r>
      <w:r>
        <w:rPr>
          <w:rFonts w:hint="eastAsia" w:ascii="仿宋" w:hAnsi="仿宋" w:eastAsia="仿宋" w:cs="仿宋"/>
          <w:b/>
          <w:bCs/>
          <w:i w:val="0"/>
          <w:iCs w:val="0"/>
          <w:color w:val="auto"/>
          <w:szCs w:val="21"/>
          <w:highlight w:val="none"/>
        </w:rPr>
        <w:t>残疾人福利性单位声明函（如有）适用于残疾人福利性单位参加招投标活动的。本函未填写的视作未做声明。</w:t>
      </w:r>
    </w:p>
    <w:p>
      <w:pPr>
        <w:snapToGrid/>
        <w:spacing w:line="240" w:lineRule="auto"/>
        <w:ind w:firstLine="1054" w:firstLineChars="500"/>
        <w:jc w:val="both"/>
        <w:rPr>
          <w:rFonts w:hint="eastAsia" w:ascii="仿宋" w:hAnsi="仿宋" w:eastAsia="仿宋" w:cs="仿宋"/>
          <w:b/>
          <w:bCs/>
          <w:i w:val="0"/>
          <w:iCs w:val="0"/>
          <w:color w:val="auto"/>
          <w:szCs w:val="21"/>
          <w:highlight w:val="none"/>
        </w:rPr>
      </w:pPr>
      <w:r>
        <w:rPr>
          <w:rFonts w:hint="eastAsia" w:ascii="仿宋" w:hAnsi="仿宋" w:eastAsia="仿宋" w:cs="仿宋"/>
          <w:b/>
          <w:bCs/>
          <w:i w:val="0"/>
          <w:iCs w:val="0"/>
          <w:color w:val="auto"/>
          <w:szCs w:val="21"/>
          <w:highlight w:val="none"/>
          <w:lang w:val="en-US" w:eastAsia="zh-CN"/>
        </w:rPr>
        <w:t>2、</w:t>
      </w:r>
      <w:r>
        <w:rPr>
          <w:rFonts w:hint="eastAsia" w:ascii="仿宋" w:hAnsi="仿宋" w:eastAsia="仿宋" w:cs="仿宋"/>
          <w:b/>
          <w:bCs/>
          <w:i w:val="0"/>
          <w:iCs w:val="0"/>
          <w:color w:val="auto"/>
          <w:szCs w:val="21"/>
          <w:highlight w:val="none"/>
        </w:rPr>
        <w:t>残疾人福利性单位视同小微企业，无需再提供《中小企业声明函》。</w:t>
      </w:r>
    </w:p>
    <w:p>
      <w:pPr>
        <w:snapToGrid/>
        <w:spacing w:line="240" w:lineRule="auto"/>
        <w:jc w:val="left"/>
        <w:rPr>
          <w:rStyle w:val="57"/>
          <w:rFonts w:hint="eastAsia" w:ascii="仿宋" w:hAnsi="仿宋" w:eastAsia="仿宋" w:cs="仿宋"/>
          <w:color w:val="auto"/>
          <w:highlight w:val="none"/>
        </w:rPr>
      </w:pPr>
      <w:r>
        <w:rPr>
          <w:rFonts w:hint="eastAsia" w:ascii="仿宋" w:hAnsi="仿宋" w:eastAsia="仿宋" w:cs="仿宋"/>
          <w:b/>
          <w:bCs/>
          <w:i w:val="0"/>
          <w:iCs w:val="0"/>
          <w:color w:val="auto"/>
          <w:szCs w:val="21"/>
          <w:highlight w:val="none"/>
        </w:rPr>
        <w:br w:type="page"/>
      </w:r>
    </w:p>
    <w:p>
      <w:pPr>
        <w:keepNext w:val="0"/>
        <w:keepLines w:val="0"/>
        <w:pageBreakBefore w:val="0"/>
        <w:widowControl w:val="0"/>
        <w:tabs>
          <w:tab w:val="left" w:pos="720"/>
        </w:tabs>
        <w:kinsoku/>
        <w:wordWrap/>
        <w:overflowPunct/>
        <w:topLinePunct w:val="0"/>
        <w:autoSpaceDE/>
        <w:autoSpaceDN/>
        <w:bidi w:val="0"/>
        <w:snapToGrid w:val="0"/>
        <w:spacing w:line="440" w:lineRule="exact"/>
        <w:jc w:val="center"/>
        <w:textAlignment w:val="auto"/>
        <w:outlineLvl w:val="0"/>
        <w:rPr>
          <w:rStyle w:val="57"/>
          <w:rFonts w:hint="eastAsia" w:ascii="仿宋" w:hAnsi="仿宋" w:eastAsia="仿宋" w:cs="仿宋"/>
          <w:color w:val="auto"/>
          <w:highlight w:val="none"/>
        </w:rPr>
      </w:pPr>
      <w:bookmarkStart w:id="121" w:name="_Toc8221"/>
      <w:bookmarkStart w:id="122" w:name="_Toc27476"/>
      <w:r>
        <w:rPr>
          <w:rStyle w:val="57"/>
          <w:rFonts w:hint="eastAsia" w:ascii="仿宋" w:hAnsi="仿宋" w:eastAsia="仿宋" w:cs="仿宋"/>
          <w:color w:val="auto"/>
          <w:highlight w:val="none"/>
        </w:rPr>
        <w:t>第五章  技术条件（施工组织设计要点）</w:t>
      </w:r>
      <w:bookmarkEnd w:id="112"/>
      <w:bookmarkEnd w:id="113"/>
      <w:bookmarkEnd w:id="121"/>
      <w:bookmarkEnd w:id="122"/>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123" w:name="_Toc2272569"/>
      <w:bookmarkStart w:id="124" w:name="_Toc21525514"/>
      <w:r>
        <w:rPr>
          <w:rFonts w:hint="eastAsia" w:ascii="仿宋" w:hAnsi="仿宋" w:eastAsia="仿宋" w:cs="仿宋"/>
          <w:color w:val="auto"/>
          <w:sz w:val="24"/>
          <w:szCs w:val="24"/>
          <w:highlight w:val="none"/>
        </w:rPr>
        <w:t>本工程按照国家有关规定、规范进行施工、验收，如在施工过程中颁发新的版本，是否采用新版本的规定，由监理工程师与有关各方洽商决定。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第一节  编制要求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一、编制依据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1、本工程招标文件的有关要求。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2、国家、广东省、广州市有关施工验收规范、质量标准和操作规程等要求。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3、施工图纸及有关资料。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二、具体要求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1、“重合同，守信誉”。按本工程规定的总工期，编制出完善的施工进度控制计划，在投标承诺了工期内完成工程任务。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2、发挥技术优势，优化管理水平。安排经验丰富的优秀管理人员和高素质的工人参加本项目施工，采用先进的技术设备，优化施工管理，充分发挥施工单位在管理和技术方面的优势。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  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一、施工机构及现场管理要求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把好工程质量、安全、进度关，确保工程质量等级达到合格，要求委派一名项目负责人，一名技术负责人，对工程的质量、安全、进度和成本，实行高效益、有计划的组织、协调和管理。建立健全的施工组织管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本工程施工要点如下：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1、采用先进的施工技术；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2、投入现代化的施工机械设备；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3、合理的施工方案和先进的施工组织。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4、施工过程要求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A、严格按照国家、省市、地方施工规范要求进行施工。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B、根据工程进度计划，编制材料订购、质量检测、配方测试，确保材料质量和供应的计划。</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三、项目施工目标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1、质量目标。确保工程质量一次验收合格。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2、安全目标。杜绝重大安全事故的发生，控制工伤、轻伤事故在千分之一内。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3、工期目标。本工程工期目标为    日历天。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第三节  主要施工方案与施工方法的要求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一、结构施工要求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1、工程施工要求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各分项工程在施工前，均应编制相应的施工技术措施，内容包括施工准备、操作工艺、质量标准、成品保护等。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2、所有施工项目均应按照国家、省市、地方有关法律法规及规范要求制定施工技术方案后方可施工。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第四节  主要技术组织要求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一、工程施工中，要严格执行有关技术操作的各项规程，要注意落实下列各点中的技术措施。实行目标管理，明确总目标为合格。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成立以总工程师为首的全面质量和管理小组。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明确并认真落实技术岗位责任制和技术交底制度。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落实图纸会审、定位放线、预检复核、材质验收、成品保护等有关规定。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制定自检，互检（交接检）末检制度。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对工程实行质量预控，施工程序及工艺标准施工。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特殊工种必须持证上岗。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第五节  建筑垃圾管理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根据《广东省建筑垃圾管理条例》及《广州市建筑废弃物管理条例（2020修正）》，工程施工单位应当编制建筑垃圾处理方案，采取污染防治措施，并在开工前报工程所在地县级人民政府建筑垃圾主管部门备案。建筑垃圾处理方案内容有调整的，应当及时报告接受备案的部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二、建筑垃圾处理方案应当包括但不限于下列内容：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（1）工程概况和施工单位基本信息；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（2）建筑垃圾产生量与种类；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（3）建筑垃圾源头减量、分类收集、综合利用、污染防治的措施和目标；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（4）需要外运的建筑垃圾种类、数量与运输的时间、路线、方式和运输单位；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（5）建筑垃圾回填、消纳、综合利用场所名称；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（6）法律、法规规定的其他内容。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 除应执行本施工组织设计要点外,应参照国家等现行有关规定及工程建设标准作进一步完善。</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bookmarkStart w:id="125" w:name="_Toc7014"/>
      <w:bookmarkStart w:id="126" w:name="_Toc13327"/>
      <w:r>
        <w:rPr>
          <w:rFonts w:hint="eastAsia" w:ascii="仿宋" w:hAnsi="仿宋" w:eastAsia="仿宋" w:cs="仿宋"/>
          <w:color w:val="auto"/>
          <w:highlight w:val="none"/>
        </w:rPr>
        <w:t>第六章  图纸及勘察资料</w:t>
      </w:r>
      <w:bookmarkEnd w:id="123"/>
      <w:bookmarkEnd w:id="124"/>
      <w:bookmarkEnd w:id="125"/>
      <w:bookmarkEnd w:id="126"/>
    </w:p>
    <w:p>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注：本章由招标人自行制定，另册。</w:t>
      </w:r>
    </w:p>
    <w:p>
      <w:pPr>
        <w:pStyle w:val="3"/>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bookmarkStart w:id="127" w:name="_Toc28773"/>
      <w:bookmarkStart w:id="128" w:name="_Toc21525515"/>
      <w:bookmarkStart w:id="129" w:name="_Toc2272570"/>
      <w:bookmarkStart w:id="130" w:name="_Toc28556"/>
      <w:r>
        <w:rPr>
          <w:rFonts w:hint="eastAsia" w:ascii="仿宋" w:hAnsi="仿宋" w:eastAsia="仿宋" w:cs="仿宋"/>
          <w:color w:val="auto"/>
          <w:highlight w:val="none"/>
        </w:rPr>
        <w:t>第七章  工程量清单</w:t>
      </w:r>
      <w:bookmarkEnd w:id="127"/>
      <w:bookmarkEnd w:id="128"/>
      <w:bookmarkEnd w:id="129"/>
      <w:bookmarkEnd w:id="130"/>
    </w:p>
    <w:p>
      <w:pPr>
        <w:pStyle w:val="5"/>
        <w:spacing w:after="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注：本章由招标人自行制定，另册。</w:t>
      </w:r>
    </w:p>
    <w:p>
      <w:pPr>
        <w:keepNext/>
        <w:keepLines/>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color w:val="auto"/>
          <w:highlight w:val="none"/>
        </w:rPr>
      </w:pPr>
    </w:p>
    <w:p>
      <w:pPr>
        <w:keepNext/>
        <w:keepLines/>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color w:val="auto"/>
          <w:sz w:val="24"/>
          <w:szCs w:val="24"/>
          <w:highlight w:val="none"/>
        </w:rPr>
        <w:br w:type="page"/>
      </w:r>
      <w:bookmarkStart w:id="131" w:name="_Toc11273"/>
      <w:bookmarkStart w:id="132" w:name="_Toc27384"/>
      <w:bookmarkStart w:id="133" w:name="_Toc2272571"/>
      <w:bookmarkStart w:id="134" w:name="_Toc21525516"/>
      <w:r>
        <w:rPr>
          <w:rFonts w:hint="eastAsia" w:ascii="仿宋" w:hAnsi="仿宋" w:eastAsia="仿宋" w:cs="仿宋"/>
          <w:b/>
          <w:color w:val="auto"/>
          <w:kern w:val="44"/>
          <w:sz w:val="28"/>
          <w:szCs w:val="28"/>
          <w:highlight w:val="none"/>
          <w:lang w:val="en-US" w:eastAsia="zh-CN" w:bidi="ar-SA"/>
        </w:rPr>
        <w:t>第八章  最高投标限价</w:t>
      </w:r>
      <w:bookmarkEnd w:id="131"/>
      <w:bookmarkEnd w:id="132"/>
      <w:bookmarkEnd w:id="133"/>
      <w:bookmarkEnd w:id="134"/>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hint="eastAsia" w:ascii="仿宋" w:hAnsi="仿宋" w:eastAsia="仿宋" w:cs="仿宋"/>
          <w:color w:val="auto"/>
          <w:sz w:val="24"/>
          <w:szCs w:val="24"/>
          <w:highlight w:val="none"/>
          <w:u w:val="single"/>
        </w:rPr>
      </w:pPr>
    </w:p>
    <w:p>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注：本章由招标人自行制定，另册。</w:t>
      </w:r>
    </w:p>
    <w:p>
      <w:pPr>
        <w:spacing w:line="360" w:lineRule="auto"/>
        <w:ind w:firstLine="480"/>
        <w:rPr>
          <w:rFonts w:hint="eastAsia" w:ascii="仿宋" w:hAnsi="仿宋" w:eastAsia="仿宋" w:cs="仿宋"/>
          <w:color w:val="auto"/>
          <w:sz w:val="24"/>
          <w:szCs w:val="24"/>
          <w:highlight w:val="none"/>
          <w:u w:val="single"/>
        </w:rPr>
      </w:pPr>
    </w:p>
    <w:p>
      <w:pPr>
        <w:rPr>
          <w:rFonts w:hint="eastAsia" w:ascii="仿宋" w:hAnsi="仿宋" w:eastAsia="仿宋" w:cs="仿宋"/>
          <w:color w:val="auto"/>
          <w:highlight w:val="none"/>
        </w:rPr>
      </w:pPr>
    </w:p>
    <w:sectPr>
      <w:pgSz w:w="11906" w:h="16838"/>
      <w:pgMar w:top="1134" w:right="1417" w:bottom="1247" w:left="1417" w:header="851" w:footer="90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center"/>
      <w:rPr>
        <w:rStyle w:val="38"/>
      </w:rPr>
    </w:pPr>
    <w:r>
      <w:rPr>
        <w:rStyle w:val="38"/>
      </w:rPr>
      <w:fldChar w:fldCharType="begin"/>
    </w:r>
    <w:r>
      <w:rPr>
        <w:rStyle w:val="38"/>
      </w:rPr>
      <w:instrText xml:space="preserve">PAGE  </w:instrText>
    </w:r>
    <w:r>
      <w:rPr>
        <w:rStyle w:val="38"/>
      </w:rPr>
      <w:fldChar w:fldCharType="separate"/>
    </w:r>
    <w:r>
      <w:rPr>
        <w:rStyle w:val="38"/>
      </w:rPr>
      <w:t>35</w:t>
    </w:r>
    <w:r>
      <w:rPr>
        <w:rStyle w:val="3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center"/>
    </w:pPr>
    <w:r>
      <w:rPr>
        <w:rStyle w:val="38"/>
      </w:rPr>
      <w:fldChar w:fldCharType="begin"/>
    </w:r>
    <w:r>
      <w:rPr>
        <w:rStyle w:val="38"/>
      </w:rPr>
      <w:instrText xml:space="preserve"> PAGE </w:instrText>
    </w:r>
    <w:r>
      <w:rPr>
        <w:rStyle w:val="38"/>
      </w:rPr>
      <w:fldChar w:fldCharType="separate"/>
    </w:r>
    <w:r>
      <w:rPr>
        <w:rStyle w:val="38"/>
      </w:rPr>
      <w:t>87</w:t>
    </w:r>
    <w:r>
      <w:rPr>
        <w:rStyle w:val="3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103</w:t>
    </w:r>
    <w:r>
      <w:rPr>
        <w:rStyle w:val="38"/>
      </w:rPr>
      <w:fldChar w:fldCharType="end"/>
    </w:r>
  </w:p>
  <w:p>
    <w:pPr>
      <w:pStyle w:val="24"/>
      <w:framePr w:wrap="around" w:vAnchor="text" w:hAnchor="margin" w:xAlign="outside" w:y="1"/>
      <w:ind w:left="-4410" w:leftChars="-2100" w:right="-4439" w:rightChars="-2114"/>
      <w:rPr>
        <w:rStyle w:val="38"/>
      </w:rPr>
    </w:pPr>
  </w:p>
  <w:p>
    <w:pPr>
      <w:pStyle w:val="24"/>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pPr>
      <w:pStyle w:val="24"/>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Style w:val="38"/>
      </w:rPr>
      <w:fldChar w:fldCharType="begin"/>
    </w:r>
    <w:r>
      <w:rPr>
        <w:rStyle w:val="38"/>
      </w:rPr>
      <w:instrText xml:space="preserve"> PAGE </w:instrText>
    </w:r>
    <w:r>
      <w:rPr>
        <w:rStyle w:val="38"/>
      </w:rPr>
      <w:fldChar w:fldCharType="separate"/>
    </w:r>
    <w:r>
      <w:rPr>
        <w:rStyle w:val="38"/>
      </w:rPr>
      <w:t>90</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1"/>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1">
    <w:nsid w:val="66EB6A1C"/>
    <w:multiLevelType w:val="singleLevel"/>
    <w:tmpl w:val="66EB6A1C"/>
    <w:lvl w:ilvl="0" w:tentative="0">
      <w:start w:val="4"/>
      <w:numFmt w:val="decimal"/>
      <w:suff w:val="nothing"/>
      <w:lvlText w:val="%1、"/>
      <w:lvlJc w:val="left"/>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MTZhMTZmN2ZjOTE3MWZiM2I0NjlkMTZjOTc2NGMifQ=="/>
  </w:docVars>
  <w:rsids>
    <w:rsidRoot w:val="007B41BE"/>
    <w:rsid w:val="000200EE"/>
    <w:rsid w:val="000575F8"/>
    <w:rsid w:val="00074FD1"/>
    <w:rsid w:val="000C1007"/>
    <w:rsid w:val="000C11E0"/>
    <w:rsid w:val="000C2710"/>
    <w:rsid w:val="000D396E"/>
    <w:rsid w:val="00181CAA"/>
    <w:rsid w:val="00193EB2"/>
    <w:rsid w:val="00336AA3"/>
    <w:rsid w:val="0037590B"/>
    <w:rsid w:val="004370EC"/>
    <w:rsid w:val="004424B8"/>
    <w:rsid w:val="004B295D"/>
    <w:rsid w:val="005866FB"/>
    <w:rsid w:val="005B5D5B"/>
    <w:rsid w:val="005C212B"/>
    <w:rsid w:val="005E6E69"/>
    <w:rsid w:val="006018DB"/>
    <w:rsid w:val="006036EF"/>
    <w:rsid w:val="00673B83"/>
    <w:rsid w:val="00680BFD"/>
    <w:rsid w:val="006B6B0D"/>
    <w:rsid w:val="006F3576"/>
    <w:rsid w:val="0073229B"/>
    <w:rsid w:val="00780EC8"/>
    <w:rsid w:val="007B41BE"/>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BC7B91"/>
    <w:rsid w:val="00BE1732"/>
    <w:rsid w:val="00BE216D"/>
    <w:rsid w:val="00C267C0"/>
    <w:rsid w:val="00C32C1E"/>
    <w:rsid w:val="00C408D3"/>
    <w:rsid w:val="00C81F53"/>
    <w:rsid w:val="00C82C8A"/>
    <w:rsid w:val="00CD156B"/>
    <w:rsid w:val="00D75B45"/>
    <w:rsid w:val="00D84E64"/>
    <w:rsid w:val="00E22EAB"/>
    <w:rsid w:val="00E457F6"/>
    <w:rsid w:val="00E54D24"/>
    <w:rsid w:val="00E638F3"/>
    <w:rsid w:val="00EB6530"/>
    <w:rsid w:val="00EC014E"/>
    <w:rsid w:val="00F40301"/>
    <w:rsid w:val="00FA5926"/>
    <w:rsid w:val="00FB3528"/>
    <w:rsid w:val="00FC5596"/>
    <w:rsid w:val="020730F5"/>
    <w:rsid w:val="03AA4003"/>
    <w:rsid w:val="05663F87"/>
    <w:rsid w:val="05935ABA"/>
    <w:rsid w:val="07097F77"/>
    <w:rsid w:val="072F44E3"/>
    <w:rsid w:val="075F2383"/>
    <w:rsid w:val="09594501"/>
    <w:rsid w:val="096355C4"/>
    <w:rsid w:val="09884131"/>
    <w:rsid w:val="09F33618"/>
    <w:rsid w:val="0A9512D8"/>
    <w:rsid w:val="0C1B1A41"/>
    <w:rsid w:val="0CED6DBF"/>
    <w:rsid w:val="0D754463"/>
    <w:rsid w:val="0E034A3B"/>
    <w:rsid w:val="0E4D296D"/>
    <w:rsid w:val="0F7E4AB5"/>
    <w:rsid w:val="0FEF45D8"/>
    <w:rsid w:val="102023BA"/>
    <w:rsid w:val="11E8746F"/>
    <w:rsid w:val="12D20E80"/>
    <w:rsid w:val="12EA27C3"/>
    <w:rsid w:val="137E68C7"/>
    <w:rsid w:val="14D34591"/>
    <w:rsid w:val="14F71515"/>
    <w:rsid w:val="17302D4B"/>
    <w:rsid w:val="175E4E96"/>
    <w:rsid w:val="17EF107C"/>
    <w:rsid w:val="17EF4608"/>
    <w:rsid w:val="18151F96"/>
    <w:rsid w:val="181C07FE"/>
    <w:rsid w:val="182E0907"/>
    <w:rsid w:val="185C6265"/>
    <w:rsid w:val="1A2F4635"/>
    <w:rsid w:val="1A8E7F3E"/>
    <w:rsid w:val="1AD03189"/>
    <w:rsid w:val="1B035B65"/>
    <w:rsid w:val="1B6C3FA8"/>
    <w:rsid w:val="1BDB6FF7"/>
    <w:rsid w:val="1BFB7C0C"/>
    <w:rsid w:val="1C162654"/>
    <w:rsid w:val="1CAF438E"/>
    <w:rsid w:val="1D6D41EF"/>
    <w:rsid w:val="1DCB0A79"/>
    <w:rsid w:val="1E486D96"/>
    <w:rsid w:val="1E7E589D"/>
    <w:rsid w:val="1EBA5A37"/>
    <w:rsid w:val="1FB21574"/>
    <w:rsid w:val="213C418C"/>
    <w:rsid w:val="226B42AC"/>
    <w:rsid w:val="22AD29BB"/>
    <w:rsid w:val="22AF7937"/>
    <w:rsid w:val="22D91657"/>
    <w:rsid w:val="23902B66"/>
    <w:rsid w:val="23F251F4"/>
    <w:rsid w:val="241B7D6D"/>
    <w:rsid w:val="249C309C"/>
    <w:rsid w:val="24A972CC"/>
    <w:rsid w:val="25FE1B3C"/>
    <w:rsid w:val="26A91055"/>
    <w:rsid w:val="272837BD"/>
    <w:rsid w:val="274E1814"/>
    <w:rsid w:val="27906EE8"/>
    <w:rsid w:val="28790229"/>
    <w:rsid w:val="28C40B03"/>
    <w:rsid w:val="2945153A"/>
    <w:rsid w:val="2A5E6C7B"/>
    <w:rsid w:val="2A880A7B"/>
    <w:rsid w:val="2AF05EF0"/>
    <w:rsid w:val="2BC74EA2"/>
    <w:rsid w:val="2C8426A4"/>
    <w:rsid w:val="2CA01540"/>
    <w:rsid w:val="2D3F003A"/>
    <w:rsid w:val="2DAAE6E9"/>
    <w:rsid w:val="2DC4660F"/>
    <w:rsid w:val="2EAA1389"/>
    <w:rsid w:val="2FBDC8F7"/>
    <w:rsid w:val="30997F39"/>
    <w:rsid w:val="31367124"/>
    <w:rsid w:val="32A50F33"/>
    <w:rsid w:val="32BF3509"/>
    <w:rsid w:val="332763C6"/>
    <w:rsid w:val="348E47AF"/>
    <w:rsid w:val="34A007DF"/>
    <w:rsid w:val="3538471B"/>
    <w:rsid w:val="36434166"/>
    <w:rsid w:val="366E5D9D"/>
    <w:rsid w:val="36807F5F"/>
    <w:rsid w:val="3699743B"/>
    <w:rsid w:val="375D203C"/>
    <w:rsid w:val="38026A6F"/>
    <w:rsid w:val="38AD5420"/>
    <w:rsid w:val="38CA7D80"/>
    <w:rsid w:val="38D7084C"/>
    <w:rsid w:val="39C15447"/>
    <w:rsid w:val="3A75495E"/>
    <w:rsid w:val="3B006C6E"/>
    <w:rsid w:val="3B543BE4"/>
    <w:rsid w:val="3B740676"/>
    <w:rsid w:val="3B760E9F"/>
    <w:rsid w:val="3BDF7FE6"/>
    <w:rsid w:val="3BFFAF2C"/>
    <w:rsid w:val="3C3A346E"/>
    <w:rsid w:val="3C514716"/>
    <w:rsid w:val="3D3F7C85"/>
    <w:rsid w:val="3D60411F"/>
    <w:rsid w:val="3DB47301"/>
    <w:rsid w:val="3EC139D3"/>
    <w:rsid w:val="3F63EB7E"/>
    <w:rsid w:val="3FAF2312"/>
    <w:rsid w:val="3FBDD551"/>
    <w:rsid w:val="41627FB2"/>
    <w:rsid w:val="416C0627"/>
    <w:rsid w:val="41932E79"/>
    <w:rsid w:val="41933858"/>
    <w:rsid w:val="41E657FF"/>
    <w:rsid w:val="420656AD"/>
    <w:rsid w:val="43022AFA"/>
    <w:rsid w:val="437231C8"/>
    <w:rsid w:val="43BE0202"/>
    <w:rsid w:val="444650A2"/>
    <w:rsid w:val="448A6644"/>
    <w:rsid w:val="44E0794A"/>
    <w:rsid w:val="45C23056"/>
    <w:rsid w:val="46A12A85"/>
    <w:rsid w:val="47160D34"/>
    <w:rsid w:val="47374FD9"/>
    <w:rsid w:val="48022702"/>
    <w:rsid w:val="48106CF5"/>
    <w:rsid w:val="48523C0A"/>
    <w:rsid w:val="4941408E"/>
    <w:rsid w:val="49A535A4"/>
    <w:rsid w:val="4A0659F2"/>
    <w:rsid w:val="4A4934DE"/>
    <w:rsid w:val="4B2E67E5"/>
    <w:rsid w:val="4B3F6B82"/>
    <w:rsid w:val="4B6B7860"/>
    <w:rsid w:val="4C3E48B5"/>
    <w:rsid w:val="4CC84671"/>
    <w:rsid w:val="4DF74AB0"/>
    <w:rsid w:val="4E170D02"/>
    <w:rsid w:val="4E336869"/>
    <w:rsid w:val="4E6C325B"/>
    <w:rsid w:val="4EBA7979"/>
    <w:rsid w:val="50164E08"/>
    <w:rsid w:val="501B446B"/>
    <w:rsid w:val="50BDD11A"/>
    <w:rsid w:val="511B6F73"/>
    <w:rsid w:val="53423674"/>
    <w:rsid w:val="53F92C98"/>
    <w:rsid w:val="544C45A3"/>
    <w:rsid w:val="54770964"/>
    <w:rsid w:val="54930827"/>
    <w:rsid w:val="552E4F75"/>
    <w:rsid w:val="55B81234"/>
    <w:rsid w:val="561505D4"/>
    <w:rsid w:val="57684BF4"/>
    <w:rsid w:val="57701BF4"/>
    <w:rsid w:val="58B3772F"/>
    <w:rsid w:val="59346469"/>
    <w:rsid w:val="59927FEE"/>
    <w:rsid w:val="59C9560C"/>
    <w:rsid w:val="59E55AC6"/>
    <w:rsid w:val="5A3916BC"/>
    <w:rsid w:val="5B0D4C47"/>
    <w:rsid w:val="5BD243A7"/>
    <w:rsid w:val="5C563CF9"/>
    <w:rsid w:val="5CDF456F"/>
    <w:rsid w:val="5D296978"/>
    <w:rsid w:val="5D572C78"/>
    <w:rsid w:val="5E1137F9"/>
    <w:rsid w:val="5E385625"/>
    <w:rsid w:val="5E4C59D9"/>
    <w:rsid w:val="5F4B72E8"/>
    <w:rsid w:val="5F7A6740"/>
    <w:rsid w:val="5FF9AD50"/>
    <w:rsid w:val="60973303"/>
    <w:rsid w:val="6116564E"/>
    <w:rsid w:val="620F042E"/>
    <w:rsid w:val="62970423"/>
    <w:rsid w:val="633030C8"/>
    <w:rsid w:val="6438051B"/>
    <w:rsid w:val="64DB38CF"/>
    <w:rsid w:val="650C4C14"/>
    <w:rsid w:val="653505E7"/>
    <w:rsid w:val="654523B9"/>
    <w:rsid w:val="66257471"/>
    <w:rsid w:val="670813FD"/>
    <w:rsid w:val="671362D9"/>
    <w:rsid w:val="687424E1"/>
    <w:rsid w:val="698C3C2D"/>
    <w:rsid w:val="69E77EE2"/>
    <w:rsid w:val="6A140854"/>
    <w:rsid w:val="6A726F02"/>
    <w:rsid w:val="6A94006A"/>
    <w:rsid w:val="6B6B655D"/>
    <w:rsid w:val="6C2D4E30"/>
    <w:rsid w:val="6C7621DF"/>
    <w:rsid w:val="6C787452"/>
    <w:rsid w:val="6CBA1D63"/>
    <w:rsid w:val="6CEF4F0F"/>
    <w:rsid w:val="6DAB59DE"/>
    <w:rsid w:val="6DAD31F1"/>
    <w:rsid w:val="6EB97B63"/>
    <w:rsid w:val="6F045092"/>
    <w:rsid w:val="6FFF582B"/>
    <w:rsid w:val="709A4E5B"/>
    <w:rsid w:val="71112573"/>
    <w:rsid w:val="71572E91"/>
    <w:rsid w:val="71A35927"/>
    <w:rsid w:val="71B37676"/>
    <w:rsid w:val="72113D4E"/>
    <w:rsid w:val="728347EC"/>
    <w:rsid w:val="73CC483B"/>
    <w:rsid w:val="74583459"/>
    <w:rsid w:val="74BA2F8E"/>
    <w:rsid w:val="74FF415D"/>
    <w:rsid w:val="76680413"/>
    <w:rsid w:val="76DBE51B"/>
    <w:rsid w:val="772D4408"/>
    <w:rsid w:val="77CD13AB"/>
    <w:rsid w:val="785866D5"/>
    <w:rsid w:val="79A65463"/>
    <w:rsid w:val="7A4F18B8"/>
    <w:rsid w:val="7AC73390"/>
    <w:rsid w:val="7ADC31A8"/>
    <w:rsid w:val="7B045B85"/>
    <w:rsid w:val="7BF7B1D6"/>
    <w:rsid w:val="7CA37912"/>
    <w:rsid w:val="7CD42548"/>
    <w:rsid w:val="7D9F2623"/>
    <w:rsid w:val="7DC934DB"/>
    <w:rsid w:val="7DDF8381"/>
    <w:rsid w:val="7E284C0E"/>
    <w:rsid w:val="7EED1FD5"/>
    <w:rsid w:val="7F196534"/>
    <w:rsid w:val="7FB77874"/>
    <w:rsid w:val="9FFBE83E"/>
    <w:rsid w:val="BDEFADC8"/>
    <w:rsid w:val="BFF97CD1"/>
    <w:rsid w:val="DF5FFC19"/>
    <w:rsid w:val="F67A7800"/>
    <w:rsid w:val="F9FF682E"/>
    <w:rsid w:val="FB30441B"/>
    <w:rsid w:val="FBCFC7AD"/>
    <w:rsid w:val="FFCEB82A"/>
    <w:rsid w:val="FFF28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7"/>
    <w:qFormat/>
    <w:uiPriority w:val="0"/>
    <w:pPr>
      <w:keepNext/>
      <w:keepLines/>
      <w:spacing w:after="120" w:line="360" w:lineRule="auto"/>
      <w:outlineLvl w:val="0"/>
    </w:pPr>
    <w:rPr>
      <w:kern w:val="44"/>
      <w:sz w:val="28"/>
      <w:szCs w:val="28"/>
    </w:rPr>
  </w:style>
  <w:style w:type="paragraph" w:styleId="7">
    <w:name w:val="heading 2"/>
    <w:basedOn w:val="1"/>
    <w:next w:val="1"/>
    <w:link w:val="5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5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10"/>
    <w:link w:val="59"/>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60"/>
    <w:qFormat/>
    <w:uiPriority w:val="0"/>
    <w:pPr>
      <w:numPr>
        <w:ilvl w:val="4"/>
      </w:numPr>
      <w:spacing w:line="240" w:lineRule="exact"/>
      <w:outlineLvl w:val="4"/>
    </w:pPr>
  </w:style>
  <w:style w:type="paragraph" w:styleId="12">
    <w:name w:val="heading 6"/>
    <w:basedOn w:val="1"/>
    <w:next w:val="1"/>
    <w:link w:val="6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62"/>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3"/>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8"/>
    <w:qFormat/>
    <w:uiPriority w:val="0"/>
    <w:rPr>
      <w:rFonts w:ascii="宋体" w:hAnsi="Courier New"/>
      <w:szCs w:val="20"/>
    </w:rPr>
  </w:style>
  <w:style w:type="paragraph" w:styleId="4">
    <w:name w:val="Title"/>
    <w:basedOn w:val="1"/>
    <w:link w:val="66"/>
    <w:qFormat/>
    <w:uiPriority w:val="0"/>
    <w:pPr>
      <w:spacing w:before="120" w:after="60"/>
      <w:jc w:val="center"/>
    </w:pPr>
    <w:rPr>
      <w:rFonts w:ascii="Arial" w:hAnsi="Arial"/>
      <w:b/>
      <w:sz w:val="44"/>
      <w:szCs w:val="20"/>
    </w:rPr>
  </w:style>
  <w:style w:type="paragraph" w:styleId="5">
    <w:name w:val="Body Text First Indent"/>
    <w:basedOn w:val="6"/>
    <w:link w:val="70"/>
    <w:qFormat/>
    <w:uiPriority w:val="0"/>
    <w:pPr>
      <w:ind w:firstLine="420"/>
    </w:pPr>
  </w:style>
  <w:style w:type="paragraph" w:styleId="6">
    <w:name w:val="Body Text"/>
    <w:basedOn w:val="1"/>
    <w:link w:val="68"/>
    <w:qFormat/>
    <w:uiPriority w:val="0"/>
    <w:pPr>
      <w:spacing w:after="120"/>
    </w:pPr>
    <w:rPr>
      <w:rFonts w:ascii="Times New Roman" w:hAnsi="Times New Roman"/>
      <w:szCs w:val="20"/>
    </w:rPr>
  </w:style>
  <w:style w:type="paragraph" w:styleId="10">
    <w:name w:val="Normal Indent"/>
    <w:basedOn w:val="1"/>
    <w:next w:val="1"/>
    <w:qFormat/>
    <w:uiPriority w:val="0"/>
    <w:pPr>
      <w:ind w:firstLine="420"/>
    </w:pPr>
    <w:rPr>
      <w:rFonts w:ascii="Times New Roman" w:hAnsi="Times New Roman"/>
      <w:szCs w:val="20"/>
    </w:rPr>
  </w:style>
  <w:style w:type="paragraph" w:styleId="16">
    <w:name w:val="Document Map"/>
    <w:basedOn w:val="1"/>
    <w:link w:val="76"/>
    <w:qFormat/>
    <w:uiPriority w:val="0"/>
    <w:pPr>
      <w:shd w:val="clear" w:color="auto" w:fill="000080"/>
    </w:pPr>
    <w:rPr>
      <w:rFonts w:ascii="Times New Roman" w:hAnsi="Times New Roman"/>
      <w:szCs w:val="20"/>
    </w:rPr>
  </w:style>
  <w:style w:type="paragraph" w:styleId="17">
    <w:name w:val="annotation text"/>
    <w:basedOn w:val="1"/>
    <w:link w:val="102"/>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74"/>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Date"/>
    <w:basedOn w:val="1"/>
    <w:next w:val="1"/>
    <w:link w:val="72"/>
    <w:qFormat/>
    <w:uiPriority w:val="0"/>
    <w:rPr>
      <w:rFonts w:ascii="Times New Roman" w:hAnsi="Times New Roman"/>
      <w:szCs w:val="20"/>
    </w:rPr>
  </w:style>
  <w:style w:type="paragraph" w:styleId="21">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2">
    <w:name w:val="endnote text"/>
    <w:basedOn w:val="1"/>
    <w:link w:val="89"/>
    <w:qFormat/>
    <w:uiPriority w:val="0"/>
    <w:pPr>
      <w:snapToGrid w:val="0"/>
      <w:jc w:val="left"/>
    </w:pPr>
    <w:rPr>
      <w:rFonts w:ascii="Times New Roman" w:hAnsi="Times New Roman"/>
      <w:szCs w:val="20"/>
    </w:rPr>
  </w:style>
  <w:style w:type="paragraph" w:styleId="23">
    <w:name w:val="Balloon Text"/>
    <w:basedOn w:val="1"/>
    <w:link w:val="99"/>
    <w:qFormat/>
    <w:uiPriority w:val="0"/>
    <w:rPr>
      <w:rFonts w:ascii="Times New Roman" w:hAnsi="Times New Roman"/>
      <w:sz w:val="18"/>
      <w:szCs w:val="18"/>
    </w:rPr>
  </w:style>
  <w:style w:type="paragraph" w:styleId="24">
    <w:name w:val="footer"/>
    <w:basedOn w:val="1"/>
    <w:link w:val="56"/>
    <w:unhideWhenUsed/>
    <w:qFormat/>
    <w:uiPriority w:val="0"/>
    <w:pPr>
      <w:tabs>
        <w:tab w:val="center" w:pos="4153"/>
        <w:tab w:val="right" w:pos="8306"/>
      </w:tabs>
      <w:snapToGrid w:val="0"/>
      <w:jc w:val="left"/>
    </w:pPr>
    <w:rPr>
      <w:sz w:val="18"/>
      <w:szCs w:val="18"/>
    </w:rPr>
  </w:style>
  <w:style w:type="paragraph" w:styleId="25">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4"/>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2"/>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86"/>
    <w:qFormat/>
    <w:uiPriority w:val="0"/>
    <w:rPr>
      <w:rFonts w:ascii="宋体" w:hAnsi="宋体"/>
      <w:szCs w:val="24"/>
      <w:u w:val="single"/>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7"/>
    <w:next w:val="17"/>
    <w:link w:val="106"/>
    <w:qFormat/>
    <w:uiPriority w:val="0"/>
    <w:rPr>
      <w:b/>
      <w:bCs/>
    </w:rPr>
  </w:style>
  <w:style w:type="table" w:styleId="34">
    <w:name w:val="Table Grid"/>
    <w:basedOn w:val="3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semiHidden/>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qFormat/>
    <w:uiPriority w:val="9"/>
    <w:rPr>
      <w:rFonts w:ascii="Calibri" w:hAnsi="Calibri" w:eastAsia="宋体" w:cs="Times New Roman"/>
      <w:b/>
      <w:bCs/>
      <w:kern w:val="44"/>
      <w:sz w:val="44"/>
      <w:szCs w:val="44"/>
    </w:rPr>
  </w:style>
  <w:style w:type="character" w:customStyle="1" w:styleId="44">
    <w:name w:val="标题 2 字符"/>
    <w:semiHidden/>
    <w:qFormat/>
    <w:uiPriority w:val="9"/>
    <w:rPr>
      <w:rFonts w:ascii="等线 Light" w:hAnsi="等线 Light" w:eastAsia="等线 Light" w:cs="Times New Roman"/>
      <w:b/>
      <w:bCs/>
      <w:sz w:val="32"/>
      <w:szCs w:val="32"/>
    </w:rPr>
  </w:style>
  <w:style w:type="character" w:customStyle="1" w:styleId="45">
    <w:name w:val="标题 3 字符"/>
    <w:semiHidden/>
    <w:qFormat/>
    <w:uiPriority w:val="9"/>
    <w:rPr>
      <w:rFonts w:ascii="Calibri" w:hAnsi="Calibri" w:eastAsia="宋体" w:cs="Times New Roman"/>
      <w:b/>
      <w:bCs/>
      <w:sz w:val="32"/>
      <w:szCs w:val="32"/>
    </w:rPr>
  </w:style>
  <w:style w:type="character" w:customStyle="1" w:styleId="46">
    <w:name w:val="标题 4 字符"/>
    <w:semiHidden/>
    <w:qFormat/>
    <w:uiPriority w:val="9"/>
    <w:rPr>
      <w:rFonts w:ascii="等线 Light" w:hAnsi="等线 Light" w:eastAsia="等线 Light" w:cs="Times New Roman"/>
      <w:b/>
      <w:bCs/>
      <w:sz w:val="28"/>
      <w:szCs w:val="28"/>
    </w:rPr>
  </w:style>
  <w:style w:type="character" w:customStyle="1" w:styleId="47">
    <w:name w:val="标题 5 字符"/>
    <w:semiHidden/>
    <w:qFormat/>
    <w:uiPriority w:val="9"/>
    <w:rPr>
      <w:rFonts w:ascii="Calibri" w:hAnsi="Calibri" w:eastAsia="宋体" w:cs="Times New Roman"/>
      <w:b/>
      <w:bCs/>
      <w:sz w:val="28"/>
      <w:szCs w:val="28"/>
    </w:rPr>
  </w:style>
  <w:style w:type="character" w:customStyle="1" w:styleId="48">
    <w:name w:val="标题 6 字符"/>
    <w:semiHidden/>
    <w:qFormat/>
    <w:uiPriority w:val="9"/>
    <w:rPr>
      <w:rFonts w:ascii="等线 Light" w:hAnsi="等线 Light" w:eastAsia="等线 Light" w:cs="Times New Roman"/>
      <w:b/>
      <w:bCs/>
      <w:sz w:val="24"/>
      <w:szCs w:val="24"/>
    </w:rPr>
  </w:style>
  <w:style w:type="character" w:customStyle="1" w:styleId="49">
    <w:name w:val="标题 7 字符"/>
    <w:semiHidden/>
    <w:qFormat/>
    <w:uiPriority w:val="9"/>
    <w:rPr>
      <w:rFonts w:ascii="Calibri" w:hAnsi="Calibri" w:eastAsia="宋体" w:cs="Times New Roman"/>
      <w:b/>
      <w:bCs/>
      <w:sz w:val="24"/>
      <w:szCs w:val="24"/>
    </w:rPr>
  </w:style>
  <w:style w:type="character" w:customStyle="1" w:styleId="50">
    <w:name w:val="标题 8 字符"/>
    <w:semiHidden/>
    <w:qFormat/>
    <w:uiPriority w:val="9"/>
    <w:rPr>
      <w:rFonts w:ascii="等线 Light" w:hAnsi="等线 Light" w:eastAsia="等线 Light" w:cs="Times New Roman"/>
      <w:sz w:val="24"/>
      <w:szCs w:val="24"/>
    </w:rPr>
  </w:style>
  <w:style w:type="character" w:customStyle="1" w:styleId="51">
    <w:name w:val="标题 9 字符"/>
    <w:semiHidden/>
    <w:qFormat/>
    <w:uiPriority w:val="9"/>
    <w:rPr>
      <w:rFonts w:ascii="等线 Light" w:hAnsi="等线 Light" w:eastAsia="等线 Light" w:cs="Times New Roman"/>
      <w:szCs w:val="21"/>
    </w:rPr>
  </w:style>
  <w:style w:type="character" w:customStyle="1" w:styleId="52">
    <w:name w:val="标题 3 字符1"/>
    <w:link w:val="8"/>
    <w:qFormat/>
    <w:uiPriority w:val="0"/>
    <w:rPr>
      <w:rFonts w:ascii="宋体" w:hAnsi="宋体" w:eastAsia="宋体" w:cs="宋体"/>
      <w:kern w:val="0"/>
      <w:sz w:val="27"/>
      <w:szCs w:val="27"/>
    </w:rPr>
  </w:style>
  <w:style w:type="character" w:customStyle="1" w:styleId="53">
    <w:name w:val="页眉 字符"/>
    <w:semiHidden/>
    <w:qFormat/>
    <w:uiPriority w:val="99"/>
    <w:rPr>
      <w:rFonts w:ascii="Calibri" w:hAnsi="Calibri" w:eastAsia="宋体" w:cs="Times New Roman"/>
      <w:sz w:val="18"/>
      <w:szCs w:val="18"/>
    </w:rPr>
  </w:style>
  <w:style w:type="character" w:customStyle="1" w:styleId="54">
    <w:name w:val="页眉 字符1"/>
    <w:link w:val="25"/>
    <w:qFormat/>
    <w:uiPriority w:val="0"/>
    <w:rPr>
      <w:rFonts w:ascii="Calibri" w:hAnsi="Calibri" w:eastAsia="宋体" w:cs="Times New Roman"/>
      <w:sz w:val="18"/>
      <w:szCs w:val="18"/>
    </w:rPr>
  </w:style>
  <w:style w:type="character" w:customStyle="1" w:styleId="55">
    <w:name w:val="页脚 字符"/>
    <w:semiHidden/>
    <w:qFormat/>
    <w:uiPriority w:val="99"/>
    <w:rPr>
      <w:rFonts w:ascii="Calibri" w:hAnsi="Calibri" w:eastAsia="宋体" w:cs="Times New Roman"/>
      <w:sz w:val="18"/>
      <w:szCs w:val="18"/>
    </w:rPr>
  </w:style>
  <w:style w:type="character" w:customStyle="1" w:styleId="56">
    <w:name w:val="页脚 字符1"/>
    <w:link w:val="24"/>
    <w:qFormat/>
    <w:uiPriority w:val="0"/>
    <w:rPr>
      <w:rFonts w:ascii="Calibri" w:hAnsi="Calibri" w:eastAsia="宋体" w:cs="Times New Roman"/>
      <w:sz w:val="18"/>
      <w:szCs w:val="18"/>
    </w:rPr>
  </w:style>
  <w:style w:type="character" w:customStyle="1" w:styleId="57">
    <w:name w:val="标题 1 字符1"/>
    <w:link w:val="3"/>
    <w:qFormat/>
    <w:uiPriority w:val="0"/>
    <w:rPr>
      <w:rFonts w:ascii="Arial" w:hAnsi="Arial" w:eastAsia="宋体"/>
      <w:b/>
      <w:kern w:val="44"/>
      <w:sz w:val="28"/>
      <w:szCs w:val="28"/>
    </w:rPr>
  </w:style>
  <w:style w:type="character" w:customStyle="1" w:styleId="58">
    <w:name w:val="标题 2 字符1"/>
    <w:link w:val="7"/>
    <w:qFormat/>
    <w:uiPriority w:val="0"/>
    <w:rPr>
      <w:rFonts w:ascii="Arial" w:hAnsi="Arial" w:eastAsia="宋体" w:cs="Times New Roman"/>
      <w:b/>
      <w:color w:val="000000"/>
      <w:sz w:val="24"/>
      <w:szCs w:val="24"/>
    </w:rPr>
  </w:style>
  <w:style w:type="character" w:customStyle="1" w:styleId="59">
    <w:name w:val="标题 4 字符1"/>
    <w:link w:val="9"/>
    <w:qFormat/>
    <w:uiPriority w:val="0"/>
    <w:rPr>
      <w:rFonts w:ascii="Arial" w:hAnsi="Arial" w:eastAsia="宋体" w:cs="Times New Roman"/>
      <w:color w:val="000000"/>
      <w:szCs w:val="21"/>
    </w:rPr>
  </w:style>
  <w:style w:type="character" w:customStyle="1" w:styleId="60">
    <w:name w:val="标题 5 字符1"/>
    <w:link w:val="11"/>
    <w:qFormat/>
    <w:uiPriority w:val="0"/>
    <w:rPr>
      <w:rFonts w:ascii="Arial" w:hAnsi="Arial" w:eastAsia="宋体" w:cs="Times New Roman"/>
      <w:color w:val="000000"/>
      <w:szCs w:val="21"/>
    </w:rPr>
  </w:style>
  <w:style w:type="character" w:customStyle="1" w:styleId="61">
    <w:name w:val="标题 6 字符1"/>
    <w:link w:val="12"/>
    <w:qFormat/>
    <w:uiPriority w:val="0"/>
    <w:rPr>
      <w:rFonts w:ascii="Arial" w:hAnsi="Arial" w:eastAsia="黑体" w:cs="Times New Roman"/>
      <w:b/>
      <w:bCs/>
      <w:sz w:val="24"/>
      <w:szCs w:val="24"/>
    </w:rPr>
  </w:style>
  <w:style w:type="character" w:customStyle="1" w:styleId="62">
    <w:name w:val="标题 7 字符1"/>
    <w:link w:val="13"/>
    <w:qFormat/>
    <w:uiPriority w:val="0"/>
    <w:rPr>
      <w:rFonts w:ascii="Times New Roman" w:hAnsi="Times New Roman" w:eastAsia="宋体" w:cs="Times New Roman"/>
      <w:b/>
      <w:sz w:val="24"/>
      <w:szCs w:val="20"/>
    </w:rPr>
  </w:style>
  <w:style w:type="character" w:customStyle="1" w:styleId="63">
    <w:name w:val="标题 8 字符1"/>
    <w:link w:val="14"/>
    <w:qFormat/>
    <w:uiPriority w:val="0"/>
    <w:rPr>
      <w:rFonts w:ascii="Arial" w:hAnsi="Arial" w:eastAsia="黑体" w:cs="Times New Roman"/>
      <w:sz w:val="24"/>
      <w:szCs w:val="20"/>
    </w:rPr>
  </w:style>
  <w:style w:type="character" w:customStyle="1" w:styleId="64">
    <w:name w:val="标题 9 字符1"/>
    <w:link w:val="15"/>
    <w:qFormat/>
    <w:uiPriority w:val="0"/>
    <w:rPr>
      <w:rFonts w:ascii="Arial" w:hAnsi="Arial" w:eastAsia="黑体" w:cs="Times New Roman"/>
      <w:szCs w:val="20"/>
    </w:rPr>
  </w:style>
  <w:style w:type="character" w:customStyle="1" w:styleId="65">
    <w:name w:val="标题 字符"/>
    <w:qFormat/>
    <w:uiPriority w:val="10"/>
    <w:rPr>
      <w:rFonts w:ascii="等线 Light" w:hAnsi="等线 Light" w:eastAsia="等线 Light" w:cs="Times New Roman"/>
      <w:b/>
      <w:bCs/>
      <w:sz w:val="32"/>
      <w:szCs w:val="32"/>
    </w:rPr>
  </w:style>
  <w:style w:type="character" w:customStyle="1" w:styleId="66">
    <w:name w:val="标题 字符1"/>
    <w:link w:val="4"/>
    <w:qFormat/>
    <w:uiPriority w:val="0"/>
    <w:rPr>
      <w:rFonts w:ascii="Arial" w:hAnsi="Arial" w:eastAsia="宋体" w:cs="Times New Roman"/>
      <w:b/>
      <w:sz w:val="44"/>
      <w:szCs w:val="20"/>
    </w:rPr>
  </w:style>
  <w:style w:type="character" w:customStyle="1" w:styleId="67">
    <w:name w:val="正文文本 字符"/>
    <w:semiHidden/>
    <w:qFormat/>
    <w:uiPriority w:val="99"/>
    <w:rPr>
      <w:rFonts w:ascii="Calibri" w:hAnsi="Calibri" w:eastAsia="宋体" w:cs="Times New Roman"/>
    </w:rPr>
  </w:style>
  <w:style w:type="character" w:customStyle="1" w:styleId="68">
    <w:name w:val="正文文本 字符1"/>
    <w:link w:val="6"/>
    <w:qFormat/>
    <w:uiPriority w:val="0"/>
    <w:rPr>
      <w:rFonts w:ascii="Times New Roman" w:hAnsi="Times New Roman" w:eastAsia="宋体" w:cs="Times New Roman"/>
      <w:szCs w:val="20"/>
    </w:rPr>
  </w:style>
  <w:style w:type="character" w:customStyle="1" w:styleId="69">
    <w:name w:val="正文首行缩进 字符"/>
    <w:basedOn w:val="67"/>
    <w:semiHidden/>
    <w:qFormat/>
    <w:uiPriority w:val="99"/>
    <w:rPr>
      <w:rFonts w:ascii="Calibri" w:hAnsi="Calibri" w:eastAsia="宋体" w:cs="Times New Roman"/>
    </w:rPr>
  </w:style>
  <w:style w:type="character" w:customStyle="1" w:styleId="70">
    <w:name w:val="正文首行缩进 字符1"/>
    <w:link w:val="5"/>
    <w:qFormat/>
    <w:uiPriority w:val="0"/>
  </w:style>
  <w:style w:type="character" w:customStyle="1" w:styleId="71">
    <w:name w:val="日期 字符"/>
    <w:semiHidden/>
    <w:qFormat/>
    <w:uiPriority w:val="99"/>
    <w:rPr>
      <w:rFonts w:ascii="Calibri" w:hAnsi="Calibri" w:eastAsia="宋体" w:cs="Times New Roman"/>
    </w:rPr>
  </w:style>
  <w:style w:type="character" w:customStyle="1" w:styleId="72">
    <w:name w:val="日期 字符1"/>
    <w:link w:val="20"/>
    <w:qFormat/>
    <w:uiPriority w:val="0"/>
    <w:rPr>
      <w:rFonts w:ascii="Times New Roman" w:hAnsi="Times New Roman" w:eastAsia="宋体" w:cs="Times New Roman"/>
      <w:szCs w:val="20"/>
    </w:rPr>
  </w:style>
  <w:style w:type="character" w:customStyle="1" w:styleId="73">
    <w:name w:val="正文文本缩进 字符"/>
    <w:semiHidden/>
    <w:qFormat/>
    <w:uiPriority w:val="99"/>
    <w:rPr>
      <w:rFonts w:ascii="Calibri" w:hAnsi="Calibri" w:eastAsia="宋体" w:cs="Times New Roman"/>
    </w:rPr>
  </w:style>
  <w:style w:type="character" w:customStyle="1" w:styleId="74">
    <w:name w:val="正文文本缩进 字符1"/>
    <w:link w:val="18"/>
    <w:qFormat/>
    <w:uiPriority w:val="0"/>
    <w:rPr>
      <w:rFonts w:ascii="Times New Roman" w:hAnsi="Times New Roman" w:eastAsia="宋体" w:cs="Times New Roman"/>
      <w:sz w:val="28"/>
      <w:szCs w:val="20"/>
    </w:rPr>
  </w:style>
  <w:style w:type="character" w:customStyle="1" w:styleId="75">
    <w:name w:val="文档结构图 字符"/>
    <w:semiHidden/>
    <w:qFormat/>
    <w:uiPriority w:val="99"/>
    <w:rPr>
      <w:rFonts w:ascii="Microsoft YaHei UI" w:hAnsi="Calibri" w:eastAsia="Microsoft YaHei UI" w:cs="Times New Roman"/>
      <w:sz w:val="18"/>
      <w:szCs w:val="18"/>
    </w:rPr>
  </w:style>
  <w:style w:type="character" w:customStyle="1" w:styleId="76">
    <w:name w:val="文档结构图 字符1"/>
    <w:link w:val="16"/>
    <w:qFormat/>
    <w:uiPriority w:val="0"/>
    <w:rPr>
      <w:rFonts w:ascii="Times New Roman" w:hAnsi="Times New Roman" w:eastAsia="宋体" w:cs="Times New Roman"/>
      <w:szCs w:val="20"/>
      <w:shd w:val="clear" w:color="auto" w:fill="000080"/>
    </w:rPr>
  </w:style>
  <w:style w:type="character" w:customStyle="1" w:styleId="77">
    <w:name w:val="纯文本 字符"/>
    <w:semiHidden/>
    <w:qFormat/>
    <w:uiPriority w:val="99"/>
    <w:rPr>
      <w:rFonts w:ascii="等线" w:hAnsi="Courier New" w:cs="Courier New"/>
    </w:rPr>
  </w:style>
  <w:style w:type="character" w:customStyle="1" w:styleId="78">
    <w:name w:val="纯文本 字符1"/>
    <w:link w:val="2"/>
    <w:qFormat/>
    <w:uiPriority w:val="0"/>
    <w:rPr>
      <w:rFonts w:ascii="宋体" w:hAnsi="Courier New" w:eastAsia="宋体" w:cs="Times New Roman"/>
      <w:szCs w:val="20"/>
    </w:rPr>
  </w:style>
  <w:style w:type="character" w:customStyle="1" w:styleId="79">
    <w:name w:val="正文文本缩进 2 字符"/>
    <w:semiHidden/>
    <w:qFormat/>
    <w:uiPriority w:val="99"/>
    <w:rPr>
      <w:rFonts w:ascii="Calibri" w:hAnsi="Calibri" w:eastAsia="宋体" w:cs="Times New Roman"/>
    </w:rPr>
  </w:style>
  <w:style w:type="character" w:customStyle="1" w:styleId="80">
    <w:name w:val="正文文本缩进 2 字符1"/>
    <w:link w:val="21"/>
    <w:qFormat/>
    <w:uiPriority w:val="0"/>
    <w:rPr>
      <w:rFonts w:ascii="Times New Roman" w:hAnsi="Times New Roman" w:eastAsia="宋体" w:cs="Times New Roman"/>
      <w:color w:val="000000"/>
      <w:sz w:val="24"/>
      <w:szCs w:val="20"/>
    </w:rPr>
  </w:style>
  <w:style w:type="character" w:customStyle="1" w:styleId="81">
    <w:name w:val="正文文本缩进 3 字符"/>
    <w:semiHidden/>
    <w:qFormat/>
    <w:uiPriority w:val="99"/>
    <w:rPr>
      <w:rFonts w:ascii="Calibri" w:hAnsi="Calibri" w:eastAsia="宋体" w:cs="Times New Roman"/>
      <w:sz w:val="16"/>
      <w:szCs w:val="16"/>
    </w:rPr>
  </w:style>
  <w:style w:type="character" w:customStyle="1" w:styleId="82">
    <w:name w:val="正文文本缩进 3 字符1"/>
    <w:link w:val="28"/>
    <w:qFormat/>
    <w:uiPriority w:val="0"/>
    <w:rPr>
      <w:rFonts w:ascii="Times New Roman" w:hAnsi="Times New Roman" w:eastAsia="宋体" w:cs="Times New Roman"/>
      <w:color w:val="000000"/>
      <w:sz w:val="24"/>
      <w:szCs w:val="20"/>
    </w:rPr>
  </w:style>
  <w:style w:type="paragraph" w:customStyle="1" w:styleId="8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_Style 69"/>
    <w:qFormat/>
    <w:uiPriority w:val="0"/>
    <w:rPr>
      <w:rFonts w:ascii="等线" w:hAnsi="等线" w:eastAsia="等线" w:cs="Times New Roman"/>
      <w:lang w:val="en-US" w:eastAsia="zh-CN" w:bidi="ar-SA"/>
    </w:rPr>
  </w:style>
  <w:style w:type="character" w:customStyle="1" w:styleId="85">
    <w:name w:val="正文文本 2 字符"/>
    <w:semiHidden/>
    <w:qFormat/>
    <w:uiPriority w:val="99"/>
    <w:rPr>
      <w:rFonts w:ascii="Calibri" w:hAnsi="Calibri" w:eastAsia="宋体" w:cs="Times New Roman"/>
    </w:rPr>
  </w:style>
  <w:style w:type="character" w:customStyle="1" w:styleId="86">
    <w:name w:val="正文文本 2 字符1"/>
    <w:link w:val="30"/>
    <w:qFormat/>
    <w:uiPriority w:val="0"/>
    <w:rPr>
      <w:rFonts w:ascii="宋体" w:hAnsi="宋体" w:eastAsia="宋体" w:cs="Times New Roman"/>
      <w:szCs w:val="24"/>
      <w:u w:val="single"/>
    </w:rPr>
  </w:style>
  <w:style w:type="paragraph" w:customStyle="1" w:styleId="87">
    <w:name w:val="表头"/>
    <w:basedOn w:val="1"/>
    <w:qFormat/>
    <w:uiPriority w:val="0"/>
    <w:pPr>
      <w:spacing w:line="360" w:lineRule="auto"/>
      <w:jc w:val="center"/>
    </w:pPr>
    <w:rPr>
      <w:rFonts w:ascii="黑体" w:hAnsi="Times New Roman" w:eastAsia="黑体"/>
      <w:kern w:val="0"/>
      <w:sz w:val="24"/>
      <w:szCs w:val="20"/>
    </w:rPr>
  </w:style>
  <w:style w:type="character" w:customStyle="1" w:styleId="88">
    <w:name w:val="尾注文本 字符"/>
    <w:semiHidden/>
    <w:qFormat/>
    <w:uiPriority w:val="99"/>
    <w:rPr>
      <w:rFonts w:ascii="Calibri" w:hAnsi="Calibri" w:eastAsia="宋体" w:cs="Times New Roman"/>
    </w:rPr>
  </w:style>
  <w:style w:type="character" w:customStyle="1" w:styleId="89">
    <w:name w:val="尾注文本 字符1"/>
    <w:link w:val="22"/>
    <w:qFormat/>
    <w:uiPriority w:val="0"/>
    <w:rPr>
      <w:rFonts w:ascii="Times New Roman" w:hAnsi="Times New Roman" w:eastAsia="宋体" w:cs="Times New Roman"/>
      <w:szCs w:val="20"/>
    </w:rPr>
  </w:style>
  <w:style w:type="paragraph" w:customStyle="1" w:styleId="90">
    <w:name w:val="Char"/>
    <w:basedOn w:val="1"/>
    <w:qFormat/>
    <w:uiPriority w:val="0"/>
    <w:rPr>
      <w:rFonts w:ascii="Tahoma" w:hAnsi="Tahoma"/>
      <w:sz w:val="24"/>
      <w:szCs w:val="20"/>
    </w:rPr>
  </w:style>
  <w:style w:type="paragraph" w:customStyle="1" w:styleId="91">
    <w:name w:val="Char1"/>
    <w:basedOn w:val="1"/>
    <w:qFormat/>
    <w:uiPriority w:val="0"/>
    <w:pPr>
      <w:numPr>
        <w:ilvl w:val="0"/>
        <w:numId w:val="1"/>
      </w:numPr>
    </w:pPr>
    <w:rPr>
      <w:rFonts w:ascii="Times New Roman" w:hAnsi="Times New Roman"/>
      <w:sz w:val="24"/>
      <w:szCs w:val="24"/>
    </w:rPr>
  </w:style>
  <w:style w:type="paragraph" w:customStyle="1" w:styleId="92">
    <w:name w:val="公文抬头"/>
    <w:basedOn w:val="10"/>
    <w:qFormat/>
    <w:uiPriority w:val="0"/>
    <w:pPr>
      <w:ind w:firstLine="0"/>
    </w:pPr>
    <w:rPr>
      <w:rFonts w:ascii="仿宋_GB2312" w:eastAsia="仿宋_GB2312"/>
      <w:sz w:val="30"/>
      <w:szCs w:val="24"/>
    </w:rPr>
  </w:style>
  <w:style w:type="paragraph" w:customStyle="1" w:styleId="93">
    <w:name w:val="Char Char Char1 Char"/>
    <w:basedOn w:val="16"/>
    <w:qFormat/>
    <w:uiPriority w:val="0"/>
    <w:rPr>
      <w:rFonts w:ascii="Tahoma" w:hAnsi="Tahoma"/>
      <w:sz w:val="24"/>
      <w:szCs w:val="24"/>
    </w:rPr>
  </w:style>
  <w:style w:type="paragraph" w:customStyle="1" w:styleId="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5">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6">
    <w:name w:val="发文落款"/>
    <w:basedOn w:val="94"/>
    <w:qFormat/>
    <w:uiPriority w:val="0"/>
    <w:pPr>
      <w:ind w:left="4094" w:right="607" w:firstLine="0"/>
      <w:jc w:val="center"/>
    </w:pPr>
  </w:style>
  <w:style w:type="paragraph" w:customStyle="1" w:styleId="97">
    <w:name w:val="Char Char Char Char"/>
    <w:basedOn w:val="1"/>
    <w:qFormat/>
    <w:uiPriority w:val="0"/>
    <w:rPr>
      <w:rFonts w:ascii="Times New Roman" w:hAnsi="Times New Roman"/>
      <w:sz w:val="30"/>
      <w:szCs w:val="24"/>
    </w:rPr>
  </w:style>
  <w:style w:type="character" w:customStyle="1" w:styleId="98">
    <w:name w:val="批注框文本 字符"/>
    <w:semiHidden/>
    <w:qFormat/>
    <w:uiPriority w:val="99"/>
    <w:rPr>
      <w:rFonts w:ascii="Calibri" w:hAnsi="Calibri" w:eastAsia="宋体" w:cs="Times New Roman"/>
      <w:sz w:val="18"/>
      <w:szCs w:val="18"/>
    </w:rPr>
  </w:style>
  <w:style w:type="character" w:customStyle="1" w:styleId="99">
    <w:name w:val="批注框文本 字符1"/>
    <w:link w:val="23"/>
    <w:qFormat/>
    <w:uiPriority w:val="0"/>
    <w:rPr>
      <w:rFonts w:ascii="Times New Roman" w:hAnsi="Times New Roman" w:eastAsia="宋体" w:cs="Times New Roman"/>
      <w:sz w:val="18"/>
      <w:szCs w:val="18"/>
    </w:rPr>
  </w:style>
  <w:style w:type="paragraph" w:customStyle="1" w:styleId="100">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1">
    <w:name w:val="批注文字 字符"/>
    <w:semiHidden/>
    <w:qFormat/>
    <w:uiPriority w:val="99"/>
    <w:rPr>
      <w:rFonts w:ascii="Calibri" w:hAnsi="Calibri" w:eastAsia="宋体" w:cs="Times New Roman"/>
    </w:rPr>
  </w:style>
  <w:style w:type="character" w:customStyle="1" w:styleId="102">
    <w:name w:val="批注文字 字符1"/>
    <w:link w:val="17"/>
    <w:qFormat/>
    <w:uiPriority w:val="0"/>
    <w:rPr>
      <w:rFonts w:ascii="宋体" w:hAnsi="宋体" w:eastAsia="宋体" w:cs="Times New Roman"/>
      <w:sz w:val="24"/>
      <w:szCs w:val="24"/>
    </w:rPr>
  </w:style>
  <w:style w:type="character" w:customStyle="1" w:styleId="103">
    <w:name w:val="脚注文本 字符"/>
    <w:semiHidden/>
    <w:qFormat/>
    <w:uiPriority w:val="99"/>
    <w:rPr>
      <w:rFonts w:ascii="Calibri" w:hAnsi="Calibri" w:eastAsia="宋体" w:cs="Times New Roman"/>
      <w:sz w:val="18"/>
      <w:szCs w:val="18"/>
    </w:rPr>
  </w:style>
  <w:style w:type="character" w:customStyle="1" w:styleId="104">
    <w:name w:val="脚注文本 字符1"/>
    <w:link w:val="27"/>
    <w:qFormat/>
    <w:uiPriority w:val="0"/>
    <w:rPr>
      <w:rFonts w:ascii="宋体" w:hAnsi="宋体" w:eastAsia="宋体" w:cs="Times New Roman"/>
      <w:sz w:val="18"/>
      <w:szCs w:val="18"/>
    </w:rPr>
  </w:style>
  <w:style w:type="character" w:customStyle="1" w:styleId="105">
    <w:name w:val="批注主题 字符"/>
    <w:semiHidden/>
    <w:qFormat/>
    <w:uiPriority w:val="99"/>
    <w:rPr>
      <w:rFonts w:ascii="Calibri" w:hAnsi="Calibri" w:eastAsia="宋体" w:cs="Times New Roman"/>
      <w:b/>
      <w:bCs/>
    </w:rPr>
  </w:style>
  <w:style w:type="character" w:customStyle="1" w:styleId="106">
    <w:name w:val="批注主题 字符1"/>
    <w:link w:val="32"/>
    <w:qFormat/>
    <w:uiPriority w:val="0"/>
    <w:rPr>
      <w:rFonts w:ascii="宋体" w:hAnsi="宋体" w:eastAsia="宋体" w:cs="Times New Roman"/>
      <w:b/>
      <w:bCs/>
      <w:sz w:val="24"/>
      <w:szCs w:val="24"/>
    </w:rPr>
  </w:style>
  <w:style w:type="paragraph" w:styleId="107">
    <w:name w:val="List Paragraph"/>
    <w:basedOn w:val="1"/>
    <w:qFormat/>
    <w:uiPriority w:val="34"/>
    <w:pPr>
      <w:ind w:firstLine="420" w:firstLineChars="200"/>
    </w:pPr>
    <w:rPr>
      <w:rFonts w:ascii="Times New Roman" w:hAnsi="Times New Roman"/>
      <w:szCs w:val="20"/>
    </w:rPr>
  </w:style>
  <w:style w:type="paragraph" w:customStyle="1" w:styleId="108">
    <w:name w:val="修订1"/>
    <w:hidden/>
    <w:semiHidden/>
    <w:qFormat/>
    <w:uiPriority w:val="99"/>
    <w:rPr>
      <w:rFonts w:ascii="Times New Roman" w:hAnsi="Times New Roman" w:eastAsia="宋体" w:cs="Times New Roman"/>
      <w:kern w:val="2"/>
      <w:sz w:val="21"/>
      <w:lang w:val="en-US" w:eastAsia="zh-CN" w:bidi="ar-SA"/>
    </w:rPr>
  </w:style>
  <w:style w:type="paragraph" w:customStyle="1" w:styleId="109">
    <w:name w:val="PlainText"/>
    <w:basedOn w:val="1"/>
    <w:qFormat/>
    <w:uiPriority w:val="0"/>
    <w:rPr>
      <w:rFonts w:ascii="宋体" w:hAnsi="Courier New"/>
      <w:kern w:val="0"/>
      <w:sz w:val="20"/>
      <w:szCs w:val="20"/>
    </w:rPr>
  </w:style>
  <w:style w:type="paragraph" w:customStyle="1" w:styleId="110">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1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43732</Words>
  <Characters>45970</Characters>
  <Lines>543</Lines>
  <Paragraphs>153</Paragraphs>
  <TotalTime>1</TotalTime>
  <ScaleCrop>false</ScaleCrop>
  <LinksUpToDate>false</LinksUpToDate>
  <CharactersWithSpaces>47784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2019-10-13T23:40:00Z</dcterms:created>
  <dc:creator>管理员</dc:creator>
  <cp:lastModifiedBy>ai</cp:lastModifiedBy>
  <dcterms:modified xsi:type="dcterms:W3CDTF">2024-12-02T09:38:57Z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20697F50AE214087AA5CB29030160F4B_13</vt:lpwstr>
  </property>
</Properties>
</file>