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64D177">
      <w:pPr>
        <w:pStyle w:val="8"/>
        <w:widowControl w:val="0"/>
        <w:adjustRightInd w:val="0"/>
        <w:snapToGrid w:val="0"/>
        <w:spacing w:before="0" w:beforeAutospacing="0" w:after="0" w:afterAutospacing="0" w:line="360" w:lineRule="auto"/>
        <w:rPr>
          <w:rFonts w:ascii="黑体" w:hAnsi="黑体" w:eastAsia="黑体"/>
          <w:b/>
          <w:szCs w:val="21"/>
        </w:rPr>
      </w:pPr>
      <w:r>
        <w:rPr>
          <w:rFonts w:hint="eastAsia" w:ascii="黑体" w:hAnsi="黑体" w:eastAsia="黑体"/>
          <w:b/>
          <w:szCs w:val="21"/>
        </w:rPr>
        <w:t>附件一：</w:t>
      </w:r>
    </w:p>
    <w:p w14:paraId="0C7C85A5">
      <w:pPr>
        <w:pStyle w:val="8"/>
        <w:widowControl w:val="0"/>
        <w:adjustRightInd w:val="0"/>
        <w:snapToGrid w:val="0"/>
        <w:spacing w:before="0" w:beforeAutospacing="0" w:after="0" w:afterAutospacing="0" w:line="360" w:lineRule="auto"/>
        <w:jc w:val="center"/>
        <w:rPr>
          <w:rFonts w:hint="eastAsia" w:ascii="黑体" w:hAnsi="黑体" w:eastAsia="黑体" w:cs="宋体"/>
          <w:b/>
          <w:sz w:val="32"/>
          <w:szCs w:val="21"/>
        </w:rPr>
      </w:pPr>
      <w:r>
        <w:rPr>
          <w:rFonts w:hint="eastAsia" w:ascii="黑体" w:hAnsi="黑体" w:eastAsia="黑体" w:cs="宋体"/>
          <w:b/>
          <w:sz w:val="32"/>
          <w:szCs w:val="21"/>
        </w:rPr>
        <w:t>广州市天河区棠东广棠路2 号、广园路以北以及棠东横岭地块开发建设综合商业项目</w:t>
      </w:r>
    </w:p>
    <w:p w14:paraId="7ED59293">
      <w:pPr>
        <w:pStyle w:val="8"/>
        <w:widowControl w:val="0"/>
        <w:adjustRightInd w:val="0"/>
        <w:snapToGrid w:val="0"/>
        <w:spacing w:before="0" w:beforeAutospacing="0" w:after="0" w:afterAutospacing="0" w:line="360" w:lineRule="auto"/>
        <w:jc w:val="center"/>
        <w:rPr>
          <w:rFonts w:ascii="黑体" w:hAnsi="黑体" w:eastAsia="黑体"/>
          <w:b/>
          <w:sz w:val="32"/>
          <w:szCs w:val="21"/>
        </w:rPr>
      </w:pPr>
      <w:r>
        <w:rPr>
          <w:rFonts w:hint="eastAsia" w:ascii="黑体" w:hAnsi="黑体" w:eastAsia="黑体"/>
          <w:b/>
          <w:sz w:val="32"/>
          <w:szCs w:val="21"/>
        </w:rPr>
        <w:t>土壤氡检测、工程物探及地形测绘任务书</w:t>
      </w:r>
    </w:p>
    <w:p w14:paraId="39E12287">
      <w:pPr>
        <w:pStyle w:val="8"/>
        <w:widowControl w:val="0"/>
        <w:numPr>
          <w:ilvl w:val="0"/>
          <w:numId w:val="1"/>
        </w:numPr>
        <w:adjustRightInd w:val="0"/>
        <w:snapToGrid w:val="0"/>
        <w:spacing w:before="0" w:beforeAutospacing="0" w:after="0" w:afterAutospacing="0" w:line="360" w:lineRule="auto"/>
        <w:rPr>
          <w:b/>
          <w:sz w:val="21"/>
          <w:szCs w:val="21"/>
        </w:rPr>
      </w:pPr>
      <w:r>
        <w:rPr>
          <w:rFonts w:hint="eastAsia"/>
          <w:b/>
          <w:sz w:val="21"/>
          <w:szCs w:val="21"/>
        </w:rPr>
        <w:t>项目概况</w:t>
      </w:r>
    </w:p>
    <w:p w14:paraId="1247A4AD">
      <w:pPr>
        <w:pStyle w:val="8"/>
        <w:widowControl w:val="0"/>
        <w:numPr>
          <w:ilvl w:val="1"/>
          <w:numId w:val="2"/>
        </w:numPr>
        <w:adjustRightInd w:val="0"/>
        <w:snapToGrid w:val="0"/>
        <w:spacing w:before="0" w:beforeAutospacing="0" w:after="0" w:afterAutospacing="0" w:line="360" w:lineRule="auto"/>
        <w:rPr>
          <w:sz w:val="21"/>
          <w:szCs w:val="21"/>
        </w:rPr>
      </w:pPr>
      <w:r>
        <w:rPr>
          <w:rFonts w:hint="eastAsia"/>
          <w:sz w:val="21"/>
          <w:szCs w:val="21"/>
        </w:rPr>
        <w:t>工程名称：</w:t>
      </w:r>
      <w:r>
        <w:rPr>
          <w:rFonts w:hint="eastAsia" w:ascii="宋体" w:hAnsi="宋体" w:eastAsia="宋体" w:cs="宋体"/>
          <w:sz w:val="21"/>
          <w:szCs w:val="21"/>
        </w:rPr>
        <w:t>广州市天河区棠东广棠路2 号、广园路以北以及棠东横岭地块开发建设综合商业项目</w:t>
      </w:r>
    </w:p>
    <w:p w14:paraId="6A7C0957">
      <w:pPr>
        <w:pStyle w:val="8"/>
        <w:widowControl w:val="0"/>
        <w:numPr>
          <w:ilvl w:val="1"/>
          <w:numId w:val="2"/>
        </w:numPr>
        <w:adjustRightInd w:val="0"/>
        <w:snapToGrid w:val="0"/>
        <w:spacing w:before="0" w:beforeAutospacing="0" w:after="0" w:afterAutospacing="0" w:line="360" w:lineRule="auto"/>
        <w:rPr>
          <w:sz w:val="21"/>
          <w:szCs w:val="21"/>
        </w:rPr>
      </w:pPr>
      <w:r>
        <w:rPr>
          <w:rFonts w:hint="eastAsia"/>
          <w:sz w:val="21"/>
          <w:szCs w:val="21"/>
        </w:rPr>
        <w:t>项目位置：</w:t>
      </w:r>
      <w:bookmarkStart w:id="2" w:name="_GoBack"/>
      <w:bookmarkEnd w:id="2"/>
    </w:p>
    <w:p w14:paraId="74BE9FDC">
      <w:pPr>
        <w:pStyle w:val="8"/>
        <w:widowControl w:val="0"/>
        <w:numPr>
          <w:ilvl w:val="2"/>
          <w:numId w:val="2"/>
        </w:numPr>
        <w:adjustRightInd w:val="0"/>
        <w:snapToGrid w:val="0"/>
        <w:spacing w:before="0" w:beforeAutospacing="0" w:after="0" w:afterAutospacing="0" w:line="360" w:lineRule="auto"/>
        <w:rPr>
          <w:sz w:val="21"/>
          <w:szCs w:val="21"/>
        </w:rPr>
      </w:pPr>
      <w:r>
        <w:rPr>
          <w:rFonts w:hint="eastAsia"/>
          <w:sz w:val="21"/>
          <w:szCs w:val="21"/>
        </w:rPr>
        <w:t>地块位置</w:t>
      </w:r>
    </w:p>
    <w:p w14:paraId="44CD38BB">
      <w:pPr>
        <w:pStyle w:val="8"/>
        <w:widowControl w:val="0"/>
        <w:adjustRightInd w:val="0"/>
        <w:snapToGrid w:val="0"/>
        <w:spacing w:before="0" w:beforeAutospacing="0" w:after="0" w:afterAutospacing="0" w:line="360" w:lineRule="auto"/>
        <w:ind w:firstLine="420" w:firstLineChars="200"/>
        <w:rPr>
          <w:sz w:val="21"/>
          <w:szCs w:val="21"/>
        </w:rPr>
      </w:pPr>
      <w:r>
        <w:rPr>
          <w:rFonts w:hint="eastAsia"/>
          <w:sz w:val="21"/>
          <w:szCs w:val="21"/>
        </w:rPr>
        <w:t>位于广州市天河区棠东广棠路</w:t>
      </w:r>
      <w:r>
        <w:rPr>
          <w:sz w:val="21"/>
          <w:szCs w:val="21"/>
        </w:rPr>
        <w:t>2号（以下简称“3号地”）、广园路以北（以下简称“4号地”、“5号地”）以及棠东横岭（以下简称“6号地”）</w:t>
      </w:r>
      <w:r>
        <w:rPr>
          <w:rFonts w:hint="eastAsia"/>
          <w:sz w:val="21"/>
          <w:szCs w:val="21"/>
        </w:rPr>
        <w:t>。</w:t>
      </w:r>
    </w:p>
    <w:p w14:paraId="0940D9F2">
      <w:pPr>
        <w:pStyle w:val="8"/>
        <w:widowControl w:val="0"/>
        <w:adjustRightInd w:val="0"/>
        <w:snapToGrid w:val="0"/>
        <w:spacing w:before="0" w:beforeAutospacing="0" w:after="0" w:afterAutospacing="0" w:line="360" w:lineRule="auto"/>
        <w:rPr>
          <w:sz w:val="21"/>
          <w:szCs w:val="21"/>
        </w:rPr>
      </w:pPr>
      <w:r>
        <w:rPr>
          <w:rFonts w:hint="eastAsia"/>
          <w:sz w:val="21"/>
          <w:szCs w:val="21"/>
        </w:rPr>
        <w:t>（详见下图填充范围内）</w:t>
      </w:r>
    </w:p>
    <w:p w14:paraId="79D6B046">
      <w:pPr>
        <w:pStyle w:val="8"/>
        <w:adjustRightInd w:val="0"/>
        <w:snapToGrid w:val="0"/>
        <w:spacing w:before="0" w:beforeAutospacing="0" w:after="0" w:afterAutospacing="0" w:line="360" w:lineRule="auto"/>
        <w:jc w:val="center"/>
        <w:rPr>
          <w:sz w:val="21"/>
          <w:szCs w:val="21"/>
        </w:rPr>
      </w:pPr>
      <w:r>
        <w:drawing>
          <wp:inline distT="0" distB="0" distL="0" distR="0">
            <wp:extent cx="5219700" cy="37191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rcRect t="8007" r="6814"/>
                    <a:stretch>
                      <a:fillRect/>
                    </a:stretch>
                  </pic:blipFill>
                  <pic:spPr>
                    <a:xfrm>
                      <a:off x="0" y="0"/>
                      <a:ext cx="5222838" cy="3721441"/>
                    </a:xfrm>
                    <a:prstGeom prst="rect">
                      <a:avLst/>
                    </a:prstGeom>
                    <a:ln>
                      <a:noFill/>
                    </a:ln>
                  </pic:spPr>
                </pic:pic>
              </a:graphicData>
            </a:graphic>
          </wp:inline>
        </w:drawing>
      </w:r>
    </w:p>
    <w:p w14:paraId="375AC25B">
      <w:pPr>
        <w:pStyle w:val="8"/>
        <w:widowControl w:val="0"/>
        <w:numPr>
          <w:ilvl w:val="1"/>
          <w:numId w:val="2"/>
        </w:numPr>
        <w:adjustRightInd w:val="0"/>
        <w:snapToGrid w:val="0"/>
        <w:spacing w:before="0" w:beforeAutospacing="0" w:after="0" w:afterAutospacing="0" w:line="360" w:lineRule="auto"/>
        <w:rPr>
          <w:sz w:val="21"/>
          <w:szCs w:val="21"/>
        </w:rPr>
      </w:pPr>
      <w:r>
        <w:rPr>
          <w:rFonts w:hint="eastAsia"/>
          <w:sz w:val="21"/>
          <w:szCs w:val="21"/>
        </w:rPr>
        <w:t>项目概况：</w:t>
      </w:r>
      <w:bookmarkStart w:id="0" w:name="_Toc54099104"/>
    </w:p>
    <w:bookmarkEnd w:id="0"/>
    <w:p w14:paraId="592D2F06">
      <w:pPr>
        <w:pStyle w:val="8"/>
        <w:widowControl w:val="0"/>
        <w:numPr>
          <w:ilvl w:val="2"/>
          <w:numId w:val="2"/>
        </w:numPr>
        <w:adjustRightInd w:val="0"/>
        <w:snapToGrid w:val="0"/>
        <w:spacing w:before="0" w:beforeAutospacing="0" w:after="0" w:afterAutospacing="0" w:line="360" w:lineRule="auto"/>
        <w:rPr>
          <w:b/>
          <w:sz w:val="21"/>
          <w:szCs w:val="21"/>
        </w:rPr>
      </w:pPr>
      <w:bookmarkStart w:id="1" w:name="_Toc54099105"/>
      <w:r>
        <w:rPr>
          <w:rFonts w:hint="eastAsia"/>
          <w:sz w:val="21"/>
          <w:szCs w:val="21"/>
        </w:rPr>
        <w:t>拟建项目总用地面积</w:t>
      </w:r>
      <w:r>
        <w:rPr>
          <w:sz w:val="21"/>
          <w:szCs w:val="21"/>
        </w:rPr>
        <w:t>51410㎡，规划可建设用地面积49251㎡，总建筑面积（含地下）231983㎡，计容建筑总面积176676㎡，项目主要功能为酒店、办公及商业。本合同建筑面积最终按项目的建设工程规划许可证上批复的总建筑面积为准。</w:t>
      </w:r>
      <w:bookmarkEnd w:id="1"/>
    </w:p>
    <w:p w14:paraId="211189B1">
      <w:pPr>
        <w:pStyle w:val="8"/>
        <w:widowControl w:val="0"/>
        <w:adjustRightInd w:val="0"/>
        <w:snapToGrid w:val="0"/>
        <w:spacing w:before="0" w:beforeAutospacing="0" w:after="0" w:afterAutospacing="0" w:line="360" w:lineRule="auto"/>
        <w:ind w:left="425"/>
        <w:rPr>
          <w:sz w:val="21"/>
          <w:szCs w:val="21"/>
        </w:rPr>
      </w:pPr>
    </w:p>
    <w:p w14:paraId="7FD36E60">
      <w:pPr>
        <w:pStyle w:val="8"/>
        <w:widowControl w:val="0"/>
        <w:numPr>
          <w:ilvl w:val="0"/>
          <w:numId w:val="1"/>
        </w:numPr>
        <w:adjustRightInd w:val="0"/>
        <w:snapToGrid w:val="0"/>
        <w:spacing w:before="0" w:beforeAutospacing="0" w:after="0" w:afterAutospacing="0" w:line="360" w:lineRule="auto"/>
        <w:rPr>
          <w:b/>
          <w:sz w:val="21"/>
          <w:szCs w:val="21"/>
        </w:rPr>
      </w:pPr>
      <w:r>
        <w:rPr>
          <w:b/>
          <w:sz w:val="21"/>
          <w:szCs w:val="21"/>
        </w:rPr>
        <w:t>规划</w:t>
      </w:r>
      <w:r>
        <w:rPr>
          <w:rFonts w:hint="eastAsia"/>
          <w:b/>
          <w:sz w:val="21"/>
          <w:szCs w:val="21"/>
        </w:rPr>
        <w:t>指标</w:t>
      </w:r>
    </w:p>
    <w:p w14:paraId="3000A92D">
      <w:pPr>
        <w:pStyle w:val="10"/>
        <w:widowControl w:val="0"/>
        <w:numPr>
          <w:ilvl w:val="0"/>
          <w:numId w:val="2"/>
        </w:numPr>
        <w:adjustRightInd w:val="0"/>
        <w:snapToGrid w:val="0"/>
        <w:spacing w:before="0" w:beforeLines="0" w:line="360" w:lineRule="auto"/>
        <w:ind w:firstLineChars="0"/>
        <w:rPr>
          <w:rFonts w:ascii="宋体" w:hAnsi="宋体" w:eastAsia="宋体" w:cs="宋体"/>
          <w:vanish/>
          <w:kern w:val="0"/>
          <w:szCs w:val="21"/>
        </w:rPr>
      </w:pPr>
    </w:p>
    <w:p w14:paraId="3C3816AC">
      <w:pPr>
        <w:pStyle w:val="8"/>
        <w:widowControl w:val="0"/>
        <w:numPr>
          <w:ilvl w:val="1"/>
          <w:numId w:val="2"/>
        </w:numPr>
        <w:adjustRightInd w:val="0"/>
        <w:snapToGrid w:val="0"/>
        <w:spacing w:before="0" w:beforeAutospacing="0" w:after="0" w:afterAutospacing="0" w:line="360" w:lineRule="auto"/>
        <w:rPr>
          <w:sz w:val="21"/>
          <w:szCs w:val="21"/>
        </w:rPr>
      </w:pPr>
      <w:r>
        <w:rPr>
          <w:rFonts w:hint="eastAsia"/>
          <w:sz w:val="21"/>
          <w:szCs w:val="21"/>
        </w:rPr>
        <w:t>基础</w:t>
      </w:r>
      <w:r>
        <w:rPr>
          <w:sz w:val="21"/>
          <w:szCs w:val="21"/>
        </w:rPr>
        <w:t>指标</w:t>
      </w:r>
    </w:p>
    <w:tbl>
      <w:tblPr>
        <w:tblStyle w:val="6"/>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2689"/>
        <w:gridCol w:w="1937"/>
        <w:gridCol w:w="1937"/>
        <w:gridCol w:w="1937"/>
      </w:tblGrid>
      <w:tr w14:paraId="70D0B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67" w:type="dxa"/>
            <w:shd w:val="clear" w:color="auto" w:fill="D0CECE" w:themeFill="background2" w:themeFillShade="E6"/>
            <w:noWrap/>
            <w:vAlign w:val="center"/>
          </w:tcPr>
          <w:p w14:paraId="00FB3859">
            <w:pPr>
              <w:spacing w:before="156" w:line="276" w:lineRule="auto"/>
              <w:jc w:val="center"/>
              <w:rPr>
                <w:rFonts w:ascii="宋体" w:hAnsi="宋体" w:eastAsia="宋体" w:cs="宋体"/>
                <w:b/>
                <w:kern w:val="0"/>
                <w:szCs w:val="18"/>
              </w:rPr>
            </w:pPr>
            <w:r>
              <w:rPr>
                <w:rFonts w:hint="eastAsia" w:ascii="宋体" w:hAnsi="宋体" w:eastAsia="宋体" w:cs="宋体"/>
                <w:b/>
                <w:kern w:val="0"/>
                <w:szCs w:val="18"/>
              </w:rPr>
              <w:t>序号</w:t>
            </w:r>
          </w:p>
        </w:tc>
        <w:tc>
          <w:tcPr>
            <w:tcW w:w="2689" w:type="dxa"/>
            <w:shd w:val="clear" w:color="auto" w:fill="D0CECE" w:themeFill="background2" w:themeFillShade="E6"/>
            <w:noWrap/>
            <w:vAlign w:val="center"/>
          </w:tcPr>
          <w:p w14:paraId="6F5E2326">
            <w:pPr>
              <w:spacing w:before="156" w:line="276" w:lineRule="auto"/>
              <w:jc w:val="center"/>
              <w:rPr>
                <w:rFonts w:ascii="宋体" w:hAnsi="宋体" w:eastAsia="宋体" w:cs="宋体"/>
                <w:b/>
                <w:kern w:val="0"/>
                <w:szCs w:val="18"/>
              </w:rPr>
            </w:pPr>
            <w:r>
              <w:rPr>
                <w:rFonts w:hint="eastAsia" w:ascii="宋体" w:hAnsi="宋体" w:eastAsia="宋体" w:cs="宋体"/>
                <w:b/>
                <w:kern w:val="0"/>
                <w:szCs w:val="18"/>
              </w:rPr>
              <w:t>项目</w:t>
            </w:r>
          </w:p>
        </w:tc>
        <w:tc>
          <w:tcPr>
            <w:tcW w:w="1937" w:type="dxa"/>
            <w:shd w:val="clear" w:color="auto" w:fill="D0CECE" w:themeFill="background2" w:themeFillShade="E6"/>
            <w:noWrap/>
            <w:vAlign w:val="center"/>
          </w:tcPr>
          <w:p w14:paraId="329CE756">
            <w:pPr>
              <w:spacing w:before="156" w:line="276" w:lineRule="auto"/>
              <w:jc w:val="center"/>
              <w:rPr>
                <w:rFonts w:ascii="宋体" w:hAnsi="宋体" w:eastAsia="宋体" w:cs="宋体"/>
                <w:b/>
                <w:kern w:val="0"/>
                <w:szCs w:val="18"/>
              </w:rPr>
            </w:pPr>
            <w:r>
              <w:rPr>
                <w:rFonts w:hint="eastAsia" w:ascii="宋体" w:hAnsi="宋体" w:eastAsia="宋体" w:cs="宋体"/>
                <w:b/>
                <w:kern w:val="0"/>
                <w:szCs w:val="18"/>
              </w:rPr>
              <w:t>3号地块指标</w:t>
            </w:r>
          </w:p>
        </w:tc>
        <w:tc>
          <w:tcPr>
            <w:tcW w:w="1937" w:type="dxa"/>
            <w:shd w:val="clear" w:color="auto" w:fill="D0CECE" w:themeFill="background2" w:themeFillShade="E6"/>
            <w:vAlign w:val="center"/>
          </w:tcPr>
          <w:p w14:paraId="18BCCD68">
            <w:pPr>
              <w:spacing w:before="156" w:line="276" w:lineRule="auto"/>
              <w:jc w:val="center"/>
              <w:rPr>
                <w:rFonts w:ascii="宋体" w:hAnsi="宋体" w:eastAsia="宋体" w:cs="宋体"/>
                <w:b/>
                <w:kern w:val="0"/>
                <w:szCs w:val="18"/>
              </w:rPr>
            </w:pPr>
            <w:r>
              <w:rPr>
                <w:rFonts w:ascii="宋体" w:hAnsi="宋体" w:eastAsia="宋体" w:cs="宋体"/>
                <w:b/>
                <w:kern w:val="0"/>
                <w:szCs w:val="18"/>
              </w:rPr>
              <w:t>4</w:t>
            </w:r>
            <w:r>
              <w:rPr>
                <w:rFonts w:hint="eastAsia" w:ascii="宋体" w:hAnsi="宋体" w:eastAsia="宋体" w:cs="宋体"/>
                <w:b/>
                <w:kern w:val="0"/>
                <w:szCs w:val="18"/>
              </w:rPr>
              <w:t>号</w:t>
            </w:r>
            <w:r>
              <w:rPr>
                <w:rFonts w:ascii="宋体" w:hAnsi="宋体" w:eastAsia="宋体" w:cs="宋体"/>
                <w:b/>
                <w:kern w:val="0"/>
                <w:szCs w:val="18"/>
              </w:rPr>
              <w:t>5</w:t>
            </w:r>
            <w:r>
              <w:rPr>
                <w:rFonts w:hint="eastAsia" w:ascii="宋体" w:hAnsi="宋体" w:eastAsia="宋体" w:cs="宋体"/>
                <w:b/>
                <w:kern w:val="0"/>
                <w:szCs w:val="18"/>
              </w:rPr>
              <w:t>号</w:t>
            </w:r>
            <w:r>
              <w:rPr>
                <w:rFonts w:ascii="宋体" w:hAnsi="宋体" w:eastAsia="宋体" w:cs="宋体"/>
                <w:b/>
                <w:kern w:val="0"/>
                <w:szCs w:val="18"/>
              </w:rPr>
              <w:t>地块</w:t>
            </w:r>
            <w:r>
              <w:rPr>
                <w:rFonts w:hint="eastAsia" w:ascii="宋体" w:hAnsi="宋体" w:eastAsia="宋体" w:cs="宋体"/>
                <w:b/>
                <w:kern w:val="0"/>
                <w:szCs w:val="18"/>
              </w:rPr>
              <w:t>指标</w:t>
            </w:r>
          </w:p>
        </w:tc>
        <w:tc>
          <w:tcPr>
            <w:tcW w:w="1937" w:type="dxa"/>
            <w:shd w:val="clear" w:color="auto" w:fill="D0CECE" w:themeFill="background2" w:themeFillShade="E6"/>
            <w:vAlign w:val="center"/>
          </w:tcPr>
          <w:p w14:paraId="0FA859BD">
            <w:pPr>
              <w:spacing w:before="156" w:line="276" w:lineRule="auto"/>
              <w:jc w:val="center"/>
              <w:rPr>
                <w:rFonts w:ascii="宋体" w:hAnsi="宋体" w:eastAsia="宋体" w:cs="宋体"/>
                <w:b/>
                <w:kern w:val="0"/>
                <w:szCs w:val="18"/>
              </w:rPr>
            </w:pPr>
            <w:r>
              <w:rPr>
                <w:rFonts w:hint="eastAsia" w:ascii="宋体" w:hAnsi="宋体" w:eastAsia="宋体" w:cs="宋体"/>
                <w:b/>
                <w:kern w:val="0"/>
                <w:szCs w:val="18"/>
              </w:rPr>
              <w:t>6</w:t>
            </w:r>
            <w:r>
              <w:rPr>
                <w:rFonts w:ascii="宋体" w:hAnsi="宋体" w:eastAsia="宋体" w:cs="宋体"/>
                <w:b/>
                <w:kern w:val="0"/>
                <w:szCs w:val="18"/>
              </w:rPr>
              <w:t>号地块指标</w:t>
            </w:r>
          </w:p>
        </w:tc>
      </w:tr>
      <w:tr w14:paraId="5CF53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67" w:type="dxa"/>
            <w:shd w:val="clear" w:color="auto" w:fill="auto"/>
            <w:noWrap/>
            <w:vAlign w:val="center"/>
          </w:tcPr>
          <w:p w14:paraId="626861F9">
            <w:pPr>
              <w:spacing w:before="156" w:line="276" w:lineRule="auto"/>
              <w:jc w:val="center"/>
              <w:rPr>
                <w:rFonts w:ascii="宋体" w:hAnsi="宋体" w:eastAsia="宋体" w:cs="宋体"/>
                <w:kern w:val="0"/>
                <w:szCs w:val="18"/>
              </w:rPr>
            </w:pPr>
            <w:r>
              <w:rPr>
                <w:rFonts w:ascii="宋体" w:hAnsi="宋体" w:eastAsia="宋体" w:cs="宋体"/>
                <w:kern w:val="0"/>
                <w:szCs w:val="18"/>
              </w:rPr>
              <w:t>1</w:t>
            </w:r>
          </w:p>
        </w:tc>
        <w:tc>
          <w:tcPr>
            <w:tcW w:w="2689" w:type="dxa"/>
            <w:shd w:val="clear" w:color="auto" w:fill="auto"/>
            <w:noWrap/>
            <w:vAlign w:val="center"/>
          </w:tcPr>
          <w:p w14:paraId="7D3E4EFA">
            <w:pPr>
              <w:spacing w:before="156" w:line="276" w:lineRule="auto"/>
              <w:jc w:val="center"/>
              <w:rPr>
                <w:rFonts w:ascii="宋体" w:hAnsi="宋体" w:eastAsia="宋体" w:cs="宋体"/>
                <w:kern w:val="0"/>
                <w:szCs w:val="18"/>
              </w:rPr>
            </w:pPr>
            <w:r>
              <w:rPr>
                <w:rFonts w:hint="eastAsia" w:ascii="宋体" w:hAnsi="宋体" w:eastAsia="宋体" w:cs="宋体"/>
                <w:kern w:val="0"/>
                <w:szCs w:val="18"/>
              </w:rPr>
              <w:t>总用地面积（</w:t>
            </w:r>
            <w:r>
              <w:rPr>
                <w:rFonts w:hint="eastAsia" w:ascii="宋体" w:hAnsi="宋体" w:eastAsia="宋体" w:cs="Batang"/>
                <w:kern w:val="0"/>
                <w:szCs w:val="18"/>
              </w:rPr>
              <w:t>㎡</w:t>
            </w:r>
            <w:r>
              <w:rPr>
                <w:rFonts w:hint="eastAsia" w:ascii="宋体" w:hAnsi="宋体" w:eastAsia="宋体" w:cs="微软雅黑"/>
                <w:kern w:val="0"/>
                <w:szCs w:val="18"/>
              </w:rPr>
              <w:t>）</w:t>
            </w:r>
          </w:p>
        </w:tc>
        <w:tc>
          <w:tcPr>
            <w:tcW w:w="1937" w:type="dxa"/>
            <w:shd w:val="clear" w:color="auto" w:fill="auto"/>
            <w:noWrap/>
            <w:vAlign w:val="center"/>
          </w:tcPr>
          <w:p w14:paraId="7C0349F6">
            <w:pPr>
              <w:spacing w:before="156" w:line="276" w:lineRule="auto"/>
              <w:jc w:val="center"/>
              <w:rPr>
                <w:rFonts w:ascii="宋体" w:hAnsi="宋体" w:eastAsia="宋体" w:cs="宋体"/>
                <w:kern w:val="0"/>
                <w:szCs w:val="18"/>
              </w:rPr>
            </w:pPr>
            <w:r>
              <w:rPr>
                <w:rFonts w:ascii="宋体" w:hAnsi="宋体" w:cs="宋体"/>
                <w:szCs w:val="21"/>
              </w:rPr>
              <w:t>19638</w:t>
            </w:r>
          </w:p>
        </w:tc>
        <w:tc>
          <w:tcPr>
            <w:tcW w:w="1937" w:type="dxa"/>
            <w:shd w:val="clear" w:color="auto" w:fill="auto"/>
            <w:vAlign w:val="center"/>
          </w:tcPr>
          <w:p w14:paraId="6606EE78">
            <w:pPr>
              <w:spacing w:before="156" w:line="276" w:lineRule="auto"/>
              <w:jc w:val="center"/>
              <w:rPr>
                <w:rFonts w:ascii="宋体" w:hAnsi="宋体" w:eastAsia="宋体" w:cs="宋体"/>
                <w:kern w:val="0"/>
                <w:szCs w:val="18"/>
              </w:rPr>
            </w:pPr>
            <w:r>
              <w:rPr>
                <w:rFonts w:hint="eastAsia" w:ascii="宋体" w:hAnsi="宋体" w:cs="宋体"/>
                <w:kern w:val="0"/>
                <w:sz w:val="22"/>
                <w:lang w:bidi="ar"/>
              </w:rPr>
              <w:t>24336</w:t>
            </w:r>
          </w:p>
        </w:tc>
        <w:tc>
          <w:tcPr>
            <w:tcW w:w="1937" w:type="dxa"/>
          </w:tcPr>
          <w:p w14:paraId="16B9E518">
            <w:pPr>
              <w:spacing w:before="156" w:line="276" w:lineRule="auto"/>
              <w:jc w:val="center"/>
              <w:rPr>
                <w:rFonts w:ascii="宋体" w:hAnsi="宋体" w:eastAsia="宋体" w:cs="宋体"/>
                <w:kern w:val="0"/>
                <w:szCs w:val="18"/>
              </w:rPr>
            </w:pPr>
            <w:r>
              <w:rPr>
                <w:rFonts w:hint="eastAsia" w:ascii="宋体" w:hAnsi="宋体" w:cs="宋体"/>
                <w:szCs w:val="21"/>
              </w:rPr>
              <w:t>7436</w:t>
            </w:r>
          </w:p>
        </w:tc>
      </w:tr>
      <w:tr w14:paraId="13FB5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67" w:type="dxa"/>
            <w:shd w:val="clear" w:color="auto" w:fill="auto"/>
            <w:noWrap/>
            <w:vAlign w:val="center"/>
          </w:tcPr>
          <w:p w14:paraId="3632FF49">
            <w:pPr>
              <w:spacing w:before="156" w:line="276" w:lineRule="auto"/>
              <w:jc w:val="center"/>
              <w:rPr>
                <w:rFonts w:ascii="宋体" w:hAnsi="宋体" w:eastAsia="宋体" w:cs="宋体"/>
                <w:kern w:val="0"/>
                <w:szCs w:val="18"/>
              </w:rPr>
            </w:pPr>
            <w:r>
              <w:rPr>
                <w:rFonts w:ascii="宋体" w:hAnsi="宋体" w:eastAsia="宋体" w:cs="宋体"/>
                <w:kern w:val="0"/>
                <w:szCs w:val="18"/>
              </w:rPr>
              <w:t>2</w:t>
            </w:r>
          </w:p>
        </w:tc>
        <w:tc>
          <w:tcPr>
            <w:tcW w:w="2689" w:type="dxa"/>
            <w:shd w:val="clear" w:color="auto" w:fill="auto"/>
            <w:noWrap/>
            <w:vAlign w:val="center"/>
          </w:tcPr>
          <w:p w14:paraId="47CC0875">
            <w:pPr>
              <w:spacing w:before="156" w:line="276" w:lineRule="auto"/>
              <w:jc w:val="center"/>
              <w:rPr>
                <w:rFonts w:ascii="宋体" w:hAnsi="宋体" w:eastAsia="宋体" w:cs="宋体"/>
                <w:kern w:val="0"/>
                <w:szCs w:val="18"/>
              </w:rPr>
            </w:pPr>
            <w:r>
              <w:rPr>
                <w:rFonts w:hint="eastAsia" w:ascii="宋体" w:hAnsi="宋体" w:eastAsia="宋体" w:cs="宋体"/>
                <w:kern w:val="0"/>
                <w:szCs w:val="18"/>
              </w:rPr>
              <w:t>容积率</w:t>
            </w:r>
          </w:p>
        </w:tc>
        <w:tc>
          <w:tcPr>
            <w:tcW w:w="1937" w:type="dxa"/>
            <w:shd w:val="clear" w:color="auto" w:fill="auto"/>
            <w:noWrap/>
            <w:vAlign w:val="center"/>
          </w:tcPr>
          <w:p w14:paraId="29A997A9">
            <w:pPr>
              <w:spacing w:before="156" w:line="276" w:lineRule="auto"/>
              <w:jc w:val="center"/>
              <w:rPr>
                <w:rFonts w:ascii="宋体" w:hAnsi="宋体" w:eastAsia="宋体" w:cs="宋体"/>
                <w:kern w:val="0"/>
                <w:szCs w:val="18"/>
              </w:rPr>
            </w:pPr>
            <w:r>
              <w:rPr>
                <w:rFonts w:ascii="宋体" w:hAnsi="宋体" w:cs="宋体"/>
                <w:szCs w:val="21"/>
              </w:rPr>
              <w:t>4.25</w:t>
            </w:r>
          </w:p>
        </w:tc>
        <w:tc>
          <w:tcPr>
            <w:tcW w:w="1937" w:type="dxa"/>
            <w:shd w:val="clear" w:color="auto" w:fill="auto"/>
            <w:vAlign w:val="center"/>
          </w:tcPr>
          <w:p w14:paraId="1929BA89">
            <w:pPr>
              <w:spacing w:before="156" w:line="276" w:lineRule="auto"/>
              <w:jc w:val="center"/>
              <w:rPr>
                <w:rFonts w:ascii="宋体" w:hAnsi="宋体" w:eastAsia="宋体" w:cs="宋体"/>
                <w:kern w:val="0"/>
                <w:szCs w:val="18"/>
              </w:rPr>
            </w:pPr>
            <w:r>
              <w:rPr>
                <w:rFonts w:hint="eastAsia" w:ascii="宋体" w:hAnsi="宋体" w:cs="宋体"/>
                <w:kern w:val="0"/>
                <w:sz w:val="22"/>
                <w:lang w:bidi="ar"/>
              </w:rPr>
              <w:t>3.356</w:t>
            </w:r>
          </w:p>
        </w:tc>
        <w:tc>
          <w:tcPr>
            <w:tcW w:w="1937" w:type="dxa"/>
          </w:tcPr>
          <w:p w14:paraId="2DFA29A9">
            <w:pPr>
              <w:spacing w:before="156" w:line="276" w:lineRule="auto"/>
              <w:jc w:val="center"/>
              <w:rPr>
                <w:rFonts w:ascii="宋体" w:hAnsi="宋体" w:eastAsia="宋体" w:cs="宋体"/>
                <w:kern w:val="0"/>
                <w:szCs w:val="18"/>
              </w:rPr>
            </w:pPr>
            <w:r>
              <w:rPr>
                <w:rFonts w:hint="eastAsia" w:ascii="宋体" w:hAnsi="宋体" w:cs="宋体"/>
                <w:szCs w:val="21"/>
              </w:rPr>
              <w:t>2.53</w:t>
            </w:r>
          </w:p>
        </w:tc>
      </w:tr>
      <w:tr w14:paraId="50333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67" w:type="dxa"/>
            <w:shd w:val="clear" w:color="auto" w:fill="auto"/>
            <w:noWrap/>
            <w:vAlign w:val="center"/>
          </w:tcPr>
          <w:p w14:paraId="0E294414">
            <w:pPr>
              <w:spacing w:before="156" w:line="276" w:lineRule="auto"/>
              <w:jc w:val="center"/>
              <w:rPr>
                <w:rFonts w:ascii="宋体" w:hAnsi="宋体" w:eastAsia="宋体" w:cs="宋体"/>
                <w:kern w:val="0"/>
                <w:szCs w:val="18"/>
              </w:rPr>
            </w:pPr>
            <w:r>
              <w:rPr>
                <w:rFonts w:hint="eastAsia" w:ascii="宋体" w:hAnsi="宋体" w:eastAsia="宋体" w:cs="宋体"/>
                <w:kern w:val="0"/>
                <w:szCs w:val="18"/>
              </w:rPr>
              <w:t>3</w:t>
            </w:r>
          </w:p>
        </w:tc>
        <w:tc>
          <w:tcPr>
            <w:tcW w:w="2689" w:type="dxa"/>
            <w:shd w:val="clear" w:color="auto" w:fill="auto"/>
            <w:noWrap/>
            <w:vAlign w:val="center"/>
          </w:tcPr>
          <w:p w14:paraId="028C7C18">
            <w:pPr>
              <w:spacing w:before="156" w:line="276" w:lineRule="auto"/>
              <w:jc w:val="center"/>
              <w:rPr>
                <w:rFonts w:ascii="宋体" w:hAnsi="宋体" w:eastAsia="宋体" w:cs="宋体"/>
                <w:kern w:val="0"/>
                <w:szCs w:val="18"/>
              </w:rPr>
            </w:pPr>
            <w:r>
              <w:rPr>
                <w:rFonts w:hint="eastAsia" w:ascii="宋体" w:hAnsi="宋体" w:eastAsia="宋体" w:cs="宋体"/>
                <w:kern w:val="0"/>
                <w:szCs w:val="18"/>
              </w:rPr>
              <w:t>建筑占地面积（</w:t>
            </w:r>
            <w:r>
              <w:rPr>
                <w:rFonts w:hint="eastAsia" w:ascii="宋体" w:hAnsi="宋体" w:eastAsia="宋体" w:cs="Batang"/>
                <w:kern w:val="0"/>
                <w:szCs w:val="18"/>
              </w:rPr>
              <w:t>㎡</w:t>
            </w:r>
            <w:r>
              <w:rPr>
                <w:rFonts w:hint="eastAsia" w:ascii="宋体" w:hAnsi="宋体" w:eastAsia="宋体" w:cs="微软雅黑"/>
                <w:kern w:val="0"/>
                <w:szCs w:val="18"/>
              </w:rPr>
              <w:t>）</w:t>
            </w:r>
          </w:p>
        </w:tc>
        <w:tc>
          <w:tcPr>
            <w:tcW w:w="1937" w:type="dxa"/>
            <w:shd w:val="clear" w:color="auto" w:fill="auto"/>
            <w:noWrap/>
            <w:vAlign w:val="center"/>
          </w:tcPr>
          <w:p w14:paraId="5AC9561C">
            <w:pPr>
              <w:spacing w:before="156" w:line="276" w:lineRule="auto"/>
              <w:jc w:val="center"/>
              <w:rPr>
                <w:rFonts w:ascii="宋体" w:hAnsi="宋体" w:eastAsia="宋体" w:cs="宋体"/>
                <w:kern w:val="0"/>
                <w:szCs w:val="18"/>
              </w:rPr>
            </w:pPr>
            <w:r>
              <w:rPr>
                <w:rFonts w:ascii="宋体" w:hAnsi="宋体" w:cs="宋体"/>
                <w:szCs w:val="21"/>
              </w:rPr>
              <w:t>7866.98</w:t>
            </w:r>
          </w:p>
        </w:tc>
        <w:tc>
          <w:tcPr>
            <w:tcW w:w="1937" w:type="dxa"/>
            <w:shd w:val="clear" w:color="auto" w:fill="auto"/>
            <w:vAlign w:val="center"/>
          </w:tcPr>
          <w:p w14:paraId="23BE76BF">
            <w:pPr>
              <w:spacing w:before="156" w:line="276" w:lineRule="auto"/>
              <w:jc w:val="center"/>
              <w:rPr>
                <w:rFonts w:ascii="宋体" w:hAnsi="宋体" w:eastAsia="宋体" w:cs="宋体"/>
                <w:kern w:val="0"/>
                <w:szCs w:val="18"/>
              </w:rPr>
            </w:pPr>
            <w:r>
              <w:rPr>
                <w:rFonts w:hint="eastAsia" w:ascii="宋体" w:hAnsi="宋体" w:cs="宋体"/>
                <w:kern w:val="0"/>
                <w:sz w:val="22"/>
                <w:lang w:bidi="ar"/>
              </w:rPr>
              <w:t>8870.80</w:t>
            </w:r>
          </w:p>
        </w:tc>
        <w:tc>
          <w:tcPr>
            <w:tcW w:w="1937" w:type="dxa"/>
          </w:tcPr>
          <w:p w14:paraId="62934E84">
            <w:pPr>
              <w:spacing w:before="156" w:line="276" w:lineRule="auto"/>
              <w:jc w:val="center"/>
              <w:rPr>
                <w:rFonts w:ascii="宋体" w:hAnsi="宋体" w:eastAsia="宋体" w:cs="宋体"/>
                <w:kern w:val="0"/>
                <w:szCs w:val="18"/>
              </w:rPr>
            </w:pPr>
            <w:r>
              <w:rPr>
                <w:rFonts w:hint="eastAsia" w:ascii="宋体" w:hAnsi="宋体" w:cs="宋体"/>
                <w:szCs w:val="21"/>
              </w:rPr>
              <w:t>2974.40</w:t>
            </w:r>
          </w:p>
        </w:tc>
      </w:tr>
      <w:tr w14:paraId="49A55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67" w:type="dxa"/>
            <w:shd w:val="clear" w:color="auto" w:fill="auto"/>
            <w:noWrap/>
            <w:vAlign w:val="center"/>
          </w:tcPr>
          <w:p w14:paraId="3E650FB0">
            <w:pPr>
              <w:spacing w:before="156" w:line="276" w:lineRule="auto"/>
              <w:jc w:val="center"/>
              <w:rPr>
                <w:rFonts w:ascii="宋体" w:hAnsi="宋体" w:eastAsia="宋体" w:cs="宋体"/>
                <w:kern w:val="0"/>
                <w:szCs w:val="18"/>
              </w:rPr>
            </w:pPr>
            <w:r>
              <w:rPr>
                <w:rFonts w:ascii="宋体" w:hAnsi="宋体" w:eastAsia="宋体" w:cs="宋体"/>
                <w:kern w:val="0"/>
                <w:szCs w:val="18"/>
              </w:rPr>
              <w:t>4</w:t>
            </w:r>
          </w:p>
        </w:tc>
        <w:tc>
          <w:tcPr>
            <w:tcW w:w="2689" w:type="dxa"/>
            <w:shd w:val="clear" w:color="auto" w:fill="auto"/>
            <w:noWrap/>
            <w:vAlign w:val="center"/>
          </w:tcPr>
          <w:p w14:paraId="0CD0CA68">
            <w:pPr>
              <w:spacing w:before="156" w:line="276" w:lineRule="auto"/>
              <w:jc w:val="center"/>
              <w:rPr>
                <w:rFonts w:ascii="宋体" w:hAnsi="宋体" w:eastAsia="宋体" w:cs="宋体"/>
                <w:kern w:val="0"/>
                <w:szCs w:val="18"/>
              </w:rPr>
            </w:pPr>
            <w:r>
              <w:rPr>
                <w:rFonts w:hint="eastAsia" w:ascii="宋体" w:hAnsi="宋体" w:eastAsia="宋体" w:cs="宋体"/>
                <w:kern w:val="0"/>
                <w:szCs w:val="18"/>
              </w:rPr>
              <w:t>总建筑面积（</w:t>
            </w:r>
            <w:r>
              <w:rPr>
                <w:rFonts w:hint="eastAsia" w:ascii="宋体" w:hAnsi="宋体" w:eastAsia="宋体" w:cs="Batang"/>
                <w:kern w:val="0"/>
                <w:szCs w:val="18"/>
              </w:rPr>
              <w:t>㎡</w:t>
            </w:r>
            <w:r>
              <w:rPr>
                <w:rFonts w:hint="eastAsia" w:ascii="宋体" w:hAnsi="宋体" w:eastAsia="宋体" w:cs="微软雅黑"/>
                <w:kern w:val="0"/>
                <w:szCs w:val="18"/>
              </w:rPr>
              <w:t>）</w:t>
            </w:r>
          </w:p>
        </w:tc>
        <w:tc>
          <w:tcPr>
            <w:tcW w:w="1937" w:type="dxa"/>
            <w:shd w:val="clear" w:color="auto" w:fill="auto"/>
            <w:noWrap/>
            <w:vAlign w:val="center"/>
          </w:tcPr>
          <w:p w14:paraId="72C9220A">
            <w:pPr>
              <w:spacing w:before="156" w:line="276" w:lineRule="auto"/>
              <w:jc w:val="center"/>
              <w:rPr>
                <w:rFonts w:ascii="宋体" w:hAnsi="宋体" w:eastAsia="宋体" w:cs="宋体"/>
                <w:kern w:val="0"/>
                <w:szCs w:val="18"/>
              </w:rPr>
            </w:pPr>
            <w:r>
              <w:rPr>
                <w:rFonts w:ascii="宋体" w:hAnsi="宋体" w:cs="宋体"/>
                <w:szCs w:val="21"/>
              </w:rPr>
              <w:t>114929.95</w:t>
            </w:r>
          </w:p>
        </w:tc>
        <w:tc>
          <w:tcPr>
            <w:tcW w:w="1937" w:type="dxa"/>
            <w:shd w:val="clear" w:color="auto" w:fill="auto"/>
            <w:vAlign w:val="center"/>
          </w:tcPr>
          <w:p w14:paraId="4D50880D">
            <w:pPr>
              <w:spacing w:before="156" w:line="276" w:lineRule="auto"/>
              <w:jc w:val="center"/>
              <w:rPr>
                <w:rFonts w:ascii="宋体" w:hAnsi="宋体" w:eastAsia="宋体" w:cs="宋体"/>
                <w:kern w:val="0"/>
                <w:szCs w:val="18"/>
              </w:rPr>
            </w:pPr>
            <w:r>
              <w:rPr>
                <w:rFonts w:hint="eastAsia" w:ascii="宋体" w:hAnsi="宋体" w:cs="宋体"/>
                <w:kern w:val="0"/>
                <w:sz w:val="22"/>
                <w:lang w:bidi="ar"/>
              </w:rPr>
              <w:t>91945.78</w:t>
            </w:r>
          </w:p>
        </w:tc>
        <w:tc>
          <w:tcPr>
            <w:tcW w:w="1937" w:type="dxa"/>
          </w:tcPr>
          <w:p w14:paraId="6727137D">
            <w:pPr>
              <w:spacing w:before="156" w:line="276" w:lineRule="auto"/>
              <w:jc w:val="center"/>
              <w:rPr>
                <w:rFonts w:ascii="宋体" w:hAnsi="宋体" w:eastAsia="宋体" w:cs="宋体"/>
                <w:kern w:val="0"/>
                <w:szCs w:val="18"/>
              </w:rPr>
            </w:pPr>
            <w:r>
              <w:rPr>
                <w:rFonts w:hint="eastAsia" w:ascii="宋体" w:hAnsi="宋体" w:cs="宋体"/>
                <w:szCs w:val="21"/>
              </w:rPr>
              <w:t>25107.80</w:t>
            </w:r>
          </w:p>
        </w:tc>
      </w:tr>
      <w:tr w14:paraId="12F48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67" w:type="dxa"/>
            <w:shd w:val="clear" w:color="auto" w:fill="auto"/>
            <w:noWrap/>
            <w:vAlign w:val="center"/>
          </w:tcPr>
          <w:p w14:paraId="55B03D97">
            <w:pPr>
              <w:spacing w:before="156" w:line="276" w:lineRule="auto"/>
              <w:jc w:val="center"/>
              <w:rPr>
                <w:rFonts w:ascii="宋体" w:hAnsi="宋体" w:eastAsia="宋体" w:cs="宋体"/>
                <w:kern w:val="0"/>
                <w:szCs w:val="18"/>
              </w:rPr>
            </w:pPr>
            <w:r>
              <w:rPr>
                <w:rFonts w:ascii="宋体" w:hAnsi="宋体" w:eastAsia="宋体" w:cs="宋体"/>
                <w:kern w:val="0"/>
                <w:szCs w:val="18"/>
              </w:rPr>
              <w:t>5</w:t>
            </w:r>
          </w:p>
        </w:tc>
        <w:tc>
          <w:tcPr>
            <w:tcW w:w="2689" w:type="dxa"/>
            <w:shd w:val="clear" w:color="auto" w:fill="auto"/>
            <w:noWrap/>
            <w:vAlign w:val="center"/>
          </w:tcPr>
          <w:p w14:paraId="17B477D0">
            <w:pPr>
              <w:spacing w:before="156" w:line="276" w:lineRule="auto"/>
              <w:jc w:val="center"/>
              <w:rPr>
                <w:rFonts w:ascii="宋体" w:hAnsi="宋体" w:eastAsia="宋体" w:cs="宋体"/>
                <w:kern w:val="0"/>
                <w:szCs w:val="18"/>
              </w:rPr>
            </w:pPr>
            <w:r>
              <w:rPr>
                <w:rFonts w:hint="eastAsia" w:ascii="宋体" w:hAnsi="宋体" w:eastAsia="宋体" w:cs="宋体"/>
                <w:kern w:val="0"/>
                <w:szCs w:val="18"/>
              </w:rPr>
              <w:t>绿化率（</w:t>
            </w:r>
            <w:r>
              <w:rPr>
                <w:rFonts w:ascii="宋体" w:hAnsi="宋体" w:eastAsia="宋体" w:cs="宋体"/>
                <w:kern w:val="0"/>
                <w:szCs w:val="18"/>
              </w:rPr>
              <w:t>%）</w:t>
            </w:r>
          </w:p>
        </w:tc>
        <w:tc>
          <w:tcPr>
            <w:tcW w:w="1937" w:type="dxa"/>
            <w:shd w:val="clear" w:color="auto" w:fill="auto"/>
            <w:noWrap/>
            <w:vAlign w:val="center"/>
          </w:tcPr>
          <w:p w14:paraId="6227337A">
            <w:pPr>
              <w:spacing w:before="156" w:line="276" w:lineRule="auto"/>
              <w:jc w:val="center"/>
              <w:rPr>
                <w:rFonts w:ascii="宋体" w:hAnsi="宋体" w:eastAsia="宋体" w:cs="宋体"/>
                <w:kern w:val="0"/>
                <w:szCs w:val="18"/>
              </w:rPr>
            </w:pPr>
            <w:r>
              <w:rPr>
                <w:rFonts w:ascii="宋体" w:hAnsi="宋体" w:cs="宋体"/>
                <w:szCs w:val="21"/>
              </w:rPr>
              <w:t>20.09%</w:t>
            </w:r>
          </w:p>
        </w:tc>
        <w:tc>
          <w:tcPr>
            <w:tcW w:w="1937" w:type="dxa"/>
            <w:shd w:val="clear" w:color="auto" w:fill="auto"/>
            <w:vAlign w:val="center"/>
          </w:tcPr>
          <w:p w14:paraId="67D049F8">
            <w:pPr>
              <w:spacing w:before="156" w:line="276" w:lineRule="auto"/>
              <w:jc w:val="center"/>
              <w:rPr>
                <w:rFonts w:ascii="宋体" w:hAnsi="宋体" w:eastAsia="宋体" w:cs="宋体"/>
                <w:kern w:val="0"/>
                <w:szCs w:val="18"/>
              </w:rPr>
            </w:pPr>
            <w:r>
              <w:rPr>
                <w:rFonts w:ascii="宋体" w:hAnsi="宋体" w:eastAsia="宋体" w:cs="宋体"/>
                <w:kern w:val="0"/>
                <w:szCs w:val="18"/>
              </w:rPr>
              <w:t>20%</w:t>
            </w:r>
          </w:p>
        </w:tc>
        <w:tc>
          <w:tcPr>
            <w:tcW w:w="1937" w:type="dxa"/>
          </w:tcPr>
          <w:p w14:paraId="0C20E4B2">
            <w:pPr>
              <w:spacing w:before="156" w:line="276" w:lineRule="auto"/>
              <w:jc w:val="center"/>
              <w:rPr>
                <w:rFonts w:ascii="宋体" w:hAnsi="宋体" w:eastAsia="宋体" w:cs="宋体"/>
                <w:kern w:val="0"/>
                <w:szCs w:val="18"/>
              </w:rPr>
            </w:pPr>
            <w:r>
              <w:rPr>
                <w:rFonts w:ascii="宋体" w:hAnsi="宋体" w:eastAsia="宋体" w:cs="宋体"/>
                <w:kern w:val="0"/>
                <w:szCs w:val="18"/>
              </w:rPr>
              <w:t>20%</w:t>
            </w:r>
          </w:p>
        </w:tc>
      </w:tr>
      <w:tr w14:paraId="1B976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67" w:type="dxa"/>
            <w:shd w:val="clear" w:color="auto" w:fill="auto"/>
            <w:noWrap/>
            <w:vAlign w:val="center"/>
          </w:tcPr>
          <w:p w14:paraId="0082C342">
            <w:pPr>
              <w:spacing w:before="156" w:line="276" w:lineRule="auto"/>
              <w:jc w:val="center"/>
              <w:rPr>
                <w:rFonts w:ascii="宋体" w:hAnsi="宋体" w:eastAsia="宋体" w:cs="宋体"/>
                <w:kern w:val="0"/>
                <w:szCs w:val="18"/>
              </w:rPr>
            </w:pPr>
            <w:r>
              <w:rPr>
                <w:rFonts w:hint="eastAsia" w:ascii="宋体" w:hAnsi="宋体" w:eastAsia="宋体" w:cs="宋体"/>
                <w:kern w:val="0"/>
                <w:szCs w:val="18"/>
              </w:rPr>
              <w:t>6</w:t>
            </w:r>
          </w:p>
        </w:tc>
        <w:tc>
          <w:tcPr>
            <w:tcW w:w="2689" w:type="dxa"/>
            <w:shd w:val="clear" w:color="auto" w:fill="auto"/>
            <w:noWrap/>
            <w:vAlign w:val="center"/>
          </w:tcPr>
          <w:p w14:paraId="3D1341A9">
            <w:pPr>
              <w:spacing w:before="156" w:line="276" w:lineRule="auto"/>
              <w:jc w:val="center"/>
              <w:rPr>
                <w:rFonts w:ascii="宋体" w:hAnsi="宋体" w:eastAsia="宋体" w:cs="宋体"/>
                <w:kern w:val="0"/>
                <w:szCs w:val="18"/>
              </w:rPr>
            </w:pPr>
            <w:r>
              <w:rPr>
                <w:rFonts w:hint="eastAsia" w:ascii="宋体" w:hAnsi="宋体" w:eastAsia="宋体" w:cs="宋体"/>
                <w:kern w:val="0"/>
                <w:szCs w:val="18"/>
              </w:rPr>
              <w:t>建筑限高（</w:t>
            </w:r>
            <w:r>
              <w:rPr>
                <w:rFonts w:ascii="宋体" w:hAnsi="宋体" w:eastAsia="宋体" w:cs="宋体"/>
                <w:kern w:val="0"/>
                <w:szCs w:val="18"/>
              </w:rPr>
              <w:t>m）</w:t>
            </w:r>
          </w:p>
        </w:tc>
        <w:tc>
          <w:tcPr>
            <w:tcW w:w="1937" w:type="dxa"/>
            <w:shd w:val="clear" w:color="auto" w:fill="auto"/>
            <w:noWrap/>
            <w:vAlign w:val="center"/>
          </w:tcPr>
          <w:p w14:paraId="40B649FE">
            <w:pPr>
              <w:spacing w:before="156" w:line="276" w:lineRule="auto"/>
              <w:jc w:val="center"/>
              <w:rPr>
                <w:rFonts w:ascii="宋体" w:hAnsi="宋体" w:eastAsia="宋体" w:cs="宋体"/>
                <w:kern w:val="0"/>
                <w:szCs w:val="18"/>
              </w:rPr>
            </w:pPr>
            <w:r>
              <w:rPr>
                <w:rFonts w:ascii="宋体" w:hAnsi="宋体" w:cs="宋体"/>
                <w:szCs w:val="21"/>
              </w:rPr>
              <w:t>80.00</w:t>
            </w:r>
          </w:p>
        </w:tc>
        <w:tc>
          <w:tcPr>
            <w:tcW w:w="1937" w:type="dxa"/>
            <w:shd w:val="clear" w:color="auto" w:fill="auto"/>
            <w:vAlign w:val="center"/>
          </w:tcPr>
          <w:p w14:paraId="1CA6C328">
            <w:pPr>
              <w:spacing w:before="156" w:line="276" w:lineRule="auto"/>
              <w:jc w:val="center"/>
              <w:rPr>
                <w:rFonts w:ascii="宋体" w:hAnsi="宋体" w:eastAsia="宋体" w:cs="宋体"/>
                <w:kern w:val="0"/>
                <w:szCs w:val="18"/>
              </w:rPr>
            </w:pPr>
            <w:r>
              <w:rPr>
                <w:rFonts w:hint="eastAsia" w:ascii="宋体" w:hAnsi="宋体" w:cs="宋体"/>
                <w:kern w:val="0"/>
                <w:sz w:val="22"/>
                <w:lang w:bidi="ar"/>
              </w:rPr>
              <w:t>70.00</w:t>
            </w:r>
          </w:p>
        </w:tc>
        <w:tc>
          <w:tcPr>
            <w:tcW w:w="1937" w:type="dxa"/>
          </w:tcPr>
          <w:p w14:paraId="08602A0B">
            <w:pPr>
              <w:spacing w:before="156" w:line="276" w:lineRule="auto"/>
              <w:jc w:val="center"/>
              <w:rPr>
                <w:rFonts w:ascii="宋体" w:hAnsi="宋体" w:eastAsia="宋体" w:cs="宋体"/>
                <w:kern w:val="0"/>
                <w:szCs w:val="18"/>
              </w:rPr>
            </w:pPr>
            <w:r>
              <w:rPr>
                <w:rFonts w:hint="eastAsia" w:ascii="宋体" w:hAnsi="宋体" w:cs="宋体"/>
                <w:szCs w:val="21"/>
              </w:rPr>
              <w:t>80.00</w:t>
            </w:r>
          </w:p>
        </w:tc>
      </w:tr>
      <w:tr w14:paraId="42C77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67" w:type="dxa"/>
            <w:shd w:val="clear" w:color="auto" w:fill="auto"/>
            <w:noWrap/>
            <w:vAlign w:val="center"/>
          </w:tcPr>
          <w:p w14:paraId="32DD4709">
            <w:pPr>
              <w:spacing w:before="156" w:line="276" w:lineRule="auto"/>
              <w:jc w:val="center"/>
              <w:rPr>
                <w:rFonts w:ascii="宋体" w:hAnsi="宋体" w:eastAsia="宋体" w:cs="宋体"/>
                <w:kern w:val="0"/>
                <w:szCs w:val="18"/>
              </w:rPr>
            </w:pPr>
            <w:r>
              <w:rPr>
                <w:rFonts w:hint="eastAsia" w:ascii="宋体" w:hAnsi="宋体" w:eastAsia="宋体" w:cs="宋体"/>
                <w:kern w:val="0"/>
                <w:szCs w:val="18"/>
              </w:rPr>
              <w:t>7</w:t>
            </w:r>
          </w:p>
        </w:tc>
        <w:tc>
          <w:tcPr>
            <w:tcW w:w="2689" w:type="dxa"/>
            <w:shd w:val="clear" w:color="auto" w:fill="auto"/>
            <w:noWrap/>
            <w:vAlign w:val="center"/>
          </w:tcPr>
          <w:p w14:paraId="391FD231">
            <w:pPr>
              <w:spacing w:before="156" w:line="276" w:lineRule="auto"/>
              <w:jc w:val="center"/>
              <w:rPr>
                <w:rFonts w:ascii="宋体" w:hAnsi="宋体" w:eastAsia="宋体" w:cs="宋体"/>
                <w:kern w:val="0"/>
                <w:szCs w:val="18"/>
              </w:rPr>
            </w:pPr>
            <w:r>
              <w:rPr>
                <w:rFonts w:hint="eastAsia" w:ascii="宋体" w:hAnsi="宋体" w:eastAsia="宋体" w:cs="宋体"/>
                <w:kern w:val="0"/>
                <w:szCs w:val="18"/>
              </w:rPr>
              <w:t>地下建筑层数</w:t>
            </w:r>
          </w:p>
        </w:tc>
        <w:tc>
          <w:tcPr>
            <w:tcW w:w="1937" w:type="dxa"/>
            <w:shd w:val="clear" w:color="auto" w:fill="auto"/>
            <w:noWrap/>
            <w:vAlign w:val="center"/>
          </w:tcPr>
          <w:p w14:paraId="070979F9">
            <w:pPr>
              <w:spacing w:before="156" w:line="276" w:lineRule="auto"/>
              <w:jc w:val="center"/>
              <w:rPr>
                <w:rFonts w:ascii="宋体" w:hAnsi="宋体" w:eastAsia="宋体" w:cs="宋体"/>
                <w:kern w:val="0"/>
                <w:szCs w:val="18"/>
              </w:rPr>
            </w:pPr>
            <w:r>
              <w:rPr>
                <w:rFonts w:ascii="宋体" w:hAnsi="宋体" w:eastAsia="宋体" w:cs="宋体"/>
                <w:kern w:val="0"/>
                <w:szCs w:val="18"/>
              </w:rPr>
              <w:t>2</w:t>
            </w:r>
          </w:p>
        </w:tc>
        <w:tc>
          <w:tcPr>
            <w:tcW w:w="1937" w:type="dxa"/>
            <w:shd w:val="clear" w:color="auto" w:fill="auto"/>
            <w:vAlign w:val="center"/>
          </w:tcPr>
          <w:p w14:paraId="54ED7EF9">
            <w:pPr>
              <w:spacing w:before="156" w:line="276" w:lineRule="auto"/>
              <w:jc w:val="center"/>
              <w:rPr>
                <w:rFonts w:ascii="宋体" w:hAnsi="宋体" w:eastAsia="宋体" w:cs="宋体"/>
                <w:kern w:val="0"/>
                <w:szCs w:val="18"/>
              </w:rPr>
            </w:pPr>
            <w:r>
              <w:rPr>
                <w:rFonts w:hint="eastAsia" w:ascii="宋体" w:hAnsi="宋体" w:eastAsia="宋体" w:cs="宋体"/>
                <w:kern w:val="0"/>
                <w:szCs w:val="18"/>
              </w:rPr>
              <w:t>1</w:t>
            </w:r>
          </w:p>
        </w:tc>
        <w:tc>
          <w:tcPr>
            <w:tcW w:w="1937" w:type="dxa"/>
          </w:tcPr>
          <w:p w14:paraId="12949205">
            <w:pPr>
              <w:spacing w:before="156" w:line="276" w:lineRule="auto"/>
              <w:jc w:val="center"/>
              <w:rPr>
                <w:rFonts w:ascii="宋体" w:hAnsi="宋体" w:eastAsia="宋体" w:cs="宋体"/>
                <w:kern w:val="0"/>
                <w:szCs w:val="18"/>
              </w:rPr>
            </w:pPr>
            <w:r>
              <w:rPr>
                <w:rFonts w:hint="eastAsia" w:ascii="宋体" w:hAnsi="宋体" w:eastAsia="宋体" w:cs="宋体"/>
                <w:kern w:val="0"/>
                <w:szCs w:val="18"/>
              </w:rPr>
              <w:t>1</w:t>
            </w:r>
          </w:p>
        </w:tc>
      </w:tr>
      <w:tr w14:paraId="0728E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67" w:type="dxa"/>
            <w:shd w:val="clear" w:color="auto" w:fill="auto"/>
            <w:noWrap/>
            <w:vAlign w:val="center"/>
          </w:tcPr>
          <w:p w14:paraId="24A049EB">
            <w:pPr>
              <w:spacing w:before="156" w:line="276" w:lineRule="auto"/>
              <w:jc w:val="center"/>
              <w:rPr>
                <w:rFonts w:ascii="宋体" w:hAnsi="宋体" w:eastAsia="宋体" w:cs="宋体"/>
                <w:kern w:val="0"/>
                <w:szCs w:val="18"/>
              </w:rPr>
            </w:pPr>
            <w:r>
              <w:rPr>
                <w:rFonts w:hint="eastAsia" w:ascii="宋体" w:hAnsi="宋体" w:eastAsia="宋体" w:cs="宋体"/>
                <w:kern w:val="0"/>
                <w:szCs w:val="18"/>
              </w:rPr>
              <w:t>8</w:t>
            </w:r>
          </w:p>
        </w:tc>
        <w:tc>
          <w:tcPr>
            <w:tcW w:w="2689" w:type="dxa"/>
            <w:shd w:val="clear" w:color="auto" w:fill="auto"/>
            <w:noWrap/>
            <w:vAlign w:val="center"/>
          </w:tcPr>
          <w:p w14:paraId="4BD4DA25">
            <w:pPr>
              <w:spacing w:before="156" w:line="276" w:lineRule="auto"/>
              <w:jc w:val="center"/>
              <w:rPr>
                <w:rFonts w:ascii="宋体" w:hAnsi="宋体" w:eastAsia="宋体" w:cs="宋体"/>
                <w:kern w:val="0"/>
                <w:szCs w:val="18"/>
              </w:rPr>
            </w:pPr>
            <w:r>
              <w:rPr>
                <w:rFonts w:hint="eastAsia" w:ascii="宋体" w:hAnsi="宋体" w:eastAsia="宋体" w:cs="宋体"/>
                <w:kern w:val="0"/>
                <w:szCs w:val="18"/>
              </w:rPr>
              <w:t>地下室总建筑面积（</w:t>
            </w:r>
            <w:r>
              <w:rPr>
                <w:rFonts w:hint="eastAsia" w:ascii="宋体" w:hAnsi="宋体" w:eastAsia="宋体" w:cs="Batang"/>
                <w:kern w:val="0"/>
                <w:szCs w:val="18"/>
              </w:rPr>
              <w:t>㎡</w:t>
            </w:r>
            <w:r>
              <w:rPr>
                <w:rFonts w:hint="eastAsia" w:ascii="宋体" w:hAnsi="宋体" w:eastAsia="宋体" w:cs="微软雅黑"/>
                <w:kern w:val="0"/>
                <w:szCs w:val="18"/>
              </w:rPr>
              <w:t>）</w:t>
            </w:r>
          </w:p>
        </w:tc>
        <w:tc>
          <w:tcPr>
            <w:tcW w:w="1937" w:type="dxa"/>
            <w:shd w:val="clear" w:color="auto" w:fill="auto"/>
            <w:noWrap/>
            <w:vAlign w:val="center"/>
          </w:tcPr>
          <w:p w14:paraId="7D5DE106">
            <w:pPr>
              <w:spacing w:before="156" w:line="276" w:lineRule="auto"/>
              <w:jc w:val="center"/>
              <w:rPr>
                <w:rFonts w:ascii="宋体" w:hAnsi="宋体" w:eastAsia="宋体" w:cs="宋体"/>
                <w:kern w:val="0"/>
                <w:szCs w:val="18"/>
              </w:rPr>
            </w:pPr>
            <w:r>
              <w:rPr>
                <w:rFonts w:ascii="宋体" w:hAnsi="宋体" w:cs="宋体"/>
                <w:szCs w:val="21"/>
              </w:rPr>
              <w:t>28926.95</w:t>
            </w:r>
          </w:p>
        </w:tc>
        <w:tc>
          <w:tcPr>
            <w:tcW w:w="1937" w:type="dxa"/>
            <w:shd w:val="clear" w:color="auto" w:fill="auto"/>
            <w:vAlign w:val="center"/>
          </w:tcPr>
          <w:p w14:paraId="233D253F">
            <w:pPr>
              <w:spacing w:before="156" w:line="276" w:lineRule="auto"/>
              <w:jc w:val="center"/>
              <w:rPr>
                <w:rFonts w:ascii="宋体" w:hAnsi="宋体" w:eastAsia="宋体" w:cs="宋体"/>
                <w:kern w:val="0"/>
                <w:szCs w:val="18"/>
              </w:rPr>
            </w:pPr>
            <w:r>
              <w:rPr>
                <w:rFonts w:hint="eastAsia" w:ascii="宋体" w:hAnsi="宋体" w:cs="宋体"/>
                <w:kern w:val="0"/>
                <w:sz w:val="22"/>
                <w:lang w:bidi="ar"/>
              </w:rPr>
              <w:t>17520.00</w:t>
            </w:r>
          </w:p>
        </w:tc>
        <w:tc>
          <w:tcPr>
            <w:tcW w:w="1937" w:type="dxa"/>
          </w:tcPr>
          <w:p w14:paraId="15510D8C">
            <w:pPr>
              <w:spacing w:before="156" w:line="276" w:lineRule="auto"/>
              <w:jc w:val="center"/>
              <w:rPr>
                <w:rFonts w:ascii="宋体" w:hAnsi="宋体" w:eastAsia="宋体" w:cs="宋体"/>
                <w:kern w:val="0"/>
                <w:szCs w:val="18"/>
              </w:rPr>
            </w:pPr>
            <w:r>
              <w:rPr>
                <w:rFonts w:hint="eastAsia" w:ascii="宋体" w:hAnsi="宋体" w:cs="宋体"/>
                <w:szCs w:val="21"/>
              </w:rPr>
              <w:t>6294.00</w:t>
            </w:r>
          </w:p>
        </w:tc>
      </w:tr>
      <w:tr w14:paraId="559C1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67" w:type="dxa"/>
            <w:shd w:val="clear" w:color="auto" w:fill="auto"/>
            <w:noWrap/>
            <w:vAlign w:val="center"/>
          </w:tcPr>
          <w:p w14:paraId="7BF479D8">
            <w:pPr>
              <w:spacing w:before="156" w:line="276" w:lineRule="auto"/>
              <w:jc w:val="center"/>
              <w:rPr>
                <w:rFonts w:ascii="宋体" w:hAnsi="宋体" w:eastAsia="宋体" w:cs="宋体"/>
                <w:kern w:val="0"/>
                <w:szCs w:val="18"/>
              </w:rPr>
            </w:pPr>
            <w:r>
              <w:rPr>
                <w:rFonts w:ascii="宋体" w:hAnsi="宋体" w:eastAsia="宋体" w:cs="宋体"/>
                <w:kern w:val="0"/>
                <w:szCs w:val="18"/>
              </w:rPr>
              <w:t>9</w:t>
            </w:r>
          </w:p>
        </w:tc>
        <w:tc>
          <w:tcPr>
            <w:tcW w:w="2689" w:type="dxa"/>
            <w:shd w:val="clear" w:color="auto" w:fill="auto"/>
            <w:noWrap/>
            <w:vAlign w:val="center"/>
          </w:tcPr>
          <w:p w14:paraId="066DAE93">
            <w:pPr>
              <w:spacing w:before="156" w:line="276" w:lineRule="auto"/>
              <w:jc w:val="center"/>
              <w:rPr>
                <w:rFonts w:ascii="宋体" w:hAnsi="宋体" w:eastAsia="宋体" w:cs="宋体"/>
                <w:kern w:val="0"/>
                <w:szCs w:val="18"/>
              </w:rPr>
            </w:pPr>
            <w:r>
              <w:rPr>
                <w:rFonts w:hint="eastAsia" w:ascii="宋体" w:hAnsi="宋体" w:eastAsia="宋体" w:cs="宋体"/>
                <w:kern w:val="0"/>
                <w:szCs w:val="18"/>
              </w:rPr>
              <w:t>计容面积面积（</w:t>
            </w:r>
            <w:r>
              <w:rPr>
                <w:rFonts w:hint="eastAsia" w:ascii="宋体" w:hAnsi="宋体" w:eastAsia="宋体" w:cs="Batang"/>
                <w:kern w:val="0"/>
                <w:szCs w:val="18"/>
              </w:rPr>
              <w:t>㎡</w:t>
            </w:r>
            <w:r>
              <w:rPr>
                <w:rFonts w:hint="eastAsia" w:ascii="宋体" w:hAnsi="宋体" w:eastAsia="宋体" w:cs="微软雅黑"/>
                <w:kern w:val="0"/>
                <w:szCs w:val="18"/>
              </w:rPr>
              <w:t>）</w:t>
            </w:r>
          </w:p>
        </w:tc>
        <w:tc>
          <w:tcPr>
            <w:tcW w:w="1937" w:type="dxa"/>
            <w:shd w:val="clear" w:color="auto" w:fill="auto"/>
            <w:noWrap/>
            <w:vAlign w:val="center"/>
          </w:tcPr>
          <w:p w14:paraId="2331B9EE">
            <w:pPr>
              <w:spacing w:before="156" w:line="276" w:lineRule="auto"/>
              <w:jc w:val="center"/>
              <w:rPr>
                <w:rFonts w:ascii="宋体" w:hAnsi="宋体" w:eastAsia="宋体" w:cs="宋体"/>
                <w:kern w:val="0"/>
                <w:szCs w:val="18"/>
              </w:rPr>
            </w:pPr>
            <w:r>
              <w:rPr>
                <w:rFonts w:ascii="宋体" w:hAnsi="宋体" w:cs="宋体"/>
                <w:szCs w:val="21"/>
              </w:rPr>
              <w:t>83437.00</w:t>
            </w:r>
          </w:p>
        </w:tc>
        <w:tc>
          <w:tcPr>
            <w:tcW w:w="1937" w:type="dxa"/>
            <w:shd w:val="clear" w:color="auto" w:fill="auto"/>
            <w:vAlign w:val="center"/>
          </w:tcPr>
          <w:p w14:paraId="3AB6C5BC">
            <w:pPr>
              <w:spacing w:before="156" w:line="276" w:lineRule="auto"/>
              <w:jc w:val="center"/>
              <w:rPr>
                <w:rFonts w:ascii="宋体" w:hAnsi="宋体" w:eastAsia="宋体" w:cs="宋体"/>
                <w:kern w:val="0"/>
                <w:szCs w:val="18"/>
              </w:rPr>
            </w:pPr>
            <w:r>
              <w:rPr>
                <w:rFonts w:hint="eastAsia" w:ascii="宋体" w:hAnsi="宋体" w:cs="宋体"/>
                <w:kern w:val="0"/>
                <w:sz w:val="22"/>
                <w:lang w:bidi="ar"/>
              </w:rPr>
              <w:t>74426.00</w:t>
            </w:r>
          </w:p>
        </w:tc>
        <w:tc>
          <w:tcPr>
            <w:tcW w:w="1937" w:type="dxa"/>
          </w:tcPr>
          <w:p w14:paraId="7C0F329E">
            <w:pPr>
              <w:spacing w:before="156" w:line="276" w:lineRule="auto"/>
              <w:jc w:val="center"/>
              <w:rPr>
                <w:rFonts w:ascii="宋体" w:hAnsi="宋体" w:eastAsia="宋体" w:cs="宋体"/>
                <w:kern w:val="0"/>
                <w:szCs w:val="18"/>
              </w:rPr>
            </w:pPr>
            <w:r>
              <w:rPr>
                <w:rFonts w:hint="eastAsia" w:ascii="宋体" w:hAnsi="宋体" w:cs="宋体"/>
                <w:szCs w:val="21"/>
              </w:rPr>
              <w:t>18814.00</w:t>
            </w:r>
          </w:p>
        </w:tc>
      </w:tr>
    </w:tbl>
    <w:p w14:paraId="4685C488">
      <w:pPr>
        <w:pStyle w:val="8"/>
        <w:adjustRightInd w:val="0"/>
        <w:snapToGrid w:val="0"/>
        <w:spacing w:before="0" w:beforeAutospacing="0" w:after="0" w:afterAutospacing="0" w:line="360" w:lineRule="auto"/>
        <w:rPr>
          <w:sz w:val="21"/>
          <w:szCs w:val="21"/>
        </w:rPr>
      </w:pPr>
    </w:p>
    <w:p w14:paraId="106F77CF">
      <w:pPr>
        <w:pStyle w:val="8"/>
        <w:widowControl w:val="0"/>
        <w:numPr>
          <w:ilvl w:val="1"/>
          <w:numId w:val="2"/>
        </w:numPr>
        <w:adjustRightInd w:val="0"/>
        <w:snapToGrid w:val="0"/>
        <w:spacing w:before="0" w:beforeAutospacing="0" w:after="0" w:afterAutospacing="0" w:line="360" w:lineRule="auto"/>
        <w:rPr>
          <w:sz w:val="21"/>
          <w:szCs w:val="21"/>
        </w:rPr>
      </w:pPr>
      <w:r>
        <w:rPr>
          <w:rFonts w:hint="eastAsia"/>
          <w:sz w:val="21"/>
          <w:szCs w:val="21"/>
        </w:rPr>
        <w:t>土壤氡检测：暂定589</w:t>
      </w:r>
      <w:r>
        <w:rPr>
          <w:sz w:val="21"/>
          <w:szCs w:val="21"/>
        </w:rPr>
        <w:t>个检测点，间距10m*10m</w:t>
      </w:r>
      <w:r>
        <w:rPr>
          <w:rFonts w:hint="eastAsia"/>
          <w:sz w:val="21"/>
          <w:szCs w:val="21"/>
        </w:rPr>
        <w:t>，</w:t>
      </w:r>
      <w:r>
        <w:rPr>
          <w:sz w:val="21"/>
          <w:szCs w:val="21"/>
        </w:rPr>
        <w:t>每单体建（构）筑物布点数不得少于16点；</w:t>
      </w:r>
    </w:p>
    <w:p w14:paraId="6613F664">
      <w:pPr>
        <w:pStyle w:val="8"/>
        <w:adjustRightInd w:val="0"/>
        <w:snapToGrid w:val="0"/>
        <w:spacing w:before="0" w:beforeAutospacing="0" w:after="0" w:afterAutospacing="0" w:line="360" w:lineRule="auto"/>
        <w:ind w:firstLine="420" w:firstLineChars="200"/>
        <w:rPr>
          <w:sz w:val="21"/>
          <w:szCs w:val="21"/>
        </w:rPr>
      </w:pPr>
      <w:r>
        <w:rPr>
          <w:rFonts w:hint="eastAsia"/>
          <w:sz w:val="21"/>
          <w:szCs w:val="21"/>
        </w:rPr>
        <w:t>工程物理勘探（地下管线探测）：暂定65948</w:t>
      </w:r>
      <w:r>
        <w:rPr>
          <w:sz w:val="21"/>
          <w:szCs w:val="21"/>
        </w:rPr>
        <w:t xml:space="preserve"> m</w:t>
      </w:r>
      <w:r>
        <w:rPr>
          <w:sz w:val="21"/>
          <w:szCs w:val="21"/>
          <w:vertAlign w:val="superscript"/>
        </w:rPr>
        <w:t>2</w:t>
      </w:r>
      <w:r>
        <w:rPr>
          <w:sz w:val="21"/>
          <w:szCs w:val="21"/>
        </w:rPr>
        <w:t>。</w:t>
      </w:r>
    </w:p>
    <w:p w14:paraId="1684A1BF">
      <w:pPr>
        <w:pStyle w:val="8"/>
        <w:adjustRightInd w:val="0"/>
        <w:snapToGrid w:val="0"/>
        <w:spacing w:before="0" w:beforeAutospacing="0" w:after="0" w:afterAutospacing="0" w:line="360" w:lineRule="auto"/>
        <w:ind w:firstLine="420" w:firstLineChars="200"/>
        <w:rPr>
          <w:sz w:val="21"/>
          <w:szCs w:val="21"/>
        </w:rPr>
      </w:pPr>
      <w:r>
        <w:rPr>
          <w:rFonts w:hint="eastAsia"/>
          <w:sz w:val="21"/>
          <w:szCs w:val="21"/>
        </w:rPr>
        <w:t>地形测绘：</w:t>
      </w:r>
      <w:r>
        <w:rPr>
          <w:sz w:val="21"/>
          <w:szCs w:val="21"/>
        </w:rPr>
        <w:t>51410㎡</w:t>
      </w:r>
      <w:r>
        <w:rPr>
          <w:rFonts w:hint="eastAsia"/>
          <w:sz w:val="21"/>
          <w:szCs w:val="21"/>
        </w:rPr>
        <w:t>（红线范围内面积）。</w:t>
      </w:r>
    </w:p>
    <w:p w14:paraId="3DD6C5DB">
      <w:pPr>
        <w:pStyle w:val="8"/>
        <w:widowControl w:val="0"/>
        <w:numPr>
          <w:ilvl w:val="1"/>
          <w:numId w:val="2"/>
        </w:numPr>
        <w:adjustRightInd w:val="0"/>
        <w:snapToGrid w:val="0"/>
        <w:spacing w:before="0" w:beforeAutospacing="0" w:after="0" w:afterAutospacing="0" w:line="360" w:lineRule="auto"/>
        <w:rPr>
          <w:sz w:val="21"/>
          <w:szCs w:val="21"/>
        </w:rPr>
      </w:pPr>
      <w:r>
        <w:rPr>
          <w:sz w:val="21"/>
          <w:szCs w:val="21"/>
        </w:rPr>
        <w:t>其它：项目如有特殊要求，特别说明</w:t>
      </w:r>
      <w:r>
        <w:rPr>
          <w:rFonts w:hint="eastAsia"/>
          <w:sz w:val="21"/>
          <w:szCs w:val="21"/>
        </w:rPr>
        <w:t>；</w:t>
      </w:r>
    </w:p>
    <w:p w14:paraId="7AB75658">
      <w:pPr>
        <w:pStyle w:val="8"/>
        <w:widowControl w:val="0"/>
        <w:numPr>
          <w:ilvl w:val="1"/>
          <w:numId w:val="2"/>
        </w:numPr>
        <w:adjustRightInd w:val="0"/>
        <w:snapToGrid w:val="0"/>
        <w:spacing w:before="0" w:beforeAutospacing="0" w:after="0" w:afterAutospacing="0" w:line="360" w:lineRule="auto"/>
        <w:rPr>
          <w:sz w:val="21"/>
          <w:szCs w:val="21"/>
        </w:rPr>
      </w:pPr>
      <w:r>
        <w:rPr>
          <w:rFonts w:hint="eastAsia"/>
          <w:sz w:val="21"/>
          <w:szCs w:val="21"/>
        </w:rPr>
        <w:t>本次主要是对3号、4号、5号及6号拟建地块进行工程地下管线探测（以下简称工程物探）、土壤氡检测、地形测绘。</w:t>
      </w:r>
    </w:p>
    <w:p w14:paraId="62BF7111">
      <w:pPr>
        <w:pStyle w:val="8"/>
        <w:widowControl w:val="0"/>
        <w:numPr>
          <w:ilvl w:val="0"/>
          <w:numId w:val="1"/>
        </w:numPr>
        <w:adjustRightInd w:val="0"/>
        <w:snapToGrid w:val="0"/>
        <w:spacing w:before="0" w:beforeAutospacing="0" w:after="0" w:afterAutospacing="0" w:line="360" w:lineRule="auto"/>
        <w:rPr>
          <w:b/>
          <w:sz w:val="21"/>
          <w:szCs w:val="21"/>
        </w:rPr>
      </w:pPr>
      <w:r>
        <w:rPr>
          <w:rFonts w:hint="eastAsia"/>
          <w:b/>
          <w:sz w:val="21"/>
          <w:szCs w:val="21"/>
        </w:rPr>
        <w:t>工程物探任务</w:t>
      </w:r>
    </w:p>
    <w:p w14:paraId="01733290">
      <w:pPr>
        <w:pStyle w:val="10"/>
        <w:widowControl w:val="0"/>
        <w:numPr>
          <w:ilvl w:val="0"/>
          <w:numId w:val="2"/>
        </w:numPr>
        <w:adjustRightInd w:val="0"/>
        <w:snapToGrid w:val="0"/>
        <w:spacing w:before="0" w:beforeLines="0" w:line="360" w:lineRule="auto"/>
        <w:ind w:firstLineChars="0"/>
        <w:rPr>
          <w:rFonts w:ascii="宋体" w:hAnsi="宋体" w:eastAsia="宋体" w:cs="宋体"/>
          <w:vanish/>
          <w:kern w:val="0"/>
          <w:szCs w:val="21"/>
        </w:rPr>
      </w:pPr>
    </w:p>
    <w:p w14:paraId="3A97516E">
      <w:pPr>
        <w:pStyle w:val="8"/>
        <w:widowControl w:val="0"/>
        <w:numPr>
          <w:ilvl w:val="1"/>
          <w:numId w:val="2"/>
        </w:numPr>
        <w:adjustRightInd w:val="0"/>
        <w:snapToGrid w:val="0"/>
        <w:spacing w:before="0" w:beforeAutospacing="0" w:after="0" w:afterAutospacing="0" w:line="360" w:lineRule="auto"/>
        <w:rPr>
          <w:sz w:val="21"/>
          <w:szCs w:val="21"/>
        </w:rPr>
      </w:pPr>
      <w:r>
        <w:rPr>
          <w:rFonts w:hint="eastAsia"/>
          <w:sz w:val="21"/>
          <w:szCs w:val="21"/>
        </w:rPr>
        <w:t>工程物探范围：</w:t>
      </w:r>
    </w:p>
    <w:p w14:paraId="22D61EB5">
      <w:pPr>
        <w:pStyle w:val="8"/>
        <w:adjustRightInd w:val="0"/>
        <w:snapToGrid w:val="0"/>
        <w:spacing w:before="0" w:beforeAutospacing="0" w:after="0" w:afterAutospacing="0" w:line="360" w:lineRule="auto"/>
        <w:ind w:firstLine="420" w:firstLineChars="200"/>
        <w:rPr>
          <w:sz w:val="21"/>
          <w:szCs w:val="21"/>
        </w:rPr>
      </w:pPr>
      <w:r>
        <w:rPr>
          <w:rFonts w:hint="eastAsia"/>
          <w:sz w:val="21"/>
          <w:szCs w:val="21"/>
        </w:rPr>
        <w:t>本次物探范围为3号、4号、5号及6号拟建地块。包括架空线路、地下管线、水渠以及电力工程电塔等项目范围内所有管线工程。</w:t>
      </w:r>
    </w:p>
    <w:p w14:paraId="733B54D7">
      <w:pPr>
        <w:pStyle w:val="8"/>
        <w:widowControl w:val="0"/>
        <w:numPr>
          <w:ilvl w:val="1"/>
          <w:numId w:val="2"/>
        </w:numPr>
        <w:adjustRightInd w:val="0"/>
        <w:snapToGrid w:val="0"/>
        <w:spacing w:before="0" w:beforeAutospacing="0" w:after="0" w:afterAutospacing="0" w:line="360" w:lineRule="auto"/>
        <w:rPr>
          <w:sz w:val="21"/>
          <w:szCs w:val="21"/>
        </w:rPr>
      </w:pPr>
      <w:r>
        <w:rPr>
          <w:rFonts w:hint="eastAsia"/>
          <w:sz w:val="21"/>
          <w:szCs w:val="21"/>
        </w:rPr>
        <w:t>工程物探内容及要求：</w:t>
      </w:r>
    </w:p>
    <w:p w14:paraId="2D032172">
      <w:pPr>
        <w:pStyle w:val="8"/>
        <w:widowControl w:val="0"/>
        <w:numPr>
          <w:ilvl w:val="2"/>
          <w:numId w:val="2"/>
        </w:numPr>
        <w:adjustRightInd w:val="0"/>
        <w:snapToGrid w:val="0"/>
        <w:spacing w:before="0" w:beforeAutospacing="0" w:after="0" w:afterAutospacing="0" w:line="360" w:lineRule="auto"/>
        <w:rPr>
          <w:sz w:val="21"/>
          <w:szCs w:val="21"/>
        </w:rPr>
      </w:pPr>
      <w:r>
        <w:rPr>
          <w:rFonts w:hint="eastAsia"/>
          <w:sz w:val="21"/>
          <w:szCs w:val="21"/>
        </w:rPr>
        <w:t>工程物探的工作原则应符合下列规定：</w:t>
      </w:r>
    </w:p>
    <w:p w14:paraId="1FAC8B4D">
      <w:pPr>
        <w:pStyle w:val="8"/>
        <w:adjustRightInd w:val="0"/>
        <w:snapToGrid w:val="0"/>
        <w:spacing w:before="0" w:beforeAutospacing="0" w:after="0" w:afterAutospacing="0" w:line="360" w:lineRule="auto"/>
        <w:ind w:firstLine="420" w:firstLineChars="200"/>
        <w:rPr>
          <w:sz w:val="21"/>
          <w:szCs w:val="21"/>
        </w:rPr>
      </w:pPr>
      <w:r>
        <w:rPr>
          <w:rFonts w:hint="eastAsia"/>
          <w:sz w:val="21"/>
          <w:szCs w:val="21"/>
        </w:rPr>
        <w:t>1）工作前应通过方法试验，选用有效的探测方法技术和数据采集参数；</w:t>
      </w:r>
    </w:p>
    <w:p w14:paraId="31F25C40">
      <w:pPr>
        <w:pStyle w:val="8"/>
        <w:adjustRightInd w:val="0"/>
        <w:snapToGrid w:val="0"/>
        <w:spacing w:before="0" w:beforeAutospacing="0" w:after="0" w:afterAutospacing="0" w:line="360" w:lineRule="auto"/>
        <w:ind w:firstLine="420" w:firstLineChars="200"/>
        <w:rPr>
          <w:sz w:val="21"/>
          <w:szCs w:val="21"/>
        </w:rPr>
      </w:pPr>
      <w:r>
        <w:rPr>
          <w:rFonts w:hint="eastAsia"/>
          <w:sz w:val="21"/>
          <w:szCs w:val="21"/>
        </w:rPr>
        <w:t>2）工作时宜从已知到未知，从简单到复杂；当单一方法多解时，宜采用多种方法进行综合探测。</w:t>
      </w:r>
    </w:p>
    <w:p w14:paraId="6625AAB2">
      <w:pPr>
        <w:pStyle w:val="8"/>
        <w:widowControl w:val="0"/>
        <w:numPr>
          <w:ilvl w:val="2"/>
          <w:numId w:val="2"/>
        </w:numPr>
        <w:adjustRightInd w:val="0"/>
        <w:snapToGrid w:val="0"/>
        <w:spacing w:before="0" w:beforeAutospacing="0" w:after="0" w:afterAutospacing="0" w:line="360" w:lineRule="auto"/>
        <w:rPr>
          <w:sz w:val="21"/>
          <w:szCs w:val="21"/>
        </w:rPr>
      </w:pPr>
      <w:r>
        <w:rPr>
          <w:rFonts w:hint="eastAsia"/>
          <w:sz w:val="21"/>
          <w:szCs w:val="21"/>
        </w:rPr>
        <w:t>工程物探的测量工作应符合下列规定：</w:t>
      </w:r>
    </w:p>
    <w:p w14:paraId="7B2EE10D">
      <w:pPr>
        <w:pStyle w:val="8"/>
        <w:adjustRightInd w:val="0"/>
        <w:snapToGrid w:val="0"/>
        <w:spacing w:before="0" w:beforeAutospacing="0" w:after="0" w:afterAutospacing="0" w:line="360" w:lineRule="auto"/>
        <w:ind w:firstLine="420" w:firstLineChars="200"/>
        <w:rPr>
          <w:sz w:val="21"/>
          <w:szCs w:val="21"/>
        </w:rPr>
      </w:pPr>
      <w:r>
        <w:rPr>
          <w:rFonts w:hint="eastAsia"/>
          <w:sz w:val="21"/>
          <w:szCs w:val="21"/>
        </w:rPr>
        <w:t>1）测量精度应符合现行行业标准《城市测量规范》（</w:t>
      </w:r>
      <w:r>
        <w:rPr>
          <w:sz w:val="21"/>
          <w:szCs w:val="21"/>
        </w:rPr>
        <w:t>CJJ/T 8</w:t>
      </w:r>
      <w:r>
        <w:rPr>
          <w:rFonts w:hint="eastAsia"/>
          <w:sz w:val="21"/>
          <w:szCs w:val="21"/>
        </w:rPr>
        <w:t>）的相关规定；</w:t>
      </w:r>
    </w:p>
    <w:p w14:paraId="72757AF9">
      <w:pPr>
        <w:pStyle w:val="8"/>
        <w:adjustRightInd w:val="0"/>
        <w:snapToGrid w:val="0"/>
        <w:spacing w:before="0" w:beforeAutospacing="0" w:after="0" w:afterAutospacing="0" w:line="360" w:lineRule="auto"/>
        <w:ind w:firstLine="420" w:firstLineChars="200"/>
        <w:rPr>
          <w:sz w:val="21"/>
          <w:szCs w:val="21"/>
        </w:rPr>
      </w:pPr>
      <w:r>
        <w:rPr>
          <w:sz w:val="21"/>
          <w:szCs w:val="21"/>
        </w:rPr>
        <w:t>2</w:t>
      </w:r>
      <w:r>
        <w:rPr>
          <w:rFonts w:hint="eastAsia"/>
          <w:sz w:val="21"/>
          <w:szCs w:val="21"/>
        </w:rPr>
        <w:t>）地下管线探测应按照《城市地下管线探测技术规程》（CJJ61-2017）、《城市工程地球物理探测标准》（CJJ7－20</w:t>
      </w:r>
      <w:r>
        <w:rPr>
          <w:sz w:val="21"/>
          <w:szCs w:val="21"/>
        </w:rPr>
        <w:t>1</w:t>
      </w:r>
      <w:r>
        <w:rPr>
          <w:rFonts w:hint="eastAsia"/>
          <w:sz w:val="21"/>
          <w:szCs w:val="21"/>
        </w:rPr>
        <w:t>7）、《全球定位系统城市测量技术规程》（</w:t>
      </w:r>
      <w:r>
        <w:rPr>
          <w:sz w:val="21"/>
          <w:szCs w:val="21"/>
        </w:rPr>
        <w:t>CJJ73-2010）</w:t>
      </w:r>
      <w:r>
        <w:rPr>
          <w:rFonts w:hint="eastAsia"/>
          <w:sz w:val="21"/>
          <w:szCs w:val="21"/>
        </w:rPr>
        <w:t>等国家现行测绘标准开展地下管线探测工作。另外还需满足甲方、设计等单位对管线资料使用的具体要求和规定。</w:t>
      </w:r>
    </w:p>
    <w:p w14:paraId="025EFFBF">
      <w:pPr>
        <w:pStyle w:val="8"/>
        <w:adjustRightInd w:val="0"/>
        <w:snapToGrid w:val="0"/>
        <w:spacing w:before="0" w:beforeAutospacing="0" w:after="0" w:afterAutospacing="0" w:line="360" w:lineRule="auto"/>
        <w:ind w:firstLine="420" w:firstLineChars="200"/>
        <w:rPr>
          <w:sz w:val="21"/>
          <w:szCs w:val="21"/>
        </w:rPr>
      </w:pPr>
      <w:r>
        <w:rPr>
          <w:sz w:val="21"/>
          <w:szCs w:val="21"/>
        </w:rPr>
        <w:t>3</w:t>
      </w:r>
      <w:r>
        <w:rPr>
          <w:rFonts w:hint="eastAsia"/>
          <w:sz w:val="21"/>
          <w:szCs w:val="21"/>
        </w:rPr>
        <w:t>）</w:t>
      </w:r>
      <w:r>
        <w:rPr>
          <w:sz w:val="21"/>
          <w:szCs w:val="21"/>
        </w:rPr>
        <w:t>探明工作范围内地下管线的种类、位置、埋深及管顶（底）标高变化、型号、管径或根数、材质等及其窨井位置、深度（结构内、外底深）、断面形状及其尺寸，</w:t>
      </w:r>
      <w:r>
        <w:rPr>
          <w:rFonts w:hint="eastAsia"/>
          <w:sz w:val="21"/>
          <w:szCs w:val="21"/>
        </w:rPr>
        <w:t>测量地下管线及管线附属物的平面坐标和高程，</w:t>
      </w:r>
      <w:r>
        <w:rPr>
          <w:sz w:val="21"/>
          <w:szCs w:val="21"/>
        </w:rPr>
        <w:t>并提供管线横断面测绘图，重要窨井的平、剖面图。</w:t>
      </w:r>
    </w:p>
    <w:p w14:paraId="3F4B844B">
      <w:pPr>
        <w:pStyle w:val="8"/>
        <w:adjustRightInd w:val="0"/>
        <w:snapToGrid w:val="0"/>
        <w:spacing w:before="0" w:beforeAutospacing="0" w:after="0" w:afterAutospacing="0" w:line="360" w:lineRule="auto"/>
        <w:ind w:firstLine="420" w:firstLineChars="200"/>
        <w:rPr>
          <w:sz w:val="21"/>
          <w:szCs w:val="21"/>
        </w:rPr>
      </w:pPr>
      <w:r>
        <w:rPr>
          <w:sz w:val="21"/>
          <w:szCs w:val="21"/>
        </w:rPr>
        <w:t>4</w:t>
      </w:r>
      <w:r>
        <w:rPr>
          <w:rFonts w:hint="eastAsia"/>
          <w:sz w:val="21"/>
          <w:szCs w:val="21"/>
        </w:rPr>
        <w:t>）</w:t>
      </w:r>
      <w:r>
        <w:rPr>
          <w:sz w:val="21"/>
          <w:szCs w:val="21"/>
        </w:rPr>
        <w:t>需要探测的地下管线是指测区内埋设于地下的上水、雨(污)水、燃气、电力、电信、热力、工业管道等市政和公用管线及铁路、民航、军用等其它专用管线</w:t>
      </w:r>
      <w:r>
        <w:rPr>
          <w:rFonts w:hint="eastAsia"/>
          <w:sz w:val="21"/>
          <w:szCs w:val="21"/>
        </w:rPr>
        <w:t>，包括各类通信管线的平面位置、埋深、走向</w:t>
      </w:r>
      <w:r>
        <w:rPr>
          <w:sz w:val="21"/>
          <w:szCs w:val="21"/>
        </w:rPr>
        <w:t>(流向)、规格（电缆孔数和条数）、材质、权属单位以及管线附属构筑物信息等。</w:t>
      </w:r>
    </w:p>
    <w:p w14:paraId="175AA262">
      <w:pPr>
        <w:pStyle w:val="8"/>
        <w:adjustRightInd w:val="0"/>
        <w:snapToGrid w:val="0"/>
        <w:spacing w:before="0" w:beforeAutospacing="0" w:after="0" w:afterAutospacing="0" w:line="360" w:lineRule="auto"/>
        <w:ind w:firstLine="420" w:firstLineChars="200"/>
        <w:rPr>
          <w:sz w:val="21"/>
          <w:szCs w:val="21"/>
        </w:rPr>
      </w:pPr>
      <w:r>
        <w:rPr>
          <w:sz w:val="21"/>
          <w:szCs w:val="21"/>
        </w:rPr>
        <w:t>5</w:t>
      </w:r>
      <w:r>
        <w:rPr>
          <w:rFonts w:hint="eastAsia"/>
          <w:sz w:val="21"/>
          <w:szCs w:val="21"/>
        </w:rPr>
        <w:t>）</w:t>
      </w:r>
      <w:r>
        <w:rPr>
          <w:sz w:val="21"/>
          <w:szCs w:val="21"/>
        </w:rPr>
        <w:t>尤其注重污水治理和合流污水的大型顶管、大口径雨水管、军用电缆等无法搬迁或搬迁成本巨大的重要管线。</w:t>
      </w:r>
    </w:p>
    <w:p w14:paraId="77E6DBDF">
      <w:pPr>
        <w:pStyle w:val="8"/>
        <w:adjustRightInd w:val="0"/>
        <w:snapToGrid w:val="0"/>
        <w:spacing w:before="0" w:beforeAutospacing="0" w:after="0" w:afterAutospacing="0" w:line="360" w:lineRule="auto"/>
        <w:ind w:firstLine="420" w:firstLineChars="200"/>
        <w:rPr>
          <w:sz w:val="21"/>
          <w:szCs w:val="21"/>
        </w:rPr>
      </w:pPr>
      <w:r>
        <w:rPr>
          <w:sz w:val="21"/>
          <w:szCs w:val="21"/>
        </w:rPr>
        <w:t>6</w:t>
      </w:r>
      <w:r>
        <w:rPr>
          <w:rFonts w:hint="eastAsia"/>
          <w:sz w:val="21"/>
          <w:szCs w:val="21"/>
        </w:rPr>
        <w:t>）</w:t>
      </w:r>
      <w:r>
        <w:rPr>
          <w:sz w:val="21"/>
          <w:szCs w:val="21"/>
        </w:rPr>
        <w:t>利用提供的导线点水准点，对所有地下管线探测点(特征点及附属设施中心)进行测量。地下管线测量采用解析法，用电子全站仪和卫星定位系统观测，按</w:t>
      </w:r>
      <w:r>
        <w:rPr>
          <w:rFonts w:hint="eastAsia"/>
          <w:sz w:val="21"/>
          <w:szCs w:val="21"/>
        </w:rPr>
        <w:t>制图标准</w:t>
      </w:r>
      <w:r>
        <w:rPr>
          <w:sz w:val="21"/>
          <w:szCs w:val="21"/>
        </w:rPr>
        <w:t>要求制成1：500地下管线综合图。</w:t>
      </w:r>
    </w:p>
    <w:p w14:paraId="0AC113D7">
      <w:pPr>
        <w:pStyle w:val="8"/>
        <w:adjustRightInd w:val="0"/>
        <w:snapToGrid w:val="0"/>
        <w:spacing w:before="0" w:beforeAutospacing="0" w:after="0" w:afterAutospacing="0" w:line="360" w:lineRule="auto"/>
        <w:ind w:firstLine="420" w:firstLineChars="200"/>
        <w:rPr>
          <w:sz w:val="21"/>
          <w:szCs w:val="21"/>
        </w:rPr>
      </w:pPr>
      <w:r>
        <w:rPr>
          <w:sz w:val="21"/>
          <w:szCs w:val="21"/>
        </w:rPr>
        <w:t>7</w:t>
      </w:r>
      <w:r>
        <w:rPr>
          <w:rFonts w:hint="eastAsia"/>
          <w:sz w:val="21"/>
          <w:szCs w:val="21"/>
        </w:rPr>
        <w:t>）</w:t>
      </w:r>
      <w:r>
        <w:rPr>
          <w:sz w:val="21"/>
          <w:szCs w:val="21"/>
        </w:rPr>
        <w:t>如果雨水、污水井是沉井、SMW工作井、顶管接收井和工作井，必须同时测出其下部大井和上部小井范围，并标出平面与立面相对位置。</w:t>
      </w:r>
    </w:p>
    <w:p w14:paraId="2CA68768">
      <w:pPr>
        <w:pStyle w:val="8"/>
        <w:adjustRightInd w:val="0"/>
        <w:snapToGrid w:val="0"/>
        <w:spacing w:before="0" w:beforeAutospacing="0" w:after="0" w:afterAutospacing="0" w:line="360" w:lineRule="auto"/>
        <w:ind w:firstLine="420" w:firstLineChars="200"/>
        <w:rPr>
          <w:sz w:val="21"/>
          <w:szCs w:val="21"/>
        </w:rPr>
      </w:pPr>
      <w:r>
        <w:rPr>
          <w:sz w:val="21"/>
          <w:szCs w:val="21"/>
        </w:rPr>
        <w:t>8</w:t>
      </w:r>
      <w:r>
        <w:rPr>
          <w:rFonts w:hint="eastAsia"/>
          <w:sz w:val="21"/>
          <w:szCs w:val="21"/>
        </w:rPr>
        <w:t>）</w:t>
      </w:r>
      <w:r>
        <w:rPr>
          <w:sz w:val="21"/>
          <w:szCs w:val="21"/>
        </w:rPr>
        <w:t>将探测成果编制成数字化成果图，最终提供彩色成果图和电子文档。</w:t>
      </w:r>
    </w:p>
    <w:p w14:paraId="5F3277CB">
      <w:pPr>
        <w:pStyle w:val="8"/>
        <w:adjustRightInd w:val="0"/>
        <w:snapToGrid w:val="0"/>
        <w:spacing w:before="0" w:beforeAutospacing="0" w:after="0" w:afterAutospacing="0" w:line="360" w:lineRule="auto"/>
        <w:ind w:firstLine="420" w:firstLineChars="200"/>
        <w:rPr>
          <w:sz w:val="21"/>
          <w:szCs w:val="21"/>
        </w:rPr>
      </w:pPr>
      <w:r>
        <w:rPr>
          <w:sz w:val="21"/>
          <w:szCs w:val="21"/>
        </w:rPr>
        <w:t>9</w:t>
      </w:r>
      <w:r>
        <w:rPr>
          <w:rFonts w:hint="eastAsia"/>
          <w:sz w:val="21"/>
          <w:szCs w:val="21"/>
        </w:rPr>
        <w:t>）水域探测时，测量的探测点高程应根据水位或潮位的变化进行校正；</w:t>
      </w:r>
    </w:p>
    <w:p w14:paraId="64A03BBD">
      <w:pPr>
        <w:pStyle w:val="8"/>
        <w:adjustRightInd w:val="0"/>
        <w:snapToGrid w:val="0"/>
        <w:spacing w:before="0" w:beforeAutospacing="0" w:after="0" w:afterAutospacing="0" w:line="360" w:lineRule="auto"/>
        <w:ind w:firstLine="420" w:firstLineChars="200"/>
        <w:rPr>
          <w:sz w:val="21"/>
          <w:szCs w:val="21"/>
        </w:rPr>
      </w:pPr>
      <w:r>
        <w:rPr>
          <w:sz w:val="21"/>
          <w:szCs w:val="21"/>
        </w:rPr>
        <w:t>10</w:t>
      </w:r>
      <w:r>
        <w:rPr>
          <w:rFonts w:hint="eastAsia"/>
          <w:sz w:val="21"/>
          <w:szCs w:val="21"/>
        </w:rPr>
        <w:t>）</w:t>
      </w:r>
      <w:r>
        <w:rPr>
          <w:sz w:val="21"/>
          <w:szCs w:val="21"/>
        </w:rPr>
        <w:t>架空高压线及铁塔</w:t>
      </w:r>
    </w:p>
    <w:p w14:paraId="5DB8F203">
      <w:pPr>
        <w:pStyle w:val="8"/>
        <w:adjustRightInd w:val="0"/>
        <w:snapToGrid w:val="0"/>
        <w:spacing w:before="0" w:beforeAutospacing="0" w:after="0" w:afterAutospacing="0" w:line="360" w:lineRule="auto"/>
        <w:ind w:firstLine="420" w:firstLineChars="200"/>
        <w:rPr>
          <w:sz w:val="21"/>
          <w:szCs w:val="21"/>
        </w:rPr>
      </w:pPr>
      <w:r>
        <w:rPr>
          <w:rFonts w:hint="eastAsia"/>
          <w:sz w:val="21"/>
          <w:szCs w:val="21"/>
        </w:rPr>
        <w:t>高压线横（斜）穿线路时，测距线路最近铁塔位置及高压线在线路上方的标高，当高压线平行或一侧通过时，测直线段两个以上铁塔位置。</w:t>
      </w:r>
    </w:p>
    <w:p w14:paraId="0E549ECF">
      <w:pPr>
        <w:pStyle w:val="8"/>
        <w:adjustRightInd w:val="0"/>
        <w:snapToGrid w:val="0"/>
        <w:spacing w:before="0" w:beforeAutospacing="0" w:after="0" w:afterAutospacing="0" w:line="360" w:lineRule="auto"/>
        <w:ind w:firstLine="420" w:firstLineChars="200"/>
        <w:rPr>
          <w:sz w:val="21"/>
          <w:szCs w:val="21"/>
        </w:rPr>
      </w:pPr>
      <w:r>
        <w:rPr>
          <w:sz w:val="21"/>
          <w:szCs w:val="21"/>
        </w:rPr>
        <w:t>11</w:t>
      </w:r>
      <w:r>
        <w:rPr>
          <w:rFonts w:hint="eastAsia"/>
          <w:sz w:val="21"/>
          <w:szCs w:val="21"/>
        </w:rPr>
        <w:t>）工程物探资料处理不得使用未经检查或检查不合格的探测数据，资料解释应在分析各项物性资料的基础上，利用各种已知资料，从已知到未知，先易后难、点面结合，定性指导定量。</w:t>
      </w:r>
    </w:p>
    <w:p w14:paraId="498C18BD">
      <w:pPr>
        <w:pStyle w:val="8"/>
        <w:adjustRightInd w:val="0"/>
        <w:snapToGrid w:val="0"/>
        <w:spacing w:before="0" w:beforeAutospacing="0" w:after="0" w:afterAutospacing="0" w:line="360" w:lineRule="auto"/>
        <w:ind w:firstLine="420" w:firstLineChars="200"/>
        <w:rPr>
          <w:sz w:val="21"/>
          <w:szCs w:val="21"/>
        </w:rPr>
      </w:pPr>
      <w:r>
        <w:rPr>
          <w:sz w:val="21"/>
          <w:szCs w:val="21"/>
        </w:rPr>
        <w:t>12</w:t>
      </w:r>
      <w:r>
        <w:rPr>
          <w:rFonts w:hint="eastAsia"/>
          <w:sz w:val="21"/>
          <w:szCs w:val="21"/>
        </w:rPr>
        <w:t>）工程物探作业安全应符合现行国家标准《岩土工程勘察安全标准》（</w:t>
      </w:r>
      <w:r>
        <w:rPr>
          <w:sz w:val="21"/>
          <w:szCs w:val="21"/>
        </w:rPr>
        <w:t>GB/T 50585</w:t>
      </w:r>
      <w:r>
        <w:rPr>
          <w:rFonts w:hint="eastAsia"/>
          <w:sz w:val="21"/>
          <w:szCs w:val="21"/>
        </w:rPr>
        <w:t>）的相关规定。</w:t>
      </w:r>
    </w:p>
    <w:p w14:paraId="6632B165">
      <w:pPr>
        <w:pStyle w:val="8"/>
        <w:adjustRightInd w:val="0"/>
        <w:snapToGrid w:val="0"/>
        <w:spacing w:before="0" w:beforeAutospacing="0" w:after="0" w:afterAutospacing="0" w:line="360" w:lineRule="auto"/>
        <w:ind w:firstLine="420" w:firstLineChars="200"/>
        <w:rPr>
          <w:sz w:val="21"/>
          <w:szCs w:val="21"/>
        </w:rPr>
      </w:pPr>
      <w:r>
        <w:rPr>
          <w:sz w:val="21"/>
          <w:szCs w:val="21"/>
        </w:rPr>
        <w:t>13</w:t>
      </w:r>
      <w:r>
        <w:rPr>
          <w:rFonts w:hint="eastAsia"/>
          <w:sz w:val="21"/>
          <w:szCs w:val="21"/>
        </w:rPr>
        <w:t>）工程物探报告成果文件必须加盖CMA章。</w:t>
      </w:r>
    </w:p>
    <w:p w14:paraId="48009300">
      <w:pPr>
        <w:pStyle w:val="8"/>
        <w:widowControl w:val="0"/>
        <w:numPr>
          <w:ilvl w:val="0"/>
          <w:numId w:val="1"/>
        </w:numPr>
        <w:adjustRightInd w:val="0"/>
        <w:snapToGrid w:val="0"/>
        <w:spacing w:before="0" w:beforeAutospacing="0" w:after="0" w:afterAutospacing="0" w:line="360" w:lineRule="auto"/>
        <w:rPr>
          <w:b/>
          <w:sz w:val="21"/>
          <w:szCs w:val="21"/>
        </w:rPr>
      </w:pPr>
      <w:r>
        <w:rPr>
          <w:rFonts w:hint="eastAsia"/>
          <w:b/>
          <w:sz w:val="21"/>
          <w:szCs w:val="21"/>
        </w:rPr>
        <w:t>土壤氡检测</w:t>
      </w:r>
    </w:p>
    <w:p w14:paraId="1330C007">
      <w:pPr>
        <w:pStyle w:val="10"/>
        <w:widowControl w:val="0"/>
        <w:numPr>
          <w:ilvl w:val="0"/>
          <w:numId w:val="2"/>
        </w:numPr>
        <w:adjustRightInd w:val="0"/>
        <w:snapToGrid w:val="0"/>
        <w:spacing w:before="0" w:beforeLines="0" w:line="360" w:lineRule="auto"/>
        <w:ind w:firstLineChars="0"/>
        <w:rPr>
          <w:rFonts w:ascii="宋体" w:hAnsi="宋体" w:eastAsia="宋体" w:cs="宋体"/>
          <w:vanish/>
          <w:kern w:val="0"/>
          <w:szCs w:val="21"/>
        </w:rPr>
      </w:pPr>
    </w:p>
    <w:p w14:paraId="4C33A345">
      <w:pPr>
        <w:pStyle w:val="8"/>
        <w:widowControl w:val="0"/>
        <w:numPr>
          <w:ilvl w:val="1"/>
          <w:numId w:val="2"/>
        </w:numPr>
        <w:adjustRightInd w:val="0"/>
        <w:snapToGrid w:val="0"/>
        <w:spacing w:before="0" w:beforeAutospacing="0" w:after="0" w:afterAutospacing="0" w:line="360" w:lineRule="auto"/>
        <w:rPr>
          <w:sz w:val="21"/>
          <w:szCs w:val="21"/>
        </w:rPr>
      </w:pPr>
      <w:r>
        <w:rPr>
          <w:sz w:val="21"/>
          <w:szCs w:val="21"/>
        </w:rPr>
        <w:t>依据《民用建筑工程室内环境污染控制规程》（DBJ01-91-2004）和《民用建筑工程室内环境污染控制规范》（GB50325-2020），工程前期应进行土壤氡浓度的检测（土方开完完毕之后），根据实测土壤氡浓度水平，</w:t>
      </w:r>
      <w:r>
        <w:rPr>
          <w:rFonts w:hint="eastAsia"/>
          <w:sz w:val="21"/>
          <w:szCs w:val="21"/>
        </w:rPr>
        <w:t>编制相应土壤氡检测报告，</w:t>
      </w:r>
      <w:r>
        <w:rPr>
          <w:sz w:val="21"/>
          <w:szCs w:val="21"/>
        </w:rPr>
        <w:t>为该工程是否采用防氡措施提供建议。</w:t>
      </w:r>
    </w:p>
    <w:p w14:paraId="07404E4B">
      <w:pPr>
        <w:pStyle w:val="8"/>
        <w:widowControl w:val="0"/>
        <w:numPr>
          <w:ilvl w:val="1"/>
          <w:numId w:val="2"/>
        </w:numPr>
        <w:adjustRightInd w:val="0"/>
        <w:snapToGrid w:val="0"/>
        <w:spacing w:before="0" w:beforeAutospacing="0" w:after="0" w:afterAutospacing="0" w:line="360" w:lineRule="auto"/>
        <w:rPr>
          <w:sz w:val="21"/>
          <w:szCs w:val="21"/>
        </w:rPr>
      </w:pPr>
      <w:r>
        <w:rPr>
          <w:sz w:val="21"/>
          <w:szCs w:val="21"/>
        </w:rPr>
        <w:t>根据规范要求，应以10米间距作网格，各网格交点即为测试点，每单体建（构）筑物布点数不得少于16点，布点位置应覆盖整个工程基础范围，检测点详见附图。</w:t>
      </w:r>
    </w:p>
    <w:p w14:paraId="5CD2BB23">
      <w:pPr>
        <w:pStyle w:val="8"/>
        <w:widowControl w:val="0"/>
        <w:numPr>
          <w:ilvl w:val="1"/>
          <w:numId w:val="2"/>
        </w:numPr>
        <w:adjustRightInd w:val="0"/>
        <w:snapToGrid w:val="0"/>
        <w:spacing w:before="0" w:beforeAutospacing="0" w:after="0" w:afterAutospacing="0" w:line="360" w:lineRule="auto"/>
        <w:rPr>
          <w:sz w:val="21"/>
          <w:szCs w:val="21"/>
        </w:rPr>
      </w:pPr>
      <w:r>
        <w:rPr>
          <w:sz w:val="21"/>
          <w:szCs w:val="21"/>
        </w:rPr>
        <w:t>在每个检测点，应采用专用钢钎打孔。孔的直径宜为（2~4）cm，孔的深度宜为（60~80）cm。</w:t>
      </w:r>
    </w:p>
    <w:p w14:paraId="6FBB44D9">
      <w:pPr>
        <w:pStyle w:val="8"/>
        <w:widowControl w:val="0"/>
        <w:numPr>
          <w:ilvl w:val="1"/>
          <w:numId w:val="2"/>
        </w:numPr>
        <w:adjustRightInd w:val="0"/>
        <w:snapToGrid w:val="0"/>
        <w:spacing w:before="0" w:beforeAutospacing="0" w:after="0" w:afterAutospacing="0" w:line="360" w:lineRule="auto"/>
        <w:rPr>
          <w:sz w:val="21"/>
          <w:szCs w:val="21"/>
        </w:rPr>
      </w:pPr>
      <w:r>
        <w:rPr>
          <w:sz w:val="21"/>
          <w:szCs w:val="21"/>
        </w:rPr>
        <w:t>成孔后，应使用头部有气孔的特制取样器，插入打好的孔中，取样器在靠近地表处应进行密闭，避免大气渗入孔中。</w:t>
      </w:r>
    </w:p>
    <w:p w14:paraId="6EBEE17A">
      <w:pPr>
        <w:pStyle w:val="8"/>
        <w:widowControl w:val="0"/>
        <w:numPr>
          <w:ilvl w:val="1"/>
          <w:numId w:val="2"/>
        </w:numPr>
        <w:adjustRightInd w:val="0"/>
        <w:snapToGrid w:val="0"/>
        <w:spacing w:before="0" w:beforeAutospacing="0" w:after="0" w:afterAutospacing="0" w:line="360" w:lineRule="auto"/>
        <w:rPr>
          <w:sz w:val="21"/>
          <w:szCs w:val="21"/>
        </w:rPr>
      </w:pPr>
      <w:r>
        <w:rPr>
          <w:sz w:val="21"/>
          <w:szCs w:val="21"/>
        </w:rPr>
        <w:t>取样测试时间宜在8：00时~18：00时之间，现场取样检测工作不应在雨天进行，如遇雨天，应在雨后24h后进行。</w:t>
      </w:r>
    </w:p>
    <w:p w14:paraId="23227B64">
      <w:pPr>
        <w:pStyle w:val="8"/>
        <w:widowControl w:val="0"/>
        <w:numPr>
          <w:ilvl w:val="0"/>
          <w:numId w:val="1"/>
        </w:numPr>
        <w:adjustRightInd w:val="0"/>
        <w:snapToGrid w:val="0"/>
        <w:spacing w:before="0" w:beforeAutospacing="0" w:after="0" w:afterAutospacing="0" w:line="360" w:lineRule="auto"/>
        <w:rPr>
          <w:b/>
          <w:sz w:val="21"/>
          <w:szCs w:val="21"/>
        </w:rPr>
      </w:pPr>
      <w:r>
        <w:rPr>
          <w:rFonts w:hint="eastAsia"/>
          <w:b/>
          <w:sz w:val="21"/>
          <w:szCs w:val="21"/>
        </w:rPr>
        <w:t>地形测绘</w:t>
      </w:r>
    </w:p>
    <w:p w14:paraId="6924E929">
      <w:pPr>
        <w:pStyle w:val="8"/>
        <w:widowControl w:val="0"/>
        <w:adjustRightInd w:val="0"/>
        <w:snapToGrid w:val="0"/>
        <w:spacing w:before="0" w:beforeAutospacing="0" w:after="0" w:afterAutospacing="0" w:line="360" w:lineRule="auto"/>
        <w:ind w:firstLine="424" w:firstLineChars="202"/>
        <w:rPr>
          <w:sz w:val="21"/>
          <w:szCs w:val="21"/>
        </w:rPr>
      </w:pPr>
      <w:r>
        <w:rPr>
          <w:rFonts w:hint="eastAsia"/>
          <w:sz w:val="21"/>
          <w:szCs w:val="21"/>
        </w:rPr>
        <w:t>6</w:t>
      </w:r>
      <w:r>
        <w:rPr>
          <w:sz w:val="21"/>
          <w:szCs w:val="21"/>
        </w:rPr>
        <w:t>.1</w:t>
      </w:r>
      <w:r>
        <w:rPr>
          <w:rFonts w:hint="eastAsia"/>
          <w:sz w:val="21"/>
          <w:szCs w:val="21"/>
        </w:rPr>
        <w:t>地形测绘、网格状标高测量工作须满足《中华人民共和国测绘法》及相关法律法规的规定。满足中华人民共和国最新测量规范、规程，测绘所采用的坐标系统，高程系统应与广州市规划局或住建局所要求的系统一致，特别是</w:t>
      </w:r>
      <w:r>
        <w:rPr>
          <w:sz w:val="21"/>
          <w:szCs w:val="21"/>
        </w:rPr>
        <w:t>XY 测量坐标系统需要与广州市规划局或住建局保持一致。</w:t>
      </w:r>
    </w:p>
    <w:p w14:paraId="2A11067E">
      <w:pPr>
        <w:pStyle w:val="8"/>
        <w:widowControl w:val="0"/>
        <w:adjustRightInd w:val="0"/>
        <w:snapToGrid w:val="0"/>
        <w:spacing w:before="0" w:beforeAutospacing="0" w:after="0" w:afterAutospacing="0" w:line="360" w:lineRule="auto"/>
        <w:ind w:firstLine="424" w:firstLineChars="202"/>
        <w:rPr>
          <w:sz w:val="21"/>
          <w:szCs w:val="21"/>
        </w:rPr>
      </w:pPr>
      <w:r>
        <w:rPr>
          <w:rFonts w:hint="eastAsia"/>
          <w:sz w:val="21"/>
          <w:szCs w:val="21"/>
        </w:rPr>
        <w:t>6</w:t>
      </w:r>
      <w:r>
        <w:rPr>
          <w:sz w:val="21"/>
          <w:szCs w:val="21"/>
        </w:rPr>
        <w:t>.2甲方对于乙方提交地形测绘、网格状标高测量成果的验收以国家和行业的质量验收统一标准为依据，且应通过乙方内部评审。如因乙方原因造成的成果质量达不到标准，乙方应承担违约责任。</w:t>
      </w:r>
    </w:p>
    <w:p w14:paraId="3B25A75C">
      <w:pPr>
        <w:pStyle w:val="8"/>
        <w:widowControl w:val="0"/>
        <w:adjustRightInd w:val="0"/>
        <w:snapToGrid w:val="0"/>
        <w:spacing w:before="0" w:beforeAutospacing="0" w:after="0" w:afterAutospacing="0" w:line="360" w:lineRule="auto"/>
        <w:ind w:firstLine="424" w:firstLineChars="202"/>
        <w:rPr>
          <w:sz w:val="21"/>
          <w:szCs w:val="21"/>
        </w:rPr>
      </w:pPr>
      <w:r>
        <w:rPr>
          <w:rFonts w:hint="eastAsia"/>
          <w:sz w:val="21"/>
          <w:szCs w:val="21"/>
        </w:rPr>
        <w:t>6</w:t>
      </w:r>
      <w:r>
        <w:rPr>
          <w:sz w:val="21"/>
          <w:szCs w:val="21"/>
        </w:rPr>
        <w:t>.3乙方提交的地形测绘、网格状标高测量成果须满足本项目土石方工程量测算及设计土石方平衡方案的要求，并取得甲方书面确认。</w:t>
      </w:r>
    </w:p>
    <w:p w14:paraId="1E8EB09E">
      <w:pPr>
        <w:pStyle w:val="8"/>
        <w:widowControl w:val="0"/>
        <w:numPr>
          <w:ilvl w:val="0"/>
          <w:numId w:val="1"/>
        </w:numPr>
        <w:adjustRightInd w:val="0"/>
        <w:snapToGrid w:val="0"/>
        <w:spacing w:before="0" w:beforeAutospacing="0" w:after="0" w:afterAutospacing="0" w:line="360" w:lineRule="auto"/>
        <w:rPr>
          <w:b/>
          <w:sz w:val="21"/>
          <w:szCs w:val="21"/>
        </w:rPr>
      </w:pPr>
      <w:r>
        <w:rPr>
          <w:rFonts w:hint="eastAsia"/>
          <w:b/>
          <w:sz w:val="21"/>
          <w:szCs w:val="21"/>
        </w:rPr>
        <w:t>依据</w:t>
      </w:r>
    </w:p>
    <w:p w14:paraId="0871603A">
      <w:pPr>
        <w:pStyle w:val="10"/>
        <w:widowControl w:val="0"/>
        <w:numPr>
          <w:ilvl w:val="0"/>
          <w:numId w:val="3"/>
        </w:numPr>
        <w:adjustRightInd w:val="0"/>
        <w:snapToGrid w:val="0"/>
        <w:spacing w:before="0" w:beforeLines="0" w:line="360" w:lineRule="auto"/>
        <w:ind w:firstLineChars="0"/>
        <w:rPr>
          <w:rFonts w:ascii="宋体" w:hAnsi="宋体" w:eastAsia="宋体" w:cs="宋体"/>
          <w:vanish/>
          <w:kern w:val="0"/>
          <w:szCs w:val="21"/>
        </w:rPr>
      </w:pPr>
    </w:p>
    <w:p w14:paraId="4F651960">
      <w:pPr>
        <w:pStyle w:val="8"/>
        <w:widowControl w:val="0"/>
        <w:numPr>
          <w:ilvl w:val="1"/>
          <w:numId w:val="3"/>
        </w:numPr>
        <w:adjustRightInd w:val="0"/>
        <w:snapToGrid w:val="0"/>
        <w:spacing w:before="0" w:beforeAutospacing="0" w:after="0" w:afterAutospacing="0" w:line="360" w:lineRule="auto"/>
        <w:rPr>
          <w:sz w:val="21"/>
          <w:szCs w:val="21"/>
        </w:rPr>
      </w:pPr>
      <w:r>
        <w:rPr>
          <w:rFonts w:hint="eastAsia"/>
          <w:sz w:val="21"/>
          <w:szCs w:val="21"/>
        </w:rPr>
        <w:t>本任务书以及建设单位提供的相关设计技术资料</w:t>
      </w:r>
    </w:p>
    <w:p w14:paraId="7CE881DB">
      <w:pPr>
        <w:pStyle w:val="8"/>
        <w:widowControl w:val="0"/>
        <w:numPr>
          <w:ilvl w:val="1"/>
          <w:numId w:val="3"/>
        </w:numPr>
        <w:adjustRightInd w:val="0"/>
        <w:snapToGrid w:val="0"/>
        <w:spacing w:before="0" w:beforeAutospacing="0" w:after="0" w:afterAutospacing="0" w:line="360" w:lineRule="auto"/>
        <w:rPr>
          <w:sz w:val="21"/>
          <w:szCs w:val="21"/>
        </w:rPr>
      </w:pPr>
      <w:r>
        <w:rPr>
          <w:rFonts w:hint="eastAsia"/>
          <w:sz w:val="21"/>
          <w:szCs w:val="21"/>
        </w:rPr>
        <w:t>相关标准规范，包括但不限于：</w:t>
      </w:r>
    </w:p>
    <w:p w14:paraId="59CEBF96">
      <w:pPr>
        <w:pStyle w:val="8"/>
        <w:adjustRightInd w:val="0"/>
        <w:snapToGrid w:val="0"/>
        <w:spacing w:before="0" w:beforeAutospacing="0" w:after="0" w:afterAutospacing="0" w:line="360" w:lineRule="auto"/>
        <w:ind w:firstLine="420" w:firstLineChars="200"/>
        <w:rPr>
          <w:sz w:val="21"/>
          <w:szCs w:val="21"/>
        </w:rPr>
      </w:pPr>
      <w:r>
        <w:rPr>
          <w:rFonts w:hint="eastAsia"/>
          <w:sz w:val="21"/>
          <w:szCs w:val="21"/>
        </w:rPr>
        <w:t>1）《岩土工程勘察规范》（GB 50021-2001）</w:t>
      </w:r>
    </w:p>
    <w:p w14:paraId="6164B665">
      <w:pPr>
        <w:pStyle w:val="8"/>
        <w:adjustRightInd w:val="0"/>
        <w:snapToGrid w:val="0"/>
        <w:spacing w:before="0" w:beforeAutospacing="0" w:after="0" w:afterAutospacing="0" w:line="360" w:lineRule="auto"/>
        <w:ind w:firstLine="420" w:firstLineChars="200"/>
        <w:rPr>
          <w:sz w:val="21"/>
          <w:szCs w:val="21"/>
        </w:rPr>
      </w:pPr>
      <w:r>
        <w:rPr>
          <w:rFonts w:hint="eastAsia"/>
          <w:sz w:val="21"/>
          <w:szCs w:val="21"/>
        </w:rPr>
        <w:t>2）《岩土工程基本术语标准》（GB/T 50279-1998）</w:t>
      </w:r>
    </w:p>
    <w:p w14:paraId="1C1BF698">
      <w:pPr>
        <w:pStyle w:val="8"/>
        <w:adjustRightInd w:val="0"/>
        <w:snapToGrid w:val="0"/>
        <w:spacing w:before="0" w:beforeAutospacing="0" w:after="0" w:afterAutospacing="0" w:line="360" w:lineRule="auto"/>
        <w:ind w:firstLine="420" w:firstLineChars="200"/>
        <w:rPr>
          <w:sz w:val="21"/>
          <w:szCs w:val="21"/>
        </w:rPr>
      </w:pPr>
      <w:r>
        <w:rPr>
          <w:rFonts w:hint="eastAsia"/>
          <w:sz w:val="21"/>
          <w:szCs w:val="21"/>
        </w:rPr>
        <w:t>3）《土工试验方法标准》（GB/T 50123-1999）</w:t>
      </w:r>
    </w:p>
    <w:p w14:paraId="56384EF1">
      <w:pPr>
        <w:pStyle w:val="8"/>
        <w:adjustRightInd w:val="0"/>
        <w:snapToGrid w:val="0"/>
        <w:spacing w:before="0" w:beforeAutospacing="0" w:after="0" w:afterAutospacing="0" w:line="360" w:lineRule="auto"/>
        <w:ind w:firstLine="420" w:firstLineChars="200"/>
        <w:rPr>
          <w:sz w:val="21"/>
          <w:szCs w:val="21"/>
        </w:rPr>
      </w:pPr>
      <w:r>
        <w:rPr>
          <w:rFonts w:hint="eastAsia"/>
          <w:sz w:val="21"/>
          <w:szCs w:val="21"/>
        </w:rPr>
        <w:t>4）《工程岩体试验方法标准》（GB/T 50266-1999）</w:t>
      </w:r>
    </w:p>
    <w:p w14:paraId="4C801134">
      <w:pPr>
        <w:pStyle w:val="8"/>
        <w:adjustRightInd w:val="0"/>
        <w:snapToGrid w:val="0"/>
        <w:spacing w:before="0" w:beforeAutospacing="0" w:after="0" w:afterAutospacing="0" w:line="360" w:lineRule="auto"/>
        <w:ind w:firstLine="420" w:firstLineChars="200"/>
        <w:rPr>
          <w:sz w:val="21"/>
          <w:szCs w:val="21"/>
        </w:rPr>
      </w:pPr>
      <w:r>
        <w:rPr>
          <w:rFonts w:hint="eastAsia"/>
          <w:sz w:val="21"/>
          <w:szCs w:val="21"/>
        </w:rPr>
        <w:t>5）《建筑工程地质钻探技术标准》（JGJ 87-92）</w:t>
      </w:r>
    </w:p>
    <w:p w14:paraId="73127430">
      <w:pPr>
        <w:pStyle w:val="8"/>
        <w:adjustRightInd w:val="0"/>
        <w:snapToGrid w:val="0"/>
        <w:spacing w:before="0" w:beforeAutospacing="0" w:after="0" w:afterAutospacing="0" w:line="360" w:lineRule="auto"/>
        <w:ind w:firstLine="420" w:firstLineChars="200"/>
        <w:rPr>
          <w:sz w:val="21"/>
          <w:szCs w:val="21"/>
        </w:rPr>
      </w:pPr>
      <w:r>
        <w:rPr>
          <w:rFonts w:hint="eastAsia"/>
          <w:sz w:val="21"/>
          <w:szCs w:val="21"/>
        </w:rPr>
        <w:t>6）《原状土取样技术标准》（JGJ 89-92）</w:t>
      </w:r>
    </w:p>
    <w:p w14:paraId="681E29A5">
      <w:pPr>
        <w:pStyle w:val="8"/>
        <w:adjustRightInd w:val="0"/>
        <w:snapToGrid w:val="0"/>
        <w:spacing w:before="0" w:beforeAutospacing="0" w:after="0" w:afterAutospacing="0" w:line="360" w:lineRule="auto"/>
        <w:ind w:firstLine="420" w:firstLineChars="200"/>
        <w:rPr>
          <w:sz w:val="21"/>
          <w:szCs w:val="21"/>
        </w:rPr>
      </w:pPr>
      <w:r>
        <w:rPr>
          <w:rFonts w:hint="eastAsia"/>
          <w:sz w:val="21"/>
          <w:szCs w:val="21"/>
        </w:rPr>
        <w:t>7）《建筑地基基础设计规范》（GB 50007-2002）</w:t>
      </w:r>
    </w:p>
    <w:p w14:paraId="6647F1E4">
      <w:pPr>
        <w:pStyle w:val="8"/>
        <w:adjustRightInd w:val="0"/>
        <w:snapToGrid w:val="0"/>
        <w:spacing w:before="0" w:beforeAutospacing="0" w:after="0" w:afterAutospacing="0" w:line="360" w:lineRule="auto"/>
        <w:ind w:firstLine="420" w:firstLineChars="200"/>
        <w:rPr>
          <w:sz w:val="21"/>
          <w:szCs w:val="21"/>
        </w:rPr>
      </w:pPr>
      <w:r>
        <w:rPr>
          <w:rFonts w:hint="eastAsia"/>
          <w:sz w:val="21"/>
          <w:szCs w:val="21"/>
        </w:rPr>
        <w:t>8）《建筑抗震设计规范》（GB50011-2001）20</w:t>
      </w:r>
      <w:r>
        <w:rPr>
          <w:sz w:val="21"/>
          <w:szCs w:val="21"/>
        </w:rPr>
        <w:t>16</w:t>
      </w:r>
      <w:r>
        <w:rPr>
          <w:rFonts w:hint="eastAsia"/>
          <w:sz w:val="21"/>
          <w:szCs w:val="21"/>
        </w:rPr>
        <w:t>年版</w:t>
      </w:r>
    </w:p>
    <w:p w14:paraId="50A94E18">
      <w:pPr>
        <w:pStyle w:val="8"/>
        <w:adjustRightInd w:val="0"/>
        <w:snapToGrid w:val="0"/>
        <w:spacing w:before="0" w:beforeAutospacing="0" w:after="0" w:afterAutospacing="0" w:line="360" w:lineRule="auto"/>
        <w:ind w:firstLine="420" w:firstLineChars="200"/>
        <w:rPr>
          <w:sz w:val="21"/>
          <w:szCs w:val="21"/>
        </w:rPr>
      </w:pPr>
      <w:r>
        <w:rPr>
          <w:rFonts w:hint="eastAsia"/>
          <w:sz w:val="21"/>
          <w:szCs w:val="21"/>
        </w:rPr>
        <w:t>9）《建筑地基处理技术规范》（JGJ 79-2002）</w:t>
      </w:r>
    </w:p>
    <w:p w14:paraId="763BB834">
      <w:pPr>
        <w:pStyle w:val="8"/>
        <w:adjustRightInd w:val="0"/>
        <w:snapToGrid w:val="0"/>
        <w:spacing w:before="0" w:beforeAutospacing="0" w:after="0" w:afterAutospacing="0" w:line="360" w:lineRule="auto"/>
        <w:ind w:firstLine="420" w:firstLineChars="200"/>
        <w:rPr>
          <w:sz w:val="21"/>
          <w:szCs w:val="21"/>
        </w:rPr>
      </w:pPr>
      <w:r>
        <w:rPr>
          <w:rFonts w:hint="eastAsia"/>
          <w:sz w:val="21"/>
          <w:szCs w:val="21"/>
        </w:rPr>
        <w:t>10）《建筑基坑支护技术规程》（JGJ 120-99）</w:t>
      </w:r>
    </w:p>
    <w:p w14:paraId="62668D2C">
      <w:pPr>
        <w:pStyle w:val="8"/>
        <w:adjustRightInd w:val="0"/>
        <w:snapToGrid w:val="0"/>
        <w:spacing w:before="0" w:beforeAutospacing="0" w:after="0" w:afterAutospacing="0" w:line="360" w:lineRule="auto"/>
        <w:ind w:firstLine="420" w:firstLineChars="200"/>
        <w:rPr>
          <w:sz w:val="21"/>
          <w:szCs w:val="21"/>
        </w:rPr>
      </w:pPr>
      <w:r>
        <w:rPr>
          <w:rFonts w:hint="eastAsia"/>
          <w:sz w:val="21"/>
          <w:szCs w:val="21"/>
        </w:rPr>
        <w:t>11）《建筑桩基技术规范》（JGJ 94-2008）</w:t>
      </w:r>
    </w:p>
    <w:p w14:paraId="39E63B24">
      <w:pPr>
        <w:pStyle w:val="8"/>
        <w:adjustRightInd w:val="0"/>
        <w:snapToGrid w:val="0"/>
        <w:spacing w:before="0" w:beforeAutospacing="0" w:after="0" w:afterAutospacing="0" w:line="360" w:lineRule="auto"/>
        <w:ind w:firstLine="420" w:firstLineChars="200"/>
        <w:rPr>
          <w:sz w:val="21"/>
          <w:szCs w:val="21"/>
        </w:rPr>
      </w:pPr>
      <w:r>
        <w:rPr>
          <w:rFonts w:hint="eastAsia"/>
          <w:sz w:val="21"/>
          <w:szCs w:val="21"/>
        </w:rPr>
        <w:t>12）《建筑边坡工程技术规范》（GB 50330-2002）</w:t>
      </w:r>
    </w:p>
    <w:p w14:paraId="6AE19EC7">
      <w:pPr>
        <w:pStyle w:val="8"/>
        <w:widowControl w:val="0"/>
        <w:numPr>
          <w:ilvl w:val="0"/>
          <w:numId w:val="1"/>
        </w:numPr>
        <w:adjustRightInd w:val="0"/>
        <w:snapToGrid w:val="0"/>
        <w:spacing w:before="0" w:beforeAutospacing="0" w:after="0" w:afterAutospacing="0" w:line="360" w:lineRule="auto"/>
        <w:rPr>
          <w:b/>
          <w:sz w:val="21"/>
          <w:szCs w:val="21"/>
        </w:rPr>
      </w:pPr>
      <w:r>
        <w:rPr>
          <w:rFonts w:hint="eastAsia"/>
          <w:b/>
          <w:sz w:val="21"/>
          <w:szCs w:val="21"/>
        </w:rPr>
        <w:t>成果编制及深度要求</w:t>
      </w:r>
    </w:p>
    <w:p w14:paraId="27697655">
      <w:pPr>
        <w:pStyle w:val="10"/>
        <w:widowControl w:val="0"/>
        <w:numPr>
          <w:ilvl w:val="0"/>
          <w:numId w:val="3"/>
        </w:numPr>
        <w:adjustRightInd w:val="0"/>
        <w:snapToGrid w:val="0"/>
        <w:spacing w:before="0" w:beforeLines="0" w:line="360" w:lineRule="auto"/>
        <w:ind w:firstLineChars="0"/>
        <w:rPr>
          <w:rFonts w:ascii="宋体" w:hAnsi="宋体" w:eastAsia="宋体" w:cs="宋体"/>
          <w:vanish/>
          <w:kern w:val="0"/>
          <w:szCs w:val="21"/>
        </w:rPr>
      </w:pPr>
    </w:p>
    <w:p w14:paraId="680CED37">
      <w:pPr>
        <w:pStyle w:val="8"/>
        <w:widowControl w:val="0"/>
        <w:numPr>
          <w:ilvl w:val="1"/>
          <w:numId w:val="3"/>
        </w:numPr>
        <w:adjustRightInd w:val="0"/>
        <w:snapToGrid w:val="0"/>
        <w:spacing w:before="0" w:beforeAutospacing="0" w:after="0" w:afterAutospacing="0" w:line="360" w:lineRule="auto"/>
        <w:rPr>
          <w:sz w:val="21"/>
          <w:szCs w:val="21"/>
        </w:rPr>
      </w:pPr>
      <w:r>
        <w:rPr>
          <w:rFonts w:hint="eastAsia"/>
          <w:sz w:val="21"/>
          <w:szCs w:val="21"/>
        </w:rPr>
        <w:t>各项成果报告的文字、术语、代号、符号、数字、计量单位、标点，均应符合国家有关标准的规定。</w:t>
      </w:r>
    </w:p>
    <w:p w14:paraId="0A5D2EE2">
      <w:pPr>
        <w:pStyle w:val="8"/>
        <w:widowControl w:val="0"/>
        <w:numPr>
          <w:ilvl w:val="1"/>
          <w:numId w:val="3"/>
        </w:numPr>
        <w:adjustRightInd w:val="0"/>
        <w:snapToGrid w:val="0"/>
        <w:spacing w:before="0" w:beforeAutospacing="0" w:after="0" w:afterAutospacing="0" w:line="360" w:lineRule="auto"/>
        <w:rPr>
          <w:sz w:val="21"/>
          <w:szCs w:val="21"/>
        </w:rPr>
      </w:pPr>
      <w:r>
        <w:rPr>
          <w:rFonts w:hint="eastAsia"/>
          <w:sz w:val="21"/>
          <w:szCs w:val="21"/>
        </w:rPr>
        <w:t>工程物探报告成果文件需完整准确，须加盖CMA章；需满足指导后续设计及施工要求。</w:t>
      </w:r>
    </w:p>
    <w:p w14:paraId="57563CAE">
      <w:pPr>
        <w:pStyle w:val="8"/>
        <w:widowControl w:val="0"/>
        <w:numPr>
          <w:ilvl w:val="1"/>
          <w:numId w:val="3"/>
        </w:numPr>
        <w:adjustRightInd w:val="0"/>
        <w:snapToGrid w:val="0"/>
        <w:spacing w:before="0" w:beforeAutospacing="0" w:after="0" w:afterAutospacing="0" w:line="360" w:lineRule="auto"/>
        <w:rPr>
          <w:sz w:val="21"/>
          <w:szCs w:val="21"/>
        </w:rPr>
      </w:pPr>
      <w:r>
        <w:rPr>
          <w:rFonts w:hint="eastAsia"/>
          <w:sz w:val="21"/>
          <w:szCs w:val="21"/>
        </w:rPr>
        <w:t>地形测绘成果文件应提交现状地形图（比例尺</w:t>
      </w:r>
      <w:r>
        <w:rPr>
          <w:sz w:val="21"/>
          <w:szCs w:val="21"/>
        </w:rPr>
        <w:t>1:500</w:t>
      </w:r>
      <w:r>
        <w:rPr>
          <w:rFonts w:hint="eastAsia"/>
          <w:sz w:val="21"/>
          <w:szCs w:val="21"/>
        </w:rPr>
        <w:t>）</w:t>
      </w:r>
      <w:r>
        <w:rPr>
          <w:sz w:val="21"/>
          <w:szCs w:val="21"/>
        </w:rPr>
        <w:t>；</w:t>
      </w:r>
      <w:r>
        <w:rPr>
          <w:rFonts w:hint="eastAsia"/>
          <w:sz w:val="21"/>
          <w:szCs w:val="21"/>
        </w:rPr>
        <w:t>需</w:t>
      </w:r>
      <w:r>
        <w:rPr>
          <w:sz w:val="21"/>
          <w:szCs w:val="21"/>
        </w:rPr>
        <w:t>提交网格状标高测量图，</w:t>
      </w:r>
      <w:r>
        <w:rPr>
          <w:rFonts w:hint="eastAsia"/>
          <w:sz w:val="21"/>
          <w:szCs w:val="21"/>
        </w:rPr>
        <w:t>按</w:t>
      </w:r>
      <w:r>
        <w:rPr>
          <w:sz w:val="21"/>
          <w:szCs w:val="21"/>
        </w:rPr>
        <w:t>10m*10m网格间距，局部根据场地土坡进行加密</w:t>
      </w:r>
      <w:r>
        <w:rPr>
          <w:rFonts w:hint="eastAsia"/>
          <w:sz w:val="21"/>
          <w:szCs w:val="21"/>
        </w:rPr>
        <w:t>。</w:t>
      </w:r>
    </w:p>
    <w:p w14:paraId="49DF4F6E">
      <w:pPr>
        <w:pStyle w:val="8"/>
        <w:widowControl w:val="0"/>
        <w:numPr>
          <w:ilvl w:val="0"/>
          <w:numId w:val="1"/>
        </w:numPr>
        <w:adjustRightInd w:val="0"/>
        <w:snapToGrid w:val="0"/>
        <w:spacing w:before="0" w:beforeAutospacing="0" w:after="0" w:afterAutospacing="0" w:line="360" w:lineRule="auto"/>
        <w:rPr>
          <w:b/>
          <w:sz w:val="21"/>
          <w:szCs w:val="21"/>
        </w:rPr>
      </w:pPr>
      <w:r>
        <w:rPr>
          <w:rFonts w:hint="eastAsia"/>
          <w:b/>
          <w:sz w:val="21"/>
          <w:szCs w:val="21"/>
        </w:rPr>
        <w:t>其他</w:t>
      </w:r>
    </w:p>
    <w:p w14:paraId="1120A99A">
      <w:pPr>
        <w:pStyle w:val="10"/>
        <w:widowControl w:val="0"/>
        <w:numPr>
          <w:ilvl w:val="0"/>
          <w:numId w:val="3"/>
        </w:numPr>
        <w:adjustRightInd w:val="0"/>
        <w:snapToGrid w:val="0"/>
        <w:spacing w:before="0" w:beforeLines="0" w:line="360" w:lineRule="auto"/>
        <w:ind w:firstLineChars="0"/>
        <w:rPr>
          <w:rFonts w:ascii="宋体" w:hAnsi="宋体" w:eastAsia="宋体" w:cs="宋体"/>
          <w:vanish/>
          <w:kern w:val="0"/>
          <w:szCs w:val="21"/>
        </w:rPr>
      </w:pPr>
    </w:p>
    <w:p w14:paraId="0D7D09C2">
      <w:pPr>
        <w:pStyle w:val="8"/>
        <w:widowControl w:val="0"/>
        <w:numPr>
          <w:ilvl w:val="1"/>
          <w:numId w:val="3"/>
        </w:numPr>
        <w:adjustRightInd w:val="0"/>
        <w:snapToGrid w:val="0"/>
        <w:spacing w:before="0" w:beforeAutospacing="0" w:after="0" w:afterAutospacing="0" w:line="360" w:lineRule="auto"/>
        <w:rPr>
          <w:sz w:val="21"/>
          <w:szCs w:val="21"/>
        </w:rPr>
      </w:pPr>
      <w:r>
        <w:rPr>
          <w:rFonts w:hint="eastAsia"/>
          <w:sz w:val="21"/>
          <w:szCs w:val="21"/>
        </w:rPr>
        <w:t>投标服务建议文件应结合现行相关标准规范的规定以及本项目实际需要，确定勘探点类型以及拟测试项目类别，并注明理由；</w:t>
      </w:r>
    </w:p>
    <w:p w14:paraId="3F32989F">
      <w:pPr>
        <w:pStyle w:val="8"/>
        <w:widowControl w:val="0"/>
        <w:numPr>
          <w:ilvl w:val="1"/>
          <w:numId w:val="3"/>
        </w:numPr>
        <w:adjustRightInd w:val="0"/>
        <w:snapToGrid w:val="0"/>
        <w:spacing w:before="0" w:beforeAutospacing="0" w:after="0" w:afterAutospacing="0" w:line="360" w:lineRule="auto"/>
        <w:rPr>
          <w:sz w:val="21"/>
          <w:szCs w:val="21"/>
        </w:rPr>
      </w:pPr>
      <w:r>
        <w:rPr>
          <w:rFonts w:hint="eastAsia"/>
          <w:sz w:val="21"/>
          <w:szCs w:val="21"/>
        </w:rPr>
        <w:t>投标服务建议文件中主要勘察（试验）方法以及勘察（试验）设备的配置应具有针对性和实际指导价值。</w:t>
      </w:r>
    </w:p>
    <w:p w14:paraId="3C8256D4">
      <w:pPr>
        <w:pStyle w:val="8"/>
        <w:widowControl w:val="0"/>
        <w:numPr>
          <w:ilvl w:val="1"/>
          <w:numId w:val="3"/>
        </w:numPr>
        <w:adjustRightInd w:val="0"/>
        <w:snapToGrid w:val="0"/>
        <w:spacing w:before="0" w:beforeAutospacing="0" w:after="0" w:afterAutospacing="0" w:line="360" w:lineRule="auto"/>
        <w:rPr>
          <w:sz w:val="21"/>
          <w:szCs w:val="21"/>
        </w:rPr>
      </w:pPr>
      <w:r>
        <w:rPr>
          <w:rFonts w:hint="eastAsia"/>
          <w:sz w:val="21"/>
          <w:szCs w:val="21"/>
        </w:rPr>
        <w:t>本任务书未尽事宜，遵照国家、行业及地方现行相关标准规范的相关规定。</w:t>
      </w:r>
    </w:p>
    <w:p w14:paraId="01211AF0">
      <w:pPr>
        <w:adjustRightInd w:val="0"/>
        <w:snapToGrid w:val="0"/>
        <w:spacing w:line="360" w:lineRule="auto"/>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Batang">
    <w:altName w:val="Malgun Gothic"/>
    <w:panose1 w:val="02030600000101010101"/>
    <w:charset w:val="81"/>
    <w:family w:val="roman"/>
    <w:pitch w:val="default"/>
    <w:sig w:usb0="00000000" w:usb1="00000000" w:usb2="00000030" w:usb3="00000000" w:csb0="0008009F" w:csb1="00000000"/>
  </w:font>
  <w:font w:name="微软雅黑">
    <w:panose1 w:val="020B0503020204020204"/>
    <w:charset w:val="86"/>
    <w:family w:val="swiss"/>
    <w:pitch w:val="default"/>
    <w:sig w:usb0="80000287" w:usb1="2ACF3C50" w:usb2="00000016" w:usb3="00000000" w:csb0="0004001F"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9C16F9">
    <w:pPr>
      <w:pStyle w:val="4"/>
    </w:pPr>
  </w:p>
  <w:p w14:paraId="56068BE1">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9E1616"/>
    <w:multiLevelType w:val="multilevel"/>
    <w:tmpl w:val="419E1616"/>
    <w:lvl w:ilvl="0" w:tentative="0">
      <w:start w:val="1"/>
      <w:numFmt w:val="decimal"/>
      <w:lvlText w:val="%1"/>
      <w:lvlJc w:val="left"/>
      <w:pPr>
        <w:ind w:left="425" w:hanging="425"/>
      </w:pPr>
      <w:rPr>
        <w:rFonts w:hint="eastAsia"/>
        <w:b/>
      </w:rPr>
    </w:lvl>
    <w:lvl w:ilvl="1" w:tentative="0">
      <w:start w:val="1"/>
      <w:numFmt w:val="decimal"/>
      <w:suff w:val="space"/>
      <w:lvlText w:val="%1.%2"/>
      <w:lvlJc w:val="left"/>
      <w:pPr>
        <w:ind w:left="0" w:firstLine="425"/>
      </w:pPr>
      <w:rPr>
        <w:rFonts w:hint="eastAsia"/>
      </w:rPr>
    </w:lvl>
    <w:lvl w:ilvl="2" w:tentative="0">
      <w:start w:val="1"/>
      <w:numFmt w:val="decimal"/>
      <w:suff w:val="space"/>
      <w:lvlText w:val="%1.%2.%3"/>
      <w:lvlJc w:val="left"/>
      <w:pPr>
        <w:ind w:left="0" w:firstLine="425"/>
      </w:pPr>
      <w:rPr>
        <w:rFonts w:hint="eastAsia"/>
        <w:b w:val="0"/>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56793457"/>
    <w:multiLevelType w:val="multilevel"/>
    <w:tmpl w:val="56793457"/>
    <w:lvl w:ilvl="0" w:tentative="0">
      <w:start w:val="6"/>
      <w:numFmt w:val="decimal"/>
      <w:lvlText w:val="%1"/>
      <w:lvlJc w:val="left"/>
      <w:pPr>
        <w:ind w:left="425" w:hanging="425"/>
      </w:pPr>
      <w:rPr>
        <w:rFonts w:hint="eastAsia"/>
        <w:b/>
      </w:rPr>
    </w:lvl>
    <w:lvl w:ilvl="1" w:tentative="0">
      <w:start w:val="1"/>
      <w:numFmt w:val="decimal"/>
      <w:suff w:val="space"/>
      <w:lvlText w:val="%1.%2"/>
      <w:lvlJc w:val="left"/>
      <w:pPr>
        <w:ind w:left="0" w:firstLine="425"/>
      </w:pPr>
      <w:rPr>
        <w:rFonts w:hint="eastAsia"/>
      </w:rPr>
    </w:lvl>
    <w:lvl w:ilvl="2" w:tentative="0">
      <w:start w:val="1"/>
      <w:numFmt w:val="decimal"/>
      <w:suff w:val="space"/>
      <w:lvlText w:val="%1.%2.%3"/>
      <w:lvlJc w:val="left"/>
      <w:pPr>
        <w:ind w:left="0" w:firstLine="425"/>
      </w:pPr>
      <w:rPr>
        <w:rFonts w:hint="eastAsia"/>
        <w:b w:val="0"/>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6E1A3371"/>
    <w:multiLevelType w:val="multilevel"/>
    <w:tmpl w:val="6E1A3371"/>
    <w:lvl w:ilvl="0" w:tentative="0">
      <w:start w:val="1"/>
      <w:numFmt w:val="chineseCountingThousand"/>
      <w:suff w:val="space"/>
      <w:lvlText w:val="%1、"/>
      <w:lvlJc w:val="left"/>
      <w:pPr>
        <w:ind w:left="0" w:firstLine="0"/>
      </w:pPr>
      <w:rPr>
        <w:rFonts w:hint="eastAsia"/>
        <w:b/>
      </w:rPr>
    </w:lvl>
    <w:lvl w:ilvl="1" w:tentative="0">
      <w:start w:val="1"/>
      <w:numFmt w:val="decimal"/>
      <w:isLgl/>
      <w:suff w:val="space"/>
      <w:lvlText w:val="%1.%2 "/>
      <w:lvlJc w:val="left"/>
      <w:pPr>
        <w:ind w:left="0" w:firstLine="425"/>
      </w:pPr>
      <w:rPr>
        <w:rFonts w:hint="eastAsia"/>
      </w:rPr>
    </w:lvl>
    <w:lvl w:ilvl="2" w:tentative="0">
      <w:start w:val="1"/>
      <w:numFmt w:val="decimal"/>
      <w:lvlText w:val="%3)"/>
      <w:lvlJc w:val="left"/>
      <w:pPr>
        <w:ind w:left="0" w:firstLine="425"/>
      </w:pPr>
      <w:rPr>
        <w:rFonts w:hint="eastAsia"/>
        <w:b w:val="0"/>
      </w:rPr>
    </w:lvl>
    <w:lvl w:ilvl="3" w:tentative="0">
      <w:start w:val="1"/>
      <w:numFmt w:val="decimal"/>
      <w:suff w:val="space"/>
      <w:lvlText w:val="%4)"/>
      <w:lvlJc w:val="left"/>
      <w:pPr>
        <w:ind w:left="425" w:firstLine="425"/>
      </w:pPr>
      <w:rPr>
        <w:rFonts w:hint="eastAsia"/>
      </w:rPr>
    </w:lvl>
    <w:lvl w:ilvl="4" w:tentative="0">
      <w:start w:val="1"/>
      <w:numFmt w:val="lowerLetter"/>
      <w:suff w:val="space"/>
      <w:lvlText w:val="%5)"/>
      <w:lvlJc w:val="left"/>
      <w:pPr>
        <w:ind w:left="0" w:firstLine="850"/>
      </w:pPr>
      <w:rPr>
        <w:rFonts w:hint="eastAsia"/>
      </w:rPr>
    </w:lvl>
    <w:lvl w:ilvl="5" w:tentative="0">
      <w:start w:val="1"/>
      <w:numFmt w:val="lowerRoman"/>
      <w:lvlText w:val="%6."/>
      <w:lvlJc w:val="right"/>
      <w:pPr>
        <w:ind w:left="2945" w:hanging="420"/>
      </w:pPr>
      <w:rPr>
        <w:rFonts w:hint="eastAsia"/>
      </w:rPr>
    </w:lvl>
    <w:lvl w:ilvl="6" w:tentative="0">
      <w:start w:val="1"/>
      <w:numFmt w:val="decimal"/>
      <w:lvlText w:val="%7."/>
      <w:lvlJc w:val="left"/>
      <w:pPr>
        <w:ind w:left="3365" w:hanging="420"/>
      </w:pPr>
      <w:rPr>
        <w:rFonts w:hint="eastAsia"/>
      </w:rPr>
    </w:lvl>
    <w:lvl w:ilvl="7" w:tentative="0">
      <w:start w:val="1"/>
      <w:numFmt w:val="lowerLetter"/>
      <w:lvlText w:val="%8)"/>
      <w:lvlJc w:val="left"/>
      <w:pPr>
        <w:ind w:left="3785" w:hanging="420"/>
      </w:pPr>
      <w:rPr>
        <w:rFonts w:hint="eastAsia"/>
      </w:rPr>
    </w:lvl>
    <w:lvl w:ilvl="8" w:tentative="0">
      <w:start w:val="1"/>
      <w:numFmt w:val="lowerRoman"/>
      <w:lvlText w:val="%9."/>
      <w:lvlJc w:val="right"/>
      <w:pPr>
        <w:ind w:left="4205" w:hanging="420"/>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k4ZjI5N2I1YTI4ODg0ZjM3NWU2MTk2NTExM2IzOWUifQ=="/>
  </w:docVars>
  <w:rsids>
    <w:rsidRoot w:val="00535896"/>
    <w:rsid w:val="00026282"/>
    <w:rsid w:val="00053A0C"/>
    <w:rsid w:val="00060E63"/>
    <w:rsid w:val="000611D4"/>
    <w:rsid w:val="000631B1"/>
    <w:rsid w:val="000A7A7D"/>
    <w:rsid w:val="000C5129"/>
    <w:rsid w:val="000D3536"/>
    <w:rsid w:val="000D5100"/>
    <w:rsid w:val="000E4041"/>
    <w:rsid w:val="000E4DA9"/>
    <w:rsid w:val="000E55B3"/>
    <w:rsid w:val="000F207F"/>
    <w:rsid w:val="000F3C30"/>
    <w:rsid w:val="001115DF"/>
    <w:rsid w:val="00112949"/>
    <w:rsid w:val="00120553"/>
    <w:rsid w:val="00142B4E"/>
    <w:rsid w:val="00144843"/>
    <w:rsid w:val="00150821"/>
    <w:rsid w:val="00155D07"/>
    <w:rsid w:val="0016110D"/>
    <w:rsid w:val="00174DC9"/>
    <w:rsid w:val="001752DA"/>
    <w:rsid w:val="00182B73"/>
    <w:rsid w:val="001B5B6C"/>
    <w:rsid w:val="001B74E5"/>
    <w:rsid w:val="001C3136"/>
    <w:rsid w:val="001D1951"/>
    <w:rsid w:val="001D7F73"/>
    <w:rsid w:val="001E00D0"/>
    <w:rsid w:val="001F2128"/>
    <w:rsid w:val="00206E60"/>
    <w:rsid w:val="00220C49"/>
    <w:rsid w:val="00225940"/>
    <w:rsid w:val="00233FEC"/>
    <w:rsid w:val="002670B4"/>
    <w:rsid w:val="00271653"/>
    <w:rsid w:val="00272681"/>
    <w:rsid w:val="002934F3"/>
    <w:rsid w:val="002A794C"/>
    <w:rsid w:val="002B21CC"/>
    <w:rsid w:val="002B4A71"/>
    <w:rsid w:val="002B5EEE"/>
    <w:rsid w:val="002E4308"/>
    <w:rsid w:val="002F638A"/>
    <w:rsid w:val="00306B65"/>
    <w:rsid w:val="00334158"/>
    <w:rsid w:val="0033582F"/>
    <w:rsid w:val="00346E6B"/>
    <w:rsid w:val="00355BE6"/>
    <w:rsid w:val="00357102"/>
    <w:rsid w:val="003609E8"/>
    <w:rsid w:val="003643E4"/>
    <w:rsid w:val="00381134"/>
    <w:rsid w:val="00392F19"/>
    <w:rsid w:val="003A30C4"/>
    <w:rsid w:val="003A5D4F"/>
    <w:rsid w:val="003A61C8"/>
    <w:rsid w:val="003A724C"/>
    <w:rsid w:val="003E706D"/>
    <w:rsid w:val="00400787"/>
    <w:rsid w:val="00400BCE"/>
    <w:rsid w:val="004364FE"/>
    <w:rsid w:val="0044445D"/>
    <w:rsid w:val="0046062F"/>
    <w:rsid w:val="00481687"/>
    <w:rsid w:val="00487DC1"/>
    <w:rsid w:val="00492C9B"/>
    <w:rsid w:val="004930F4"/>
    <w:rsid w:val="004B0B7B"/>
    <w:rsid w:val="004C1C15"/>
    <w:rsid w:val="004C3116"/>
    <w:rsid w:val="004D6E25"/>
    <w:rsid w:val="004F2584"/>
    <w:rsid w:val="0050376F"/>
    <w:rsid w:val="0050545E"/>
    <w:rsid w:val="00526055"/>
    <w:rsid w:val="00535896"/>
    <w:rsid w:val="00541480"/>
    <w:rsid w:val="00554B85"/>
    <w:rsid w:val="00563F37"/>
    <w:rsid w:val="0058428F"/>
    <w:rsid w:val="00585C31"/>
    <w:rsid w:val="005940A9"/>
    <w:rsid w:val="005964B6"/>
    <w:rsid w:val="005A1BD1"/>
    <w:rsid w:val="005A3A86"/>
    <w:rsid w:val="005B6914"/>
    <w:rsid w:val="005C27EC"/>
    <w:rsid w:val="005C6996"/>
    <w:rsid w:val="005D4341"/>
    <w:rsid w:val="005E0A25"/>
    <w:rsid w:val="005E4D46"/>
    <w:rsid w:val="005F094B"/>
    <w:rsid w:val="00602FEC"/>
    <w:rsid w:val="006141EF"/>
    <w:rsid w:val="00646CCD"/>
    <w:rsid w:val="0066436C"/>
    <w:rsid w:val="00694092"/>
    <w:rsid w:val="006B0A5A"/>
    <w:rsid w:val="006B6FBB"/>
    <w:rsid w:val="006C6113"/>
    <w:rsid w:val="006D072E"/>
    <w:rsid w:val="006D2BFE"/>
    <w:rsid w:val="006E0B45"/>
    <w:rsid w:val="006E703F"/>
    <w:rsid w:val="006E783F"/>
    <w:rsid w:val="006F5277"/>
    <w:rsid w:val="006F626C"/>
    <w:rsid w:val="0070255A"/>
    <w:rsid w:val="00703EFC"/>
    <w:rsid w:val="007116E5"/>
    <w:rsid w:val="00732534"/>
    <w:rsid w:val="00744B69"/>
    <w:rsid w:val="00760559"/>
    <w:rsid w:val="00781A21"/>
    <w:rsid w:val="007844D5"/>
    <w:rsid w:val="00784B20"/>
    <w:rsid w:val="007943B6"/>
    <w:rsid w:val="007A0065"/>
    <w:rsid w:val="007C6778"/>
    <w:rsid w:val="007E5D01"/>
    <w:rsid w:val="00805F89"/>
    <w:rsid w:val="00813F2D"/>
    <w:rsid w:val="00822098"/>
    <w:rsid w:val="00823A01"/>
    <w:rsid w:val="008429E5"/>
    <w:rsid w:val="00845FB4"/>
    <w:rsid w:val="008503C5"/>
    <w:rsid w:val="00861C99"/>
    <w:rsid w:val="00861EC2"/>
    <w:rsid w:val="00863FE5"/>
    <w:rsid w:val="008867B0"/>
    <w:rsid w:val="00886F14"/>
    <w:rsid w:val="008953C4"/>
    <w:rsid w:val="008B12CF"/>
    <w:rsid w:val="008D3317"/>
    <w:rsid w:val="008E5B25"/>
    <w:rsid w:val="008F5410"/>
    <w:rsid w:val="00905C3B"/>
    <w:rsid w:val="00914CC4"/>
    <w:rsid w:val="00927FCF"/>
    <w:rsid w:val="009336E3"/>
    <w:rsid w:val="009347D8"/>
    <w:rsid w:val="00934CAF"/>
    <w:rsid w:val="00935584"/>
    <w:rsid w:val="00955DF9"/>
    <w:rsid w:val="0097015D"/>
    <w:rsid w:val="00991F07"/>
    <w:rsid w:val="009C7EEF"/>
    <w:rsid w:val="009D0AD4"/>
    <w:rsid w:val="009F4E04"/>
    <w:rsid w:val="009F51BC"/>
    <w:rsid w:val="00A10CBD"/>
    <w:rsid w:val="00A261AB"/>
    <w:rsid w:val="00A33993"/>
    <w:rsid w:val="00A37208"/>
    <w:rsid w:val="00A50ABC"/>
    <w:rsid w:val="00A631EC"/>
    <w:rsid w:val="00A633CC"/>
    <w:rsid w:val="00A746E6"/>
    <w:rsid w:val="00AA205E"/>
    <w:rsid w:val="00AA5860"/>
    <w:rsid w:val="00AB39B4"/>
    <w:rsid w:val="00AE4042"/>
    <w:rsid w:val="00B11C66"/>
    <w:rsid w:val="00B21F2A"/>
    <w:rsid w:val="00B26363"/>
    <w:rsid w:val="00B649AF"/>
    <w:rsid w:val="00BA3B09"/>
    <w:rsid w:val="00BD154B"/>
    <w:rsid w:val="00BE499C"/>
    <w:rsid w:val="00BF540D"/>
    <w:rsid w:val="00C12E43"/>
    <w:rsid w:val="00C3698A"/>
    <w:rsid w:val="00C40058"/>
    <w:rsid w:val="00C412AD"/>
    <w:rsid w:val="00C51362"/>
    <w:rsid w:val="00C55D2A"/>
    <w:rsid w:val="00C66A46"/>
    <w:rsid w:val="00C75F86"/>
    <w:rsid w:val="00C76FFB"/>
    <w:rsid w:val="00C833A2"/>
    <w:rsid w:val="00CA2042"/>
    <w:rsid w:val="00CA2D88"/>
    <w:rsid w:val="00CC6065"/>
    <w:rsid w:val="00CE2095"/>
    <w:rsid w:val="00CE59DE"/>
    <w:rsid w:val="00CF5A37"/>
    <w:rsid w:val="00D03E3F"/>
    <w:rsid w:val="00D11B09"/>
    <w:rsid w:val="00D12A2B"/>
    <w:rsid w:val="00D211DD"/>
    <w:rsid w:val="00D35C30"/>
    <w:rsid w:val="00D377D2"/>
    <w:rsid w:val="00D4232D"/>
    <w:rsid w:val="00D63515"/>
    <w:rsid w:val="00D97E47"/>
    <w:rsid w:val="00DB09D4"/>
    <w:rsid w:val="00DB5738"/>
    <w:rsid w:val="00DB592A"/>
    <w:rsid w:val="00DB672E"/>
    <w:rsid w:val="00DE4704"/>
    <w:rsid w:val="00DE6CEA"/>
    <w:rsid w:val="00DF77F9"/>
    <w:rsid w:val="00E01260"/>
    <w:rsid w:val="00E22BE7"/>
    <w:rsid w:val="00E35C7B"/>
    <w:rsid w:val="00E37057"/>
    <w:rsid w:val="00E50F98"/>
    <w:rsid w:val="00E5761A"/>
    <w:rsid w:val="00E602C2"/>
    <w:rsid w:val="00E64433"/>
    <w:rsid w:val="00E77792"/>
    <w:rsid w:val="00E80F09"/>
    <w:rsid w:val="00E93F23"/>
    <w:rsid w:val="00EC0D98"/>
    <w:rsid w:val="00EC256D"/>
    <w:rsid w:val="00EE0305"/>
    <w:rsid w:val="00EE669D"/>
    <w:rsid w:val="00F135A5"/>
    <w:rsid w:val="00F27FEE"/>
    <w:rsid w:val="00F37F18"/>
    <w:rsid w:val="00F406CB"/>
    <w:rsid w:val="00F5669D"/>
    <w:rsid w:val="00F606E4"/>
    <w:rsid w:val="00F71970"/>
    <w:rsid w:val="00F744EE"/>
    <w:rsid w:val="00F7637C"/>
    <w:rsid w:val="00F84502"/>
    <w:rsid w:val="00F969B6"/>
    <w:rsid w:val="00FA026D"/>
    <w:rsid w:val="00FB3403"/>
    <w:rsid w:val="00FB6B98"/>
    <w:rsid w:val="00FC3D68"/>
    <w:rsid w:val="00FF25DB"/>
    <w:rsid w:val="00FF52F9"/>
    <w:rsid w:val="15D34761"/>
    <w:rsid w:val="699300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nhideWhenUsed="0" w:uiPriority="0" w:semiHidden="0"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Normal Indent"/>
    <w:basedOn w:val="1"/>
    <w:uiPriority w:val="0"/>
    <w:pPr>
      <w:ind w:firstLine="420" w:firstLineChars="200"/>
    </w:pPr>
    <w:rPr>
      <w:rFonts w:ascii="Times New Roman" w:hAnsi="Times New Roman" w:eastAsia="宋体" w:cs="Times New Roman"/>
      <w:szCs w:val="24"/>
    </w:rPr>
  </w:style>
  <w:style w:type="paragraph" w:styleId="3">
    <w:name w:val="Balloon Text"/>
    <w:basedOn w:val="1"/>
    <w:link w:val="13"/>
    <w:semiHidden/>
    <w:unhideWhenUsed/>
    <w:uiPriority w:val="99"/>
    <w:rPr>
      <w:sz w:val="18"/>
      <w:szCs w:val="18"/>
    </w:rPr>
  </w:style>
  <w:style w:type="paragraph" w:styleId="4">
    <w:name w:val="footer"/>
    <w:basedOn w:val="1"/>
    <w:link w:val="12"/>
    <w:unhideWhenUsed/>
    <w:uiPriority w:val="99"/>
    <w:pPr>
      <w:tabs>
        <w:tab w:val="center" w:pos="4153"/>
        <w:tab w:val="right" w:pos="8306"/>
      </w:tabs>
      <w:snapToGrid w:val="0"/>
      <w:jc w:val="left"/>
    </w:pPr>
    <w:rPr>
      <w:sz w:val="18"/>
      <w:szCs w:val="18"/>
    </w:rPr>
  </w:style>
  <w:style w:type="paragraph" w:styleId="5">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paragraph" w:customStyle="1" w:styleId="8">
    <w:name w:val="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
    <w:name w:val="g"/>
    <w:basedOn w:val="1"/>
    <w:uiPriority w:val="0"/>
    <w:pPr>
      <w:widowControl/>
      <w:spacing w:before="100" w:beforeAutospacing="1" w:after="100" w:afterAutospacing="1"/>
      <w:jc w:val="left"/>
    </w:pPr>
    <w:rPr>
      <w:rFonts w:ascii="宋体" w:hAnsi="宋体" w:eastAsia="宋体" w:cs="宋体"/>
      <w:kern w:val="0"/>
      <w:sz w:val="24"/>
      <w:szCs w:val="24"/>
    </w:rPr>
  </w:style>
  <w:style w:type="paragraph" w:styleId="10">
    <w:name w:val="List Paragraph"/>
    <w:basedOn w:val="1"/>
    <w:qFormat/>
    <w:uiPriority w:val="99"/>
    <w:pPr>
      <w:widowControl/>
      <w:spacing w:before="50" w:beforeLines="50"/>
      <w:ind w:left="425" w:firstLine="420" w:firstLineChars="200"/>
      <w:jc w:val="left"/>
    </w:pPr>
  </w:style>
  <w:style w:type="character" w:customStyle="1" w:styleId="11">
    <w:name w:val="页眉 字符"/>
    <w:basedOn w:val="7"/>
    <w:link w:val="5"/>
    <w:uiPriority w:val="99"/>
    <w:rPr>
      <w:sz w:val="18"/>
      <w:szCs w:val="18"/>
    </w:rPr>
  </w:style>
  <w:style w:type="character" w:customStyle="1" w:styleId="12">
    <w:name w:val="页脚 字符"/>
    <w:basedOn w:val="7"/>
    <w:link w:val="4"/>
    <w:uiPriority w:val="99"/>
    <w:rPr>
      <w:sz w:val="18"/>
      <w:szCs w:val="18"/>
    </w:rPr>
  </w:style>
  <w:style w:type="character" w:customStyle="1" w:styleId="13">
    <w:name w:val="批注框文本 字符"/>
    <w:basedOn w:val="7"/>
    <w:link w:val="3"/>
    <w:semiHidden/>
    <w:uiPriority w:val="99"/>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numbering" Target="numbering.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1B205-0F0E-4059-99DB-AE1D628C0051}">
  <ds:schemaRefs/>
</ds:datastoreItem>
</file>

<file path=docProps/app.xml><?xml version="1.0" encoding="utf-8"?>
<Properties xmlns="http://schemas.openxmlformats.org/officeDocument/2006/extended-properties" xmlns:vt="http://schemas.openxmlformats.org/officeDocument/2006/docPropsVTypes">
  <Template>Normal</Template>
  <Pages>5</Pages>
  <Words>2718</Words>
  <Characters>3098</Characters>
  <Lines>23</Lines>
  <Paragraphs>6</Paragraphs>
  <TotalTime>0</TotalTime>
  <ScaleCrop>false</ScaleCrop>
  <LinksUpToDate>false</LinksUpToDate>
  <CharactersWithSpaces>3113</CharactersWithSpaces>
  <Application>WPS Office_12.1.0.17827_F1E327BC-269C-435d-A152-05C5408002CA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2024-11-22T08:11:00Z</dcterms:created>
  <dc:creator>钟彬</dc:creator>
  <cp:lastModifiedBy>微信用户</cp:lastModifiedBy>
  <cp:lastPrinted>2024-08-21T06:45:00Z</cp:lastPrinted>
  <dcterms:modified xsi:type="dcterms:W3CDTF">2024-11-29T06:19:07Z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17869C9F87614189A70541F1E2FDBFB7_13</vt:lpwstr>
  </property>
</Properties>
</file>