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ind w:firstLine="0" w:firstLineChars="0"/>
        <w:jc w:val="center"/>
        <w:outlineLvl w:val="0"/>
        <w:rPr>
          <w:rFonts w:ascii="Times New Roman" w:hAnsi="Times New Roman" w:eastAsia="方正小标宋简体"/>
          <w:bCs/>
          <w:sz w:val="44"/>
          <w:szCs w:val="44"/>
        </w:rPr>
      </w:pPr>
      <w:bookmarkStart w:id="0" w:name="_GoBack"/>
      <w:bookmarkEnd w:id="0"/>
      <w:r>
        <w:rPr>
          <w:rFonts w:ascii="Times New Roman" w:hAnsi="Times New Roman" w:eastAsia="方正小标宋简体"/>
          <w:bCs/>
          <w:sz w:val="44"/>
          <w:szCs w:val="44"/>
        </w:rPr>
        <w:t>广州安居集团有限公司监理合同</w:t>
      </w:r>
    </w:p>
    <w:p>
      <w:pPr>
        <w:snapToGrid w:val="0"/>
        <w:spacing w:line="540" w:lineRule="exact"/>
        <w:ind w:firstLine="0" w:firstLineChars="0"/>
        <w:jc w:val="center"/>
        <w:outlineLvl w:val="0"/>
        <w:rPr>
          <w:rFonts w:ascii="Times New Roman" w:hAnsi="Times New Roman" w:eastAsia="方正小标宋简体"/>
          <w:bCs/>
          <w:sz w:val="44"/>
          <w:szCs w:val="44"/>
        </w:rPr>
      </w:pPr>
      <w:r>
        <w:rPr>
          <w:rFonts w:ascii="Times New Roman" w:hAnsi="Times New Roman" w:eastAsia="方正小标宋简体"/>
          <w:bCs/>
          <w:sz w:val="44"/>
          <w:szCs w:val="44"/>
        </w:rPr>
        <w:t>履约评价实施办法（试行）</w:t>
      </w:r>
    </w:p>
    <w:p>
      <w:pPr>
        <w:snapToGrid w:val="0"/>
        <w:spacing w:line="540" w:lineRule="exact"/>
        <w:ind w:firstLine="0" w:firstLineChars="0"/>
        <w:jc w:val="center"/>
        <w:outlineLvl w:val="0"/>
        <w:rPr>
          <w:rFonts w:ascii="Times New Roman" w:hAnsi="Times New Roman" w:eastAsia="方正小标宋简体"/>
          <w:bCs/>
          <w:sz w:val="44"/>
          <w:szCs w:val="44"/>
        </w:rPr>
      </w:pPr>
    </w:p>
    <w:p>
      <w:pPr>
        <w:snapToGrid w:val="0"/>
        <w:spacing w:line="540" w:lineRule="exact"/>
        <w:ind w:firstLine="0" w:firstLineChars="0"/>
        <w:jc w:val="center"/>
        <w:outlineLvl w:val="0"/>
        <w:rPr>
          <w:rFonts w:ascii="Times New Roman" w:hAnsi="Times New Roman" w:eastAsia="仿宋_GB2312"/>
          <w:sz w:val="32"/>
          <w:szCs w:val="32"/>
        </w:rPr>
      </w:pPr>
      <w:r>
        <w:rPr>
          <w:rFonts w:ascii="Times New Roman" w:hAnsi="Times New Roman" w:eastAsia="黑体"/>
          <w:sz w:val="32"/>
          <w:szCs w:val="32"/>
        </w:rPr>
        <w:t>第一章  总  则</w:t>
      </w:r>
    </w:p>
    <w:p>
      <w:pPr>
        <w:snapToGrid w:val="0"/>
        <w:spacing w:line="540" w:lineRule="exact"/>
        <w:ind w:firstLine="640"/>
        <w:rPr>
          <w:rFonts w:ascii="Times New Roman" w:hAnsi="Times New Roman" w:eastAsia="楷体_GB2312"/>
          <w:b/>
          <w:sz w:val="32"/>
          <w:szCs w:val="32"/>
        </w:rPr>
      </w:pPr>
      <w:r>
        <w:rPr>
          <w:rFonts w:hint="eastAsia" w:ascii="黑体" w:hAnsi="黑体" w:eastAsia="黑体" w:cs="黑体"/>
          <w:bCs/>
          <w:sz w:val="32"/>
          <w:szCs w:val="32"/>
        </w:rPr>
        <w:t>第一条</w:t>
      </w:r>
      <w:r>
        <w:rPr>
          <w:rFonts w:ascii="Times New Roman" w:hAnsi="Times New Roman" w:eastAsia="楷体_GB2312"/>
          <w:b/>
          <w:sz w:val="32"/>
          <w:szCs w:val="32"/>
        </w:rPr>
        <w:t xml:space="preserve">  </w:t>
      </w:r>
      <w:r>
        <w:rPr>
          <w:rFonts w:ascii="Times New Roman" w:hAnsi="Times New Roman" w:eastAsia="仿宋_GB2312"/>
          <w:sz w:val="32"/>
          <w:szCs w:val="32"/>
        </w:rPr>
        <w:t>为加强广州安居集团有限公司（以下简称“集团公司”）工程建设项目监理合同履约管理，确保集团公司建设项目的建设进度、质量和安全文明施工，根据国家、省、市相关法律法规，结合集团公司项目管理实际、相关管理办法和监理合同工作内容及职责要求，制定本办法。</w:t>
      </w:r>
    </w:p>
    <w:p>
      <w:pPr>
        <w:snapToGrid w:val="0"/>
        <w:spacing w:line="540" w:lineRule="exact"/>
        <w:ind w:firstLine="640"/>
        <w:outlineLvl w:val="1"/>
        <w:rPr>
          <w:rFonts w:ascii="Times New Roman" w:hAnsi="Times New Roman" w:eastAsia="仿宋_GB2312"/>
          <w:sz w:val="32"/>
          <w:szCs w:val="32"/>
        </w:rPr>
      </w:pPr>
      <w:r>
        <w:rPr>
          <w:rFonts w:hint="eastAsia" w:ascii="黑体" w:hAnsi="黑体" w:eastAsia="黑体" w:cs="黑体"/>
          <w:bCs/>
          <w:sz w:val="32"/>
          <w:szCs w:val="32"/>
        </w:rPr>
        <w:t xml:space="preserve">第二条 </w:t>
      </w:r>
      <w:r>
        <w:rPr>
          <w:rFonts w:ascii="Times New Roman" w:hAnsi="Times New Roman" w:eastAsia="仿宋_GB2312"/>
          <w:sz w:val="32"/>
          <w:szCs w:val="32"/>
        </w:rPr>
        <w:t xml:space="preserve"> 适用范围</w:t>
      </w:r>
    </w:p>
    <w:p>
      <w:pPr>
        <w:snapToGrid w:val="0"/>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本办法适用于集团公司（及依法委托的代建单位、全过程项目管理单位）签订的</w:t>
      </w:r>
      <w:r>
        <w:rPr>
          <w:rFonts w:hint="eastAsia" w:ascii="Times New Roman" w:hAnsi="Times New Roman" w:eastAsia="仿宋_GB2312"/>
          <w:sz w:val="32"/>
          <w:szCs w:val="32"/>
        </w:rPr>
        <w:t>通过公开招标方式确定监理服务单位的工程建设项目施工</w:t>
      </w:r>
      <w:r>
        <w:rPr>
          <w:rFonts w:ascii="Times New Roman" w:hAnsi="Times New Roman" w:eastAsia="仿宋_GB2312"/>
          <w:sz w:val="32"/>
          <w:szCs w:val="32"/>
        </w:rPr>
        <w:t>监理合同</w:t>
      </w:r>
      <w:r>
        <w:rPr>
          <w:rFonts w:hint="eastAsia" w:ascii="Times New Roman" w:hAnsi="Times New Roman" w:eastAsia="仿宋_GB2312"/>
          <w:sz w:val="32"/>
          <w:szCs w:val="32"/>
        </w:rPr>
        <w:t>履约评价</w:t>
      </w:r>
      <w:r>
        <w:rPr>
          <w:rFonts w:ascii="Times New Roman" w:hAnsi="Times New Roman" w:eastAsia="仿宋_GB2312"/>
          <w:sz w:val="32"/>
          <w:szCs w:val="32"/>
        </w:rPr>
        <w:t>。集团公司下属各级国有全资、国有控股、国有实际控制企业可参照执行。</w:t>
      </w:r>
    </w:p>
    <w:p>
      <w:pPr>
        <w:snapToGrid w:val="0"/>
        <w:spacing w:line="540" w:lineRule="exact"/>
        <w:ind w:firstLine="643" w:firstLineChars="0"/>
        <w:outlineLvl w:val="1"/>
        <w:rPr>
          <w:rFonts w:ascii="Times New Roman" w:hAnsi="Times New Roman" w:eastAsia="楷体_GB2312"/>
          <w:b/>
          <w:sz w:val="32"/>
          <w:szCs w:val="32"/>
        </w:rPr>
      </w:pPr>
      <w:r>
        <w:rPr>
          <w:rFonts w:hint="eastAsia" w:ascii="黑体" w:hAnsi="黑体" w:eastAsia="黑体" w:cs="黑体"/>
          <w:bCs/>
          <w:sz w:val="32"/>
          <w:szCs w:val="32"/>
        </w:rPr>
        <w:t>第三条</w:t>
      </w:r>
      <w:r>
        <w:rPr>
          <w:rFonts w:ascii="Times New Roman" w:hAnsi="Times New Roman" w:eastAsia="仿宋_GB2312"/>
          <w:sz w:val="32"/>
          <w:szCs w:val="32"/>
        </w:rPr>
        <w:t xml:space="preserve">  </w:t>
      </w:r>
      <w:r>
        <w:rPr>
          <w:rFonts w:ascii="Times New Roman" w:hAnsi="Times New Roman" w:eastAsia="仿宋_GB2312"/>
          <w:bCs/>
          <w:sz w:val="32"/>
          <w:szCs w:val="32"/>
        </w:rPr>
        <w:t>评价对象</w:t>
      </w:r>
    </w:p>
    <w:p>
      <w:pPr>
        <w:snapToGrid w:val="0"/>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评价对象为符合适用范围的监理合同对应的监理单位。</w:t>
      </w:r>
      <w:r>
        <w:rPr>
          <w:rFonts w:hint="eastAsia" w:ascii="Times New Roman" w:hAnsi="Times New Roman" w:eastAsia="仿宋_GB2312"/>
          <w:sz w:val="32"/>
          <w:szCs w:val="32"/>
        </w:rPr>
        <w:t>如监理单位为联合体的，评价对象为联合体各方。</w:t>
      </w:r>
    </w:p>
    <w:p>
      <w:pPr>
        <w:snapToGrid w:val="0"/>
        <w:spacing w:line="540" w:lineRule="exact"/>
        <w:ind w:firstLine="643" w:firstLineChars="0"/>
        <w:outlineLvl w:val="1"/>
        <w:rPr>
          <w:rFonts w:ascii="Times New Roman" w:hAnsi="Times New Roman" w:eastAsia="楷体_GB2312"/>
          <w:b/>
          <w:sz w:val="32"/>
          <w:szCs w:val="32"/>
        </w:rPr>
      </w:pPr>
      <w:r>
        <w:rPr>
          <w:rFonts w:hint="eastAsia" w:ascii="黑体" w:hAnsi="黑体" w:eastAsia="黑体" w:cs="黑体"/>
          <w:bCs/>
          <w:sz w:val="32"/>
          <w:szCs w:val="32"/>
        </w:rPr>
        <w:t>第四条</w:t>
      </w:r>
      <w:r>
        <w:rPr>
          <w:rFonts w:ascii="Times New Roman" w:hAnsi="Times New Roman" w:eastAsia="楷体_GB2312"/>
          <w:b/>
          <w:sz w:val="32"/>
          <w:szCs w:val="32"/>
        </w:rPr>
        <w:t xml:space="preserve">  </w:t>
      </w:r>
      <w:r>
        <w:rPr>
          <w:rFonts w:ascii="Times New Roman" w:hAnsi="Times New Roman" w:eastAsia="仿宋_GB2312"/>
          <w:bCs/>
          <w:sz w:val="32"/>
          <w:szCs w:val="32"/>
        </w:rPr>
        <w:t>评价周期</w:t>
      </w:r>
    </w:p>
    <w:p>
      <w:pPr>
        <w:numPr>
          <w:ilvl w:val="255"/>
          <w:numId w:val="0"/>
        </w:numPr>
        <w:snapToGrid w:val="0"/>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评价周期为签订合同后至合同履约完毕。</w:t>
      </w:r>
    </w:p>
    <w:p>
      <w:pPr>
        <w:numPr>
          <w:ilvl w:val="255"/>
          <w:numId w:val="0"/>
        </w:numPr>
        <w:snapToGrid w:val="0"/>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签订合同后至竣工验收（或实物移交）前，评价周期为</w:t>
      </w:r>
      <w:r>
        <w:rPr>
          <w:rFonts w:hint="eastAsia" w:ascii="Times New Roman" w:hAnsi="Times New Roman" w:eastAsia="仿宋_GB2312"/>
          <w:sz w:val="32"/>
          <w:szCs w:val="32"/>
        </w:rPr>
        <w:t>季度</w:t>
      </w:r>
      <w:r>
        <w:rPr>
          <w:rFonts w:ascii="Times New Roman" w:hAnsi="Times New Roman" w:eastAsia="仿宋_GB2312"/>
          <w:sz w:val="32"/>
          <w:szCs w:val="32"/>
        </w:rPr>
        <w:t>一次（每</w:t>
      </w:r>
      <w:r>
        <w:rPr>
          <w:rFonts w:hint="eastAsia" w:ascii="Times New Roman" w:hAnsi="Times New Roman" w:eastAsia="仿宋_GB2312"/>
          <w:sz w:val="32"/>
          <w:szCs w:val="32"/>
        </w:rPr>
        <w:t>季度</w:t>
      </w:r>
      <w:r>
        <w:rPr>
          <w:rFonts w:ascii="Times New Roman" w:hAnsi="Times New Roman" w:eastAsia="仿宋_GB2312"/>
          <w:sz w:val="32"/>
          <w:szCs w:val="32"/>
        </w:rPr>
        <w:t>最后一周）。竣工验收（或实物移交）后，评价周期为每半年一次。</w:t>
      </w:r>
    </w:p>
    <w:p>
      <w:pPr>
        <w:numPr>
          <w:ilvl w:val="255"/>
          <w:numId w:val="0"/>
        </w:numPr>
        <w:snapToGrid w:val="0"/>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合同履约完毕后</w:t>
      </w:r>
      <w:r>
        <w:rPr>
          <w:rFonts w:hint="eastAsia" w:ascii="Times New Roman" w:hAnsi="Times New Roman" w:eastAsia="仿宋_GB2312"/>
          <w:sz w:val="32"/>
          <w:szCs w:val="32"/>
        </w:rPr>
        <w:t>一个月内完成</w:t>
      </w:r>
      <w:r>
        <w:rPr>
          <w:rFonts w:ascii="Times New Roman" w:hAnsi="Times New Roman" w:eastAsia="仿宋_GB2312"/>
          <w:sz w:val="32"/>
          <w:szCs w:val="32"/>
        </w:rPr>
        <w:t>总体评价。</w:t>
      </w:r>
    </w:p>
    <w:p>
      <w:pPr>
        <w:numPr>
          <w:ilvl w:val="255"/>
          <w:numId w:val="0"/>
        </w:numPr>
        <w:adjustRightInd w:val="0"/>
        <w:snapToGrid w:val="0"/>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停建或缓建的项目，不纳入当期评价范围。</w:t>
      </w:r>
    </w:p>
    <w:p>
      <w:pPr>
        <w:numPr>
          <w:ilvl w:val="255"/>
          <w:numId w:val="0"/>
        </w:numPr>
        <w:adjustRightInd w:val="0"/>
        <w:snapToGrid w:val="0"/>
        <w:spacing w:line="540" w:lineRule="exact"/>
        <w:ind w:firstLine="640" w:firstLineChars="200"/>
        <w:rPr>
          <w:rFonts w:ascii="Times New Roman" w:hAnsi="Times New Roman" w:eastAsia="仿宋_GB2312"/>
          <w:sz w:val="32"/>
          <w:szCs w:val="32"/>
        </w:rPr>
      </w:pPr>
    </w:p>
    <w:p>
      <w:pPr>
        <w:adjustRightInd w:val="0"/>
        <w:snapToGrid w:val="0"/>
        <w:spacing w:line="540" w:lineRule="exact"/>
        <w:ind w:firstLine="0" w:firstLineChars="0"/>
        <w:jc w:val="center"/>
        <w:outlineLvl w:val="0"/>
        <w:rPr>
          <w:rFonts w:ascii="Times New Roman" w:hAnsi="Times New Roman" w:eastAsia="黑体"/>
          <w:sz w:val="32"/>
          <w:szCs w:val="32"/>
        </w:rPr>
      </w:pPr>
      <w:r>
        <w:rPr>
          <w:rFonts w:ascii="Times New Roman" w:hAnsi="Times New Roman" w:eastAsia="黑体"/>
          <w:sz w:val="32"/>
          <w:szCs w:val="32"/>
        </w:rPr>
        <w:t>第二章  评价内容</w:t>
      </w:r>
    </w:p>
    <w:p>
      <w:pPr>
        <w:adjustRightInd w:val="0"/>
        <w:snapToGrid w:val="0"/>
        <w:spacing w:line="540" w:lineRule="exact"/>
        <w:ind w:firstLine="641" w:firstLineChars="0"/>
        <w:outlineLvl w:val="1"/>
        <w:rPr>
          <w:rFonts w:ascii="Times New Roman" w:hAnsi="Times New Roman" w:eastAsia="楷体_GB2312"/>
          <w:b/>
          <w:sz w:val="32"/>
          <w:szCs w:val="32"/>
        </w:rPr>
      </w:pPr>
      <w:r>
        <w:rPr>
          <w:rFonts w:hint="eastAsia" w:ascii="黑体" w:hAnsi="黑体" w:eastAsia="黑体" w:cs="黑体"/>
          <w:bCs/>
          <w:sz w:val="32"/>
          <w:szCs w:val="32"/>
        </w:rPr>
        <w:t>第五条</w:t>
      </w:r>
      <w:r>
        <w:rPr>
          <w:rFonts w:ascii="Times New Roman" w:hAnsi="Times New Roman" w:eastAsia="楷体_GB2312"/>
          <w:b/>
          <w:sz w:val="32"/>
          <w:szCs w:val="32"/>
        </w:rPr>
        <w:t xml:space="preserve">  </w:t>
      </w:r>
      <w:r>
        <w:rPr>
          <w:rFonts w:ascii="Times New Roman" w:hAnsi="Times New Roman" w:eastAsia="仿宋_GB2312"/>
          <w:bCs/>
          <w:sz w:val="32"/>
          <w:szCs w:val="32"/>
        </w:rPr>
        <w:t>评价内容</w:t>
      </w:r>
    </w:p>
    <w:p>
      <w:pPr>
        <w:adjustRightInd w:val="0"/>
        <w:snapToGrid w:val="0"/>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一）监理合同履约情况：包括监理人员到位率、调换率，监理人员的资质、职称、监理经历、年龄，监理组织机构、监理岗位设置及监理设施设备是否满足监理招标文件规定要求和投标文件承诺，查找合同履行方面存在的问题。</w:t>
      </w:r>
    </w:p>
    <w:p>
      <w:pPr>
        <w:snapToGrid w:val="0"/>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二）施工监理规范执行情况：包括监理岗位责任制（包括旁站）、监理工作程序的落实与执行情况，监理试验检测频率和检测成果的真实性，工程进度控制、工程投资控制、质量控制、合同管理、安全管理、信息管理、组织协调的落实情况。</w:t>
      </w:r>
    </w:p>
    <w:p>
      <w:pPr>
        <w:snapToGrid w:val="0"/>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（三）监理项目部的日常内业管理情况。</w:t>
      </w:r>
    </w:p>
    <w:p>
      <w:pPr>
        <w:snapToGrid w:val="0"/>
        <w:spacing w:line="540" w:lineRule="exact"/>
        <w:ind w:firstLine="640"/>
        <w:outlineLvl w:val="1"/>
        <w:rPr>
          <w:rFonts w:ascii="Times New Roman" w:hAnsi="Times New Roman" w:eastAsia="仿宋_GB2312"/>
          <w:bCs/>
          <w:sz w:val="32"/>
          <w:szCs w:val="32"/>
        </w:rPr>
      </w:pPr>
      <w:r>
        <w:rPr>
          <w:rFonts w:hint="eastAsia" w:ascii="黑体" w:hAnsi="黑体" w:eastAsia="黑体" w:cs="黑体"/>
          <w:bCs/>
          <w:sz w:val="32"/>
          <w:szCs w:val="32"/>
        </w:rPr>
        <w:t>第六条</w:t>
      </w:r>
      <w:r>
        <w:rPr>
          <w:rFonts w:ascii="Times New Roman" w:hAnsi="Times New Roman" w:eastAsia="楷体_GB2312"/>
          <w:b/>
          <w:sz w:val="32"/>
          <w:szCs w:val="32"/>
        </w:rPr>
        <w:t xml:space="preserve">  </w:t>
      </w:r>
      <w:r>
        <w:rPr>
          <w:rFonts w:ascii="Times New Roman" w:hAnsi="Times New Roman" w:eastAsia="仿宋_GB2312"/>
          <w:bCs/>
          <w:sz w:val="32"/>
          <w:szCs w:val="32"/>
        </w:rPr>
        <w:t>评分细则</w:t>
      </w:r>
    </w:p>
    <w:p>
      <w:pPr>
        <w:snapToGrid w:val="0"/>
        <w:spacing w:line="540" w:lineRule="exact"/>
        <w:ind w:firstLine="640"/>
        <w:rPr>
          <w:rFonts w:ascii="Times New Roman" w:hAnsi="Times New Roman" w:eastAsia="楷体_GB2312"/>
          <w:sz w:val="32"/>
          <w:szCs w:val="32"/>
        </w:rPr>
      </w:pPr>
      <w:r>
        <w:rPr>
          <w:rFonts w:ascii="Times New Roman" w:hAnsi="Times New Roman" w:eastAsia="楷体_GB2312"/>
          <w:sz w:val="32"/>
          <w:szCs w:val="32"/>
        </w:rPr>
        <w:t>（一）总监理工程师及专业监理工程师到位情况（基础分15分）</w:t>
      </w:r>
    </w:p>
    <w:p>
      <w:pPr>
        <w:snapToGrid w:val="0"/>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1.未经建设单位同意的情况下更换总监理工程师的，扣5分；未经建设单位同意的情况下更换专业监理工程师的，扣3分；经建设单位同意更换总监理工程师或专业监理工程师的，扣3分（因病等特殊情况除外）；</w:t>
      </w:r>
    </w:p>
    <w:p>
      <w:pPr>
        <w:snapToGrid w:val="0"/>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2.检查期间总监理工程师无故不在施工现场，扣3分；检查中专业监理工程师无故不在施工现场，扣2分；</w:t>
      </w:r>
    </w:p>
    <w:p>
      <w:pPr>
        <w:snapToGrid w:val="0"/>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3.检查期间总监理工程师无故未参加工程例会，每缺席一次扣3分。</w:t>
      </w:r>
    </w:p>
    <w:p>
      <w:pPr>
        <w:snapToGrid w:val="0"/>
        <w:spacing w:line="540" w:lineRule="exact"/>
        <w:ind w:firstLine="640"/>
        <w:rPr>
          <w:rFonts w:ascii="Times New Roman" w:hAnsi="Times New Roman" w:eastAsia="楷体_GB2312"/>
          <w:sz w:val="32"/>
          <w:szCs w:val="32"/>
        </w:rPr>
      </w:pPr>
      <w:r>
        <w:rPr>
          <w:rFonts w:ascii="Times New Roman" w:hAnsi="Times New Roman" w:eastAsia="楷体_GB2312"/>
          <w:sz w:val="32"/>
          <w:szCs w:val="32"/>
        </w:rPr>
        <w:t>（二）专业技术人力及设备的投入情况（基础分15分）</w:t>
      </w:r>
    </w:p>
    <w:p>
      <w:pPr>
        <w:snapToGrid w:val="0"/>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1.投入人力：监理人员的资质、职称、监理经历、年龄是否满足监理招标文件规定要求和投标文件承诺。不符合约定的，每发现一次扣3分；</w:t>
      </w:r>
    </w:p>
    <w:p>
      <w:pPr>
        <w:snapToGrid w:val="0"/>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2.监理组织机构、监理岗位设置是否满足监理招标文件规定要求和投标文件承诺。不符合约定的，每发现一次扣3分；</w:t>
      </w:r>
    </w:p>
    <w:p>
      <w:pPr>
        <w:snapToGrid w:val="0"/>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3.监理设施设备（各种测量设备、仪器和办公设备）是否满足监理招标文件规定要求和投标文件承诺。不符合约定的，每发现一次扣3分。</w:t>
      </w:r>
    </w:p>
    <w:p>
      <w:pPr>
        <w:snapToGrid w:val="0"/>
        <w:spacing w:line="540" w:lineRule="exact"/>
        <w:ind w:firstLine="640"/>
        <w:rPr>
          <w:rFonts w:ascii="Times New Roman" w:hAnsi="Times New Roman" w:eastAsia="楷体_GB2312"/>
          <w:sz w:val="32"/>
          <w:szCs w:val="32"/>
        </w:rPr>
      </w:pPr>
      <w:r>
        <w:rPr>
          <w:rFonts w:ascii="Times New Roman" w:hAnsi="Times New Roman" w:eastAsia="楷体_GB2312"/>
          <w:sz w:val="32"/>
          <w:szCs w:val="32"/>
        </w:rPr>
        <w:t>（三）施工质量控制情况（基础分15分）</w:t>
      </w:r>
    </w:p>
    <w:p>
      <w:pPr>
        <w:snapToGrid w:val="0"/>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1.未按规定要求施工单位对建筑材料、建筑构配件、设备和砼进行检验或检验不合格，施工单位擅自使用，监理单位未发现或发现无作为，每发生一次扣5分；</w:t>
      </w:r>
    </w:p>
    <w:p>
      <w:pPr>
        <w:snapToGrid w:val="0"/>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2.未按规定要求施工单位对隐蔽工程的质量进行检查和记录，未经监理工程师签字施工单位进入下一道工序施工，监理未发现或发现无作为，每发生一次扣5分；</w:t>
      </w:r>
    </w:p>
    <w:p>
      <w:pPr>
        <w:snapToGrid w:val="0"/>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3.因质量原因被建设单位责令停工的，扣15分；</w:t>
      </w:r>
    </w:p>
    <w:p>
      <w:pPr>
        <w:snapToGrid w:val="0"/>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4.因质量原因出现重大返工的，扣15分。</w:t>
      </w:r>
    </w:p>
    <w:p>
      <w:pPr>
        <w:snapToGrid w:val="0"/>
        <w:spacing w:line="540" w:lineRule="exact"/>
        <w:ind w:firstLine="640"/>
        <w:rPr>
          <w:rFonts w:ascii="Times New Roman" w:hAnsi="Times New Roman" w:eastAsia="楷体_GB2312"/>
          <w:sz w:val="32"/>
          <w:szCs w:val="32"/>
        </w:rPr>
      </w:pPr>
      <w:r>
        <w:rPr>
          <w:rFonts w:ascii="Times New Roman" w:hAnsi="Times New Roman" w:eastAsia="楷体_GB2312"/>
          <w:sz w:val="32"/>
          <w:szCs w:val="32"/>
        </w:rPr>
        <w:t>（四）施工进度计划控制情况（基础分15分）</w:t>
      </w:r>
    </w:p>
    <w:p>
      <w:pPr>
        <w:snapToGrid w:val="0"/>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1.非建设单位原因或不可抗力，工程施工进度延误，不按建设单位要求采取措施或采取措施后仍然延误的，与合同要求或经审批的进度计划对比：</w:t>
      </w:r>
    </w:p>
    <w:p>
      <w:pPr>
        <w:snapToGrid w:val="0"/>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（1）延误10天（不含）以内，扣3分；</w:t>
      </w:r>
    </w:p>
    <w:p>
      <w:pPr>
        <w:snapToGrid w:val="0"/>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（2）延误10</w:t>
      </w:r>
      <w:r>
        <w:rPr>
          <w:rFonts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sz w:val="32"/>
          <w:szCs w:val="32"/>
        </w:rPr>
        <w:t>20（不含）天，扣5分；</w:t>
      </w:r>
    </w:p>
    <w:p>
      <w:pPr>
        <w:snapToGrid w:val="0"/>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（3）延误20</w:t>
      </w:r>
      <w:r>
        <w:rPr>
          <w:rFonts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sz w:val="32"/>
          <w:szCs w:val="32"/>
        </w:rPr>
        <w:t>30（不含）天，扣10分；</w:t>
      </w:r>
    </w:p>
    <w:p>
      <w:pPr>
        <w:snapToGrid w:val="0"/>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（4）延误30天以上，扣15分；</w:t>
      </w:r>
    </w:p>
    <w:p>
      <w:pPr>
        <w:snapToGrid w:val="0"/>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2.未按要求提交工程监理月报（包括已完成工程量及下月施工进度计划），扣5分。</w:t>
      </w:r>
    </w:p>
    <w:p>
      <w:pPr>
        <w:snapToGrid w:val="0"/>
        <w:spacing w:line="540" w:lineRule="exact"/>
        <w:ind w:firstLine="640"/>
        <w:rPr>
          <w:rFonts w:ascii="Times New Roman" w:hAnsi="Times New Roman" w:eastAsia="楷体_GB2312"/>
          <w:sz w:val="32"/>
          <w:szCs w:val="32"/>
        </w:rPr>
      </w:pPr>
      <w:r>
        <w:rPr>
          <w:rFonts w:ascii="Times New Roman" w:hAnsi="Times New Roman" w:eastAsia="楷体_GB2312"/>
          <w:sz w:val="32"/>
          <w:szCs w:val="32"/>
        </w:rPr>
        <w:t>（五）安全文明施工管理情况（基础分10分）</w:t>
      </w:r>
    </w:p>
    <w:p>
      <w:pPr>
        <w:snapToGrid w:val="0"/>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1.施工封闭或围闭标准、现场场地硬化、施工警示标志不符合安全文明施工和城市管理规定，监理未发现或发现无作为的，每发生一项扣2分；</w:t>
      </w:r>
    </w:p>
    <w:p>
      <w:pPr>
        <w:snapToGrid w:val="0"/>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2.现场排水排污、施工场地及通道的清洁保洁、对现有设施的保护未满足建设单位要求，或未按建设单位要求整改，监理未发现或发现无作为的，每发生一项扣2分；</w:t>
      </w:r>
    </w:p>
    <w:p>
      <w:pPr>
        <w:snapToGrid w:val="0"/>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3.施工安全措施不符合要求，或不按质监站或安监部门要求整改，监理未发现或发现无作为的，每发生一项扣2分；</w:t>
      </w:r>
    </w:p>
    <w:p>
      <w:pPr>
        <w:snapToGrid w:val="0"/>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4.未按建设单位要求完成临时性、应急性工作（如须紧急落实的安全检查、安全措施、文明施工措施等），未按建设单位要求与交叉施工作业单位协作配合的，每发生一项扣2分；</w:t>
      </w:r>
    </w:p>
    <w:p>
      <w:pPr>
        <w:snapToGrid w:val="0"/>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5.场内土方开挖时，未按建设单位的要求组织调配平衡，任意处置，或多余土方未及时安排外运，或竣工退场时未按建设单位要求清理施工现场，监理未发现或发现无作为的，每发生一项扣2分；</w:t>
      </w:r>
    </w:p>
    <w:p>
      <w:pPr>
        <w:snapToGrid w:val="0"/>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6.因安全原因被责令停工的，扣10分。</w:t>
      </w:r>
    </w:p>
    <w:p>
      <w:pPr>
        <w:snapToGrid w:val="0"/>
        <w:spacing w:line="540" w:lineRule="exact"/>
        <w:ind w:firstLine="640"/>
        <w:rPr>
          <w:rFonts w:ascii="Times New Roman" w:hAnsi="Times New Roman" w:eastAsia="楷体_GB2312"/>
          <w:sz w:val="32"/>
          <w:szCs w:val="32"/>
        </w:rPr>
      </w:pPr>
      <w:r>
        <w:rPr>
          <w:rFonts w:ascii="Times New Roman" w:hAnsi="Times New Roman" w:eastAsia="楷体_GB2312"/>
          <w:sz w:val="32"/>
          <w:szCs w:val="32"/>
        </w:rPr>
        <w:t>（六）监理项目部日常内业管理情况（基础分10分）</w:t>
      </w:r>
    </w:p>
    <w:p>
      <w:pPr>
        <w:snapToGrid w:val="0"/>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1.项目开工报告监理单位签字不完整，扣2分；</w:t>
      </w:r>
    </w:p>
    <w:p>
      <w:pPr>
        <w:snapToGrid w:val="0"/>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2.工地例会无正当理由不按期召开的，扣2分；</w:t>
      </w:r>
    </w:p>
    <w:p>
      <w:pPr>
        <w:snapToGrid w:val="0"/>
        <w:spacing w:line="540" w:lineRule="exact"/>
        <w:ind w:firstLine="628"/>
        <w:rPr>
          <w:rFonts w:ascii="Times New Roman" w:hAnsi="Times New Roman" w:eastAsia="仿宋_GB2312"/>
          <w:spacing w:val="-6"/>
          <w:sz w:val="32"/>
          <w:szCs w:val="32"/>
        </w:rPr>
      </w:pPr>
      <w:r>
        <w:rPr>
          <w:rFonts w:hint="eastAsia" w:ascii="Times New Roman" w:hAnsi="Times New Roman" w:eastAsia="仿宋_GB2312"/>
          <w:spacing w:val="-6"/>
          <w:sz w:val="32"/>
          <w:szCs w:val="32"/>
        </w:rPr>
        <w:t>3.监理日记记录内容不完善、不及时，格式不规范，扣2分；</w:t>
      </w:r>
    </w:p>
    <w:p>
      <w:pPr>
        <w:snapToGrid w:val="0"/>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4.未建立计量、支付、变更等台账，资料归档不规范，扣2分；</w:t>
      </w:r>
    </w:p>
    <w:p>
      <w:pPr>
        <w:snapToGrid w:val="0"/>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5.监理办公室图表未上墙，扣2分。</w:t>
      </w:r>
    </w:p>
    <w:p>
      <w:pPr>
        <w:snapToGrid w:val="0"/>
        <w:spacing w:line="540" w:lineRule="exact"/>
        <w:ind w:firstLine="640"/>
        <w:rPr>
          <w:rFonts w:ascii="Times New Roman" w:hAnsi="Times New Roman" w:eastAsia="楷体_GB2312"/>
          <w:sz w:val="32"/>
          <w:szCs w:val="32"/>
        </w:rPr>
      </w:pPr>
      <w:r>
        <w:rPr>
          <w:rFonts w:ascii="Times New Roman" w:hAnsi="Times New Roman" w:eastAsia="楷体_GB2312"/>
          <w:sz w:val="32"/>
          <w:szCs w:val="32"/>
        </w:rPr>
        <w:t>（七）投资控制情况（基础分10分）</w:t>
      </w:r>
    </w:p>
    <w:p>
      <w:pPr>
        <w:snapToGrid w:val="0"/>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1.未及时组织施工单位复核及申报工程量清单漏量漏项情况的，扣3分；</w:t>
      </w:r>
    </w:p>
    <w:p>
      <w:pPr>
        <w:snapToGrid w:val="0"/>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2.接到施工图纸后，未及时审核图纸、发现图纸中可能存在的错漏，导致发生重大变更、签证的，扣3分；</w:t>
      </w:r>
    </w:p>
    <w:p>
      <w:pPr>
        <w:snapToGrid w:val="0"/>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3.未按现场实际完成工程量进行核算计量，导致超付进度款（预付款）的，扣2分；</w:t>
      </w:r>
    </w:p>
    <w:p>
      <w:pPr>
        <w:snapToGrid w:val="0"/>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4.可能发生或已发生的变更、签证未报送或未及时报送建设单位的，扣3分；</w:t>
      </w:r>
    </w:p>
    <w:p>
      <w:pPr>
        <w:snapToGrid w:val="0"/>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5.其它造成投资成本增加或者本可减少的投资，监理单位未报送或未及时报送建设单位的，扣2分。</w:t>
      </w:r>
    </w:p>
    <w:p>
      <w:pPr>
        <w:snapToGrid w:val="0"/>
        <w:spacing w:line="540" w:lineRule="exact"/>
        <w:ind w:firstLine="640"/>
        <w:rPr>
          <w:rFonts w:ascii="Times New Roman" w:hAnsi="Times New Roman" w:eastAsia="楷体_GB2312"/>
          <w:sz w:val="32"/>
          <w:szCs w:val="32"/>
        </w:rPr>
      </w:pPr>
      <w:r>
        <w:rPr>
          <w:rFonts w:ascii="Times New Roman" w:hAnsi="Times New Roman" w:eastAsia="楷体_GB2312"/>
          <w:sz w:val="32"/>
          <w:szCs w:val="32"/>
        </w:rPr>
        <w:t>（八）合同管理情况（基础分5分）</w:t>
      </w:r>
    </w:p>
    <w:p>
      <w:pPr>
        <w:snapToGrid w:val="0"/>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1.应理清包括但不限于施工、检测、监测、设计等工程建设相关单位的合同分工、职责、义务，及时解决各单位合同纠纷，未履行或无作为的，扣2分；</w:t>
      </w:r>
    </w:p>
    <w:p>
      <w:pPr>
        <w:snapToGrid w:val="0"/>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2.未审核工程变更签证是否符合合同约定申报条件就报送建设单位的，扣2分；</w:t>
      </w:r>
    </w:p>
    <w:p>
      <w:pPr>
        <w:snapToGrid w:val="0"/>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3.未履行合同约定及本办法的其他行为的，扣2分。</w:t>
      </w:r>
    </w:p>
    <w:p>
      <w:pPr>
        <w:snapToGrid w:val="0"/>
        <w:spacing w:line="540" w:lineRule="exact"/>
        <w:ind w:firstLine="640"/>
        <w:rPr>
          <w:rFonts w:ascii="Times New Roman" w:hAnsi="Times New Roman" w:eastAsia="楷体_GB2312"/>
          <w:sz w:val="32"/>
          <w:szCs w:val="32"/>
        </w:rPr>
      </w:pPr>
      <w:r>
        <w:rPr>
          <w:rFonts w:ascii="Times New Roman" w:hAnsi="Times New Roman" w:eastAsia="楷体_GB2312"/>
          <w:sz w:val="32"/>
          <w:szCs w:val="32"/>
        </w:rPr>
        <w:t>（九）组织协调工作情况（基础分5分）</w:t>
      </w:r>
    </w:p>
    <w:p>
      <w:pPr>
        <w:snapToGrid w:val="0"/>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1.未配合建设单位在施工前准备阶段工作（包括但不限于前期报建报批、测量放线等）的，扣2分；</w:t>
      </w:r>
    </w:p>
    <w:p>
      <w:pPr>
        <w:snapToGrid w:val="0"/>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2.未及时建立内外部组织协调架构及机制，未按已建立的架构及机制执行相关工作的，扣2分；</w:t>
      </w:r>
    </w:p>
    <w:p>
      <w:pPr>
        <w:snapToGrid w:val="0"/>
        <w:spacing w:line="540" w:lineRule="exact"/>
        <w:ind w:firstLine="618"/>
        <w:rPr>
          <w:rFonts w:ascii="Times New Roman" w:hAnsi="Times New Roman" w:eastAsia="仿宋_GB2312"/>
          <w:spacing w:val="-11"/>
          <w:sz w:val="32"/>
          <w:szCs w:val="32"/>
        </w:rPr>
      </w:pPr>
      <w:r>
        <w:rPr>
          <w:rFonts w:ascii="Times New Roman" w:hAnsi="Times New Roman" w:eastAsia="仿宋_GB2312"/>
          <w:spacing w:val="-11"/>
          <w:sz w:val="32"/>
          <w:szCs w:val="32"/>
        </w:rPr>
        <w:t>3.未及时有效协调各相关单位（包括但不限于住建、交通、城管、国土规划、街镇、通讯、电力、燃气、供水）的，扣2分；</w:t>
      </w:r>
    </w:p>
    <w:p>
      <w:pPr>
        <w:snapToGrid w:val="0"/>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4.其他未有效落实组织协调工作的情况，扣1分。</w:t>
      </w:r>
    </w:p>
    <w:p>
      <w:pPr>
        <w:snapToGrid w:val="0"/>
        <w:spacing w:line="540" w:lineRule="exact"/>
        <w:ind w:firstLine="640"/>
        <w:rPr>
          <w:rFonts w:ascii="Times New Roman" w:hAnsi="Times New Roman" w:eastAsia="仿宋_GB2312"/>
          <w:sz w:val="32"/>
          <w:szCs w:val="32"/>
        </w:rPr>
      </w:pPr>
    </w:p>
    <w:p>
      <w:pPr>
        <w:snapToGrid w:val="0"/>
        <w:spacing w:line="540" w:lineRule="exact"/>
        <w:ind w:firstLine="0" w:firstLineChars="0"/>
        <w:jc w:val="center"/>
        <w:outlineLvl w:val="0"/>
        <w:rPr>
          <w:rFonts w:ascii="Times New Roman" w:hAnsi="Times New Roman" w:eastAsia="黑体"/>
          <w:sz w:val="32"/>
          <w:szCs w:val="32"/>
        </w:rPr>
      </w:pPr>
      <w:r>
        <w:rPr>
          <w:rFonts w:ascii="Times New Roman" w:hAnsi="Times New Roman" w:eastAsia="黑体"/>
          <w:sz w:val="32"/>
          <w:szCs w:val="32"/>
        </w:rPr>
        <w:t>第三章  评价办法</w:t>
      </w:r>
    </w:p>
    <w:p>
      <w:pPr>
        <w:adjustRightInd w:val="0"/>
        <w:snapToGrid w:val="0"/>
        <w:spacing w:line="540" w:lineRule="exact"/>
        <w:ind w:firstLine="640"/>
        <w:outlineLvl w:val="1"/>
        <w:rPr>
          <w:rFonts w:ascii="Times New Roman" w:hAnsi="Times New Roman" w:eastAsia="仿宋_GB2312"/>
          <w:bCs/>
          <w:sz w:val="32"/>
          <w:szCs w:val="32"/>
        </w:rPr>
      </w:pPr>
      <w:r>
        <w:rPr>
          <w:rFonts w:hint="eastAsia" w:ascii="黑体" w:hAnsi="黑体" w:eastAsia="黑体" w:cs="黑体"/>
          <w:bCs/>
          <w:sz w:val="32"/>
          <w:szCs w:val="32"/>
        </w:rPr>
        <w:t>第七条</w:t>
      </w:r>
      <w:r>
        <w:rPr>
          <w:rFonts w:ascii="Times New Roman" w:hAnsi="Times New Roman" w:eastAsia="楷体_GB2312"/>
          <w:b/>
          <w:sz w:val="32"/>
          <w:szCs w:val="32"/>
        </w:rPr>
        <w:t xml:space="preserve">  </w:t>
      </w:r>
      <w:r>
        <w:rPr>
          <w:rFonts w:ascii="Times New Roman" w:hAnsi="Times New Roman" w:eastAsia="仿宋_GB2312"/>
          <w:bCs/>
          <w:sz w:val="32"/>
          <w:szCs w:val="32"/>
        </w:rPr>
        <w:t>评价主体及职责</w:t>
      </w:r>
    </w:p>
    <w:p>
      <w:pPr>
        <w:snapToGrid w:val="0"/>
        <w:spacing w:line="540" w:lineRule="exact"/>
        <w:ind w:firstLine="640"/>
        <w:rPr>
          <w:rFonts w:ascii="Times New Roman" w:hAnsi="Times New Roman" w:eastAsia="仿宋_GB2312"/>
          <w:bCs/>
          <w:sz w:val="32"/>
          <w:szCs w:val="32"/>
        </w:rPr>
      </w:pPr>
      <w:r>
        <w:rPr>
          <w:rFonts w:ascii="Times New Roman" w:hAnsi="Times New Roman" w:eastAsia="仿宋_GB2312"/>
          <w:bCs/>
          <w:sz w:val="32"/>
          <w:szCs w:val="32"/>
        </w:rPr>
        <w:t>监理合同履约评价主体为集团公司建设管理部，相关责任人为对应项目负责人。</w:t>
      </w:r>
    </w:p>
    <w:p>
      <w:pPr>
        <w:snapToGrid w:val="0"/>
        <w:spacing w:line="540" w:lineRule="exact"/>
        <w:ind w:firstLine="640"/>
        <w:rPr>
          <w:rFonts w:ascii="Times New Roman" w:hAnsi="Times New Roman" w:eastAsia="仿宋_GB2312"/>
          <w:bCs/>
          <w:sz w:val="32"/>
          <w:szCs w:val="32"/>
        </w:rPr>
      </w:pPr>
      <w:r>
        <w:rPr>
          <w:rFonts w:ascii="Times New Roman" w:hAnsi="Times New Roman" w:eastAsia="仿宋_GB2312"/>
          <w:bCs/>
          <w:sz w:val="32"/>
          <w:szCs w:val="32"/>
        </w:rPr>
        <w:t>项目负责人根据建设管理部的管理要求，组建评价组（不少于2人），每</w:t>
      </w:r>
      <w:r>
        <w:rPr>
          <w:rFonts w:hint="eastAsia" w:ascii="Times New Roman" w:hAnsi="Times New Roman" w:eastAsia="仿宋_GB2312"/>
          <w:bCs/>
          <w:sz w:val="32"/>
          <w:szCs w:val="32"/>
        </w:rPr>
        <w:t>季度</w:t>
      </w:r>
      <w:r>
        <w:rPr>
          <w:rFonts w:ascii="Times New Roman" w:hAnsi="Times New Roman" w:eastAsia="仿宋_GB2312"/>
          <w:bCs/>
          <w:sz w:val="32"/>
          <w:szCs w:val="32"/>
        </w:rPr>
        <w:t>定期组织检查及评价，办理评价结果呈批、资料归档。</w:t>
      </w:r>
    </w:p>
    <w:p>
      <w:pPr>
        <w:snapToGrid w:val="0"/>
        <w:spacing w:line="540" w:lineRule="exact"/>
        <w:ind w:firstLine="640"/>
        <w:rPr>
          <w:rFonts w:ascii="Times New Roman" w:hAnsi="Times New Roman" w:eastAsia="仿宋_GB2312"/>
          <w:bCs/>
          <w:sz w:val="32"/>
          <w:szCs w:val="32"/>
        </w:rPr>
      </w:pPr>
      <w:r>
        <w:rPr>
          <w:rFonts w:ascii="Times New Roman" w:hAnsi="Times New Roman" w:eastAsia="仿宋_GB2312"/>
          <w:sz w:val="32"/>
          <w:szCs w:val="32"/>
        </w:rPr>
        <w:t>建设管理部负责监理合同各期履约评价结果的汇总、排序、公示、通报等；负责办理监理单位对履约评价结果提出的申诉事宜。</w:t>
      </w:r>
    </w:p>
    <w:p>
      <w:pPr>
        <w:snapToGrid w:val="0"/>
        <w:spacing w:line="540" w:lineRule="exact"/>
        <w:ind w:firstLine="643" w:firstLineChars="0"/>
        <w:outlineLvl w:val="1"/>
        <w:rPr>
          <w:rFonts w:ascii="Times New Roman" w:hAnsi="Times New Roman" w:eastAsia="楷体_GB2312"/>
          <w:b/>
          <w:sz w:val="32"/>
          <w:szCs w:val="32"/>
        </w:rPr>
      </w:pPr>
      <w:r>
        <w:rPr>
          <w:rFonts w:hint="eastAsia" w:ascii="黑体" w:hAnsi="黑体" w:eastAsia="黑体" w:cs="黑体"/>
          <w:bCs/>
          <w:sz w:val="32"/>
          <w:szCs w:val="32"/>
        </w:rPr>
        <w:t>第八条</w:t>
      </w:r>
      <w:r>
        <w:rPr>
          <w:rFonts w:ascii="Times New Roman" w:hAnsi="Times New Roman" w:eastAsia="仿宋_GB2312"/>
          <w:bCs/>
          <w:sz w:val="32"/>
          <w:szCs w:val="32"/>
        </w:rPr>
        <w:t xml:space="preserve">  评价依据</w:t>
      </w:r>
    </w:p>
    <w:p>
      <w:pPr>
        <w:snapToGrid w:val="0"/>
        <w:spacing w:line="540" w:lineRule="exact"/>
        <w:ind w:firstLine="643" w:firstLineChars="0"/>
        <w:rPr>
          <w:rFonts w:ascii="Times New Roman" w:hAnsi="Times New Roman" w:eastAsia="仿宋_GB2312"/>
          <w:sz w:val="32"/>
          <w:szCs w:val="32"/>
        </w:rPr>
      </w:pPr>
      <w:r>
        <w:rPr>
          <w:rFonts w:ascii="Times New Roman" w:hAnsi="Times New Roman" w:eastAsia="仿宋_GB2312"/>
          <w:sz w:val="32"/>
          <w:szCs w:val="32"/>
        </w:rPr>
        <w:t>评价依据为现场检查情况、上期评价至本期评价之间的履约情况及依据、其他佐证材料。评价主体项目负责人应提供可供追溯的评价依据材料，作为当期评价的佐证材料，并对其准确性、真实性负责。</w:t>
      </w:r>
    </w:p>
    <w:p>
      <w:pPr>
        <w:snapToGrid w:val="0"/>
        <w:spacing w:line="540" w:lineRule="exact"/>
        <w:ind w:firstLine="643" w:firstLineChars="0"/>
        <w:outlineLvl w:val="1"/>
        <w:rPr>
          <w:rFonts w:ascii="Times New Roman" w:hAnsi="Times New Roman" w:eastAsia="仿宋_GB2312"/>
          <w:bCs/>
          <w:sz w:val="32"/>
          <w:szCs w:val="32"/>
        </w:rPr>
      </w:pPr>
      <w:r>
        <w:rPr>
          <w:rFonts w:hint="eastAsia" w:ascii="黑体" w:hAnsi="黑体" w:eastAsia="黑体" w:cs="黑体"/>
          <w:bCs/>
          <w:sz w:val="32"/>
          <w:szCs w:val="32"/>
        </w:rPr>
        <w:t>第九条</w:t>
      </w:r>
      <w:r>
        <w:rPr>
          <w:rFonts w:ascii="Times New Roman" w:hAnsi="Times New Roman" w:eastAsia="楷体_GB2312"/>
          <w:b/>
          <w:sz w:val="32"/>
          <w:szCs w:val="32"/>
        </w:rPr>
        <w:t xml:space="preserve">  </w:t>
      </w:r>
      <w:r>
        <w:rPr>
          <w:rFonts w:ascii="Times New Roman" w:hAnsi="Times New Roman" w:eastAsia="仿宋_GB2312"/>
          <w:bCs/>
          <w:sz w:val="32"/>
          <w:szCs w:val="32"/>
        </w:rPr>
        <w:t>评价计分</w:t>
      </w:r>
      <w:r>
        <w:rPr>
          <w:rFonts w:hint="eastAsia" w:ascii="Times New Roman" w:hAnsi="Times New Roman" w:eastAsia="仿宋_GB2312"/>
          <w:bCs/>
          <w:sz w:val="32"/>
          <w:szCs w:val="32"/>
        </w:rPr>
        <w:t>和</w:t>
      </w:r>
      <w:r>
        <w:rPr>
          <w:rFonts w:ascii="Times New Roman" w:hAnsi="Times New Roman" w:eastAsia="仿宋_GB2312"/>
          <w:bCs/>
          <w:sz w:val="32"/>
          <w:szCs w:val="32"/>
        </w:rPr>
        <w:t>等级</w:t>
      </w:r>
    </w:p>
    <w:p>
      <w:pPr>
        <w:spacing w:line="540" w:lineRule="exact"/>
        <w:ind w:firstLine="643" w:firstLineChars="0"/>
        <w:rPr>
          <w:rFonts w:ascii="Times New Roman" w:hAnsi="Times New Roman" w:eastAsia="仿宋_GB2312"/>
          <w:sz w:val="32"/>
          <w:szCs w:val="32"/>
        </w:rPr>
      </w:pPr>
      <w:r>
        <w:rPr>
          <w:rFonts w:ascii="Times New Roman" w:hAnsi="Times New Roman" w:eastAsia="仿宋_GB2312"/>
          <w:sz w:val="32"/>
          <w:szCs w:val="32"/>
        </w:rPr>
        <w:t>（一）监理合同履约评价基础分为100分。</w:t>
      </w:r>
      <w:r>
        <w:rPr>
          <w:rFonts w:hint="eastAsia" w:ascii="Times New Roman" w:hAnsi="Times New Roman" w:eastAsia="仿宋_GB2312"/>
          <w:sz w:val="32"/>
          <w:szCs w:val="32"/>
        </w:rPr>
        <w:t>评价组</w:t>
      </w:r>
      <w:r>
        <w:rPr>
          <w:rFonts w:ascii="Times New Roman" w:hAnsi="Times New Roman" w:eastAsia="仿宋_GB2312"/>
          <w:sz w:val="32"/>
          <w:szCs w:val="32"/>
        </w:rPr>
        <w:t>成员各自评分并填写《监理合同履约评价表》，各项得分取</w:t>
      </w:r>
      <w:r>
        <w:rPr>
          <w:rFonts w:hint="eastAsia" w:ascii="Times New Roman" w:hAnsi="Times New Roman" w:eastAsia="仿宋_GB2312"/>
          <w:sz w:val="32"/>
          <w:szCs w:val="32"/>
        </w:rPr>
        <w:t>评价组成员评分的算术</w:t>
      </w:r>
      <w:r>
        <w:rPr>
          <w:rFonts w:ascii="Times New Roman" w:hAnsi="Times New Roman" w:eastAsia="仿宋_GB2312"/>
          <w:sz w:val="32"/>
          <w:szCs w:val="32"/>
        </w:rPr>
        <w:t>平均值。</w:t>
      </w:r>
      <w:r>
        <w:rPr>
          <w:rFonts w:hint="eastAsia" w:ascii="Times New Roman" w:hAnsi="Times New Roman" w:eastAsia="仿宋_GB2312"/>
          <w:sz w:val="32"/>
          <w:szCs w:val="32"/>
        </w:rPr>
        <w:t>评价得分精确到小数点后两位。</w:t>
      </w:r>
    </w:p>
    <w:p>
      <w:pPr>
        <w:snapToGrid w:val="0"/>
        <w:spacing w:line="540" w:lineRule="exact"/>
        <w:ind w:firstLine="640"/>
        <w:rPr>
          <w:rFonts w:ascii="Times New Roman" w:hAnsi="Times New Roman" w:eastAsia="仿宋_GB2312"/>
          <w:sz w:val="32"/>
          <w:szCs w:val="32"/>
        </w:rPr>
      </w:pPr>
      <w:r>
        <w:rPr>
          <w:rFonts w:hint="eastAsia" w:ascii="仿宋_GB2312" w:eastAsia="仿宋_GB2312"/>
          <w:sz w:val="32"/>
          <w:szCs w:val="32"/>
        </w:rPr>
        <w:t>同一监理单位在集团公司承接多个项目（不分类别）的各期履约评价得分=当期各合同履约评价得分的算术平均值。</w:t>
      </w:r>
    </w:p>
    <w:p>
      <w:pPr>
        <w:snapToGrid w:val="0"/>
        <w:spacing w:line="540" w:lineRule="exact"/>
        <w:ind w:firstLine="643" w:firstLineChars="0"/>
        <w:rPr>
          <w:rFonts w:ascii="Times New Roman" w:hAnsi="Times New Roman" w:eastAsia="仿宋_GB2312"/>
          <w:sz w:val="32"/>
          <w:szCs w:val="32"/>
        </w:rPr>
      </w:pPr>
      <w:r>
        <w:rPr>
          <w:rFonts w:ascii="Times New Roman" w:hAnsi="Times New Roman" w:eastAsia="仿宋_GB2312"/>
          <w:sz w:val="32"/>
          <w:szCs w:val="32"/>
        </w:rPr>
        <w:t>（二）评定等级</w:t>
      </w:r>
    </w:p>
    <w:p>
      <w:pPr>
        <w:snapToGrid w:val="0"/>
        <w:spacing w:line="540" w:lineRule="exact"/>
        <w:ind w:firstLine="643" w:firstLineChars="0"/>
        <w:rPr>
          <w:rFonts w:ascii="Times New Roman" w:hAnsi="Times New Roman" w:eastAsia="仿宋_GB2312"/>
          <w:sz w:val="32"/>
          <w:szCs w:val="32"/>
        </w:rPr>
      </w:pPr>
      <w:r>
        <w:rPr>
          <w:rFonts w:ascii="Times New Roman" w:hAnsi="Times New Roman" w:eastAsia="仿宋_GB2312"/>
          <w:sz w:val="32"/>
          <w:szCs w:val="32"/>
        </w:rPr>
        <w:t>优秀：90分（含）以上；</w:t>
      </w:r>
    </w:p>
    <w:p>
      <w:pPr>
        <w:snapToGrid w:val="0"/>
        <w:spacing w:line="540" w:lineRule="exact"/>
        <w:ind w:firstLine="643" w:firstLineChars="0"/>
        <w:rPr>
          <w:rFonts w:ascii="Times New Roman" w:hAnsi="Times New Roman" w:eastAsia="仿宋_GB2312"/>
          <w:sz w:val="32"/>
          <w:szCs w:val="32"/>
        </w:rPr>
      </w:pPr>
      <w:r>
        <w:rPr>
          <w:rFonts w:ascii="Times New Roman" w:hAnsi="Times New Roman" w:eastAsia="仿宋_GB2312"/>
          <w:sz w:val="32"/>
          <w:szCs w:val="32"/>
        </w:rPr>
        <w:t>良好：80分（含）</w:t>
      </w:r>
      <w:r>
        <w:rPr>
          <w:rFonts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sz w:val="32"/>
          <w:szCs w:val="32"/>
        </w:rPr>
        <w:t>90 分（不含）；</w:t>
      </w:r>
    </w:p>
    <w:p>
      <w:pPr>
        <w:snapToGrid w:val="0"/>
        <w:spacing w:line="540" w:lineRule="exact"/>
        <w:ind w:firstLine="643" w:firstLineChars="0"/>
        <w:rPr>
          <w:rFonts w:ascii="Times New Roman" w:hAnsi="Times New Roman" w:eastAsia="仿宋_GB2312"/>
          <w:sz w:val="32"/>
          <w:szCs w:val="32"/>
        </w:rPr>
      </w:pPr>
      <w:r>
        <w:rPr>
          <w:rFonts w:ascii="Times New Roman" w:hAnsi="Times New Roman" w:eastAsia="仿宋_GB2312"/>
          <w:sz w:val="32"/>
          <w:szCs w:val="32"/>
        </w:rPr>
        <w:t>合格：60 分（含）</w:t>
      </w:r>
      <w:r>
        <w:rPr>
          <w:rFonts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sz w:val="32"/>
          <w:szCs w:val="32"/>
        </w:rPr>
        <w:t>80 分（不含）；</w:t>
      </w:r>
    </w:p>
    <w:p>
      <w:pPr>
        <w:snapToGrid w:val="0"/>
        <w:spacing w:line="540" w:lineRule="exact"/>
        <w:ind w:firstLine="643" w:firstLineChars="0"/>
        <w:rPr>
          <w:rFonts w:ascii="Times New Roman" w:hAnsi="Times New Roman" w:eastAsia="仿宋_GB2312"/>
          <w:sz w:val="32"/>
          <w:szCs w:val="32"/>
        </w:rPr>
      </w:pPr>
      <w:r>
        <w:rPr>
          <w:rFonts w:ascii="Times New Roman" w:hAnsi="Times New Roman" w:eastAsia="仿宋_GB2312"/>
          <w:sz w:val="32"/>
          <w:szCs w:val="32"/>
        </w:rPr>
        <w:t>不合格：60 分（不含）以下。</w:t>
      </w:r>
    </w:p>
    <w:p>
      <w:pPr>
        <w:snapToGrid w:val="0"/>
        <w:spacing w:line="540" w:lineRule="exact"/>
        <w:ind w:firstLine="643" w:firstLineChars="0"/>
        <w:outlineLvl w:val="1"/>
        <w:rPr>
          <w:rFonts w:ascii="Times New Roman" w:hAnsi="Times New Roman" w:eastAsia="仿宋_GB2312"/>
          <w:bCs/>
          <w:sz w:val="32"/>
          <w:szCs w:val="32"/>
        </w:rPr>
      </w:pPr>
      <w:r>
        <w:rPr>
          <w:rFonts w:hint="eastAsia" w:ascii="黑体" w:hAnsi="黑体" w:eastAsia="黑体" w:cs="黑体"/>
          <w:bCs/>
          <w:sz w:val="32"/>
          <w:szCs w:val="32"/>
        </w:rPr>
        <w:t>第十条</w:t>
      </w:r>
      <w:r>
        <w:rPr>
          <w:rFonts w:ascii="Times New Roman" w:hAnsi="Times New Roman" w:eastAsia="楷体_GB2312"/>
          <w:b/>
          <w:sz w:val="32"/>
          <w:szCs w:val="32"/>
        </w:rPr>
        <w:t xml:space="preserve">  </w:t>
      </w:r>
      <w:r>
        <w:rPr>
          <w:rFonts w:ascii="Times New Roman" w:hAnsi="Times New Roman" w:eastAsia="仿宋_GB2312"/>
          <w:bCs/>
          <w:sz w:val="32"/>
          <w:szCs w:val="32"/>
        </w:rPr>
        <w:t>评价结果审批</w:t>
      </w:r>
    </w:p>
    <w:p>
      <w:pPr>
        <w:snapToGrid w:val="0"/>
        <w:spacing w:line="540" w:lineRule="exact"/>
        <w:ind w:firstLine="643" w:firstLineChars="0"/>
        <w:rPr>
          <w:rFonts w:ascii="Times New Roman" w:hAnsi="Times New Roman" w:eastAsia="仿宋_GB2312"/>
          <w:sz w:val="32"/>
          <w:szCs w:val="32"/>
        </w:rPr>
      </w:pPr>
      <w:r>
        <w:rPr>
          <w:rFonts w:ascii="Times New Roman" w:hAnsi="Times New Roman" w:eastAsia="仿宋_GB2312"/>
          <w:sz w:val="32"/>
          <w:szCs w:val="32"/>
        </w:rPr>
        <w:t>建设管理部按评价周期要求填写附件，附相关佐证材料，发起监理合同履约评价结果审批流程，报集团公司审批。</w:t>
      </w:r>
    </w:p>
    <w:p>
      <w:pPr>
        <w:snapToGrid w:val="0"/>
        <w:spacing w:line="540" w:lineRule="exact"/>
        <w:ind w:firstLine="643" w:firstLineChars="0"/>
        <w:outlineLvl w:val="1"/>
        <w:rPr>
          <w:rFonts w:ascii="Times New Roman" w:hAnsi="Times New Roman" w:eastAsia="楷体_GB2312"/>
          <w:b/>
          <w:sz w:val="32"/>
          <w:szCs w:val="32"/>
        </w:rPr>
      </w:pPr>
      <w:r>
        <w:rPr>
          <w:rFonts w:hint="eastAsia" w:ascii="黑体" w:hAnsi="黑体" w:eastAsia="黑体" w:cs="黑体"/>
          <w:bCs/>
          <w:sz w:val="32"/>
          <w:szCs w:val="32"/>
        </w:rPr>
        <w:t>第十一条</w:t>
      </w:r>
      <w:r>
        <w:rPr>
          <w:rFonts w:ascii="Times New Roman" w:hAnsi="Times New Roman" w:eastAsia="楷体_GB2312"/>
          <w:b/>
          <w:sz w:val="32"/>
          <w:szCs w:val="32"/>
        </w:rPr>
        <w:t xml:space="preserve">  </w:t>
      </w:r>
      <w:r>
        <w:rPr>
          <w:rFonts w:ascii="Times New Roman" w:hAnsi="Times New Roman" w:eastAsia="仿宋_GB2312"/>
          <w:bCs/>
          <w:sz w:val="32"/>
          <w:szCs w:val="32"/>
        </w:rPr>
        <w:t>评价结果申诉</w:t>
      </w:r>
    </w:p>
    <w:p>
      <w:pPr>
        <w:snapToGrid w:val="0"/>
        <w:spacing w:line="540" w:lineRule="exact"/>
        <w:ind w:firstLine="643" w:firstLineChars="0"/>
        <w:rPr>
          <w:rFonts w:ascii="Times New Roman" w:hAnsi="Times New Roman" w:eastAsia="仿宋_GB2312"/>
          <w:sz w:val="32"/>
          <w:szCs w:val="32"/>
        </w:rPr>
      </w:pPr>
      <w:r>
        <w:rPr>
          <w:rFonts w:ascii="Times New Roman" w:hAnsi="Times New Roman" w:eastAsia="仿宋_GB2312"/>
          <w:sz w:val="32"/>
          <w:szCs w:val="32"/>
        </w:rPr>
        <w:t>监理单位对履约评价结果有异议的，应在当期履约评价结果公示期内向建设管理部提交书面意见并附佐证材料。未附佐证材料或依据不充分的申诉不予受理。已受理的申诉，建设管理部应于10日内完成情况复查，将复查结果报集团公司审批后回复监理单位。如需修正公示，及时办理修正公示。</w:t>
      </w:r>
    </w:p>
    <w:p>
      <w:pPr>
        <w:snapToGrid w:val="0"/>
        <w:spacing w:line="540" w:lineRule="exact"/>
        <w:ind w:firstLine="643" w:firstLineChars="0"/>
        <w:outlineLvl w:val="1"/>
        <w:rPr>
          <w:rFonts w:ascii="Times New Roman" w:hAnsi="Times New Roman" w:eastAsia="楷体_GB2312"/>
          <w:b/>
          <w:sz w:val="32"/>
          <w:szCs w:val="32"/>
        </w:rPr>
      </w:pPr>
      <w:r>
        <w:rPr>
          <w:rFonts w:hint="eastAsia" w:ascii="黑体" w:hAnsi="黑体" w:eastAsia="黑体" w:cs="黑体"/>
          <w:bCs/>
          <w:sz w:val="32"/>
          <w:szCs w:val="32"/>
        </w:rPr>
        <w:t>第十二条</w:t>
      </w:r>
      <w:r>
        <w:rPr>
          <w:rFonts w:ascii="Times New Roman" w:hAnsi="Times New Roman" w:eastAsia="楷体_GB2312"/>
          <w:b/>
          <w:sz w:val="32"/>
          <w:szCs w:val="32"/>
        </w:rPr>
        <w:t xml:space="preserve">  </w:t>
      </w:r>
      <w:r>
        <w:rPr>
          <w:rFonts w:ascii="Times New Roman" w:hAnsi="Times New Roman" w:eastAsia="仿宋_GB2312"/>
          <w:bCs/>
          <w:sz w:val="32"/>
          <w:szCs w:val="32"/>
        </w:rPr>
        <w:t>评价结果应用</w:t>
      </w:r>
    </w:p>
    <w:p>
      <w:pPr>
        <w:snapToGrid w:val="0"/>
        <w:spacing w:line="540" w:lineRule="exact"/>
        <w:ind w:firstLine="643" w:firstLineChars="0"/>
        <w:jc w:val="left"/>
        <w:rPr>
          <w:rFonts w:ascii="Times New Roman" w:hAnsi="Times New Roman" w:eastAsia="仿宋_GB2312"/>
          <w:sz w:val="32"/>
          <w:szCs w:val="32"/>
        </w:rPr>
      </w:pPr>
      <w:r>
        <w:rPr>
          <w:rFonts w:ascii="Times New Roman" w:hAnsi="Times New Roman" w:eastAsia="仿宋_GB2312"/>
          <w:sz w:val="32"/>
          <w:szCs w:val="32"/>
        </w:rPr>
        <w:t>建设管理部每</w:t>
      </w:r>
      <w:r>
        <w:rPr>
          <w:rFonts w:hint="eastAsia" w:ascii="Times New Roman" w:hAnsi="Times New Roman" w:eastAsia="仿宋_GB2312"/>
          <w:sz w:val="32"/>
          <w:szCs w:val="32"/>
        </w:rPr>
        <w:t>季度</w:t>
      </w:r>
      <w:r>
        <w:rPr>
          <w:rFonts w:ascii="Times New Roman" w:hAnsi="Times New Roman" w:eastAsia="仿宋_GB2312"/>
          <w:sz w:val="32"/>
          <w:szCs w:val="32"/>
        </w:rPr>
        <w:t>完成监理合同履约评价结果审批后，对结果进行排名排序，于集团公司公示栏公示3天。根据管理需要，可对履约情况好的监理单位通报表扬，对履约情况差的监理单位通报批评。集团公司有权将监理合同履约评价结果应用到工程建设项目管理全过程决策中。</w:t>
      </w:r>
    </w:p>
    <w:p>
      <w:pPr>
        <w:snapToGrid w:val="0"/>
        <w:spacing w:line="540" w:lineRule="exact"/>
        <w:ind w:firstLine="643" w:firstLineChars="0"/>
        <w:jc w:val="left"/>
        <w:rPr>
          <w:rFonts w:ascii="Times New Roman" w:hAnsi="Times New Roman" w:eastAsia="仿宋_GB2312"/>
          <w:sz w:val="32"/>
          <w:szCs w:val="32"/>
        </w:rPr>
      </w:pPr>
    </w:p>
    <w:p>
      <w:pPr>
        <w:snapToGrid w:val="0"/>
        <w:spacing w:line="540" w:lineRule="exact"/>
        <w:ind w:firstLine="0" w:firstLineChars="0"/>
        <w:jc w:val="center"/>
        <w:outlineLvl w:val="0"/>
        <w:rPr>
          <w:rFonts w:ascii="Times New Roman" w:hAnsi="Times New Roman" w:eastAsia="黑体"/>
          <w:sz w:val="32"/>
          <w:szCs w:val="32"/>
        </w:rPr>
      </w:pPr>
      <w:r>
        <w:rPr>
          <w:rFonts w:ascii="Times New Roman" w:hAnsi="Times New Roman" w:eastAsia="黑体"/>
          <w:sz w:val="32"/>
          <w:szCs w:val="32"/>
        </w:rPr>
        <w:t>第四章  附  则</w:t>
      </w:r>
    </w:p>
    <w:p>
      <w:pPr>
        <w:snapToGrid w:val="0"/>
        <w:spacing w:line="540" w:lineRule="exact"/>
        <w:ind w:firstLine="643" w:firstLineChars="0"/>
        <w:rPr>
          <w:rFonts w:ascii="Times New Roman" w:hAnsi="Times New Roman" w:eastAsia="仿宋_GB2312"/>
          <w:sz w:val="32"/>
          <w:szCs w:val="32"/>
        </w:rPr>
      </w:pPr>
      <w:r>
        <w:rPr>
          <w:rFonts w:hint="eastAsia" w:ascii="黑体" w:hAnsi="黑体" w:eastAsia="黑体" w:cs="黑体"/>
          <w:bCs/>
          <w:sz w:val="32"/>
          <w:szCs w:val="32"/>
        </w:rPr>
        <w:t>第十三条</w:t>
      </w:r>
      <w:r>
        <w:rPr>
          <w:rFonts w:ascii="Times New Roman" w:hAnsi="Times New Roman" w:eastAsia="仿宋_GB2312"/>
          <w:sz w:val="32"/>
          <w:szCs w:val="32"/>
        </w:rPr>
        <w:t xml:space="preserve">  本办法中“以上”均含本数；“以下”、“以内”不含本数。</w:t>
      </w:r>
    </w:p>
    <w:p>
      <w:pPr>
        <w:snapToGrid w:val="0"/>
        <w:spacing w:line="540" w:lineRule="exact"/>
        <w:ind w:firstLine="643" w:firstLineChars="0"/>
        <w:rPr>
          <w:rFonts w:ascii="Times New Roman" w:hAnsi="Times New Roman" w:eastAsia="仿宋_GB2312"/>
          <w:sz w:val="32"/>
          <w:szCs w:val="32"/>
        </w:rPr>
      </w:pPr>
      <w:r>
        <w:rPr>
          <w:rFonts w:hint="eastAsia" w:ascii="黑体" w:hAnsi="黑体" w:eastAsia="黑体" w:cs="黑体"/>
          <w:bCs/>
          <w:sz w:val="32"/>
          <w:szCs w:val="32"/>
        </w:rPr>
        <w:t>第十四条</w:t>
      </w:r>
      <w:r>
        <w:rPr>
          <w:rFonts w:hint="eastAsia" w:ascii="Times New Roman" w:hAnsi="Times New Roman" w:eastAsia="楷体_GB2312"/>
          <w:b/>
          <w:sz w:val="32"/>
          <w:szCs w:val="32"/>
        </w:rPr>
        <w:t xml:space="preserve">  </w:t>
      </w:r>
      <w:r>
        <w:rPr>
          <w:rFonts w:ascii="Times New Roman" w:hAnsi="Times New Roman" w:eastAsia="仿宋_GB2312"/>
          <w:sz w:val="32"/>
          <w:szCs w:val="32"/>
        </w:rPr>
        <w:t>本办法由建设管理部负责解释。自印发之日起试行。</w:t>
      </w:r>
    </w:p>
    <w:p>
      <w:pPr>
        <w:snapToGrid w:val="0"/>
        <w:spacing w:line="540" w:lineRule="exact"/>
        <w:ind w:firstLine="640"/>
        <w:rPr>
          <w:rFonts w:ascii="Times New Roman" w:hAnsi="Times New Roman" w:eastAsia="仿宋_GB2312"/>
          <w:sz w:val="32"/>
          <w:szCs w:val="32"/>
        </w:rPr>
      </w:pPr>
    </w:p>
    <w:p>
      <w:pPr>
        <w:snapToGrid w:val="0"/>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附件：监理合同履约评价表</w:t>
      </w:r>
    </w:p>
    <w:p>
      <w:pPr>
        <w:snapToGrid w:val="0"/>
        <w:spacing w:line="540" w:lineRule="exact"/>
        <w:ind w:firstLine="0" w:firstLineChars="0"/>
        <w:rPr>
          <w:rFonts w:ascii="Times New Roman" w:hAnsi="Times New Roman" w:eastAsia="仿宋_GB2312"/>
          <w:sz w:val="32"/>
          <w:szCs w:val="32"/>
        </w:rPr>
      </w:pPr>
    </w:p>
    <w:p>
      <w:pPr>
        <w:spacing w:line="580" w:lineRule="exact"/>
        <w:ind w:firstLine="0" w:firstLineChars="0"/>
        <w:rPr>
          <w:rFonts w:ascii="Times New Roman" w:hAnsi="Times New Roman" w:eastAsia="仿宋_GB2312"/>
          <w:sz w:val="32"/>
          <w:szCs w:val="32"/>
        </w:rPr>
      </w:pPr>
    </w:p>
    <w:p>
      <w:pPr>
        <w:spacing w:line="580" w:lineRule="exact"/>
        <w:ind w:firstLine="0" w:firstLineChars="0"/>
        <w:rPr>
          <w:rFonts w:ascii="Times New Roman" w:hAnsi="Times New Roman" w:eastAsia="仿宋_GB2312"/>
          <w:sz w:val="32"/>
          <w:szCs w:val="32"/>
        </w:rPr>
      </w:pPr>
    </w:p>
    <w:p>
      <w:pPr>
        <w:spacing w:line="580" w:lineRule="exact"/>
        <w:ind w:firstLine="0" w:firstLineChars="0"/>
        <w:rPr>
          <w:rFonts w:ascii="Times New Roman" w:hAnsi="Times New Roman" w:eastAsia="仿宋_GB2312"/>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1984" w:left="1587" w:header="720" w:footer="1134" w:gutter="0"/>
          <w:cols w:space="0" w:num="1"/>
          <w:docGrid w:type="linesAndChars" w:linePitch="381" w:charSpace="0"/>
        </w:sectPr>
      </w:pPr>
    </w:p>
    <w:p>
      <w:pPr>
        <w:tabs>
          <w:tab w:val="center" w:pos="6443"/>
        </w:tabs>
        <w:spacing w:line="540" w:lineRule="exact"/>
        <w:ind w:firstLine="120" w:firstLineChars="50"/>
        <w:outlineLvl w:val="0"/>
        <w:rPr>
          <w:rFonts w:ascii="Times New Roman" w:hAnsi="Times New Roman" w:eastAsia="仿宋_GB2312"/>
          <w:b/>
          <w:spacing w:val="-20"/>
          <w:szCs w:val="28"/>
        </w:rPr>
      </w:pPr>
      <w:r>
        <w:rPr>
          <w:rFonts w:hint="eastAsia" w:ascii="黑体" w:hAnsi="黑体" w:eastAsia="黑体" w:cs="黑体"/>
          <w:bCs/>
          <w:spacing w:val="-20"/>
          <w:szCs w:val="28"/>
        </w:rPr>
        <w:t>附件</w:t>
      </w:r>
      <w:r>
        <w:rPr>
          <w:rFonts w:ascii="Times New Roman" w:hAnsi="Times New Roman" w:eastAsia="仿宋_GB2312"/>
          <w:b/>
          <w:spacing w:val="-20"/>
          <w:szCs w:val="28"/>
        </w:rPr>
        <w:tab/>
      </w:r>
      <w:r>
        <w:rPr>
          <w:rFonts w:hint="eastAsia" w:ascii="Times New Roman" w:hAnsi="Times New Roman" w:eastAsia="仿宋_GB2312"/>
          <w:b/>
          <w:spacing w:val="-20"/>
          <w:szCs w:val="28"/>
        </w:rPr>
        <w:t xml:space="preserve">    </w:t>
      </w:r>
    </w:p>
    <w:p>
      <w:pPr>
        <w:widowControl/>
        <w:ind w:firstLine="0" w:firstLineChars="0"/>
        <w:jc w:val="center"/>
        <w:outlineLvl w:val="1"/>
        <w:rPr>
          <w:rFonts w:ascii="Times New Roman" w:hAnsi="Times New Roman" w:eastAsiaTheme="minorEastAsia"/>
          <w:b/>
          <w:szCs w:val="28"/>
        </w:rPr>
      </w:pPr>
      <w:r>
        <w:rPr>
          <w:rFonts w:ascii="Times New Roman" w:hAnsi="Times New Roman" w:eastAsiaTheme="minorEastAsia"/>
          <w:b/>
          <w:szCs w:val="28"/>
        </w:rPr>
        <w:t>监理合同履约评价表</w:t>
      </w:r>
    </w:p>
    <w:p>
      <w:pPr>
        <w:widowControl/>
        <w:ind w:firstLine="0" w:firstLineChars="0"/>
        <w:jc w:val="left"/>
        <w:rPr>
          <w:rFonts w:ascii="Times New Roman" w:hAnsi="Times New Roman" w:eastAsiaTheme="minorEastAsia"/>
          <w:sz w:val="21"/>
          <w:szCs w:val="21"/>
        </w:rPr>
      </w:pPr>
      <w:r>
        <w:rPr>
          <w:rFonts w:ascii="Times New Roman" w:hAnsi="Times New Roman" w:eastAsiaTheme="minorEastAsia"/>
          <w:sz w:val="21"/>
          <w:szCs w:val="21"/>
        </w:rPr>
        <w:t>评价</w:t>
      </w:r>
      <w:r>
        <w:rPr>
          <w:rFonts w:hint="eastAsia" w:ascii="Times New Roman" w:hAnsi="Times New Roman" w:eastAsiaTheme="minorEastAsia"/>
          <w:sz w:val="21"/>
          <w:szCs w:val="21"/>
        </w:rPr>
        <w:t>日期</w:t>
      </w:r>
      <w:r>
        <w:rPr>
          <w:rFonts w:ascii="Times New Roman" w:hAnsi="Times New Roman" w:eastAsiaTheme="minorEastAsia"/>
          <w:sz w:val="21"/>
          <w:szCs w:val="21"/>
        </w:rPr>
        <w:t xml:space="preserve">：                                                             </w:t>
      </w:r>
      <w:r>
        <w:rPr>
          <w:rFonts w:hint="eastAsia" w:ascii="Times New Roman" w:hAnsi="Times New Roman" w:eastAsiaTheme="minorEastAsia"/>
          <w:sz w:val="21"/>
          <w:szCs w:val="21"/>
        </w:rPr>
        <w:t xml:space="preserve">                                                                                                   </w:t>
      </w:r>
      <w:r>
        <w:rPr>
          <w:rFonts w:ascii="Times New Roman" w:hAnsi="Times New Roman" w:eastAsiaTheme="minorEastAsia"/>
          <w:sz w:val="21"/>
          <w:szCs w:val="21"/>
        </w:rPr>
        <w:t xml:space="preserve">            </w:t>
      </w:r>
      <w:r>
        <w:rPr>
          <w:rFonts w:hint="eastAsia" w:ascii="Times New Roman" w:hAnsi="Times New Roman" w:eastAsiaTheme="minorEastAsia"/>
          <w:sz w:val="21"/>
          <w:szCs w:val="21"/>
        </w:rPr>
        <w:t xml:space="preserve">           </w:t>
      </w:r>
      <w:r>
        <w:rPr>
          <w:rFonts w:ascii="Times New Roman" w:hAnsi="Times New Roman" w:eastAsiaTheme="minorEastAsia"/>
          <w:sz w:val="21"/>
          <w:szCs w:val="21"/>
        </w:rPr>
        <w:t xml:space="preserve"> 评价部门及人员：</w:t>
      </w:r>
    </w:p>
    <w:p>
      <w:pPr>
        <w:widowControl/>
        <w:ind w:firstLine="0" w:firstLineChars="0"/>
        <w:jc w:val="left"/>
        <w:rPr>
          <w:rFonts w:ascii="Times New Roman" w:hAnsi="Times New Roman" w:eastAsiaTheme="minorEastAsia"/>
          <w:sz w:val="21"/>
          <w:szCs w:val="21"/>
        </w:rPr>
      </w:pPr>
      <w:r>
        <w:rPr>
          <w:rFonts w:ascii="Times New Roman" w:hAnsi="Times New Roman" w:eastAsiaTheme="minorEastAsia"/>
          <w:sz w:val="21"/>
          <w:szCs w:val="21"/>
        </w:rPr>
        <w:t xml:space="preserve">合同名称及编号：                                                          </w:t>
      </w:r>
      <w:r>
        <w:rPr>
          <w:rFonts w:hint="eastAsia" w:ascii="Times New Roman" w:hAnsi="Times New Roman" w:eastAsiaTheme="minorEastAsia"/>
          <w:sz w:val="21"/>
          <w:szCs w:val="21"/>
        </w:rPr>
        <w:t xml:space="preserve">                                                                                                      </w:t>
      </w:r>
      <w:r>
        <w:rPr>
          <w:rFonts w:ascii="Times New Roman" w:hAnsi="Times New Roman" w:eastAsiaTheme="minorEastAsia"/>
          <w:sz w:val="21"/>
          <w:szCs w:val="21"/>
        </w:rPr>
        <w:t xml:space="preserve">      </w:t>
      </w:r>
      <w:r>
        <w:rPr>
          <w:rFonts w:hint="eastAsia" w:ascii="Times New Roman" w:hAnsi="Times New Roman" w:eastAsiaTheme="minorEastAsia"/>
          <w:sz w:val="21"/>
          <w:szCs w:val="21"/>
        </w:rPr>
        <w:t xml:space="preserve">     </w:t>
      </w:r>
      <w:r>
        <w:rPr>
          <w:rFonts w:ascii="Times New Roman" w:hAnsi="Times New Roman" w:eastAsiaTheme="minorEastAsia"/>
          <w:sz w:val="21"/>
          <w:szCs w:val="21"/>
        </w:rPr>
        <w:t xml:space="preserve">    监理单位名称：</w:t>
      </w:r>
    </w:p>
    <w:tbl>
      <w:tblPr>
        <w:tblStyle w:val="12"/>
        <w:tblW w:w="13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1059"/>
        <w:gridCol w:w="863"/>
        <w:gridCol w:w="855"/>
        <w:gridCol w:w="860"/>
        <w:gridCol w:w="7989"/>
        <w:gridCol w:w="1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blHeader/>
          <w:jc w:val="center"/>
        </w:trPr>
        <w:tc>
          <w:tcPr>
            <w:tcW w:w="743" w:type="dxa"/>
            <w:vAlign w:val="center"/>
          </w:tcPr>
          <w:p>
            <w:pPr>
              <w:widowControl/>
              <w:ind w:firstLine="0" w:firstLineChars="0"/>
              <w:jc w:val="center"/>
              <w:rPr>
                <w:rFonts w:ascii="Times New Roman" w:hAnsi="Times New Roman" w:eastAsiaTheme="minorEastAsia"/>
                <w:b/>
                <w:sz w:val="21"/>
                <w:szCs w:val="21"/>
              </w:rPr>
            </w:pPr>
            <w:r>
              <w:rPr>
                <w:rFonts w:ascii="Times New Roman" w:hAnsi="Times New Roman" w:eastAsiaTheme="minorEastAsia"/>
                <w:b/>
                <w:sz w:val="21"/>
                <w:szCs w:val="21"/>
              </w:rPr>
              <w:t>序号</w:t>
            </w:r>
          </w:p>
        </w:tc>
        <w:tc>
          <w:tcPr>
            <w:tcW w:w="1059" w:type="dxa"/>
            <w:vAlign w:val="center"/>
          </w:tcPr>
          <w:p>
            <w:pPr>
              <w:widowControl/>
              <w:ind w:firstLine="0" w:firstLineChars="0"/>
              <w:jc w:val="center"/>
              <w:rPr>
                <w:rFonts w:ascii="Times New Roman" w:hAnsi="Times New Roman" w:eastAsiaTheme="minorEastAsia"/>
                <w:b/>
                <w:sz w:val="21"/>
                <w:szCs w:val="21"/>
              </w:rPr>
            </w:pPr>
            <w:r>
              <w:rPr>
                <w:rFonts w:ascii="Times New Roman" w:hAnsi="Times New Roman" w:eastAsiaTheme="minorEastAsia"/>
                <w:b/>
                <w:sz w:val="21"/>
                <w:szCs w:val="21"/>
              </w:rPr>
              <w:t>评价</w:t>
            </w:r>
          </w:p>
          <w:p>
            <w:pPr>
              <w:widowControl/>
              <w:ind w:firstLine="0" w:firstLineChars="0"/>
              <w:jc w:val="center"/>
              <w:rPr>
                <w:rFonts w:ascii="Times New Roman" w:hAnsi="Times New Roman" w:eastAsiaTheme="minorEastAsia"/>
                <w:b/>
                <w:sz w:val="21"/>
                <w:szCs w:val="21"/>
              </w:rPr>
            </w:pPr>
            <w:r>
              <w:rPr>
                <w:rFonts w:ascii="Times New Roman" w:hAnsi="Times New Roman" w:eastAsiaTheme="minorEastAsia"/>
                <w:b/>
                <w:sz w:val="21"/>
                <w:szCs w:val="21"/>
              </w:rPr>
              <w:t>指标</w:t>
            </w:r>
          </w:p>
        </w:tc>
        <w:tc>
          <w:tcPr>
            <w:tcW w:w="863" w:type="dxa"/>
            <w:vAlign w:val="center"/>
          </w:tcPr>
          <w:p>
            <w:pPr>
              <w:widowControl/>
              <w:ind w:firstLine="0" w:firstLineChars="0"/>
              <w:jc w:val="center"/>
              <w:rPr>
                <w:rFonts w:ascii="Times New Roman" w:hAnsi="Times New Roman" w:eastAsiaTheme="minorEastAsia"/>
                <w:b/>
                <w:sz w:val="21"/>
                <w:szCs w:val="21"/>
              </w:rPr>
            </w:pPr>
            <w:r>
              <w:rPr>
                <w:rFonts w:ascii="Times New Roman" w:hAnsi="Times New Roman" w:eastAsiaTheme="minorEastAsia"/>
                <w:b/>
                <w:sz w:val="21"/>
                <w:szCs w:val="21"/>
              </w:rPr>
              <w:t>基础分</w:t>
            </w:r>
          </w:p>
        </w:tc>
        <w:tc>
          <w:tcPr>
            <w:tcW w:w="855" w:type="dxa"/>
            <w:vAlign w:val="center"/>
          </w:tcPr>
          <w:p>
            <w:pPr>
              <w:widowControl/>
              <w:ind w:firstLine="0" w:firstLineChars="0"/>
              <w:jc w:val="center"/>
              <w:rPr>
                <w:rFonts w:ascii="Times New Roman" w:hAnsi="Times New Roman" w:eastAsiaTheme="minorEastAsia"/>
                <w:b/>
                <w:sz w:val="21"/>
                <w:szCs w:val="21"/>
              </w:rPr>
            </w:pPr>
            <w:r>
              <w:rPr>
                <w:rFonts w:ascii="Times New Roman" w:hAnsi="Times New Roman" w:eastAsiaTheme="minorEastAsia"/>
                <w:b/>
                <w:sz w:val="21"/>
                <w:szCs w:val="21"/>
              </w:rPr>
              <w:t>扣分</w:t>
            </w:r>
          </w:p>
        </w:tc>
        <w:tc>
          <w:tcPr>
            <w:tcW w:w="860" w:type="dxa"/>
            <w:vAlign w:val="center"/>
          </w:tcPr>
          <w:p>
            <w:pPr>
              <w:widowControl/>
              <w:ind w:firstLine="0" w:firstLineChars="0"/>
              <w:jc w:val="center"/>
              <w:rPr>
                <w:rFonts w:ascii="Times New Roman" w:hAnsi="Times New Roman" w:eastAsiaTheme="minorEastAsia"/>
                <w:b/>
                <w:sz w:val="21"/>
                <w:szCs w:val="21"/>
              </w:rPr>
            </w:pPr>
            <w:r>
              <w:rPr>
                <w:rFonts w:ascii="Times New Roman" w:hAnsi="Times New Roman" w:eastAsiaTheme="minorEastAsia"/>
                <w:b/>
                <w:sz w:val="21"/>
                <w:szCs w:val="21"/>
              </w:rPr>
              <w:t>得分</w:t>
            </w:r>
          </w:p>
        </w:tc>
        <w:tc>
          <w:tcPr>
            <w:tcW w:w="7989" w:type="dxa"/>
            <w:vAlign w:val="center"/>
          </w:tcPr>
          <w:p>
            <w:pPr>
              <w:widowControl/>
              <w:ind w:firstLine="0" w:firstLineChars="0"/>
              <w:jc w:val="center"/>
              <w:rPr>
                <w:rFonts w:ascii="Times New Roman" w:hAnsi="Times New Roman" w:eastAsiaTheme="minorEastAsia"/>
                <w:b/>
                <w:sz w:val="21"/>
                <w:szCs w:val="21"/>
              </w:rPr>
            </w:pPr>
            <w:r>
              <w:rPr>
                <w:rFonts w:ascii="Times New Roman" w:hAnsi="Times New Roman" w:eastAsiaTheme="minorEastAsia"/>
                <w:b/>
                <w:sz w:val="21"/>
                <w:szCs w:val="21"/>
              </w:rPr>
              <w:t>评价内容及标准</w:t>
            </w:r>
          </w:p>
        </w:tc>
        <w:tc>
          <w:tcPr>
            <w:tcW w:w="1509" w:type="dxa"/>
            <w:vAlign w:val="center"/>
          </w:tcPr>
          <w:p>
            <w:pPr>
              <w:widowControl/>
              <w:ind w:firstLine="0" w:firstLineChars="0"/>
              <w:jc w:val="center"/>
              <w:rPr>
                <w:rFonts w:ascii="Times New Roman" w:hAnsi="Times New Roman" w:eastAsiaTheme="minorEastAsia"/>
                <w:b/>
                <w:sz w:val="21"/>
                <w:szCs w:val="21"/>
              </w:rPr>
            </w:pPr>
            <w:r>
              <w:rPr>
                <w:rFonts w:ascii="Times New Roman" w:hAnsi="Times New Roman" w:eastAsiaTheme="minorEastAsia"/>
                <w:b/>
                <w:sz w:val="21"/>
                <w:szCs w:val="21"/>
              </w:rPr>
              <w:t>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jc w:val="center"/>
        </w:trPr>
        <w:tc>
          <w:tcPr>
            <w:tcW w:w="743" w:type="dxa"/>
            <w:vAlign w:val="center"/>
          </w:tcPr>
          <w:p>
            <w:pPr>
              <w:widowControl/>
              <w:spacing w:line="288" w:lineRule="auto"/>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一</w:t>
            </w:r>
          </w:p>
        </w:tc>
        <w:tc>
          <w:tcPr>
            <w:tcW w:w="1059" w:type="dxa"/>
            <w:vAlign w:val="center"/>
          </w:tcPr>
          <w:p>
            <w:pPr>
              <w:widowControl/>
              <w:spacing w:line="288" w:lineRule="auto"/>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总监理工</w:t>
            </w:r>
          </w:p>
          <w:p>
            <w:pPr>
              <w:widowControl/>
              <w:spacing w:line="288" w:lineRule="auto"/>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程师及专</w:t>
            </w:r>
          </w:p>
          <w:p>
            <w:pPr>
              <w:widowControl/>
              <w:spacing w:line="288" w:lineRule="auto"/>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业监理工</w:t>
            </w:r>
          </w:p>
          <w:p>
            <w:pPr>
              <w:widowControl/>
              <w:spacing w:line="288" w:lineRule="auto"/>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程师到位</w:t>
            </w:r>
          </w:p>
          <w:p>
            <w:pPr>
              <w:widowControl/>
              <w:spacing w:line="288" w:lineRule="auto"/>
              <w:ind w:firstLine="0" w:firstLineChars="0"/>
              <w:jc w:val="center"/>
              <w:rPr>
                <w:rFonts w:ascii="Times New Roman" w:hAnsi="Times New Roman" w:eastAsiaTheme="minorEastAsia"/>
                <w:sz w:val="21"/>
                <w:szCs w:val="21"/>
              </w:rPr>
            </w:pPr>
            <w:r>
              <w:rPr>
                <w:rFonts w:hint="eastAsia" w:ascii="Times New Roman" w:hAnsi="Times New Roman" w:eastAsiaTheme="minorEastAsia"/>
                <w:sz w:val="21"/>
                <w:szCs w:val="21"/>
              </w:rPr>
              <w:t>情况</w:t>
            </w:r>
          </w:p>
        </w:tc>
        <w:tc>
          <w:tcPr>
            <w:tcW w:w="863" w:type="dxa"/>
            <w:vAlign w:val="center"/>
          </w:tcPr>
          <w:p>
            <w:pPr>
              <w:widowControl/>
              <w:spacing w:line="288" w:lineRule="auto"/>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15</w:t>
            </w:r>
          </w:p>
        </w:tc>
        <w:tc>
          <w:tcPr>
            <w:tcW w:w="855" w:type="dxa"/>
          </w:tcPr>
          <w:p>
            <w:pPr>
              <w:widowControl/>
              <w:spacing w:line="288" w:lineRule="auto"/>
              <w:ind w:firstLine="0" w:firstLineChars="0"/>
              <w:jc w:val="center"/>
              <w:rPr>
                <w:rFonts w:ascii="Times New Roman" w:hAnsi="Times New Roman" w:eastAsiaTheme="minorEastAsia"/>
                <w:sz w:val="21"/>
                <w:szCs w:val="21"/>
              </w:rPr>
            </w:pPr>
          </w:p>
        </w:tc>
        <w:tc>
          <w:tcPr>
            <w:tcW w:w="860" w:type="dxa"/>
            <w:vAlign w:val="center"/>
          </w:tcPr>
          <w:p>
            <w:pPr>
              <w:widowControl/>
              <w:spacing w:line="288" w:lineRule="auto"/>
              <w:ind w:firstLine="0" w:firstLineChars="0"/>
              <w:jc w:val="center"/>
              <w:rPr>
                <w:rFonts w:ascii="Times New Roman" w:hAnsi="Times New Roman" w:eastAsiaTheme="minorEastAsia"/>
                <w:sz w:val="21"/>
                <w:szCs w:val="21"/>
              </w:rPr>
            </w:pPr>
          </w:p>
        </w:tc>
        <w:tc>
          <w:tcPr>
            <w:tcW w:w="7989" w:type="dxa"/>
            <w:vAlign w:val="center"/>
          </w:tcPr>
          <w:p>
            <w:pPr>
              <w:pStyle w:val="25"/>
              <w:numPr>
                <w:ilvl w:val="0"/>
                <w:numId w:val="4"/>
              </w:numPr>
              <w:spacing w:line="288" w:lineRule="auto"/>
              <w:ind w:right="98"/>
              <w:jc w:val="both"/>
              <w:rPr>
                <w:rFonts w:ascii="Times New Roman" w:hAnsi="Times New Roman" w:cs="Times New Roman" w:eastAsiaTheme="minorEastAsia"/>
                <w:snapToGrid/>
                <w:color w:val="auto"/>
                <w:sz w:val="21"/>
                <w:szCs w:val="21"/>
                <w:lang w:eastAsia="zh-CN"/>
              </w:rPr>
            </w:pPr>
            <w:r>
              <w:rPr>
                <w:rFonts w:hint="eastAsia" w:ascii="Times New Roman" w:hAnsi="Times New Roman" w:cs="Times New Roman" w:eastAsiaTheme="minorEastAsia"/>
                <w:snapToGrid/>
                <w:color w:val="auto"/>
                <w:sz w:val="21"/>
                <w:szCs w:val="21"/>
                <w:lang w:eastAsia="zh-CN"/>
              </w:rPr>
              <w:t>未</w:t>
            </w:r>
            <w:r>
              <w:rPr>
                <w:rFonts w:ascii="Times New Roman" w:hAnsi="Times New Roman" w:cs="Times New Roman" w:eastAsiaTheme="minorEastAsia"/>
                <w:snapToGrid/>
                <w:color w:val="auto"/>
                <w:sz w:val="21"/>
                <w:szCs w:val="21"/>
                <w:lang w:eastAsia="zh-CN"/>
              </w:rPr>
              <w:t>经建设单位同意更换总监理工程师，扣5分；</w:t>
            </w:r>
            <w:r>
              <w:rPr>
                <w:rFonts w:hint="eastAsia" w:ascii="Times New Roman" w:hAnsi="Times New Roman" w:cs="Times New Roman" w:eastAsiaTheme="minorEastAsia"/>
                <w:snapToGrid/>
                <w:color w:val="auto"/>
                <w:sz w:val="21"/>
                <w:szCs w:val="21"/>
                <w:lang w:eastAsia="zh-CN"/>
              </w:rPr>
              <w:t>未</w:t>
            </w:r>
            <w:r>
              <w:rPr>
                <w:rFonts w:ascii="Times New Roman" w:hAnsi="Times New Roman" w:cs="Times New Roman" w:eastAsiaTheme="minorEastAsia"/>
                <w:snapToGrid/>
                <w:color w:val="auto"/>
                <w:sz w:val="21"/>
                <w:szCs w:val="21"/>
                <w:lang w:eastAsia="zh-CN"/>
              </w:rPr>
              <w:t>经建设单位同意更换专业监理工程师，扣3分；经建设单位同意更换总监理工程师或专业监理工程师的，扣3分（因病等特殊情况除外）</w:t>
            </w:r>
            <w:r>
              <w:rPr>
                <w:rFonts w:hint="eastAsia" w:ascii="Times New Roman" w:hAnsi="Times New Roman" w:cs="Times New Roman" w:eastAsiaTheme="minorEastAsia"/>
                <w:snapToGrid/>
                <w:color w:val="auto"/>
                <w:sz w:val="21"/>
                <w:szCs w:val="21"/>
                <w:lang w:eastAsia="zh-CN"/>
              </w:rPr>
              <w:t>；</w:t>
            </w:r>
          </w:p>
          <w:p>
            <w:pPr>
              <w:pStyle w:val="25"/>
              <w:numPr>
                <w:ilvl w:val="0"/>
                <w:numId w:val="4"/>
              </w:numPr>
              <w:spacing w:line="288" w:lineRule="auto"/>
              <w:ind w:right="98"/>
              <w:jc w:val="both"/>
              <w:rPr>
                <w:rFonts w:ascii="Times New Roman" w:hAnsi="Times New Roman" w:cs="Times New Roman" w:eastAsiaTheme="minorEastAsia"/>
                <w:snapToGrid/>
                <w:color w:val="auto"/>
                <w:sz w:val="21"/>
                <w:szCs w:val="21"/>
                <w:lang w:eastAsia="zh-CN"/>
              </w:rPr>
            </w:pPr>
            <w:r>
              <w:rPr>
                <w:rFonts w:ascii="Times New Roman" w:hAnsi="Times New Roman" w:cs="Times New Roman" w:eastAsiaTheme="minorEastAsia"/>
                <w:snapToGrid/>
                <w:color w:val="auto"/>
                <w:sz w:val="21"/>
                <w:szCs w:val="21"/>
                <w:lang w:eastAsia="zh-CN"/>
              </w:rPr>
              <w:t>检查期间总监理工程师无故不在施工现场，扣</w:t>
            </w:r>
            <w:r>
              <w:rPr>
                <w:rFonts w:hint="eastAsia" w:ascii="Times New Roman" w:hAnsi="Times New Roman" w:cs="Times New Roman" w:eastAsiaTheme="minorEastAsia"/>
                <w:snapToGrid/>
                <w:color w:val="auto"/>
                <w:sz w:val="21"/>
                <w:szCs w:val="21"/>
                <w:lang w:eastAsia="zh-CN"/>
              </w:rPr>
              <w:t>3</w:t>
            </w:r>
            <w:r>
              <w:rPr>
                <w:rFonts w:ascii="Times New Roman" w:hAnsi="Times New Roman" w:cs="Times New Roman" w:eastAsiaTheme="minorEastAsia"/>
                <w:snapToGrid/>
                <w:color w:val="auto"/>
                <w:sz w:val="21"/>
                <w:szCs w:val="21"/>
                <w:lang w:eastAsia="zh-CN"/>
              </w:rPr>
              <w:t>分；检查中专业监理工程师无故不在施工现场，扣2分</w:t>
            </w:r>
            <w:r>
              <w:rPr>
                <w:rFonts w:hint="eastAsia" w:ascii="Times New Roman" w:hAnsi="Times New Roman" w:cs="Times New Roman" w:eastAsiaTheme="minorEastAsia"/>
                <w:snapToGrid/>
                <w:color w:val="auto"/>
                <w:sz w:val="21"/>
                <w:szCs w:val="21"/>
                <w:lang w:eastAsia="zh-CN"/>
              </w:rPr>
              <w:t>；</w:t>
            </w:r>
          </w:p>
          <w:p>
            <w:pPr>
              <w:pStyle w:val="25"/>
              <w:numPr>
                <w:ilvl w:val="0"/>
                <w:numId w:val="4"/>
              </w:numPr>
              <w:spacing w:line="288" w:lineRule="auto"/>
              <w:jc w:val="both"/>
              <w:rPr>
                <w:rFonts w:ascii="Times New Roman" w:hAnsi="Times New Roman" w:cs="Times New Roman" w:eastAsiaTheme="minorEastAsia"/>
                <w:snapToGrid/>
                <w:color w:val="auto"/>
                <w:sz w:val="21"/>
                <w:szCs w:val="21"/>
                <w:lang w:eastAsia="zh-CN"/>
              </w:rPr>
            </w:pPr>
            <w:r>
              <w:rPr>
                <w:rFonts w:ascii="Times New Roman" w:hAnsi="Times New Roman" w:cs="Times New Roman" w:eastAsiaTheme="minorEastAsia"/>
                <w:snapToGrid/>
                <w:color w:val="auto"/>
                <w:sz w:val="21"/>
                <w:szCs w:val="21"/>
                <w:lang w:eastAsia="zh-CN"/>
              </w:rPr>
              <w:t>检查期间总监理工程师无故未参加工程例会，每缺席一次扣3分。</w:t>
            </w:r>
          </w:p>
        </w:tc>
        <w:tc>
          <w:tcPr>
            <w:tcW w:w="1509" w:type="dxa"/>
            <w:vAlign w:val="center"/>
          </w:tcPr>
          <w:p>
            <w:pPr>
              <w:widowControl/>
              <w:spacing w:line="288" w:lineRule="auto"/>
              <w:ind w:firstLine="0" w:firstLineChars="0"/>
              <w:jc w:val="center"/>
              <w:rPr>
                <w:rFonts w:ascii="Times New Roman" w:hAnsi="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jc w:val="center"/>
        </w:trPr>
        <w:tc>
          <w:tcPr>
            <w:tcW w:w="743" w:type="dxa"/>
            <w:vAlign w:val="center"/>
          </w:tcPr>
          <w:p>
            <w:pPr>
              <w:widowControl/>
              <w:spacing w:line="288" w:lineRule="auto"/>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二</w:t>
            </w:r>
          </w:p>
        </w:tc>
        <w:tc>
          <w:tcPr>
            <w:tcW w:w="1059" w:type="dxa"/>
            <w:vAlign w:val="center"/>
          </w:tcPr>
          <w:p>
            <w:pPr>
              <w:widowControl/>
              <w:spacing w:line="288" w:lineRule="auto"/>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专业技术</w:t>
            </w:r>
          </w:p>
          <w:p>
            <w:pPr>
              <w:widowControl/>
              <w:spacing w:line="288" w:lineRule="auto"/>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人力及设</w:t>
            </w:r>
          </w:p>
          <w:p>
            <w:pPr>
              <w:widowControl/>
              <w:spacing w:line="288" w:lineRule="auto"/>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备的投入</w:t>
            </w:r>
          </w:p>
          <w:p>
            <w:pPr>
              <w:widowControl/>
              <w:spacing w:line="288" w:lineRule="auto"/>
              <w:ind w:firstLine="0" w:firstLineChars="0"/>
              <w:jc w:val="center"/>
              <w:rPr>
                <w:rFonts w:ascii="Times New Roman" w:hAnsi="Times New Roman" w:eastAsiaTheme="minorEastAsia"/>
                <w:sz w:val="21"/>
                <w:szCs w:val="21"/>
              </w:rPr>
            </w:pPr>
            <w:r>
              <w:rPr>
                <w:rFonts w:hint="eastAsia" w:ascii="Times New Roman" w:hAnsi="Times New Roman" w:eastAsiaTheme="minorEastAsia"/>
                <w:sz w:val="21"/>
                <w:szCs w:val="21"/>
              </w:rPr>
              <w:t>情况</w:t>
            </w:r>
          </w:p>
        </w:tc>
        <w:tc>
          <w:tcPr>
            <w:tcW w:w="863" w:type="dxa"/>
            <w:vAlign w:val="center"/>
          </w:tcPr>
          <w:p>
            <w:pPr>
              <w:widowControl/>
              <w:spacing w:line="288" w:lineRule="auto"/>
              <w:ind w:firstLine="0" w:firstLineChars="0"/>
              <w:jc w:val="center"/>
              <w:rPr>
                <w:rFonts w:ascii="Times New Roman" w:hAnsi="Times New Roman" w:eastAsiaTheme="minorEastAsia"/>
                <w:sz w:val="21"/>
                <w:szCs w:val="21"/>
              </w:rPr>
            </w:pPr>
            <w:r>
              <w:rPr>
                <w:rFonts w:hint="eastAsia" w:ascii="Times New Roman" w:hAnsi="Times New Roman" w:eastAsiaTheme="minorEastAsia"/>
                <w:sz w:val="21"/>
                <w:szCs w:val="21"/>
              </w:rPr>
              <w:t>15</w:t>
            </w:r>
          </w:p>
        </w:tc>
        <w:tc>
          <w:tcPr>
            <w:tcW w:w="855" w:type="dxa"/>
          </w:tcPr>
          <w:p>
            <w:pPr>
              <w:widowControl/>
              <w:spacing w:line="288" w:lineRule="auto"/>
              <w:ind w:firstLine="0" w:firstLineChars="0"/>
              <w:jc w:val="center"/>
              <w:rPr>
                <w:rFonts w:ascii="Times New Roman" w:hAnsi="Times New Roman" w:eastAsiaTheme="minorEastAsia"/>
                <w:sz w:val="21"/>
                <w:szCs w:val="21"/>
              </w:rPr>
            </w:pPr>
          </w:p>
        </w:tc>
        <w:tc>
          <w:tcPr>
            <w:tcW w:w="860" w:type="dxa"/>
            <w:vAlign w:val="center"/>
          </w:tcPr>
          <w:p>
            <w:pPr>
              <w:widowControl/>
              <w:spacing w:line="288" w:lineRule="auto"/>
              <w:ind w:firstLine="0" w:firstLineChars="0"/>
              <w:jc w:val="center"/>
              <w:rPr>
                <w:rFonts w:ascii="Times New Roman" w:hAnsi="Times New Roman" w:eastAsiaTheme="minorEastAsia"/>
                <w:sz w:val="21"/>
                <w:szCs w:val="21"/>
              </w:rPr>
            </w:pPr>
          </w:p>
        </w:tc>
        <w:tc>
          <w:tcPr>
            <w:tcW w:w="7989" w:type="dxa"/>
            <w:vAlign w:val="center"/>
          </w:tcPr>
          <w:p>
            <w:pPr>
              <w:pStyle w:val="25"/>
              <w:numPr>
                <w:ilvl w:val="0"/>
                <w:numId w:val="5"/>
              </w:numPr>
              <w:spacing w:line="288" w:lineRule="auto"/>
              <w:ind w:right="101"/>
              <w:jc w:val="both"/>
              <w:rPr>
                <w:rFonts w:ascii="Times New Roman" w:hAnsi="Times New Roman" w:cs="Times New Roman" w:eastAsiaTheme="minorEastAsia"/>
                <w:snapToGrid/>
                <w:color w:val="auto"/>
                <w:sz w:val="21"/>
                <w:szCs w:val="21"/>
                <w:lang w:eastAsia="zh-CN"/>
              </w:rPr>
            </w:pPr>
            <w:r>
              <w:rPr>
                <w:rFonts w:ascii="Times New Roman" w:hAnsi="Times New Roman" w:cs="Times New Roman" w:eastAsiaTheme="minorEastAsia"/>
                <w:snapToGrid/>
                <w:color w:val="auto"/>
                <w:sz w:val="21"/>
                <w:szCs w:val="21"/>
                <w:lang w:eastAsia="zh-CN"/>
              </w:rPr>
              <w:t>投入人力：监理人员的资质、职称、监理经历、年龄是否满足监理招标文件规定要求和投标文件承诺。不符合约定的，每发现一次扣3分</w:t>
            </w:r>
            <w:r>
              <w:rPr>
                <w:rFonts w:hint="eastAsia" w:ascii="Times New Roman" w:hAnsi="Times New Roman" w:cs="Times New Roman" w:eastAsiaTheme="minorEastAsia"/>
                <w:snapToGrid/>
                <w:color w:val="auto"/>
                <w:sz w:val="21"/>
                <w:szCs w:val="21"/>
                <w:lang w:eastAsia="zh-CN"/>
              </w:rPr>
              <w:t>；</w:t>
            </w:r>
          </w:p>
          <w:p>
            <w:pPr>
              <w:pStyle w:val="25"/>
              <w:numPr>
                <w:ilvl w:val="0"/>
                <w:numId w:val="5"/>
              </w:numPr>
              <w:spacing w:line="288" w:lineRule="auto"/>
              <w:ind w:right="98"/>
              <w:jc w:val="both"/>
              <w:rPr>
                <w:rFonts w:ascii="Times New Roman" w:hAnsi="Times New Roman" w:cs="Times New Roman" w:eastAsiaTheme="minorEastAsia"/>
                <w:snapToGrid/>
                <w:color w:val="auto"/>
                <w:sz w:val="21"/>
                <w:szCs w:val="21"/>
                <w:lang w:eastAsia="zh-CN"/>
              </w:rPr>
            </w:pPr>
            <w:r>
              <w:rPr>
                <w:rFonts w:ascii="Times New Roman" w:hAnsi="Times New Roman" w:cs="Times New Roman" w:eastAsiaTheme="minorEastAsia"/>
                <w:snapToGrid/>
                <w:color w:val="auto"/>
                <w:sz w:val="21"/>
                <w:szCs w:val="21"/>
                <w:lang w:eastAsia="zh-CN"/>
              </w:rPr>
              <w:t>监理组织机构、监理岗位设置是否满足监理招标文件规定要求和投标文件承诺。不符合约定的，每发现一次扣3分</w:t>
            </w:r>
            <w:r>
              <w:rPr>
                <w:rFonts w:hint="eastAsia" w:ascii="Times New Roman" w:hAnsi="Times New Roman" w:cs="Times New Roman" w:eastAsiaTheme="minorEastAsia"/>
                <w:snapToGrid/>
                <w:color w:val="auto"/>
                <w:sz w:val="21"/>
                <w:szCs w:val="21"/>
                <w:lang w:eastAsia="zh-CN"/>
              </w:rPr>
              <w:t>；</w:t>
            </w:r>
          </w:p>
          <w:p>
            <w:pPr>
              <w:pStyle w:val="25"/>
              <w:numPr>
                <w:ilvl w:val="0"/>
                <w:numId w:val="5"/>
              </w:numPr>
              <w:spacing w:line="288" w:lineRule="auto"/>
              <w:ind w:right="98"/>
              <w:jc w:val="both"/>
              <w:rPr>
                <w:rFonts w:ascii="Times New Roman" w:hAnsi="Times New Roman" w:cs="Times New Roman" w:eastAsiaTheme="minorEastAsia"/>
                <w:snapToGrid/>
                <w:color w:val="auto"/>
                <w:sz w:val="21"/>
                <w:szCs w:val="21"/>
                <w:lang w:eastAsia="zh-CN"/>
              </w:rPr>
            </w:pPr>
            <w:r>
              <w:rPr>
                <w:rFonts w:ascii="Times New Roman" w:hAnsi="Times New Roman" w:cs="Times New Roman" w:eastAsiaTheme="minorEastAsia"/>
                <w:snapToGrid/>
                <w:color w:val="auto"/>
                <w:sz w:val="21"/>
                <w:szCs w:val="21"/>
                <w:lang w:eastAsia="zh-CN"/>
              </w:rPr>
              <w:t>监理设施设备（各种测量设备、仪器和办公设备）是否满足监理招标文件规定要求和投标文件承诺。不符合约定的，每发现一次扣3分。</w:t>
            </w:r>
          </w:p>
        </w:tc>
        <w:tc>
          <w:tcPr>
            <w:tcW w:w="1509" w:type="dxa"/>
            <w:vAlign w:val="center"/>
          </w:tcPr>
          <w:p>
            <w:pPr>
              <w:widowControl/>
              <w:spacing w:line="288" w:lineRule="auto"/>
              <w:ind w:firstLine="0" w:firstLineChars="0"/>
              <w:jc w:val="center"/>
              <w:rPr>
                <w:rFonts w:ascii="Times New Roman" w:hAnsi="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8" w:hRule="atLeast"/>
          <w:jc w:val="center"/>
        </w:trPr>
        <w:tc>
          <w:tcPr>
            <w:tcW w:w="743" w:type="dxa"/>
            <w:vAlign w:val="center"/>
          </w:tcPr>
          <w:p>
            <w:pPr>
              <w:widowControl/>
              <w:spacing w:line="288" w:lineRule="auto"/>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三</w:t>
            </w:r>
          </w:p>
        </w:tc>
        <w:tc>
          <w:tcPr>
            <w:tcW w:w="1059" w:type="dxa"/>
            <w:vAlign w:val="center"/>
          </w:tcPr>
          <w:p>
            <w:pPr>
              <w:widowControl/>
              <w:spacing w:line="288" w:lineRule="auto"/>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施工质量</w:t>
            </w:r>
          </w:p>
          <w:p>
            <w:pPr>
              <w:widowControl/>
              <w:spacing w:line="288" w:lineRule="auto"/>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控制情况</w:t>
            </w:r>
          </w:p>
        </w:tc>
        <w:tc>
          <w:tcPr>
            <w:tcW w:w="863" w:type="dxa"/>
            <w:vAlign w:val="center"/>
          </w:tcPr>
          <w:p>
            <w:pPr>
              <w:widowControl/>
              <w:spacing w:line="288" w:lineRule="auto"/>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15</w:t>
            </w:r>
          </w:p>
        </w:tc>
        <w:tc>
          <w:tcPr>
            <w:tcW w:w="855" w:type="dxa"/>
          </w:tcPr>
          <w:p>
            <w:pPr>
              <w:widowControl/>
              <w:spacing w:line="288" w:lineRule="auto"/>
              <w:ind w:firstLine="0" w:firstLineChars="0"/>
              <w:jc w:val="center"/>
              <w:rPr>
                <w:rFonts w:ascii="Times New Roman" w:hAnsi="Times New Roman" w:eastAsiaTheme="minorEastAsia"/>
                <w:sz w:val="21"/>
                <w:szCs w:val="21"/>
              </w:rPr>
            </w:pPr>
          </w:p>
        </w:tc>
        <w:tc>
          <w:tcPr>
            <w:tcW w:w="860" w:type="dxa"/>
            <w:vAlign w:val="center"/>
          </w:tcPr>
          <w:p>
            <w:pPr>
              <w:widowControl/>
              <w:spacing w:line="288" w:lineRule="auto"/>
              <w:ind w:firstLine="0" w:firstLineChars="0"/>
              <w:jc w:val="center"/>
              <w:rPr>
                <w:rFonts w:ascii="Times New Roman" w:hAnsi="Times New Roman" w:eastAsiaTheme="minorEastAsia"/>
                <w:sz w:val="21"/>
                <w:szCs w:val="21"/>
              </w:rPr>
            </w:pPr>
          </w:p>
        </w:tc>
        <w:tc>
          <w:tcPr>
            <w:tcW w:w="7989" w:type="dxa"/>
            <w:vAlign w:val="center"/>
          </w:tcPr>
          <w:p>
            <w:pPr>
              <w:pStyle w:val="25"/>
              <w:numPr>
                <w:ilvl w:val="0"/>
                <w:numId w:val="6"/>
              </w:numPr>
              <w:spacing w:line="288" w:lineRule="auto"/>
              <w:ind w:right="98"/>
              <w:jc w:val="both"/>
              <w:rPr>
                <w:rFonts w:ascii="Times New Roman" w:hAnsi="Times New Roman" w:cs="Times New Roman" w:eastAsiaTheme="minorEastAsia"/>
                <w:snapToGrid/>
                <w:color w:val="auto"/>
                <w:sz w:val="21"/>
                <w:szCs w:val="21"/>
                <w:lang w:eastAsia="zh-CN"/>
              </w:rPr>
            </w:pPr>
            <w:r>
              <w:rPr>
                <w:rFonts w:ascii="Times New Roman" w:hAnsi="Times New Roman" w:cs="Times New Roman" w:eastAsiaTheme="minorEastAsia"/>
                <w:snapToGrid/>
                <w:color w:val="auto"/>
                <w:sz w:val="21"/>
                <w:szCs w:val="21"/>
                <w:lang w:eastAsia="zh-CN"/>
              </w:rPr>
              <w:t>未按规定要求施工单位对建筑材料、建筑构配件、设备和砼进行检验或检验不合格，施工单位擅自使用，监理单位未发现或发现无作为，每发生一次扣5分</w:t>
            </w:r>
            <w:r>
              <w:rPr>
                <w:rFonts w:hint="eastAsia" w:ascii="Times New Roman" w:hAnsi="Times New Roman" w:cs="Times New Roman" w:eastAsiaTheme="minorEastAsia"/>
                <w:snapToGrid/>
                <w:color w:val="auto"/>
                <w:sz w:val="21"/>
                <w:szCs w:val="21"/>
                <w:lang w:eastAsia="zh-CN"/>
              </w:rPr>
              <w:t>；</w:t>
            </w:r>
          </w:p>
          <w:p>
            <w:pPr>
              <w:pStyle w:val="25"/>
              <w:numPr>
                <w:ilvl w:val="0"/>
                <w:numId w:val="6"/>
              </w:numPr>
              <w:spacing w:line="288" w:lineRule="auto"/>
              <w:ind w:right="98"/>
              <w:jc w:val="both"/>
              <w:rPr>
                <w:rFonts w:ascii="Times New Roman" w:hAnsi="Times New Roman" w:cs="Times New Roman" w:eastAsiaTheme="minorEastAsia"/>
                <w:snapToGrid/>
                <w:color w:val="auto"/>
                <w:sz w:val="21"/>
                <w:szCs w:val="21"/>
                <w:lang w:eastAsia="zh-CN"/>
              </w:rPr>
            </w:pPr>
            <w:r>
              <w:rPr>
                <w:rFonts w:ascii="Times New Roman" w:hAnsi="Times New Roman" w:cs="Times New Roman" w:eastAsiaTheme="minorEastAsia"/>
                <w:snapToGrid/>
                <w:color w:val="auto"/>
                <w:sz w:val="21"/>
                <w:szCs w:val="21"/>
                <w:lang w:eastAsia="zh-CN"/>
              </w:rPr>
              <w:t>未按规定要求施工单位对隐蔽工程的质量进行检查和记录，未经监理工程师签字施工单位进入下一道工序施工，监理未发现或发现无作为，每发生一次扣5分</w:t>
            </w:r>
            <w:r>
              <w:rPr>
                <w:rFonts w:hint="eastAsia" w:ascii="Times New Roman" w:hAnsi="Times New Roman" w:cs="Times New Roman" w:eastAsiaTheme="minorEastAsia"/>
                <w:snapToGrid/>
                <w:color w:val="auto"/>
                <w:sz w:val="21"/>
                <w:szCs w:val="21"/>
                <w:lang w:eastAsia="zh-CN"/>
              </w:rPr>
              <w:t>；</w:t>
            </w:r>
          </w:p>
          <w:p>
            <w:pPr>
              <w:pStyle w:val="25"/>
              <w:numPr>
                <w:ilvl w:val="0"/>
                <w:numId w:val="6"/>
              </w:numPr>
              <w:spacing w:line="288" w:lineRule="auto"/>
              <w:ind w:right="98"/>
              <w:jc w:val="both"/>
              <w:rPr>
                <w:rFonts w:ascii="Times New Roman" w:hAnsi="Times New Roman" w:cs="Times New Roman" w:eastAsiaTheme="minorEastAsia"/>
                <w:snapToGrid/>
                <w:color w:val="auto"/>
                <w:sz w:val="21"/>
                <w:szCs w:val="21"/>
                <w:lang w:eastAsia="zh-CN"/>
              </w:rPr>
            </w:pPr>
            <w:r>
              <w:rPr>
                <w:rFonts w:ascii="Times New Roman" w:hAnsi="Times New Roman" w:cs="Times New Roman" w:eastAsiaTheme="minorEastAsia"/>
                <w:snapToGrid/>
                <w:color w:val="auto"/>
                <w:sz w:val="21"/>
                <w:szCs w:val="21"/>
                <w:lang w:eastAsia="zh-CN"/>
              </w:rPr>
              <w:t>因质量原因被建设单位责令停工的，扣15分</w:t>
            </w:r>
            <w:r>
              <w:rPr>
                <w:rFonts w:hint="eastAsia" w:ascii="Times New Roman" w:hAnsi="Times New Roman" w:cs="Times New Roman" w:eastAsiaTheme="minorEastAsia"/>
                <w:snapToGrid/>
                <w:color w:val="auto"/>
                <w:sz w:val="21"/>
                <w:szCs w:val="21"/>
                <w:lang w:eastAsia="zh-CN"/>
              </w:rPr>
              <w:t>；</w:t>
            </w:r>
          </w:p>
          <w:p>
            <w:pPr>
              <w:pStyle w:val="25"/>
              <w:numPr>
                <w:ilvl w:val="0"/>
                <w:numId w:val="6"/>
              </w:numPr>
              <w:spacing w:line="288" w:lineRule="auto"/>
              <w:ind w:right="98"/>
              <w:jc w:val="both"/>
              <w:rPr>
                <w:rFonts w:ascii="Times New Roman" w:hAnsi="Times New Roman" w:cs="Times New Roman" w:eastAsiaTheme="minorEastAsia"/>
                <w:snapToGrid/>
                <w:color w:val="auto"/>
                <w:sz w:val="21"/>
                <w:szCs w:val="21"/>
                <w:lang w:eastAsia="zh-CN"/>
              </w:rPr>
            </w:pPr>
            <w:r>
              <w:rPr>
                <w:rFonts w:ascii="Times New Roman" w:hAnsi="Times New Roman" w:cs="Times New Roman" w:eastAsiaTheme="minorEastAsia"/>
                <w:snapToGrid/>
                <w:color w:val="auto"/>
                <w:sz w:val="21"/>
                <w:szCs w:val="21"/>
                <w:lang w:eastAsia="zh-CN"/>
              </w:rPr>
              <w:t>因质量原因出现重大返工的，扣15分。</w:t>
            </w:r>
          </w:p>
        </w:tc>
        <w:tc>
          <w:tcPr>
            <w:tcW w:w="1509" w:type="dxa"/>
            <w:vAlign w:val="center"/>
          </w:tcPr>
          <w:p>
            <w:pPr>
              <w:widowControl/>
              <w:spacing w:line="288" w:lineRule="auto"/>
              <w:ind w:firstLine="0" w:firstLineChars="0"/>
              <w:jc w:val="center"/>
              <w:rPr>
                <w:rFonts w:ascii="Times New Roman" w:hAnsi="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jc w:val="center"/>
        </w:trPr>
        <w:tc>
          <w:tcPr>
            <w:tcW w:w="743" w:type="dxa"/>
            <w:vAlign w:val="center"/>
          </w:tcPr>
          <w:p>
            <w:pPr>
              <w:widowControl/>
              <w:spacing w:line="288" w:lineRule="auto"/>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四</w:t>
            </w:r>
          </w:p>
        </w:tc>
        <w:tc>
          <w:tcPr>
            <w:tcW w:w="1059" w:type="dxa"/>
            <w:vAlign w:val="center"/>
          </w:tcPr>
          <w:p>
            <w:pPr>
              <w:widowControl/>
              <w:spacing w:line="288" w:lineRule="auto"/>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施工进度</w:t>
            </w:r>
          </w:p>
          <w:p>
            <w:pPr>
              <w:widowControl/>
              <w:spacing w:line="288" w:lineRule="auto"/>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计划控制</w:t>
            </w:r>
          </w:p>
          <w:p>
            <w:pPr>
              <w:widowControl/>
              <w:spacing w:line="288" w:lineRule="auto"/>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情况</w:t>
            </w:r>
          </w:p>
        </w:tc>
        <w:tc>
          <w:tcPr>
            <w:tcW w:w="863" w:type="dxa"/>
            <w:vAlign w:val="center"/>
          </w:tcPr>
          <w:p>
            <w:pPr>
              <w:widowControl/>
              <w:spacing w:line="288" w:lineRule="auto"/>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15</w:t>
            </w:r>
          </w:p>
        </w:tc>
        <w:tc>
          <w:tcPr>
            <w:tcW w:w="855" w:type="dxa"/>
          </w:tcPr>
          <w:p>
            <w:pPr>
              <w:widowControl/>
              <w:spacing w:line="288" w:lineRule="auto"/>
              <w:ind w:firstLine="0" w:firstLineChars="0"/>
              <w:jc w:val="center"/>
              <w:rPr>
                <w:rFonts w:ascii="Times New Roman" w:hAnsi="Times New Roman" w:eastAsiaTheme="minorEastAsia"/>
                <w:sz w:val="21"/>
                <w:szCs w:val="21"/>
              </w:rPr>
            </w:pPr>
          </w:p>
        </w:tc>
        <w:tc>
          <w:tcPr>
            <w:tcW w:w="860" w:type="dxa"/>
            <w:vAlign w:val="center"/>
          </w:tcPr>
          <w:p>
            <w:pPr>
              <w:widowControl/>
              <w:spacing w:line="288" w:lineRule="auto"/>
              <w:ind w:firstLine="0" w:firstLineChars="0"/>
              <w:jc w:val="center"/>
              <w:rPr>
                <w:rFonts w:ascii="Times New Roman" w:hAnsi="Times New Roman" w:eastAsiaTheme="minorEastAsia"/>
                <w:sz w:val="21"/>
                <w:szCs w:val="21"/>
              </w:rPr>
            </w:pPr>
          </w:p>
        </w:tc>
        <w:tc>
          <w:tcPr>
            <w:tcW w:w="7989" w:type="dxa"/>
            <w:vAlign w:val="center"/>
          </w:tcPr>
          <w:p>
            <w:pPr>
              <w:pStyle w:val="25"/>
              <w:numPr>
                <w:ilvl w:val="0"/>
                <w:numId w:val="7"/>
              </w:numPr>
              <w:spacing w:before="91" w:line="288" w:lineRule="auto"/>
              <w:ind w:right="98"/>
              <w:jc w:val="both"/>
              <w:rPr>
                <w:rFonts w:ascii="Times New Roman" w:hAnsi="Times New Roman" w:cs="Times New Roman" w:eastAsiaTheme="minorEastAsia"/>
                <w:snapToGrid/>
                <w:color w:val="auto"/>
                <w:sz w:val="21"/>
                <w:szCs w:val="21"/>
                <w:lang w:eastAsia="zh-CN"/>
              </w:rPr>
            </w:pPr>
            <w:r>
              <w:rPr>
                <w:rFonts w:ascii="Times New Roman" w:hAnsi="Times New Roman" w:cs="Times New Roman" w:eastAsiaTheme="minorEastAsia"/>
                <w:snapToGrid/>
                <w:color w:val="auto"/>
                <w:sz w:val="21"/>
                <w:szCs w:val="21"/>
                <w:lang w:eastAsia="zh-CN"/>
              </w:rPr>
              <w:t>非建设单位原因或不可抗力，工程施工进度延误，不按建设单位要求采取措施或采取措施后仍然延误的，与合同要求或经审批的进度计划对比：延误10天（不含）以内，扣3分；延误10—20天（不含）以内，扣5分；延误20—30天（不含）以内，扣10分；延误30天以上，扣15分</w:t>
            </w:r>
            <w:r>
              <w:rPr>
                <w:rFonts w:hint="eastAsia" w:ascii="Times New Roman" w:hAnsi="Times New Roman" w:cs="Times New Roman" w:eastAsiaTheme="minorEastAsia"/>
                <w:snapToGrid/>
                <w:color w:val="auto"/>
                <w:sz w:val="21"/>
                <w:szCs w:val="21"/>
                <w:lang w:eastAsia="zh-CN"/>
              </w:rPr>
              <w:t>；</w:t>
            </w:r>
          </w:p>
          <w:p>
            <w:pPr>
              <w:pStyle w:val="25"/>
              <w:numPr>
                <w:ilvl w:val="0"/>
                <w:numId w:val="7"/>
              </w:numPr>
              <w:spacing w:before="59" w:line="288" w:lineRule="auto"/>
              <w:ind w:right="101"/>
              <w:jc w:val="both"/>
              <w:rPr>
                <w:rFonts w:ascii="Times New Roman" w:hAnsi="Times New Roman" w:cs="Times New Roman" w:eastAsiaTheme="minorEastAsia"/>
                <w:snapToGrid/>
                <w:color w:val="auto"/>
                <w:sz w:val="21"/>
                <w:szCs w:val="21"/>
                <w:lang w:eastAsia="zh-CN"/>
              </w:rPr>
            </w:pPr>
            <w:r>
              <w:rPr>
                <w:rFonts w:ascii="Times New Roman" w:hAnsi="Times New Roman" w:cs="Times New Roman" w:eastAsiaTheme="minorEastAsia"/>
                <w:snapToGrid/>
                <w:color w:val="auto"/>
                <w:sz w:val="21"/>
                <w:szCs w:val="21"/>
                <w:lang w:eastAsia="zh-CN"/>
              </w:rPr>
              <w:t>未按要求提交工程监理月报（包括已完成工程量及下月施工进度计划），扣5分。</w:t>
            </w:r>
          </w:p>
        </w:tc>
        <w:tc>
          <w:tcPr>
            <w:tcW w:w="1509" w:type="dxa"/>
            <w:vAlign w:val="center"/>
          </w:tcPr>
          <w:p>
            <w:pPr>
              <w:widowControl/>
              <w:spacing w:line="288" w:lineRule="auto"/>
              <w:ind w:firstLine="0" w:firstLineChars="0"/>
              <w:jc w:val="center"/>
              <w:rPr>
                <w:rFonts w:ascii="Times New Roman" w:hAnsi="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0" w:hRule="atLeast"/>
          <w:jc w:val="center"/>
        </w:trPr>
        <w:tc>
          <w:tcPr>
            <w:tcW w:w="743" w:type="dxa"/>
            <w:vAlign w:val="center"/>
          </w:tcPr>
          <w:p>
            <w:pPr>
              <w:widowControl/>
              <w:spacing w:line="288" w:lineRule="auto"/>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五</w:t>
            </w:r>
          </w:p>
        </w:tc>
        <w:tc>
          <w:tcPr>
            <w:tcW w:w="1059" w:type="dxa"/>
            <w:vAlign w:val="center"/>
          </w:tcPr>
          <w:p>
            <w:pPr>
              <w:widowControl/>
              <w:spacing w:line="288" w:lineRule="auto"/>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安全文明</w:t>
            </w:r>
          </w:p>
          <w:p>
            <w:pPr>
              <w:widowControl/>
              <w:spacing w:line="288" w:lineRule="auto"/>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施工管理</w:t>
            </w:r>
          </w:p>
          <w:p>
            <w:pPr>
              <w:widowControl/>
              <w:spacing w:line="288" w:lineRule="auto"/>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情况</w:t>
            </w:r>
          </w:p>
        </w:tc>
        <w:tc>
          <w:tcPr>
            <w:tcW w:w="863" w:type="dxa"/>
            <w:vAlign w:val="center"/>
          </w:tcPr>
          <w:p>
            <w:pPr>
              <w:widowControl/>
              <w:spacing w:line="288" w:lineRule="auto"/>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10</w:t>
            </w:r>
          </w:p>
        </w:tc>
        <w:tc>
          <w:tcPr>
            <w:tcW w:w="855" w:type="dxa"/>
          </w:tcPr>
          <w:p>
            <w:pPr>
              <w:widowControl/>
              <w:spacing w:line="288" w:lineRule="auto"/>
              <w:ind w:firstLine="0" w:firstLineChars="0"/>
              <w:jc w:val="center"/>
              <w:rPr>
                <w:rFonts w:ascii="Times New Roman" w:hAnsi="Times New Roman" w:eastAsiaTheme="minorEastAsia"/>
                <w:sz w:val="21"/>
                <w:szCs w:val="21"/>
              </w:rPr>
            </w:pPr>
          </w:p>
        </w:tc>
        <w:tc>
          <w:tcPr>
            <w:tcW w:w="860" w:type="dxa"/>
            <w:vAlign w:val="center"/>
          </w:tcPr>
          <w:p>
            <w:pPr>
              <w:widowControl/>
              <w:spacing w:line="288" w:lineRule="auto"/>
              <w:ind w:firstLine="0" w:firstLineChars="0"/>
              <w:jc w:val="center"/>
              <w:rPr>
                <w:rFonts w:ascii="Times New Roman" w:hAnsi="Times New Roman" w:eastAsiaTheme="minorEastAsia"/>
                <w:sz w:val="21"/>
                <w:szCs w:val="21"/>
              </w:rPr>
            </w:pPr>
          </w:p>
        </w:tc>
        <w:tc>
          <w:tcPr>
            <w:tcW w:w="7989" w:type="dxa"/>
            <w:vAlign w:val="center"/>
          </w:tcPr>
          <w:p>
            <w:pPr>
              <w:pStyle w:val="25"/>
              <w:numPr>
                <w:ilvl w:val="0"/>
                <w:numId w:val="8"/>
              </w:numPr>
              <w:spacing w:before="55" w:line="288" w:lineRule="auto"/>
              <w:ind w:right="98"/>
              <w:jc w:val="both"/>
              <w:rPr>
                <w:rFonts w:ascii="Times New Roman" w:hAnsi="Times New Roman" w:cs="Times New Roman" w:eastAsiaTheme="minorEastAsia"/>
                <w:snapToGrid/>
                <w:color w:val="auto"/>
                <w:sz w:val="21"/>
                <w:szCs w:val="21"/>
                <w:lang w:eastAsia="zh-CN"/>
              </w:rPr>
            </w:pPr>
            <w:r>
              <w:rPr>
                <w:rFonts w:ascii="Times New Roman" w:hAnsi="Times New Roman" w:cs="Times New Roman" w:eastAsiaTheme="minorEastAsia"/>
                <w:snapToGrid/>
                <w:color w:val="auto"/>
                <w:sz w:val="21"/>
                <w:szCs w:val="21"/>
                <w:lang w:eastAsia="zh-CN"/>
              </w:rPr>
              <w:t>施工封闭或围闭标准、现场场地硬化、施工警示标志不符合安全文明施工和城市管理规定，监理未发现或发现无作为，每发生一项扣2分</w:t>
            </w:r>
            <w:r>
              <w:rPr>
                <w:rFonts w:hint="eastAsia" w:ascii="Times New Roman" w:hAnsi="Times New Roman" w:cs="Times New Roman" w:eastAsiaTheme="minorEastAsia"/>
                <w:snapToGrid/>
                <w:color w:val="auto"/>
                <w:sz w:val="21"/>
                <w:szCs w:val="21"/>
                <w:lang w:eastAsia="zh-CN"/>
              </w:rPr>
              <w:t>；</w:t>
            </w:r>
          </w:p>
          <w:p>
            <w:pPr>
              <w:pStyle w:val="25"/>
              <w:numPr>
                <w:ilvl w:val="0"/>
                <w:numId w:val="8"/>
              </w:numPr>
              <w:spacing w:before="106" w:line="288" w:lineRule="auto"/>
              <w:ind w:right="98"/>
              <w:jc w:val="both"/>
              <w:rPr>
                <w:rFonts w:ascii="Times New Roman" w:hAnsi="Times New Roman" w:cs="Times New Roman" w:eastAsiaTheme="minorEastAsia"/>
                <w:snapToGrid/>
                <w:color w:val="auto"/>
                <w:sz w:val="21"/>
                <w:szCs w:val="21"/>
                <w:lang w:eastAsia="zh-CN"/>
              </w:rPr>
            </w:pPr>
            <w:r>
              <w:rPr>
                <w:rFonts w:ascii="Times New Roman" w:hAnsi="Times New Roman" w:cs="Times New Roman" w:eastAsiaTheme="minorEastAsia"/>
                <w:snapToGrid/>
                <w:color w:val="auto"/>
                <w:sz w:val="21"/>
                <w:szCs w:val="21"/>
                <w:lang w:eastAsia="zh-CN"/>
              </w:rPr>
              <w:t>现场排水排污、施工场地及通道的清洁保洁、对现有设施的保护未满足建设单位要求，或未按建设单位要求整改，监理未发现或发现无作为的，每发生一项扣2分。</w:t>
            </w:r>
          </w:p>
          <w:p>
            <w:pPr>
              <w:pStyle w:val="25"/>
              <w:numPr>
                <w:ilvl w:val="0"/>
                <w:numId w:val="8"/>
              </w:numPr>
              <w:spacing w:before="50" w:line="288" w:lineRule="auto"/>
              <w:ind w:right="98"/>
              <w:jc w:val="both"/>
              <w:rPr>
                <w:rFonts w:ascii="Times New Roman" w:hAnsi="Times New Roman" w:cs="Times New Roman" w:eastAsiaTheme="minorEastAsia"/>
                <w:snapToGrid/>
                <w:color w:val="auto"/>
                <w:sz w:val="21"/>
                <w:szCs w:val="21"/>
                <w:lang w:eastAsia="zh-CN"/>
              </w:rPr>
            </w:pPr>
            <w:r>
              <w:rPr>
                <w:rFonts w:ascii="Times New Roman" w:hAnsi="Times New Roman" w:cs="Times New Roman" w:eastAsiaTheme="minorEastAsia"/>
                <w:snapToGrid/>
                <w:color w:val="auto"/>
                <w:sz w:val="21"/>
                <w:szCs w:val="21"/>
                <w:lang w:eastAsia="zh-CN"/>
              </w:rPr>
              <w:t>施工安全措施等不符合要求，或不按质监站或安监部门要求整改，监理未发现或发现无作为的，每发生一项扣2分</w:t>
            </w:r>
            <w:r>
              <w:rPr>
                <w:rFonts w:hint="eastAsia" w:ascii="Times New Roman" w:hAnsi="Times New Roman" w:cs="Times New Roman" w:eastAsiaTheme="minorEastAsia"/>
                <w:snapToGrid/>
                <w:color w:val="auto"/>
                <w:sz w:val="21"/>
                <w:szCs w:val="21"/>
                <w:lang w:eastAsia="zh-CN"/>
              </w:rPr>
              <w:t>；</w:t>
            </w:r>
          </w:p>
          <w:p>
            <w:pPr>
              <w:pStyle w:val="25"/>
              <w:numPr>
                <w:ilvl w:val="0"/>
                <w:numId w:val="8"/>
              </w:numPr>
              <w:spacing w:before="89" w:line="288" w:lineRule="auto"/>
              <w:ind w:right="68"/>
              <w:jc w:val="both"/>
              <w:rPr>
                <w:rFonts w:ascii="Times New Roman" w:hAnsi="Times New Roman" w:cs="Times New Roman" w:eastAsiaTheme="minorEastAsia"/>
                <w:snapToGrid/>
                <w:color w:val="auto"/>
                <w:sz w:val="21"/>
                <w:szCs w:val="21"/>
                <w:lang w:eastAsia="zh-CN"/>
              </w:rPr>
            </w:pPr>
            <w:r>
              <w:rPr>
                <w:rFonts w:ascii="Times New Roman" w:hAnsi="Times New Roman" w:cs="Times New Roman" w:eastAsiaTheme="minorEastAsia"/>
                <w:snapToGrid/>
                <w:color w:val="auto"/>
                <w:sz w:val="21"/>
                <w:szCs w:val="21"/>
                <w:lang w:eastAsia="zh-CN"/>
              </w:rPr>
              <w:t>未按建设单位要求完成临时性、应急性的工作（如须紧急落实的安全检查、安全措施、文明施工措施），未按建设单位要求与交叉施工作业单位协作配合的，每发生一项扣2分</w:t>
            </w:r>
            <w:r>
              <w:rPr>
                <w:rFonts w:hint="eastAsia" w:ascii="Times New Roman" w:hAnsi="Times New Roman" w:cs="Times New Roman" w:eastAsiaTheme="minorEastAsia"/>
                <w:snapToGrid/>
                <w:color w:val="auto"/>
                <w:sz w:val="21"/>
                <w:szCs w:val="21"/>
                <w:lang w:eastAsia="zh-CN"/>
              </w:rPr>
              <w:t>；</w:t>
            </w:r>
          </w:p>
          <w:p>
            <w:pPr>
              <w:pStyle w:val="25"/>
              <w:numPr>
                <w:ilvl w:val="0"/>
                <w:numId w:val="8"/>
              </w:numPr>
              <w:spacing w:before="70" w:line="288" w:lineRule="auto"/>
              <w:ind w:right="98"/>
              <w:jc w:val="both"/>
              <w:rPr>
                <w:rFonts w:ascii="Times New Roman" w:hAnsi="Times New Roman" w:cs="Times New Roman" w:eastAsiaTheme="minorEastAsia"/>
                <w:snapToGrid/>
                <w:color w:val="auto"/>
                <w:sz w:val="21"/>
                <w:szCs w:val="21"/>
                <w:lang w:eastAsia="zh-CN"/>
              </w:rPr>
            </w:pPr>
            <w:r>
              <w:rPr>
                <w:rFonts w:ascii="Times New Roman" w:hAnsi="Times New Roman" w:cs="Times New Roman" w:eastAsiaTheme="minorEastAsia"/>
                <w:snapToGrid/>
                <w:color w:val="auto"/>
                <w:sz w:val="21"/>
                <w:szCs w:val="21"/>
                <w:lang w:eastAsia="zh-CN"/>
              </w:rPr>
              <w:t>场内土方开挖时，未按建设单位要求组织调配平衡，任意处置，或多余土方未及时安排外运，或竣工退场时未按建设单位要求清理施工现场，监理未发现或发现无作为的，每发生一项扣2分</w:t>
            </w:r>
            <w:r>
              <w:rPr>
                <w:rFonts w:hint="eastAsia" w:ascii="Times New Roman" w:hAnsi="Times New Roman" w:cs="Times New Roman" w:eastAsiaTheme="minorEastAsia"/>
                <w:snapToGrid/>
                <w:color w:val="auto"/>
                <w:sz w:val="21"/>
                <w:szCs w:val="21"/>
                <w:lang w:eastAsia="zh-CN"/>
              </w:rPr>
              <w:t>；</w:t>
            </w:r>
          </w:p>
          <w:p>
            <w:pPr>
              <w:widowControl/>
              <w:numPr>
                <w:ilvl w:val="0"/>
                <w:numId w:val="8"/>
              </w:numPr>
              <w:spacing w:line="288" w:lineRule="auto"/>
              <w:ind w:firstLine="0" w:firstLineChars="0"/>
              <w:rPr>
                <w:rFonts w:ascii="Times New Roman" w:hAnsi="Times New Roman" w:eastAsiaTheme="minorEastAsia"/>
                <w:sz w:val="21"/>
                <w:szCs w:val="21"/>
              </w:rPr>
            </w:pPr>
            <w:r>
              <w:rPr>
                <w:rFonts w:ascii="Times New Roman" w:hAnsi="Times New Roman" w:eastAsiaTheme="minorEastAsia"/>
                <w:sz w:val="21"/>
                <w:szCs w:val="21"/>
              </w:rPr>
              <w:t>因安全原因被责令停工的，扣10 分。</w:t>
            </w:r>
          </w:p>
        </w:tc>
        <w:tc>
          <w:tcPr>
            <w:tcW w:w="1509" w:type="dxa"/>
            <w:vAlign w:val="center"/>
          </w:tcPr>
          <w:p>
            <w:pPr>
              <w:widowControl/>
              <w:spacing w:line="288" w:lineRule="auto"/>
              <w:ind w:firstLine="0" w:firstLineChars="0"/>
              <w:jc w:val="center"/>
              <w:rPr>
                <w:rFonts w:ascii="Times New Roman" w:hAnsi="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9" w:hRule="atLeast"/>
          <w:jc w:val="center"/>
        </w:trPr>
        <w:tc>
          <w:tcPr>
            <w:tcW w:w="743" w:type="dxa"/>
            <w:vAlign w:val="center"/>
          </w:tcPr>
          <w:p>
            <w:pPr>
              <w:widowControl/>
              <w:spacing w:line="288" w:lineRule="auto"/>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六</w:t>
            </w:r>
          </w:p>
        </w:tc>
        <w:tc>
          <w:tcPr>
            <w:tcW w:w="1059" w:type="dxa"/>
            <w:vAlign w:val="center"/>
          </w:tcPr>
          <w:p>
            <w:pPr>
              <w:widowControl/>
              <w:spacing w:line="288" w:lineRule="auto"/>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监理项目</w:t>
            </w:r>
          </w:p>
          <w:p>
            <w:pPr>
              <w:widowControl/>
              <w:spacing w:line="288" w:lineRule="auto"/>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部日常内</w:t>
            </w:r>
          </w:p>
          <w:p>
            <w:pPr>
              <w:widowControl/>
              <w:spacing w:line="288" w:lineRule="auto"/>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业管理情</w:t>
            </w:r>
          </w:p>
          <w:p>
            <w:pPr>
              <w:widowControl/>
              <w:spacing w:line="288" w:lineRule="auto"/>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况</w:t>
            </w:r>
          </w:p>
        </w:tc>
        <w:tc>
          <w:tcPr>
            <w:tcW w:w="863" w:type="dxa"/>
            <w:vAlign w:val="center"/>
          </w:tcPr>
          <w:p>
            <w:pPr>
              <w:widowControl/>
              <w:spacing w:line="288" w:lineRule="auto"/>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10</w:t>
            </w:r>
          </w:p>
        </w:tc>
        <w:tc>
          <w:tcPr>
            <w:tcW w:w="855" w:type="dxa"/>
          </w:tcPr>
          <w:p>
            <w:pPr>
              <w:widowControl/>
              <w:spacing w:line="288" w:lineRule="auto"/>
              <w:ind w:firstLine="0" w:firstLineChars="0"/>
              <w:jc w:val="center"/>
              <w:rPr>
                <w:rFonts w:ascii="Times New Roman" w:hAnsi="Times New Roman" w:eastAsiaTheme="minorEastAsia"/>
                <w:sz w:val="21"/>
                <w:szCs w:val="21"/>
              </w:rPr>
            </w:pPr>
          </w:p>
        </w:tc>
        <w:tc>
          <w:tcPr>
            <w:tcW w:w="860" w:type="dxa"/>
            <w:vAlign w:val="center"/>
          </w:tcPr>
          <w:p>
            <w:pPr>
              <w:widowControl/>
              <w:spacing w:line="288" w:lineRule="auto"/>
              <w:ind w:firstLine="0" w:firstLineChars="0"/>
              <w:jc w:val="center"/>
              <w:rPr>
                <w:rFonts w:ascii="Times New Roman" w:hAnsi="Times New Roman" w:eastAsiaTheme="minorEastAsia"/>
                <w:sz w:val="21"/>
                <w:szCs w:val="21"/>
              </w:rPr>
            </w:pPr>
          </w:p>
        </w:tc>
        <w:tc>
          <w:tcPr>
            <w:tcW w:w="7989" w:type="dxa"/>
            <w:vAlign w:val="center"/>
          </w:tcPr>
          <w:p>
            <w:pPr>
              <w:pStyle w:val="25"/>
              <w:numPr>
                <w:ilvl w:val="0"/>
                <w:numId w:val="9"/>
              </w:numPr>
              <w:spacing w:before="105" w:line="288" w:lineRule="auto"/>
              <w:jc w:val="both"/>
              <w:rPr>
                <w:rFonts w:ascii="Times New Roman" w:hAnsi="Times New Roman" w:cs="Times New Roman" w:eastAsiaTheme="minorEastAsia"/>
                <w:snapToGrid/>
                <w:color w:val="auto"/>
                <w:sz w:val="21"/>
                <w:szCs w:val="21"/>
                <w:lang w:eastAsia="zh-CN"/>
              </w:rPr>
            </w:pPr>
            <w:r>
              <w:rPr>
                <w:rFonts w:ascii="Times New Roman" w:hAnsi="Times New Roman" w:cs="Times New Roman" w:eastAsiaTheme="minorEastAsia"/>
                <w:snapToGrid/>
                <w:color w:val="auto"/>
                <w:sz w:val="21"/>
                <w:szCs w:val="21"/>
                <w:lang w:eastAsia="zh-CN"/>
              </w:rPr>
              <w:t>项目开工报告监理单位签字不完整，扣2分；</w:t>
            </w:r>
          </w:p>
          <w:p>
            <w:pPr>
              <w:pStyle w:val="25"/>
              <w:numPr>
                <w:ilvl w:val="0"/>
                <w:numId w:val="9"/>
              </w:numPr>
              <w:spacing w:before="102" w:line="288" w:lineRule="auto"/>
              <w:jc w:val="both"/>
              <w:rPr>
                <w:rFonts w:ascii="Times New Roman" w:hAnsi="Times New Roman" w:cs="Times New Roman" w:eastAsiaTheme="minorEastAsia"/>
                <w:snapToGrid/>
                <w:color w:val="auto"/>
                <w:sz w:val="21"/>
                <w:szCs w:val="21"/>
                <w:lang w:eastAsia="zh-CN"/>
              </w:rPr>
            </w:pPr>
            <w:r>
              <w:rPr>
                <w:rFonts w:ascii="Times New Roman" w:hAnsi="Times New Roman" w:cs="Times New Roman" w:eastAsiaTheme="minorEastAsia"/>
                <w:snapToGrid/>
                <w:color w:val="auto"/>
                <w:sz w:val="21"/>
                <w:szCs w:val="21"/>
                <w:lang w:eastAsia="zh-CN"/>
              </w:rPr>
              <w:t>工地例会无正当理由不按期召开的，扣2分；</w:t>
            </w:r>
          </w:p>
          <w:p>
            <w:pPr>
              <w:pStyle w:val="25"/>
              <w:numPr>
                <w:ilvl w:val="0"/>
                <w:numId w:val="9"/>
              </w:numPr>
              <w:spacing w:before="1" w:line="288" w:lineRule="auto"/>
              <w:ind w:right="51"/>
              <w:jc w:val="both"/>
              <w:rPr>
                <w:rFonts w:ascii="Times New Roman" w:hAnsi="Times New Roman" w:cs="Times New Roman" w:eastAsiaTheme="minorEastAsia"/>
                <w:snapToGrid/>
                <w:color w:val="auto"/>
                <w:sz w:val="21"/>
                <w:szCs w:val="21"/>
                <w:lang w:eastAsia="zh-CN"/>
              </w:rPr>
            </w:pPr>
            <w:r>
              <w:rPr>
                <w:rFonts w:ascii="Times New Roman" w:hAnsi="Times New Roman" w:cs="Times New Roman" w:eastAsiaTheme="minorEastAsia"/>
                <w:snapToGrid/>
                <w:color w:val="auto"/>
                <w:sz w:val="21"/>
                <w:szCs w:val="21"/>
                <w:lang w:eastAsia="zh-CN"/>
              </w:rPr>
              <w:t>监理日记记录内容不完善、不及时，格式不规范，扣2分；</w:t>
            </w:r>
          </w:p>
          <w:p>
            <w:pPr>
              <w:pStyle w:val="25"/>
              <w:numPr>
                <w:ilvl w:val="0"/>
                <w:numId w:val="9"/>
              </w:numPr>
              <w:spacing w:before="51" w:line="288" w:lineRule="auto"/>
              <w:ind w:right="68"/>
              <w:jc w:val="both"/>
              <w:rPr>
                <w:rFonts w:ascii="Times New Roman" w:hAnsi="Times New Roman" w:cs="Times New Roman" w:eastAsiaTheme="minorEastAsia"/>
                <w:snapToGrid/>
                <w:color w:val="auto"/>
                <w:sz w:val="21"/>
                <w:szCs w:val="21"/>
                <w:lang w:eastAsia="zh-CN"/>
              </w:rPr>
            </w:pPr>
            <w:r>
              <w:rPr>
                <w:rFonts w:ascii="Times New Roman" w:hAnsi="Times New Roman" w:cs="Times New Roman" w:eastAsiaTheme="minorEastAsia"/>
                <w:snapToGrid/>
                <w:color w:val="auto"/>
                <w:sz w:val="21"/>
                <w:szCs w:val="21"/>
                <w:lang w:eastAsia="zh-CN"/>
              </w:rPr>
              <w:t>未建立计量、支付、变更等台账，资料归档不规范，扣2分；</w:t>
            </w:r>
          </w:p>
          <w:p>
            <w:pPr>
              <w:pStyle w:val="25"/>
              <w:numPr>
                <w:ilvl w:val="0"/>
                <w:numId w:val="9"/>
              </w:numPr>
              <w:spacing w:before="104" w:line="288" w:lineRule="auto"/>
              <w:jc w:val="both"/>
              <w:rPr>
                <w:rFonts w:ascii="Times New Roman" w:hAnsi="Times New Roman" w:cs="Times New Roman" w:eastAsiaTheme="minorEastAsia"/>
                <w:snapToGrid/>
                <w:color w:val="auto"/>
                <w:sz w:val="21"/>
                <w:szCs w:val="21"/>
                <w:lang w:eastAsia="zh-CN"/>
              </w:rPr>
            </w:pPr>
            <w:r>
              <w:rPr>
                <w:rFonts w:ascii="Times New Roman" w:hAnsi="Times New Roman" w:cs="Times New Roman" w:eastAsiaTheme="minorEastAsia"/>
                <w:snapToGrid/>
                <w:color w:val="auto"/>
                <w:sz w:val="21"/>
                <w:szCs w:val="21"/>
                <w:lang w:eastAsia="zh-CN"/>
              </w:rPr>
              <w:t>监理办公室图表未上墙，扣2分。</w:t>
            </w:r>
          </w:p>
        </w:tc>
        <w:tc>
          <w:tcPr>
            <w:tcW w:w="1509" w:type="dxa"/>
            <w:vAlign w:val="center"/>
          </w:tcPr>
          <w:p>
            <w:pPr>
              <w:widowControl/>
              <w:spacing w:line="288" w:lineRule="auto"/>
              <w:ind w:firstLine="0" w:firstLineChars="0"/>
              <w:jc w:val="center"/>
              <w:rPr>
                <w:rFonts w:ascii="Times New Roman" w:hAnsi="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5" w:hRule="atLeast"/>
          <w:jc w:val="center"/>
        </w:trPr>
        <w:tc>
          <w:tcPr>
            <w:tcW w:w="743" w:type="dxa"/>
            <w:vAlign w:val="center"/>
          </w:tcPr>
          <w:p>
            <w:pPr>
              <w:widowControl/>
              <w:spacing w:line="288" w:lineRule="auto"/>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七</w:t>
            </w:r>
          </w:p>
        </w:tc>
        <w:tc>
          <w:tcPr>
            <w:tcW w:w="1059" w:type="dxa"/>
            <w:vAlign w:val="center"/>
          </w:tcPr>
          <w:p>
            <w:pPr>
              <w:widowControl/>
              <w:spacing w:line="288" w:lineRule="auto"/>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投资控制</w:t>
            </w:r>
          </w:p>
          <w:p>
            <w:pPr>
              <w:widowControl/>
              <w:spacing w:line="288" w:lineRule="auto"/>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情况</w:t>
            </w:r>
          </w:p>
        </w:tc>
        <w:tc>
          <w:tcPr>
            <w:tcW w:w="863" w:type="dxa"/>
            <w:vAlign w:val="center"/>
          </w:tcPr>
          <w:p>
            <w:pPr>
              <w:widowControl/>
              <w:spacing w:line="288" w:lineRule="auto"/>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10</w:t>
            </w:r>
          </w:p>
        </w:tc>
        <w:tc>
          <w:tcPr>
            <w:tcW w:w="855" w:type="dxa"/>
          </w:tcPr>
          <w:p>
            <w:pPr>
              <w:widowControl/>
              <w:spacing w:line="288" w:lineRule="auto"/>
              <w:ind w:firstLine="0" w:firstLineChars="0"/>
              <w:jc w:val="center"/>
              <w:rPr>
                <w:rFonts w:ascii="Times New Roman" w:hAnsi="Times New Roman" w:eastAsiaTheme="minorEastAsia"/>
                <w:sz w:val="21"/>
                <w:szCs w:val="21"/>
              </w:rPr>
            </w:pPr>
          </w:p>
        </w:tc>
        <w:tc>
          <w:tcPr>
            <w:tcW w:w="860" w:type="dxa"/>
            <w:vAlign w:val="center"/>
          </w:tcPr>
          <w:p>
            <w:pPr>
              <w:widowControl/>
              <w:spacing w:line="288" w:lineRule="auto"/>
              <w:ind w:firstLine="0" w:firstLineChars="0"/>
              <w:jc w:val="center"/>
              <w:rPr>
                <w:rFonts w:ascii="Times New Roman" w:hAnsi="Times New Roman" w:eastAsiaTheme="minorEastAsia"/>
                <w:sz w:val="21"/>
                <w:szCs w:val="21"/>
              </w:rPr>
            </w:pPr>
          </w:p>
        </w:tc>
        <w:tc>
          <w:tcPr>
            <w:tcW w:w="7989" w:type="dxa"/>
            <w:vAlign w:val="center"/>
          </w:tcPr>
          <w:p>
            <w:pPr>
              <w:pStyle w:val="25"/>
              <w:numPr>
                <w:ilvl w:val="0"/>
                <w:numId w:val="10"/>
              </w:numPr>
              <w:spacing w:before="23" w:line="288" w:lineRule="auto"/>
              <w:ind w:right="98"/>
              <w:jc w:val="both"/>
              <w:rPr>
                <w:rFonts w:ascii="Times New Roman" w:hAnsi="Times New Roman" w:cs="Times New Roman" w:eastAsiaTheme="minorEastAsia"/>
                <w:snapToGrid/>
                <w:color w:val="auto"/>
                <w:sz w:val="21"/>
                <w:szCs w:val="21"/>
                <w:lang w:eastAsia="zh-CN"/>
              </w:rPr>
            </w:pPr>
            <w:r>
              <w:rPr>
                <w:rFonts w:ascii="Times New Roman" w:hAnsi="Times New Roman" w:cs="Times New Roman" w:eastAsiaTheme="minorEastAsia"/>
                <w:snapToGrid/>
                <w:color w:val="auto"/>
                <w:sz w:val="21"/>
                <w:szCs w:val="21"/>
                <w:lang w:eastAsia="zh-CN"/>
              </w:rPr>
              <w:t>未及时</w:t>
            </w:r>
            <w:r>
              <w:rPr>
                <w:rFonts w:hint="eastAsia" w:ascii="Times New Roman" w:hAnsi="Times New Roman" w:cs="Times New Roman" w:eastAsiaTheme="minorEastAsia"/>
                <w:snapToGrid/>
                <w:color w:val="auto"/>
                <w:sz w:val="21"/>
                <w:szCs w:val="21"/>
                <w:lang w:eastAsia="zh-CN"/>
              </w:rPr>
              <w:t>组织</w:t>
            </w:r>
            <w:r>
              <w:rPr>
                <w:rFonts w:ascii="Times New Roman" w:hAnsi="Times New Roman" w:cs="Times New Roman" w:eastAsiaTheme="minorEastAsia"/>
                <w:snapToGrid/>
                <w:color w:val="auto"/>
                <w:sz w:val="21"/>
                <w:szCs w:val="21"/>
                <w:lang w:eastAsia="zh-CN"/>
              </w:rPr>
              <w:t>施工单位复核及申报工程量清单漏量漏项情况的，扣3分</w:t>
            </w:r>
            <w:r>
              <w:rPr>
                <w:rFonts w:hint="eastAsia" w:ascii="Times New Roman" w:hAnsi="Times New Roman" w:cs="Times New Roman" w:eastAsiaTheme="minorEastAsia"/>
                <w:snapToGrid/>
                <w:color w:val="auto"/>
                <w:sz w:val="21"/>
                <w:szCs w:val="21"/>
                <w:lang w:eastAsia="zh-CN"/>
              </w:rPr>
              <w:t>；</w:t>
            </w:r>
          </w:p>
          <w:p>
            <w:pPr>
              <w:pStyle w:val="25"/>
              <w:numPr>
                <w:ilvl w:val="0"/>
                <w:numId w:val="10"/>
              </w:numPr>
              <w:spacing w:before="31" w:line="288" w:lineRule="auto"/>
              <w:ind w:right="98"/>
              <w:jc w:val="both"/>
              <w:rPr>
                <w:rFonts w:ascii="Times New Roman" w:hAnsi="Times New Roman" w:cs="Times New Roman" w:eastAsiaTheme="minorEastAsia"/>
                <w:snapToGrid/>
                <w:color w:val="auto"/>
                <w:sz w:val="21"/>
                <w:szCs w:val="21"/>
                <w:lang w:eastAsia="zh-CN"/>
              </w:rPr>
            </w:pPr>
            <w:r>
              <w:rPr>
                <w:rFonts w:ascii="Times New Roman" w:hAnsi="Times New Roman" w:cs="Times New Roman" w:eastAsiaTheme="minorEastAsia"/>
                <w:snapToGrid/>
                <w:color w:val="auto"/>
                <w:sz w:val="21"/>
                <w:szCs w:val="21"/>
                <w:lang w:eastAsia="zh-CN"/>
              </w:rPr>
              <w:t>接到施工图纸后，未及时审核图纸、发现图纸中可能存在的错漏，导致发生重大变更、签证的，扣3分；</w:t>
            </w:r>
          </w:p>
          <w:p>
            <w:pPr>
              <w:pStyle w:val="25"/>
              <w:numPr>
                <w:ilvl w:val="0"/>
                <w:numId w:val="10"/>
              </w:numPr>
              <w:spacing w:before="39" w:line="288" w:lineRule="auto"/>
              <w:ind w:right="41"/>
              <w:jc w:val="both"/>
              <w:rPr>
                <w:rFonts w:ascii="Times New Roman" w:hAnsi="Times New Roman" w:cs="Times New Roman" w:eastAsiaTheme="minorEastAsia"/>
                <w:snapToGrid/>
                <w:color w:val="auto"/>
                <w:sz w:val="21"/>
                <w:szCs w:val="21"/>
                <w:lang w:eastAsia="zh-CN"/>
              </w:rPr>
            </w:pPr>
            <w:r>
              <w:rPr>
                <w:rFonts w:ascii="Times New Roman" w:hAnsi="Times New Roman" w:cs="Times New Roman" w:eastAsiaTheme="minorEastAsia"/>
                <w:snapToGrid/>
                <w:color w:val="auto"/>
                <w:sz w:val="21"/>
                <w:szCs w:val="21"/>
                <w:lang w:eastAsia="zh-CN"/>
              </w:rPr>
              <w:t>未按现场实际完成工程量进行核算计量，导致超付进度款（预付款）的，扣2分；</w:t>
            </w:r>
          </w:p>
          <w:p>
            <w:pPr>
              <w:pStyle w:val="25"/>
              <w:numPr>
                <w:ilvl w:val="0"/>
                <w:numId w:val="10"/>
              </w:numPr>
              <w:spacing w:before="39" w:line="288" w:lineRule="auto"/>
              <w:jc w:val="both"/>
              <w:rPr>
                <w:rFonts w:ascii="Times New Roman" w:hAnsi="Times New Roman" w:cs="Times New Roman" w:eastAsiaTheme="minorEastAsia"/>
                <w:snapToGrid/>
                <w:color w:val="auto"/>
                <w:sz w:val="21"/>
                <w:szCs w:val="21"/>
                <w:lang w:eastAsia="zh-CN"/>
              </w:rPr>
            </w:pPr>
            <w:r>
              <w:rPr>
                <w:rFonts w:ascii="Times New Roman" w:hAnsi="Times New Roman" w:cs="Times New Roman" w:eastAsiaTheme="minorEastAsia"/>
                <w:snapToGrid/>
                <w:color w:val="auto"/>
                <w:sz w:val="21"/>
                <w:szCs w:val="21"/>
                <w:lang w:eastAsia="zh-CN"/>
              </w:rPr>
              <w:t>可能发生或已发生的变更、签证未报送或未及时报送建设单位的，扣3分</w:t>
            </w:r>
            <w:r>
              <w:rPr>
                <w:rFonts w:hint="eastAsia" w:ascii="Times New Roman" w:hAnsi="Times New Roman" w:cs="Times New Roman" w:eastAsiaTheme="minorEastAsia"/>
                <w:snapToGrid/>
                <w:color w:val="auto"/>
                <w:sz w:val="21"/>
                <w:szCs w:val="21"/>
                <w:lang w:eastAsia="zh-CN"/>
              </w:rPr>
              <w:t>；</w:t>
            </w:r>
          </w:p>
          <w:p>
            <w:pPr>
              <w:pStyle w:val="25"/>
              <w:numPr>
                <w:ilvl w:val="0"/>
                <w:numId w:val="10"/>
              </w:numPr>
              <w:spacing w:before="39" w:line="288" w:lineRule="auto"/>
              <w:ind w:right="98"/>
              <w:jc w:val="both"/>
              <w:rPr>
                <w:rFonts w:ascii="Times New Roman" w:hAnsi="Times New Roman" w:cs="Times New Roman" w:eastAsiaTheme="minorEastAsia"/>
                <w:snapToGrid/>
                <w:color w:val="auto"/>
                <w:sz w:val="21"/>
                <w:szCs w:val="21"/>
                <w:lang w:eastAsia="zh-CN"/>
              </w:rPr>
            </w:pPr>
            <w:r>
              <w:rPr>
                <w:rFonts w:ascii="Times New Roman" w:hAnsi="Times New Roman" w:cs="Times New Roman" w:eastAsiaTheme="minorEastAsia"/>
                <w:snapToGrid/>
                <w:color w:val="auto"/>
                <w:sz w:val="21"/>
                <w:szCs w:val="21"/>
                <w:lang w:eastAsia="zh-CN"/>
              </w:rPr>
              <w:t>其它造成投资成本增加或者本可减少的投资，监理单位未报送或未及时报送建设单位的，扣2分。</w:t>
            </w:r>
          </w:p>
        </w:tc>
        <w:tc>
          <w:tcPr>
            <w:tcW w:w="1509" w:type="dxa"/>
            <w:vAlign w:val="center"/>
          </w:tcPr>
          <w:p>
            <w:pPr>
              <w:widowControl/>
              <w:spacing w:line="288" w:lineRule="auto"/>
              <w:ind w:firstLine="0" w:firstLineChars="0"/>
              <w:jc w:val="center"/>
              <w:rPr>
                <w:rFonts w:ascii="Times New Roman" w:hAnsi="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743" w:type="dxa"/>
            <w:vAlign w:val="center"/>
          </w:tcPr>
          <w:p>
            <w:pPr>
              <w:widowControl/>
              <w:spacing w:line="288" w:lineRule="auto"/>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八</w:t>
            </w:r>
          </w:p>
        </w:tc>
        <w:tc>
          <w:tcPr>
            <w:tcW w:w="1059" w:type="dxa"/>
            <w:vAlign w:val="center"/>
          </w:tcPr>
          <w:p>
            <w:pPr>
              <w:widowControl/>
              <w:spacing w:line="288" w:lineRule="auto"/>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合同管理</w:t>
            </w:r>
          </w:p>
          <w:p>
            <w:pPr>
              <w:widowControl/>
              <w:spacing w:line="288" w:lineRule="auto"/>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情况</w:t>
            </w:r>
          </w:p>
        </w:tc>
        <w:tc>
          <w:tcPr>
            <w:tcW w:w="863" w:type="dxa"/>
            <w:vAlign w:val="center"/>
          </w:tcPr>
          <w:p>
            <w:pPr>
              <w:widowControl/>
              <w:spacing w:line="288" w:lineRule="auto"/>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5</w:t>
            </w:r>
          </w:p>
        </w:tc>
        <w:tc>
          <w:tcPr>
            <w:tcW w:w="855" w:type="dxa"/>
          </w:tcPr>
          <w:p>
            <w:pPr>
              <w:widowControl/>
              <w:spacing w:line="288" w:lineRule="auto"/>
              <w:ind w:firstLine="0" w:firstLineChars="0"/>
              <w:jc w:val="center"/>
              <w:rPr>
                <w:rFonts w:ascii="Times New Roman" w:hAnsi="Times New Roman" w:eastAsiaTheme="minorEastAsia"/>
                <w:sz w:val="21"/>
                <w:szCs w:val="21"/>
              </w:rPr>
            </w:pPr>
          </w:p>
        </w:tc>
        <w:tc>
          <w:tcPr>
            <w:tcW w:w="860" w:type="dxa"/>
            <w:vAlign w:val="center"/>
          </w:tcPr>
          <w:p>
            <w:pPr>
              <w:widowControl/>
              <w:spacing w:line="288" w:lineRule="auto"/>
              <w:ind w:firstLine="0" w:firstLineChars="0"/>
              <w:jc w:val="center"/>
              <w:rPr>
                <w:rFonts w:ascii="Times New Roman" w:hAnsi="Times New Roman" w:eastAsiaTheme="minorEastAsia"/>
                <w:sz w:val="21"/>
                <w:szCs w:val="21"/>
              </w:rPr>
            </w:pPr>
          </w:p>
        </w:tc>
        <w:tc>
          <w:tcPr>
            <w:tcW w:w="7989" w:type="dxa"/>
            <w:vAlign w:val="center"/>
          </w:tcPr>
          <w:p>
            <w:pPr>
              <w:pStyle w:val="25"/>
              <w:numPr>
                <w:ilvl w:val="0"/>
                <w:numId w:val="11"/>
              </w:numPr>
              <w:spacing w:before="40" w:line="288" w:lineRule="auto"/>
              <w:ind w:right="98"/>
              <w:jc w:val="both"/>
              <w:rPr>
                <w:rFonts w:ascii="Times New Roman" w:hAnsi="Times New Roman" w:cs="Times New Roman" w:eastAsiaTheme="minorEastAsia"/>
                <w:snapToGrid/>
                <w:color w:val="auto"/>
                <w:sz w:val="21"/>
                <w:szCs w:val="21"/>
                <w:lang w:eastAsia="zh-CN"/>
              </w:rPr>
            </w:pPr>
            <w:r>
              <w:rPr>
                <w:rFonts w:ascii="Times New Roman" w:hAnsi="Times New Roman" w:cs="Times New Roman" w:eastAsiaTheme="minorEastAsia"/>
                <w:snapToGrid/>
                <w:color w:val="auto"/>
                <w:sz w:val="21"/>
                <w:szCs w:val="21"/>
                <w:lang w:eastAsia="zh-CN"/>
              </w:rPr>
              <w:t>应理清包括但不限于施工、检测、监测、设计等工程建设相关单位的合同分工、职责、义务，及时解决各单位合同纠纷，未履行或无作为的，扣2分；</w:t>
            </w:r>
          </w:p>
          <w:p>
            <w:pPr>
              <w:pStyle w:val="25"/>
              <w:numPr>
                <w:ilvl w:val="0"/>
                <w:numId w:val="11"/>
              </w:numPr>
              <w:spacing w:before="43" w:line="288" w:lineRule="auto"/>
              <w:ind w:right="68"/>
              <w:jc w:val="both"/>
              <w:rPr>
                <w:rFonts w:ascii="Times New Roman" w:hAnsi="Times New Roman" w:cs="Times New Roman" w:eastAsiaTheme="minorEastAsia"/>
                <w:snapToGrid/>
                <w:color w:val="auto"/>
                <w:sz w:val="21"/>
                <w:szCs w:val="21"/>
                <w:lang w:eastAsia="zh-CN"/>
              </w:rPr>
            </w:pPr>
            <w:r>
              <w:rPr>
                <w:rFonts w:ascii="Times New Roman" w:hAnsi="Times New Roman" w:cs="Times New Roman" w:eastAsiaTheme="minorEastAsia"/>
                <w:snapToGrid/>
                <w:color w:val="auto"/>
                <w:sz w:val="21"/>
                <w:szCs w:val="21"/>
                <w:lang w:eastAsia="zh-CN"/>
              </w:rPr>
              <w:t>未审核工程变更签证是否符合合同约定申报条件就报送建设单位的，扣2分；</w:t>
            </w:r>
          </w:p>
          <w:p>
            <w:pPr>
              <w:pStyle w:val="25"/>
              <w:numPr>
                <w:ilvl w:val="0"/>
                <w:numId w:val="11"/>
              </w:numPr>
              <w:spacing w:before="123" w:line="288" w:lineRule="auto"/>
              <w:jc w:val="both"/>
              <w:rPr>
                <w:rFonts w:ascii="Times New Roman" w:hAnsi="Times New Roman" w:cs="Times New Roman" w:eastAsiaTheme="minorEastAsia"/>
                <w:snapToGrid/>
                <w:color w:val="auto"/>
                <w:sz w:val="21"/>
                <w:szCs w:val="21"/>
                <w:lang w:eastAsia="zh-CN"/>
              </w:rPr>
            </w:pPr>
            <w:r>
              <w:rPr>
                <w:rFonts w:ascii="Times New Roman" w:hAnsi="Times New Roman" w:cs="Times New Roman" w:eastAsiaTheme="minorEastAsia"/>
                <w:snapToGrid/>
                <w:color w:val="auto"/>
                <w:sz w:val="21"/>
                <w:szCs w:val="21"/>
                <w:lang w:eastAsia="zh-CN"/>
              </w:rPr>
              <w:t>未履行合同约定及本办法的其他行为的，扣2分。</w:t>
            </w:r>
          </w:p>
        </w:tc>
        <w:tc>
          <w:tcPr>
            <w:tcW w:w="1509" w:type="dxa"/>
            <w:vAlign w:val="center"/>
          </w:tcPr>
          <w:p>
            <w:pPr>
              <w:widowControl/>
              <w:spacing w:line="288" w:lineRule="auto"/>
              <w:ind w:firstLine="0" w:firstLineChars="0"/>
              <w:jc w:val="center"/>
              <w:rPr>
                <w:rFonts w:ascii="Times New Roman" w:hAnsi="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4" w:hRule="atLeast"/>
          <w:jc w:val="center"/>
        </w:trPr>
        <w:tc>
          <w:tcPr>
            <w:tcW w:w="743" w:type="dxa"/>
            <w:vAlign w:val="center"/>
          </w:tcPr>
          <w:p>
            <w:pPr>
              <w:widowControl/>
              <w:spacing w:line="288" w:lineRule="auto"/>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九</w:t>
            </w:r>
          </w:p>
        </w:tc>
        <w:tc>
          <w:tcPr>
            <w:tcW w:w="1059" w:type="dxa"/>
            <w:vAlign w:val="center"/>
          </w:tcPr>
          <w:p>
            <w:pPr>
              <w:widowControl/>
              <w:spacing w:line="288" w:lineRule="auto"/>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组织协调</w:t>
            </w:r>
          </w:p>
          <w:p>
            <w:pPr>
              <w:widowControl/>
              <w:spacing w:line="288" w:lineRule="auto"/>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工作情况</w:t>
            </w:r>
          </w:p>
        </w:tc>
        <w:tc>
          <w:tcPr>
            <w:tcW w:w="863" w:type="dxa"/>
            <w:vAlign w:val="center"/>
          </w:tcPr>
          <w:p>
            <w:pPr>
              <w:widowControl/>
              <w:spacing w:line="288" w:lineRule="auto"/>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5</w:t>
            </w:r>
          </w:p>
        </w:tc>
        <w:tc>
          <w:tcPr>
            <w:tcW w:w="855" w:type="dxa"/>
          </w:tcPr>
          <w:p>
            <w:pPr>
              <w:widowControl/>
              <w:spacing w:line="288" w:lineRule="auto"/>
              <w:ind w:firstLine="0" w:firstLineChars="0"/>
              <w:jc w:val="center"/>
              <w:rPr>
                <w:rFonts w:ascii="Times New Roman" w:hAnsi="Times New Roman" w:eastAsiaTheme="minorEastAsia"/>
                <w:sz w:val="21"/>
                <w:szCs w:val="21"/>
              </w:rPr>
            </w:pPr>
          </w:p>
        </w:tc>
        <w:tc>
          <w:tcPr>
            <w:tcW w:w="860" w:type="dxa"/>
            <w:vAlign w:val="center"/>
          </w:tcPr>
          <w:p>
            <w:pPr>
              <w:widowControl/>
              <w:spacing w:line="288" w:lineRule="auto"/>
              <w:ind w:firstLine="0" w:firstLineChars="0"/>
              <w:jc w:val="center"/>
              <w:rPr>
                <w:rFonts w:ascii="Times New Roman" w:hAnsi="Times New Roman" w:eastAsiaTheme="minorEastAsia"/>
                <w:sz w:val="21"/>
                <w:szCs w:val="21"/>
              </w:rPr>
            </w:pPr>
          </w:p>
        </w:tc>
        <w:tc>
          <w:tcPr>
            <w:tcW w:w="7989" w:type="dxa"/>
            <w:vAlign w:val="center"/>
          </w:tcPr>
          <w:p>
            <w:pPr>
              <w:pStyle w:val="25"/>
              <w:numPr>
                <w:ilvl w:val="0"/>
                <w:numId w:val="12"/>
              </w:numPr>
              <w:spacing w:before="45" w:line="288" w:lineRule="auto"/>
              <w:ind w:right="55" w:firstLine="2"/>
              <w:jc w:val="both"/>
              <w:rPr>
                <w:rFonts w:ascii="Times New Roman" w:hAnsi="Times New Roman" w:cs="Times New Roman" w:eastAsiaTheme="minorEastAsia"/>
                <w:snapToGrid/>
                <w:color w:val="auto"/>
                <w:sz w:val="21"/>
                <w:szCs w:val="21"/>
                <w:lang w:eastAsia="zh-CN"/>
              </w:rPr>
            </w:pPr>
            <w:r>
              <w:rPr>
                <w:rFonts w:ascii="Times New Roman" w:hAnsi="Times New Roman" w:cs="Times New Roman" w:eastAsiaTheme="minorEastAsia"/>
                <w:snapToGrid/>
                <w:color w:val="auto"/>
                <w:sz w:val="21"/>
                <w:szCs w:val="21"/>
                <w:lang w:eastAsia="zh-CN"/>
              </w:rPr>
              <w:t>未配合建设单位在施工前准备阶段工作（包括但不限于前期报建报批、测量放线等）的，扣2分；</w:t>
            </w:r>
          </w:p>
          <w:p>
            <w:pPr>
              <w:pStyle w:val="25"/>
              <w:numPr>
                <w:ilvl w:val="0"/>
                <w:numId w:val="12"/>
              </w:numPr>
              <w:spacing w:before="45" w:line="288" w:lineRule="auto"/>
              <w:ind w:right="98" w:firstLine="2"/>
              <w:jc w:val="both"/>
              <w:rPr>
                <w:rFonts w:ascii="Times New Roman" w:hAnsi="Times New Roman" w:cs="Times New Roman" w:eastAsiaTheme="minorEastAsia"/>
                <w:snapToGrid/>
                <w:color w:val="auto"/>
                <w:sz w:val="21"/>
                <w:szCs w:val="21"/>
                <w:lang w:eastAsia="zh-CN"/>
              </w:rPr>
            </w:pPr>
            <w:r>
              <w:rPr>
                <w:rFonts w:ascii="Times New Roman" w:hAnsi="Times New Roman" w:cs="Times New Roman" w:eastAsiaTheme="minorEastAsia"/>
                <w:snapToGrid/>
                <w:color w:val="auto"/>
                <w:sz w:val="21"/>
                <w:szCs w:val="21"/>
                <w:lang w:eastAsia="zh-CN"/>
              </w:rPr>
              <w:t>未及时建立内外部组织协调架构及机制，未按已建立的架构及机制执行相关工作的，扣2分；</w:t>
            </w:r>
          </w:p>
          <w:p>
            <w:pPr>
              <w:pStyle w:val="25"/>
              <w:numPr>
                <w:ilvl w:val="0"/>
                <w:numId w:val="12"/>
              </w:numPr>
              <w:spacing w:before="44" w:line="288" w:lineRule="auto"/>
              <w:ind w:right="41" w:firstLine="2"/>
              <w:jc w:val="both"/>
              <w:rPr>
                <w:rFonts w:ascii="Times New Roman" w:hAnsi="Times New Roman" w:cs="Times New Roman" w:eastAsiaTheme="minorEastAsia"/>
                <w:snapToGrid/>
                <w:color w:val="auto"/>
                <w:sz w:val="21"/>
                <w:szCs w:val="21"/>
                <w:lang w:eastAsia="zh-CN"/>
              </w:rPr>
            </w:pPr>
            <w:r>
              <w:rPr>
                <w:rFonts w:ascii="Times New Roman" w:hAnsi="Times New Roman" w:cs="Times New Roman" w:eastAsiaTheme="minorEastAsia"/>
                <w:snapToGrid/>
                <w:color w:val="auto"/>
                <w:sz w:val="21"/>
                <w:szCs w:val="21"/>
                <w:lang w:eastAsia="zh-CN"/>
              </w:rPr>
              <w:t>未及时有效协调各相关单位（包括但不限于住建、交通、城管、国土规划、街镇、通讯、电力、燃气、供水）的，扣2分；</w:t>
            </w:r>
          </w:p>
          <w:p>
            <w:pPr>
              <w:pStyle w:val="25"/>
              <w:numPr>
                <w:ilvl w:val="0"/>
                <w:numId w:val="12"/>
              </w:numPr>
              <w:spacing w:before="125" w:line="288" w:lineRule="auto"/>
              <w:ind w:firstLine="2"/>
              <w:jc w:val="both"/>
              <w:rPr>
                <w:rFonts w:ascii="Times New Roman" w:hAnsi="Times New Roman" w:cs="Times New Roman" w:eastAsiaTheme="minorEastAsia"/>
                <w:snapToGrid/>
                <w:color w:val="auto"/>
                <w:sz w:val="21"/>
                <w:szCs w:val="21"/>
                <w:lang w:eastAsia="zh-CN"/>
              </w:rPr>
            </w:pPr>
            <w:r>
              <w:rPr>
                <w:rFonts w:ascii="Times New Roman" w:hAnsi="Times New Roman" w:cs="Times New Roman" w:eastAsiaTheme="minorEastAsia"/>
                <w:snapToGrid/>
                <w:color w:val="auto"/>
                <w:sz w:val="21"/>
                <w:szCs w:val="21"/>
                <w:lang w:eastAsia="zh-CN"/>
              </w:rPr>
              <w:t>其他未有效落实组织协调工作的情况，扣1分。</w:t>
            </w:r>
          </w:p>
        </w:tc>
        <w:tc>
          <w:tcPr>
            <w:tcW w:w="1509" w:type="dxa"/>
            <w:vAlign w:val="center"/>
          </w:tcPr>
          <w:p>
            <w:pPr>
              <w:widowControl/>
              <w:spacing w:line="288" w:lineRule="auto"/>
              <w:ind w:firstLine="0" w:firstLineChars="0"/>
              <w:jc w:val="center"/>
              <w:rPr>
                <w:rFonts w:ascii="Times New Roman" w:hAnsi="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802" w:type="dxa"/>
            <w:gridSpan w:val="2"/>
            <w:vAlign w:val="center"/>
          </w:tcPr>
          <w:p>
            <w:pPr>
              <w:widowControl/>
              <w:ind w:firstLine="0" w:firstLineChars="0"/>
              <w:jc w:val="center"/>
              <w:rPr>
                <w:rFonts w:ascii="Times New Roman" w:hAnsi="Times New Roman" w:eastAsiaTheme="minorEastAsia"/>
                <w:bCs/>
                <w:sz w:val="21"/>
                <w:szCs w:val="21"/>
              </w:rPr>
            </w:pPr>
            <w:r>
              <w:rPr>
                <w:rFonts w:ascii="Times New Roman" w:hAnsi="Times New Roman" w:eastAsiaTheme="minorEastAsia"/>
                <w:bCs/>
                <w:sz w:val="21"/>
                <w:szCs w:val="21"/>
              </w:rPr>
              <w:t>合计</w:t>
            </w:r>
          </w:p>
        </w:tc>
        <w:tc>
          <w:tcPr>
            <w:tcW w:w="863" w:type="dxa"/>
            <w:vAlign w:val="center"/>
          </w:tcPr>
          <w:p>
            <w:pPr>
              <w:widowControl/>
              <w:ind w:firstLine="0" w:firstLineChars="0"/>
              <w:jc w:val="center"/>
              <w:rPr>
                <w:rFonts w:ascii="Times New Roman" w:hAnsi="Times New Roman" w:eastAsiaTheme="minorEastAsia"/>
                <w:bCs/>
                <w:sz w:val="21"/>
                <w:szCs w:val="21"/>
              </w:rPr>
            </w:pPr>
            <w:r>
              <w:rPr>
                <w:rFonts w:ascii="Times New Roman" w:hAnsi="Times New Roman" w:eastAsiaTheme="minorEastAsia"/>
                <w:bCs/>
                <w:sz w:val="21"/>
                <w:szCs w:val="21"/>
              </w:rPr>
              <w:t>100</w:t>
            </w:r>
          </w:p>
        </w:tc>
        <w:tc>
          <w:tcPr>
            <w:tcW w:w="855" w:type="dxa"/>
            <w:vAlign w:val="center"/>
          </w:tcPr>
          <w:p>
            <w:pPr>
              <w:widowControl/>
              <w:ind w:firstLine="0" w:firstLineChars="0"/>
              <w:jc w:val="center"/>
              <w:rPr>
                <w:rFonts w:ascii="Times New Roman" w:hAnsi="Times New Roman" w:eastAsiaTheme="minorEastAsia"/>
                <w:bCs/>
                <w:sz w:val="21"/>
                <w:szCs w:val="21"/>
              </w:rPr>
            </w:pPr>
          </w:p>
        </w:tc>
        <w:tc>
          <w:tcPr>
            <w:tcW w:w="860" w:type="dxa"/>
            <w:vAlign w:val="center"/>
          </w:tcPr>
          <w:p>
            <w:pPr>
              <w:widowControl/>
              <w:ind w:firstLine="0" w:firstLineChars="0"/>
              <w:jc w:val="center"/>
              <w:rPr>
                <w:rFonts w:ascii="Times New Roman" w:hAnsi="Times New Roman" w:eastAsiaTheme="minorEastAsia"/>
                <w:b/>
                <w:sz w:val="21"/>
                <w:szCs w:val="21"/>
              </w:rPr>
            </w:pPr>
          </w:p>
        </w:tc>
        <w:tc>
          <w:tcPr>
            <w:tcW w:w="7989" w:type="dxa"/>
            <w:vAlign w:val="center"/>
          </w:tcPr>
          <w:p>
            <w:pPr>
              <w:widowControl/>
              <w:ind w:firstLine="0" w:firstLineChars="0"/>
              <w:jc w:val="center"/>
              <w:rPr>
                <w:rFonts w:ascii="Times New Roman" w:hAnsi="Times New Roman" w:eastAsiaTheme="minorEastAsia"/>
                <w:b/>
                <w:sz w:val="21"/>
                <w:szCs w:val="21"/>
              </w:rPr>
            </w:pPr>
          </w:p>
        </w:tc>
        <w:tc>
          <w:tcPr>
            <w:tcW w:w="1509" w:type="dxa"/>
            <w:vAlign w:val="center"/>
          </w:tcPr>
          <w:p>
            <w:pPr>
              <w:widowControl/>
              <w:ind w:firstLine="0" w:firstLineChars="0"/>
              <w:jc w:val="center"/>
              <w:rPr>
                <w:rFonts w:ascii="Times New Roman" w:hAnsi="Times New Roman" w:eastAsia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3878" w:type="dxa"/>
            <w:gridSpan w:val="7"/>
            <w:vAlign w:val="center"/>
          </w:tcPr>
          <w:p>
            <w:pPr>
              <w:spacing w:line="540" w:lineRule="exact"/>
              <w:ind w:firstLine="105" w:firstLineChars="50"/>
              <w:rPr>
                <w:rFonts w:ascii="Times New Roman" w:hAnsi="Times New Roman" w:eastAsia="仿宋_GB2312"/>
                <w:b/>
                <w:szCs w:val="28"/>
              </w:rPr>
            </w:pPr>
            <w:r>
              <w:rPr>
                <w:rFonts w:ascii="Times New Roman" w:hAnsi="Times New Roman" w:eastAsiaTheme="minorEastAsia"/>
                <w:b/>
                <w:sz w:val="21"/>
                <w:szCs w:val="21"/>
              </w:rPr>
              <w:t>注：单项得分=基础分-扣分（得分小于零分的按零分计算）</w:t>
            </w:r>
          </w:p>
          <w:p>
            <w:pPr>
              <w:widowControl/>
              <w:ind w:firstLine="0" w:firstLineChars="0"/>
              <w:jc w:val="center"/>
              <w:rPr>
                <w:rFonts w:ascii="Times New Roman" w:hAnsi="Times New Roman" w:eastAsiaTheme="minorEastAsia"/>
                <w:sz w:val="21"/>
                <w:szCs w:val="21"/>
              </w:rPr>
            </w:pPr>
          </w:p>
        </w:tc>
      </w:tr>
    </w:tbl>
    <w:p>
      <w:pPr>
        <w:spacing w:line="540" w:lineRule="exact"/>
        <w:ind w:firstLine="105" w:firstLineChars="50"/>
        <w:rPr>
          <w:rFonts w:ascii="Times New Roman" w:hAnsi="Times New Roman" w:eastAsiaTheme="minorEastAsia"/>
          <w:bCs/>
          <w:sz w:val="21"/>
          <w:szCs w:val="21"/>
        </w:rPr>
      </w:pPr>
      <w:r>
        <w:rPr>
          <w:rFonts w:hint="eastAsia" w:ascii="Times New Roman" w:hAnsi="Times New Roman" w:eastAsiaTheme="minorEastAsia"/>
          <w:bCs/>
          <w:sz w:val="21"/>
          <w:szCs w:val="21"/>
        </w:rPr>
        <w:t>评价人：                                                              评价组长：                                                   评价部门负责人：</w:t>
      </w:r>
    </w:p>
    <w:p>
      <w:pPr>
        <w:spacing w:line="540" w:lineRule="exact"/>
        <w:ind w:firstLine="105" w:firstLineChars="50"/>
        <w:rPr>
          <w:rFonts w:ascii="Times New Roman" w:hAnsi="Times New Roman" w:eastAsiaTheme="minorEastAsia"/>
          <w:bCs/>
          <w:sz w:val="21"/>
          <w:szCs w:val="21"/>
        </w:rPr>
      </w:pPr>
    </w:p>
    <w:p>
      <w:pPr>
        <w:spacing w:line="540" w:lineRule="exact"/>
        <w:ind w:left="0" w:leftChars="0" w:firstLine="0" w:firstLineChars="0"/>
        <w:rPr>
          <w:rFonts w:ascii="Times New Roman" w:hAnsi="Times New Roman" w:eastAsiaTheme="minorEastAsia"/>
          <w:bCs/>
          <w:sz w:val="21"/>
          <w:szCs w:val="21"/>
        </w:rPr>
      </w:pPr>
    </w:p>
    <w:sectPr>
      <w:headerReference r:id="rId11" w:type="default"/>
      <w:footerReference r:id="rId12" w:type="default"/>
      <w:pgSz w:w="16838" w:h="11906" w:orient="landscape"/>
      <w:pgMar w:top="1474" w:right="1985" w:bottom="1587" w:left="1587" w:header="720" w:footer="1134" w:gutter="0"/>
      <w:cols w:space="0" w:num="1"/>
      <w:docGrid w:type="linesAndChar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ind w:firstLine="560"/>
                            <w:jc w:val="both"/>
                            <w:rPr>
                              <w:rFonts w:asciiTheme="minorEastAsia" w:hAnsiTheme="minorEastAsia" w:eastAsiaTheme="minorEastAsia" w:cstheme="minorEastAsia"/>
                              <w:sz w:val="28"/>
                              <w:szCs w:val="28"/>
                            </w:rPr>
                          </w:pPr>
                          <w:r>
                            <w:rPr>
                              <w:rFonts w:ascii="Times New Roman" w:hAnsi="Times New Roman" w:eastAsiaTheme="minorEastAsia"/>
                              <w:sz w:val="28"/>
                              <w:szCs w:val="28"/>
                            </w:rPr>
                            <w:t xml:space="preserve">— </w:t>
                          </w:r>
                          <w:r>
                            <w:rPr>
                              <w:rFonts w:ascii="Times New Roman" w:hAnsi="Times New Roman" w:eastAsiaTheme="minorEastAsia"/>
                              <w:sz w:val="28"/>
                              <w:szCs w:val="28"/>
                            </w:rPr>
                            <w:fldChar w:fldCharType="begin"/>
                          </w:r>
                          <w:r>
                            <w:rPr>
                              <w:rFonts w:ascii="Times New Roman" w:hAnsi="Times New Roman" w:eastAsiaTheme="minorEastAsia"/>
                              <w:sz w:val="28"/>
                              <w:szCs w:val="28"/>
                            </w:rPr>
                            <w:instrText xml:space="preserve"> PAGE   \* MERGEFORMAT </w:instrText>
                          </w:r>
                          <w:r>
                            <w:rPr>
                              <w:rFonts w:ascii="Times New Roman" w:hAnsi="Times New Roman" w:eastAsiaTheme="minorEastAsia"/>
                              <w:sz w:val="28"/>
                              <w:szCs w:val="28"/>
                            </w:rPr>
                            <w:fldChar w:fldCharType="separate"/>
                          </w:r>
                          <w:r>
                            <w:rPr>
                              <w:rFonts w:ascii="Times New Roman" w:hAnsi="Times New Roman" w:eastAsiaTheme="minorEastAsia"/>
                              <w:sz w:val="28"/>
                              <w:szCs w:val="28"/>
                              <w:lang w:val="zh-CN"/>
                            </w:rPr>
                            <w:t>2</w:t>
                          </w:r>
                          <w:r>
                            <w:rPr>
                              <w:rFonts w:ascii="Times New Roman" w:hAnsi="Times New Roman" w:eastAsiaTheme="minorEastAsia"/>
                              <w:sz w:val="28"/>
                              <w:szCs w:val="28"/>
                            </w:rPr>
                            <w:fldChar w:fldCharType="end"/>
                          </w:r>
                          <w:r>
                            <w:rPr>
                              <w:rFonts w:ascii="Times New Roman" w:hAnsi="Times New Roman" w:eastAsiaTheme="minorEastAsia"/>
                              <w:sz w:val="28"/>
                              <w:szCs w:val="28"/>
                            </w:rP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8vc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W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7/ry9yQEAAJkDAAAOAAAAAAAAAAEAIAAAAB4BAABkcnMvZTJvRG9j&#10;LnhtbFBLBQYAAAAABgAGAFkBAABZBQAAAAA=&#10;">
              <v:fill on="f" focussize="0,0"/>
              <v:stroke on="f"/>
              <v:imagedata o:title=""/>
              <o:lock v:ext="edit" aspectratio="f"/>
              <v:textbox inset="0mm,0mm,0mm,0mm" style="mso-fit-shape-to-text:t;">
                <w:txbxContent>
                  <w:p>
                    <w:pPr>
                      <w:pStyle w:val="8"/>
                      <w:ind w:firstLine="560"/>
                      <w:jc w:val="both"/>
                      <w:rPr>
                        <w:rFonts w:asciiTheme="minorEastAsia" w:hAnsiTheme="minorEastAsia" w:eastAsiaTheme="minorEastAsia" w:cstheme="minorEastAsia"/>
                        <w:sz w:val="28"/>
                        <w:szCs w:val="28"/>
                      </w:rPr>
                    </w:pPr>
                    <w:r>
                      <w:rPr>
                        <w:rFonts w:ascii="Times New Roman" w:hAnsi="Times New Roman" w:eastAsiaTheme="minorEastAsia"/>
                        <w:sz w:val="28"/>
                        <w:szCs w:val="28"/>
                      </w:rPr>
                      <w:t xml:space="preserve">— </w:t>
                    </w:r>
                    <w:r>
                      <w:rPr>
                        <w:rFonts w:ascii="Times New Roman" w:hAnsi="Times New Roman" w:eastAsiaTheme="minorEastAsia"/>
                        <w:sz w:val="28"/>
                        <w:szCs w:val="28"/>
                      </w:rPr>
                      <w:fldChar w:fldCharType="begin"/>
                    </w:r>
                    <w:r>
                      <w:rPr>
                        <w:rFonts w:ascii="Times New Roman" w:hAnsi="Times New Roman" w:eastAsiaTheme="minorEastAsia"/>
                        <w:sz w:val="28"/>
                        <w:szCs w:val="28"/>
                      </w:rPr>
                      <w:instrText xml:space="preserve"> PAGE   \* MERGEFORMAT </w:instrText>
                    </w:r>
                    <w:r>
                      <w:rPr>
                        <w:rFonts w:ascii="Times New Roman" w:hAnsi="Times New Roman" w:eastAsiaTheme="minorEastAsia"/>
                        <w:sz w:val="28"/>
                        <w:szCs w:val="28"/>
                      </w:rPr>
                      <w:fldChar w:fldCharType="separate"/>
                    </w:r>
                    <w:r>
                      <w:rPr>
                        <w:rFonts w:ascii="Times New Roman" w:hAnsi="Times New Roman" w:eastAsiaTheme="minorEastAsia"/>
                        <w:sz w:val="28"/>
                        <w:szCs w:val="28"/>
                        <w:lang w:val="zh-CN"/>
                      </w:rPr>
                      <w:t>2</w:t>
                    </w:r>
                    <w:r>
                      <w:rPr>
                        <w:rFonts w:ascii="Times New Roman" w:hAnsi="Times New Roman" w:eastAsiaTheme="minorEastAsia"/>
                        <w:sz w:val="28"/>
                        <w:szCs w:val="28"/>
                      </w:rPr>
                      <w:fldChar w:fldCharType="end"/>
                    </w:r>
                    <w:r>
                      <w:rPr>
                        <w:rFonts w:ascii="Times New Roman" w:hAnsi="Times New Roman" w:eastAsia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560"/>
      <w:rPr>
        <w:sz w:val="28"/>
        <w:szCs w:val="28"/>
      </w:rPr>
    </w:pPr>
    <w:r>
      <w:rPr>
        <w:rFonts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2</w:t>
    </w:r>
    <w:r>
      <w:rPr>
        <w:rFonts w:ascii="Times New Roman" w:hAnsi="Times New Roman"/>
        <w:sz w:val="28"/>
        <w:szCs w:val="28"/>
      </w:rPr>
      <w:fldChar w:fldCharType="end"/>
    </w:r>
    <w:r>
      <w:rPr>
        <w:rFonts w:hint="eastAsia"/>
        <w:sz w:val="28"/>
        <w:szCs w:val="28"/>
      </w:rPr>
      <w:t xml:space="preserve"> —</w:t>
    </w:r>
  </w:p>
  <w:p>
    <w:pPr>
      <w:ind w:firstLine="5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right"/>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lang w:val="zh-CN"/>
                            </w:rPr>
                            <w:t>14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CgJFjIAQAAmQMAAA4AAAAAAAAAAQAgAAAAHgEAAGRycy9lMm9Eb2Mu&#10;eG1sUEsFBgAAAAAGAAYAWQEAAFgFAAAAAA==&#10;">
              <v:fill on="f" focussize="0,0"/>
              <v:stroke on="f"/>
              <v:imagedata o:title=""/>
              <o:lock v:ext="edit" aspectratio="f"/>
              <v:textbox inset="0mm,0mm,0mm,0mm" style="mso-fit-shape-to-text:t;">
                <w:txbxContent>
                  <w:p>
                    <w:pPr>
                      <w:pStyle w:val="8"/>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lang w:val="zh-CN"/>
                      </w:rPr>
                      <w:t>14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p>
    <w:pPr>
      <w:ind w:firstLine="5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p>
    <w:pPr>
      <w:ind w:firstLine="5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p>
    <w:pPr>
      <w:ind w:firstLine="5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D2A985"/>
    <w:multiLevelType w:val="singleLevel"/>
    <w:tmpl w:val="95D2A985"/>
    <w:lvl w:ilvl="0" w:tentative="0">
      <w:start w:val="1"/>
      <w:numFmt w:val="chineseCounting"/>
      <w:pStyle w:val="3"/>
      <w:suff w:val="nothing"/>
      <w:lvlText w:val="%1、"/>
      <w:lvlJc w:val="left"/>
      <w:pPr>
        <w:ind w:left="2841" w:firstLine="420"/>
      </w:pPr>
      <w:rPr>
        <w:rFonts w:hint="eastAsia"/>
      </w:rPr>
    </w:lvl>
  </w:abstractNum>
  <w:abstractNum w:abstractNumId="1">
    <w:nsid w:val="9D5A0445"/>
    <w:multiLevelType w:val="singleLevel"/>
    <w:tmpl w:val="9D5A0445"/>
    <w:lvl w:ilvl="0" w:tentative="0">
      <w:start w:val="1"/>
      <w:numFmt w:val="decimal"/>
      <w:suff w:val="space"/>
      <w:lvlText w:val="%1."/>
      <w:lvlJc w:val="left"/>
    </w:lvl>
  </w:abstractNum>
  <w:abstractNum w:abstractNumId="2">
    <w:nsid w:val="A962979F"/>
    <w:multiLevelType w:val="singleLevel"/>
    <w:tmpl w:val="A962979F"/>
    <w:lvl w:ilvl="0" w:tentative="0">
      <w:start w:val="1"/>
      <w:numFmt w:val="decimal"/>
      <w:suff w:val="space"/>
      <w:lvlText w:val="%1."/>
      <w:lvlJc w:val="left"/>
    </w:lvl>
  </w:abstractNum>
  <w:abstractNum w:abstractNumId="3">
    <w:nsid w:val="DBE46855"/>
    <w:multiLevelType w:val="singleLevel"/>
    <w:tmpl w:val="DBE46855"/>
    <w:lvl w:ilvl="0" w:tentative="0">
      <w:start w:val="1"/>
      <w:numFmt w:val="decimal"/>
      <w:suff w:val="space"/>
      <w:lvlText w:val="%1."/>
      <w:lvlJc w:val="left"/>
    </w:lvl>
  </w:abstractNum>
  <w:abstractNum w:abstractNumId="4">
    <w:nsid w:val="FE7FF74A"/>
    <w:multiLevelType w:val="singleLevel"/>
    <w:tmpl w:val="FE7FF74A"/>
    <w:lvl w:ilvl="0" w:tentative="0">
      <w:start w:val="1"/>
      <w:numFmt w:val="decimal"/>
      <w:suff w:val="space"/>
      <w:lvlText w:val="%1."/>
      <w:lvlJc w:val="left"/>
    </w:lvl>
  </w:abstractNum>
  <w:abstractNum w:abstractNumId="5">
    <w:nsid w:val="07BD6035"/>
    <w:multiLevelType w:val="singleLevel"/>
    <w:tmpl w:val="07BD6035"/>
    <w:lvl w:ilvl="0" w:tentative="0">
      <w:start w:val="1"/>
      <w:numFmt w:val="decimal"/>
      <w:suff w:val="space"/>
      <w:lvlText w:val="%1."/>
      <w:lvlJc w:val="left"/>
    </w:lvl>
  </w:abstractNum>
  <w:abstractNum w:abstractNumId="6">
    <w:nsid w:val="0FFDE7E3"/>
    <w:multiLevelType w:val="multilevel"/>
    <w:tmpl w:val="0FFDE7E3"/>
    <w:lvl w:ilvl="0" w:tentative="0">
      <w:start w:val="1"/>
      <w:numFmt w:val="decimal"/>
      <w:pStyle w:val="14"/>
      <w:lvlText w:val="%1."/>
      <w:lvlJc w:val="left"/>
      <w:pPr>
        <w:ind w:left="425" w:hanging="425"/>
      </w:pPr>
      <w:rPr>
        <w:rFonts w:hint="default"/>
      </w:rPr>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71"/>
        </w:tabs>
        <w:ind w:left="1271"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7">
    <w:nsid w:val="1A74A902"/>
    <w:multiLevelType w:val="singleLevel"/>
    <w:tmpl w:val="1A74A902"/>
    <w:lvl w:ilvl="0" w:tentative="0">
      <w:start w:val="1"/>
      <w:numFmt w:val="decimal"/>
      <w:suff w:val="space"/>
      <w:lvlText w:val="%1."/>
      <w:lvlJc w:val="left"/>
    </w:lvl>
  </w:abstractNum>
  <w:abstractNum w:abstractNumId="8">
    <w:nsid w:val="1ED1A433"/>
    <w:multiLevelType w:val="singleLevel"/>
    <w:tmpl w:val="1ED1A433"/>
    <w:lvl w:ilvl="0" w:tentative="0">
      <w:start w:val="1"/>
      <w:numFmt w:val="decimal"/>
      <w:suff w:val="space"/>
      <w:lvlText w:val="%1."/>
      <w:lvlJc w:val="left"/>
    </w:lvl>
  </w:abstractNum>
  <w:abstractNum w:abstractNumId="9">
    <w:nsid w:val="63BE9F55"/>
    <w:multiLevelType w:val="singleLevel"/>
    <w:tmpl w:val="63BE9F55"/>
    <w:lvl w:ilvl="0" w:tentative="0">
      <w:start w:val="1"/>
      <w:numFmt w:val="decimal"/>
      <w:pStyle w:val="4"/>
      <w:lvlText w:val="%1."/>
      <w:lvlJc w:val="left"/>
      <w:pPr>
        <w:ind w:left="425" w:hanging="425"/>
      </w:pPr>
      <w:rPr>
        <w:rFonts w:hint="default"/>
      </w:rPr>
    </w:lvl>
  </w:abstractNum>
  <w:abstractNum w:abstractNumId="10">
    <w:nsid w:val="6D5644EE"/>
    <w:multiLevelType w:val="singleLevel"/>
    <w:tmpl w:val="6D5644EE"/>
    <w:lvl w:ilvl="0" w:tentative="0">
      <w:start w:val="1"/>
      <w:numFmt w:val="decimal"/>
      <w:suff w:val="space"/>
      <w:lvlText w:val="%1."/>
      <w:lvlJc w:val="left"/>
    </w:lvl>
  </w:abstractNum>
  <w:abstractNum w:abstractNumId="11">
    <w:nsid w:val="6E10BD20"/>
    <w:multiLevelType w:val="singleLevel"/>
    <w:tmpl w:val="6E10BD20"/>
    <w:lvl w:ilvl="0" w:tentative="0">
      <w:start w:val="1"/>
      <w:numFmt w:val="decimal"/>
      <w:suff w:val="space"/>
      <w:lvlText w:val="%1."/>
      <w:lvlJc w:val="left"/>
    </w:lvl>
  </w:abstractNum>
  <w:num w:numId="1">
    <w:abstractNumId w:val="0"/>
  </w:num>
  <w:num w:numId="2">
    <w:abstractNumId w:val="9"/>
  </w:num>
  <w:num w:numId="3">
    <w:abstractNumId w:val="6"/>
  </w:num>
  <w:num w:numId="4">
    <w:abstractNumId w:val="8"/>
  </w:num>
  <w:num w:numId="5">
    <w:abstractNumId w:val="10"/>
  </w:num>
  <w:num w:numId="6">
    <w:abstractNumId w:val="11"/>
  </w:num>
  <w:num w:numId="7">
    <w:abstractNumId w:val="1"/>
  </w:num>
  <w:num w:numId="8">
    <w:abstractNumId w:val="7"/>
  </w:num>
  <w:num w:numId="9">
    <w:abstractNumId w:val="5"/>
  </w:num>
  <w:num w:numId="10">
    <w:abstractNumId w:val="3"/>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forms" w:enforcement="0"/>
  <w:defaultTabStop w:val="420"/>
  <w:drawingGridHorizontalSpacing w:val="140"/>
  <w:drawingGridVerticalSpacing w:val="381"/>
  <w:displayHorizontalDrawingGridEvery w:val="2"/>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jNzZjMmEyY2U4NWIxODliYmZiOTc5ODc0YjBkNWEifQ=="/>
    <w:docVar w:name="KGWebUrl" w:val="http://219.135.207.141:8032/seeyon/kgOfficeServlet?tolen=496e1f596311c3e2aaf66999f98cb1ed&amp;tko=KINGGRID_JSAPI&amp;m=s"/>
    <w:docVar w:name="KSO_WPS_MARK_KEY" w:val="141587b6-7e0a-45bd-bbb4-4bf50ef6dced"/>
  </w:docVars>
  <w:rsids>
    <w:rsidRoot w:val="00BE14A0"/>
    <w:rsid w:val="0000150F"/>
    <w:rsid w:val="00005832"/>
    <w:rsid w:val="0000708B"/>
    <w:rsid w:val="000105ED"/>
    <w:rsid w:val="00010A9D"/>
    <w:rsid w:val="000124CB"/>
    <w:rsid w:val="000134C0"/>
    <w:rsid w:val="00016907"/>
    <w:rsid w:val="00017E8B"/>
    <w:rsid w:val="00021988"/>
    <w:rsid w:val="0002415E"/>
    <w:rsid w:val="00024306"/>
    <w:rsid w:val="0002509B"/>
    <w:rsid w:val="00027789"/>
    <w:rsid w:val="00027D56"/>
    <w:rsid w:val="00030C40"/>
    <w:rsid w:val="00030CA6"/>
    <w:rsid w:val="00031EA2"/>
    <w:rsid w:val="00032995"/>
    <w:rsid w:val="00035126"/>
    <w:rsid w:val="00045EE4"/>
    <w:rsid w:val="00050A51"/>
    <w:rsid w:val="00052371"/>
    <w:rsid w:val="00052C27"/>
    <w:rsid w:val="000566B9"/>
    <w:rsid w:val="0005679C"/>
    <w:rsid w:val="000642DB"/>
    <w:rsid w:val="0007037A"/>
    <w:rsid w:val="000706D9"/>
    <w:rsid w:val="00071649"/>
    <w:rsid w:val="000744CE"/>
    <w:rsid w:val="00076D2A"/>
    <w:rsid w:val="000804AF"/>
    <w:rsid w:val="00085274"/>
    <w:rsid w:val="00086D3C"/>
    <w:rsid w:val="000878C6"/>
    <w:rsid w:val="000909CB"/>
    <w:rsid w:val="00091AA4"/>
    <w:rsid w:val="00094899"/>
    <w:rsid w:val="000A2588"/>
    <w:rsid w:val="000A3F4C"/>
    <w:rsid w:val="000A5FC5"/>
    <w:rsid w:val="000A694F"/>
    <w:rsid w:val="000A6C7A"/>
    <w:rsid w:val="000A7B07"/>
    <w:rsid w:val="000B14F9"/>
    <w:rsid w:val="000B1610"/>
    <w:rsid w:val="000B1D71"/>
    <w:rsid w:val="000B2672"/>
    <w:rsid w:val="000B55DA"/>
    <w:rsid w:val="000B56D4"/>
    <w:rsid w:val="000C01C9"/>
    <w:rsid w:val="000C1EFD"/>
    <w:rsid w:val="000C32D1"/>
    <w:rsid w:val="000C49C3"/>
    <w:rsid w:val="000C4D04"/>
    <w:rsid w:val="000C66F0"/>
    <w:rsid w:val="000C72EA"/>
    <w:rsid w:val="000D0CA6"/>
    <w:rsid w:val="000D60BA"/>
    <w:rsid w:val="000E5A14"/>
    <w:rsid w:val="000E6CDF"/>
    <w:rsid w:val="000E6E9C"/>
    <w:rsid w:val="000F0FC6"/>
    <w:rsid w:val="000F5D70"/>
    <w:rsid w:val="000F6AE3"/>
    <w:rsid w:val="001008F7"/>
    <w:rsid w:val="001056D2"/>
    <w:rsid w:val="0011141F"/>
    <w:rsid w:val="0011348C"/>
    <w:rsid w:val="001157EC"/>
    <w:rsid w:val="00115A69"/>
    <w:rsid w:val="00116E47"/>
    <w:rsid w:val="001207DC"/>
    <w:rsid w:val="001211BA"/>
    <w:rsid w:val="00124B35"/>
    <w:rsid w:val="00125291"/>
    <w:rsid w:val="00125E74"/>
    <w:rsid w:val="00133C3A"/>
    <w:rsid w:val="00140576"/>
    <w:rsid w:val="00140B27"/>
    <w:rsid w:val="001425B3"/>
    <w:rsid w:val="001454E6"/>
    <w:rsid w:val="00147842"/>
    <w:rsid w:val="001500D4"/>
    <w:rsid w:val="00156B49"/>
    <w:rsid w:val="00157442"/>
    <w:rsid w:val="00157835"/>
    <w:rsid w:val="00157EBC"/>
    <w:rsid w:val="001603E6"/>
    <w:rsid w:val="001622F4"/>
    <w:rsid w:val="00162A8C"/>
    <w:rsid w:val="001636F3"/>
    <w:rsid w:val="00164635"/>
    <w:rsid w:val="00165A1C"/>
    <w:rsid w:val="001701BF"/>
    <w:rsid w:val="00170295"/>
    <w:rsid w:val="0017104F"/>
    <w:rsid w:val="00173723"/>
    <w:rsid w:val="00176537"/>
    <w:rsid w:val="0017756E"/>
    <w:rsid w:val="00181477"/>
    <w:rsid w:val="00182FD4"/>
    <w:rsid w:val="0018339A"/>
    <w:rsid w:val="00191D67"/>
    <w:rsid w:val="001921F5"/>
    <w:rsid w:val="0019386A"/>
    <w:rsid w:val="001A1BE4"/>
    <w:rsid w:val="001A2C07"/>
    <w:rsid w:val="001A2F52"/>
    <w:rsid w:val="001A3F6A"/>
    <w:rsid w:val="001A7653"/>
    <w:rsid w:val="001B5F89"/>
    <w:rsid w:val="001C2A3C"/>
    <w:rsid w:val="001C4369"/>
    <w:rsid w:val="001D4E83"/>
    <w:rsid w:val="001D5141"/>
    <w:rsid w:val="001E053F"/>
    <w:rsid w:val="001E37BD"/>
    <w:rsid w:val="001E3826"/>
    <w:rsid w:val="001E7C4E"/>
    <w:rsid w:val="001F0804"/>
    <w:rsid w:val="001F0BFB"/>
    <w:rsid w:val="001F130C"/>
    <w:rsid w:val="001F6654"/>
    <w:rsid w:val="001F67A8"/>
    <w:rsid w:val="00200BE1"/>
    <w:rsid w:val="00201E7B"/>
    <w:rsid w:val="00201EB2"/>
    <w:rsid w:val="00202862"/>
    <w:rsid w:val="002036B0"/>
    <w:rsid w:val="00203B07"/>
    <w:rsid w:val="002047AA"/>
    <w:rsid w:val="00204A4A"/>
    <w:rsid w:val="002052C4"/>
    <w:rsid w:val="00206357"/>
    <w:rsid w:val="002077D1"/>
    <w:rsid w:val="00207BDB"/>
    <w:rsid w:val="00214122"/>
    <w:rsid w:val="0022753A"/>
    <w:rsid w:val="00231D01"/>
    <w:rsid w:val="0023619D"/>
    <w:rsid w:val="00236561"/>
    <w:rsid w:val="002400BC"/>
    <w:rsid w:val="00243797"/>
    <w:rsid w:val="002440B5"/>
    <w:rsid w:val="00245725"/>
    <w:rsid w:val="002518A2"/>
    <w:rsid w:val="00251BCD"/>
    <w:rsid w:val="00252689"/>
    <w:rsid w:val="0025268B"/>
    <w:rsid w:val="002542C5"/>
    <w:rsid w:val="0025589A"/>
    <w:rsid w:val="00255C28"/>
    <w:rsid w:val="00266B67"/>
    <w:rsid w:val="00271F0C"/>
    <w:rsid w:val="00273FFA"/>
    <w:rsid w:val="0027698E"/>
    <w:rsid w:val="002806A0"/>
    <w:rsid w:val="00280A9F"/>
    <w:rsid w:val="00283A6C"/>
    <w:rsid w:val="00290B92"/>
    <w:rsid w:val="002916F3"/>
    <w:rsid w:val="00293237"/>
    <w:rsid w:val="0029478D"/>
    <w:rsid w:val="00294AC6"/>
    <w:rsid w:val="002959BA"/>
    <w:rsid w:val="0029715D"/>
    <w:rsid w:val="002A09F9"/>
    <w:rsid w:val="002A0D05"/>
    <w:rsid w:val="002A2AF2"/>
    <w:rsid w:val="002A2B46"/>
    <w:rsid w:val="002A6E35"/>
    <w:rsid w:val="002B08E7"/>
    <w:rsid w:val="002B18E9"/>
    <w:rsid w:val="002B2ECB"/>
    <w:rsid w:val="002B35B7"/>
    <w:rsid w:val="002B3D07"/>
    <w:rsid w:val="002B60BF"/>
    <w:rsid w:val="002C2601"/>
    <w:rsid w:val="002C5DCC"/>
    <w:rsid w:val="002C5E71"/>
    <w:rsid w:val="002C6B23"/>
    <w:rsid w:val="002D0E44"/>
    <w:rsid w:val="002D1CAF"/>
    <w:rsid w:val="002D5F45"/>
    <w:rsid w:val="002E42CC"/>
    <w:rsid w:val="002E5F4D"/>
    <w:rsid w:val="002F4B85"/>
    <w:rsid w:val="002F4E92"/>
    <w:rsid w:val="002F638A"/>
    <w:rsid w:val="002F7690"/>
    <w:rsid w:val="003001A8"/>
    <w:rsid w:val="00300471"/>
    <w:rsid w:val="00303359"/>
    <w:rsid w:val="00310508"/>
    <w:rsid w:val="00312225"/>
    <w:rsid w:val="003122D9"/>
    <w:rsid w:val="00312F93"/>
    <w:rsid w:val="00313D6C"/>
    <w:rsid w:val="00314BD5"/>
    <w:rsid w:val="0031657E"/>
    <w:rsid w:val="00316A8D"/>
    <w:rsid w:val="00320684"/>
    <w:rsid w:val="00322339"/>
    <w:rsid w:val="00323CCD"/>
    <w:rsid w:val="003301A8"/>
    <w:rsid w:val="00330BB6"/>
    <w:rsid w:val="0033164B"/>
    <w:rsid w:val="0033356F"/>
    <w:rsid w:val="00335831"/>
    <w:rsid w:val="003372A4"/>
    <w:rsid w:val="0033745D"/>
    <w:rsid w:val="00340F02"/>
    <w:rsid w:val="00341B2E"/>
    <w:rsid w:val="00344480"/>
    <w:rsid w:val="00347E4C"/>
    <w:rsid w:val="0035129B"/>
    <w:rsid w:val="0035174D"/>
    <w:rsid w:val="00353C02"/>
    <w:rsid w:val="00353CBF"/>
    <w:rsid w:val="00357A37"/>
    <w:rsid w:val="003619B5"/>
    <w:rsid w:val="00362733"/>
    <w:rsid w:val="0037122B"/>
    <w:rsid w:val="00371333"/>
    <w:rsid w:val="003718F2"/>
    <w:rsid w:val="0037420F"/>
    <w:rsid w:val="00375016"/>
    <w:rsid w:val="003764F0"/>
    <w:rsid w:val="003801E7"/>
    <w:rsid w:val="003829A5"/>
    <w:rsid w:val="00382EC3"/>
    <w:rsid w:val="00391483"/>
    <w:rsid w:val="00392544"/>
    <w:rsid w:val="003A400F"/>
    <w:rsid w:val="003A6096"/>
    <w:rsid w:val="003B02DD"/>
    <w:rsid w:val="003B10AC"/>
    <w:rsid w:val="003B23A0"/>
    <w:rsid w:val="003B31C8"/>
    <w:rsid w:val="003B3CDA"/>
    <w:rsid w:val="003B4A90"/>
    <w:rsid w:val="003B6F7E"/>
    <w:rsid w:val="003C0EE5"/>
    <w:rsid w:val="003C17B9"/>
    <w:rsid w:val="003C3819"/>
    <w:rsid w:val="003C4869"/>
    <w:rsid w:val="003C5D7D"/>
    <w:rsid w:val="003D0B86"/>
    <w:rsid w:val="003D142E"/>
    <w:rsid w:val="003D6472"/>
    <w:rsid w:val="003D708A"/>
    <w:rsid w:val="003D7E19"/>
    <w:rsid w:val="003E113D"/>
    <w:rsid w:val="003E14E2"/>
    <w:rsid w:val="003E1B1F"/>
    <w:rsid w:val="003E4462"/>
    <w:rsid w:val="003E5902"/>
    <w:rsid w:val="003E5D27"/>
    <w:rsid w:val="003E754B"/>
    <w:rsid w:val="003E7CDB"/>
    <w:rsid w:val="003F0800"/>
    <w:rsid w:val="003F1244"/>
    <w:rsid w:val="003F281B"/>
    <w:rsid w:val="003F2ED0"/>
    <w:rsid w:val="003F4D71"/>
    <w:rsid w:val="003F4DCD"/>
    <w:rsid w:val="003F6753"/>
    <w:rsid w:val="003F6EA1"/>
    <w:rsid w:val="004004EF"/>
    <w:rsid w:val="00405DD1"/>
    <w:rsid w:val="00407D5D"/>
    <w:rsid w:val="00411346"/>
    <w:rsid w:val="004125BA"/>
    <w:rsid w:val="0041598F"/>
    <w:rsid w:val="0041676D"/>
    <w:rsid w:val="0042288E"/>
    <w:rsid w:val="004260C2"/>
    <w:rsid w:val="0043028E"/>
    <w:rsid w:val="00430F48"/>
    <w:rsid w:val="00433476"/>
    <w:rsid w:val="004343F0"/>
    <w:rsid w:val="00434CCB"/>
    <w:rsid w:val="004426A6"/>
    <w:rsid w:val="0044299E"/>
    <w:rsid w:val="00444B59"/>
    <w:rsid w:val="004460C1"/>
    <w:rsid w:val="0044759B"/>
    <w:rsid w:val="0045113F"/>
    <w:rsid w:val="004536C7"/>
    <w:rsid w:val="0046022B"/>
    <w:rsid w:val="00460380"/>
    <w:rsid w:val="00460856"/>
    <w:rsid w:val="004626C9"/>
    <w:rsid w:val="004655FC"/>
    <w:rsid w:val="00465BFA"/>
    <w:rsid w:val="00466C9D"/>
    <w:rsid w:val="0046702A"/>
    <w:rsid w:val="004707C0"/>
    <w:rsid w:val="004710B0"/>
    <w:rsid w:val="00476F62"/>
    <w:rsid w:val="00480875"/>
    <w:rsid w:val="00482BFE"/>
    <w:rsid w:val="00483EBD"/>
    <w:rsid w:val="00487F51"/>
    <w:rsid w:val="004903E0"/>
    <w:rsid w:val="00490B49"/>
    <w:rsid w:val="00491A81"/>
    <w:rsid w:val="00495610"/>
    <w:rsid w:val="004959F9"/>
    <w:rsid w:val="004A047A"/>
    <w:rsid w:val="004A1117"/>
    <w:rsid w:val="004A4CA5"/>
    <w:rsid w:val="004B12A4"/>
    <w:rsid w:val="004B1A0D"/>
    <w:rsid w:val="004B1E07"/>
    <w:rsid w:val="004B2F86"/>
    <w:rsid w:val="004B30DF"/>
    <w:rsid w:val="004B3676"/>
    <w:rsid w:val="004B396B"/>
    <w:rsid w:val="004C2E44"/>
    <w:rsid w:val="004C377A"/>
    <w:rsid w:val="004C4728"/>
    <w:rsid w:val="004C6281"/>
    <w:rsid w:val="004C6D20"/>
    <w:rsid w:val="004D008D"/>
    <w:rsid w:val="004D33B3"/>
    <w:rsid w:val="004D7FE4"/>
    <w:rsid w:val="004E12E8"/>
    <w:rsid w:val="004E2F53"/>
    <w:rsid w:val="004E60CD"/>
    <w:rsid w:val="004F0197"/>
    <w:rsid w:val="004F0EA0"/>
    <w:rsid w:val="004F1A20"/>
    <w:rsid w:val="004F63A7"/>
    <w:rsid w:val="004F6428"/>
    <w:rsid w:val="004F68D7"/>
    <w:rsid w:val="0050124E"/>
    <w:rsid w:val="00501EF2"/>
    <w:rsid w:val="00505E35"/>
    <w:rsid w:val="00506623"/>
    <w:rsid w:val="0051085B"/>
    <w:rsid w:val="00510980"/>
    <w:rsid w:val="00511E98"/>
    <w:rsid w:val="005148CE"/>
    <w:rsid w:val="00514AEE"/>
    <w:rsid w:val="005222DE"/>
    <w:rsid w:val="00522925"/>
    <w:rsid w:val="00522BA4"/>
    <w:rsid w:val="00526482"/>
    <w:rsid w:val="005317B7"/>
    <w:rsid w:val="005417C8"/>
    <w:rsid w:val="0054265F"/>
    <w:rsid w:val="005467C4"/>
    <w:rsid w:val="00546D9F"/>
    <w:rsid w:val="00547A34"/>
    <w:rsid w:val="00550305"/>
    <w:rsid w:val="005540C1"/>
    <w:rsid w:val="005543A3"/>
    <w:rsid w:val="00557112"/>
    <w:rsid w:val="00560AAE"/>
    <w:rsid w:val="00564967"/>
    <w:rsid w:val="00565985"/>
    <w:rsid w:val="00565F94"/>
    <w:rsid w:val="0056713E"/>
    <w:rsid w:val="0057147E"/>
    <w:rsid w:val="00571803"/>
    <w:rsid w:val="00575360"/>
    <w:rsid w:val="00586FE4"/>
    <w:rsid w:val="00591AA2"/>
    <w:rsid w:val="00592D04"/>
    <w:rsid w:val="00594484"/>
    <w:rsid w:val="005A0EDD"/>
    <w:rsid w:val="005A13A9"/>
    <w:rsid w:val="005A16C3"/>
    <w:rsid w:val="005A47A5"/>
    <w:rsid w:val="005B066B"/>
    <w:rsid w:val="005B1350"/>
    <w:rsid w:val="005B1488"/>
    <w:rsid w:val="005B2550"/>
    <w:rsid w:val="005B5C42"/>
    <w:rsid w:val="005B671B"/>
    <w:rsid w:val="005B73E7"/>
    <w:rsid w:val="005C6FBC"/>
    <w:rsid w:val="005C77A1"/>
    <w:rsid w:val="005D0B31"/>
    <w:rsid w:val="005D1578"/>
    <w:rsid w:val="005D1FAC"/>
    <w:rsid w:val="005D457C"/>
    <w:rsid w:val="005D53A8"/>
    <w:rsid w:val="005E1158"/>
    <w:rsid w:val="005E4BF8"/>
    <w:rsid w:val="005E7C6A"/>
    <w:rsid w:val="005F12EF"/>
    <w:rsid w:val="005F1AE1"/>
    <w:rsid w:val="005F4FBB"/>
    <w:rsid w:val="005F5E2D"/>
    <w:rsid w:val="005F6AEF"/>
    <w:rsid w:val="005F76BB"/>
    <w:rsid w:val="00601239"/>
    <w:rsid w:val="00604462"/>
    <w:rsid w:val="006052F5"/>
    <w:rsid w:val="00606F08"/>
    <w:rsid w:val="00607B79"/>
    <w:rsid w:val="0061081E"/>
    <w:rsid w:val="006109E5"/>
    <w:rsid w:val="00612D3E"/>
    <w:rsid w:val="006134BD"/>
    <w:rsid w:val="006154D4"/>
    <w:rsid w:val="00617409"/>
    <w:rsid w:val="00622B83"/>
    <w:rsid w:val="006234F7"/>
    <w:rsid w:val="00624E5A"/>
    <w:rsid w:val="006312E3"/>
    <w:rsid w:val="0063580A"/>
    <w:rsid w:val="006363A5"/>
    <w:rsid w:val="0064480C"/>
    <w:rsid w:val="00652CF0"/>
    <w:rsid w:val="006543A3"/>
    <w:rsid w:val="00657F8E"/>
    <w:rsid w:val="0066440C"/>
    <w:rsid w:val="00664AE6"/>
    <w:rsid w:val="006659EA"/>
    <w:rsid w:val="00666689"/>
    <w:rsid w:val="00670FD1"/>
    <w:rsid w:val="006737B7"/>
    <w:rsid w:val="00674DA5"/>
    <w:rsid w:val="00674FAA"/>
    <w:rsid w:val="00676A08"/>
    <w:rsid w:val="00677A9E"/>
    <w:rsid w:val="0068199C"/>
    <w:rsid w:val="00682D9F"/>
    <w:rsid w:val="0068334C"/>
    <w:rsid w:val="006876D9"/>
    <w:rsid w:val="00692517"/>
    <w:rsid w:val="00694FAE"/>
    <w:rsid w:val="006A203A"/>
    <w:rsid w:val="006A42DB"/>
    <w:rsid w:val="006B1B5A"/>
    <w:rsid w:val="006C2837"/>
    <w:rsid w:val="006C3D70"/>
    <w:rsid w:val="006C4283"/>
    <w:rsid w:val="006C46EB"/>
    <w:rsid w:val="006C6247"/>
    <w:rsid w:val="006C683D"/>
    <w:rsid w:val="006D39B5"/>
    <w:rsid w:val="006D431E"/>
    <w:rsid w:val="006D4412"/>
    <w:rsid w:val="006D56CA"/>
    <w:rsid w:val="006D56EF"/>
    <w:rsid w:val="006D745F"/>
    <w:rsid w:val="006E183F"/>
    <w:rsid w:val="006E3588"/>
    <w:rsid w:val="006E3E09"/>
    <w:rsid w:val="006E4251"/>
    <w:rsid w:val="006E55E1"/>
    <w:rsid w:val="006F0335"/>
    <w:rsid w:val="0070032A"/>
    <w:rsid w:val="007021F5"/>
    <w:rsid w:val="00702565"/>
    <w:rsid w:val="00710BB5"/>
    <w:rsid w:val="00711ABE"/>
    <w:rsid w:val="00713591"/>
    <w:rsid w:val="00714D94"/>
    <w:rsid w:val="0071701B"/>
    <w:rsid w:val="007221E5"/>
    <w:rsid w:val="00725F64"/>
    <w:rsid w:val="00727670"/>
    <w:rsid w:val="00731117"/>
    <w:rsid w:val="007315E9"/>
    <w:rsid w:val="00732FBB"/>
    <w:rsid w:val="007427B0"/>
    <w:rsid w:val="0074306D"/>
    <w:rsid w:val="00743E55"/>
    <w:rsid w:val="007466AD"/>
    <w:rsid w:val="007517CA"/>
    <w:rsid w:val="007551D9"/>
    <w:rsid w:val="007554B1"/>
    <w:rsid w:val="007566B6"/>
    <w:rsid w:val="007617F3"/>
    <w:rsid w:val="0076331C"/>
    <w:rsid w:val="00766BE0"/>
    <w:rsid w:val="00766CCA"/>
    <w:rsid w:val="00767528"/>
    <w:rsid w:val="0077061F"/>
    <w:rsid w:val="007753F0"/>
    <w:rsid w:val="00775642"/>
    <w:rsid w:val="00782863"/>
    <w:rsid w:val="007832A7"/>
    <w:rsid w:val="00783E80"/>
    <w:rsid w:val="00791C1D"/>
    <w:rsid w:val="00792C17"/>
    <w:rsid w:val="00793325"/>
    <w:rsid w:val="00793FD8"/>
    <w:rsid w:val="00795E18"/>
    <w:rsid w:val="007A006C"/>
    <w:rsid w:val="007A4366"/>
    <w:rsid w:val="007A5D3A"/>
    <w:rsid w:val="007A63CC"/>
    <w:rsid w:val="007A6FDF"/>
    <w:rsid w:val="007B00E7"/>
    <w:rsid w:val="007B1BC4"/>
    <w:rsid w:val="007B37E1"/>
    <w:rsid w:val="007B49A6"/>
    <w:rsid w:val="007B758B"/>
    <w:rsid w:val="007C05D9"/>
    <w:rsid w:val="007C05DB"/>
    <w:rsid w:val="007C1AD4"/>
    <w:rsid w:val="007C3F20"/>
    <w:rsid w:val="007C4BEC"/>
    <w:rsid w:val="007C6068"/>
    <w:rsid w:val="007C6415"/>
    <w:rsid w:val="007D1803"/>
    <w:rsid w:val="007D62F5"/>
    <w:rsid w:val="007E3155"/>
    <w:rsid w:val="007F1D0C"/>
    <w:rsid w:val="007F4540"/>
    <w:rsid w:val="007F4C01"/>
    <w:rsid w:val="007F5423"/>
    <w:rsid w:val="007F625C"/>
    <w:rsid w:val="007F7088"/>
    <w:rsid w:val="008002D8"/>
    <w:rsid w:val="0080190C"/>
    <w:rsid w:val="00801FC6"/>
    <w:rsid w:val="0080204C"/>
    <w:rsid w:val="0080269F"/>
    <w:rsid w:val="008034D7"/>
    <w:rsid w:val="00803B90"/>
    <w:rsid w:val="00807CE6"/>
    <w:rsid w:val="00811FEC"/>
    <w:rsid w:val="00814918"/>
    <w:rsid w:val="00817528"/>
    <w:rsid w:val="00817E25"/>
    <w:rsid w:val="00820320"/>
    <w:rsid w:val="00822E58"/>
    <w:rsid w:val="00823D32"/>
    <w:rsid w:val="00831382"/>
    <w:rsid w:val="0083159A"/>
    <w:rsid w:val="00833FB0"/>
    <w:rsid w:val="00834221"/>
    <w:rsid w:val="0083796D"/>
    <w:rsid w:val="0084054C"/>
    <w:rsid w:val="008425D2"/>
    <w:rsid w:val="0085313A"/>
    <w:rsid w:val="00853E71"/>
    <w:rsid w:val="00861FA8"/>
    <w:rsid w:val="0086299C"/>
    <w:rsid w:val="00862DD1"/>
    <w:rsid w:val="008657B8"/>
    <w:rsid w:val="00870DBA"/>
    <w:rsid w:val="008722D1"/>
    <w:rsid w:val="00874442"/>
    <w:rsid w:val="00874E86"/>
    <w:rsid w:val="00875E69"/>
    <w:rsid w:val="00876437"/>
    <w:rsid w:val="00880621"/>
    <w:rsid w:val="00883520"/>
    <w:rsid w:val="00883FA2"/>
    <w:rsid w:val="008866B8"/>
    <w:rsid w:val="00893964"/>
    <w:rsid w:val="00895EFA"/>
    <w:rsid w:val="008A04A9"/>
    <w:rsid w:val="008A57FD"/>
    <w:rsid w:val="008A5E53"/>
    <w:rsid w:val="008B0977"/>
    <w:rsid w:val="008B34F1"/>
    <w:rsid w:val="008B3D88"/>
    <w:rsid w:val="008B4E9E"/>
    <w:rsid w:val="008C0D1F"/>
    <w:rsid w:val="008C1547"/>
    <w:rsid w:val="008C1F40"/>
    <w:rsid w:val="008C3EEE"/>
    <w:rsid w:val="008C613C"/>
    <w:rsid w:val="008D0361"/>
    <w:rsid w:val="008D4AFF"/>
    <w:rsid w:val="008D7910"/>
    <w:rsid w:val="008D7EEF"/>
    <w:rsid w:val="008E0B0D"/>
    <w:rsid w:val="008E160E"/>
    <w:rsid w:val="008E1AD9"/>
    <w:rsid w:val="008E34AC"/>
    <w:rsid w:val="008E3A22"/>
    <w:rsid w:val="008E4A46"/>
    <w:rsid w:val="008F33BF"/>
    <w:rsid w:val="008F406A"/>
    <w:rsid w:val="008F453B"/>
    <w:rsid w:val="008F4D0F"/>
    <w:rsid w:val="00901D2C"/>
    <w:rsid w:val="00902448"/>
    <w:rsid w:val="009027C6"/>
    <w:rsid w:val="009038C0"/>
    <w:rsid w:val="00903A30"/>
    <w:rsid w:val="00903C1D"/>
    <w:rsid w:val="00904746"/>
    <w:rsid w:val="00904CE3"/>
    <w:rsid w:val="00904DA5"/>
    <w:rsid w:val="00905407"/>
    <w:rsid w:val="00905925"/>
    <w:rsid w:val="009060B9"/>
    <w:rsid w:val="009060F3"/>
    <w:rsid w:val="00906AB7"/>
    <w:rsid w:val="009130E1"/>
    <w:rsid w:val="00914E99"/>
    <w:rsid w:val="00914F9C"/>
    <w:rsid w:val="009164EE"/>
    <w:rsid w:val="00917517"/>
    <w:rsid w:val="00917A60"/>
    <w:rsid w:val="009238AC"/>
    <w:rsid w:val="00924B02"/>
    <w:rsid w:val="00924D9B"/>
    <w:rsid w:val="0092565B"/>
    <w:rsid w:val="009260CA"/>
    <w:rsid w:val="009275DE"/>
    <w:rsid w:val="00927B5A"/>
    <w:rsid w:val="009304DC"/>
    <w:rsid w:val="00932216"/>
    <w:rsid w:val="00932402"/>
    <w:rsid w:val="0093275F"/>
    <w:rsid w:val="0093449C"/>
    <w:rsid w:val="00935682"/>
    <w:rsid w:val="00940457"/>
    <w:rsid w:val="009407C0"/>
    <w:rsid w:val="00945196"/>
    <w:rsid w:val="00951261"/>
    <w:rsid w:val="009516FF"/>
    <w:rsid w:val="00957E74"/>
    <w:rsid w:val="0096089E"/>
    <w:rsid w:val="00963EEE"/>
    <w:rsid w:val="00963FB2"/>
    <w:rsid w:val="009641B1"/>
    <w:rsid w:val="00964877"/>
    <w:rsid w:val="00966166"/>
    <w:rsid w:val="00966BA2"/>
    <w:rsid w:val="00971E47"/>
    <w:rsid w:val="009746E5"/>
    <w:rsid w:val="00974989"/>
    <w:rsid w:val="009771B9"/>
    <w:rsid w:val="00981DA4"/>
    <w:rsid w:val="00982959"/>
    <w:rsid w:val="00983EDE"/>
    <w:rsid w:val="0098488D"/>
    <w:rsid w:val="00987B64"/>
    <w:rsid w:val="00987CAF"/>
    <w:rsid w:val="00992DE4"/>
    <w:rsid w:val="0099504B"/>
    <w:rsid w:val="009A7D82"/>
    <w:rsid w:val="009B2ED4"/>
    <w:rsid w:val="009B3AC3"/>
    <w:rsid w:val="009B3B4F"/>
    <w:rsid w:val="009B4BB3"/>
    <w:rsid w:val="009B622E"/>
    <w:rsid w:val="009B6D59"/>
    <w:rsid w:val="009B7507"/>
    <w:rsid w:val="009C1701"/>
    <w:rsid w:val="009C2A4A"/>
    <w:rsid w:val="009D0920"/>
    <w:rsid w:val="009D3532"/>
    <w:rsid w:val="009D4E7D"/>
    <w:rsid w:val="009D71CF"/>
    <w:rsid w:val="009E1697"/>
    <w:rsid w:val="009E34C6"/>
    <w:rsid w:val="009E3BCA"/>
    <w:rsid w:val="009E572D"/>
    <w:rsid w:val="009E5EB8"/>
    <w:rsid w:val="009E6F8D"/>
    <w:rsid w:val="009E714A"/>
    <w:rsid w:val="009F3C15"/>
    <w:rsid w:val="009F70B0"/>
    <w:rsid w:val="009F7D94"/>
    <w:rsid w:val="00A035C8"/>
    <w:rsid w:val="00A03A82"/>
    <w:rsid w:val="00A04F34"/>
    <w:rsid w:val="00A065DF"/>
    <w:rsid w:val="00A066B9"/>
    <w:rsid w:val="00A16025"/>
    <w:rsid w:val="00A16BD8"/>
    <w:rsid w:val="00A22185"/>
    <w:rsid w:val="00A238FF"/>
    <w:rsid w:val="00A27AB8"/>
    <w:rsid w:val="00A30015"/>
    <w:rsid w:val="00A34DFA"/>
    <w:rsid w:val="00A34F78"/>
    <w:rsid w:val="00A37CBD"/>
    <w:rsid w:val="00A40A8C"/>
    <w:rsid w:val="00A40DC0"/>
    <w:rsid w:val="00A42695"/>
    <w:rsid w:val="00A46252"/>
    <w:rsid w:val="00A47EA8"/>
    <w:rsid w:val="00A51D4B"/>
    <w:rsid w:val="00A52962"/>
    <w:rsid w:val="00A52A0B"/>
    <w:rsid w:val="00A52B88"/>
    <w:rsid w:val="00A54583"/>
    <w:rsid w:val="00A57847"/>
    <w:rsid w:val="00A57C88"/>
    <w:rsid w:val="00A61EB4"/>
    <w:rsid w:val="00A628B3"/>
    <w:rsid w:val="00A63B73"/>
    <w:rsid w:val="00A6694A"/>
    <w:rsid w:val="00A673A9"/>
    <w:rsid w:val="00A713B7"/>
    <w:rsid w:val="00A73A00"/>
    <w:rsid w:val="00A73F5E"/>
    <w:rsid w:val="00A748FC"/>
    <w:rsid w:val="00A759CF"/>
    <w:rsid w:val="00A80640"/>
    <w:rsid w:val="00A82667"/>
    <w:rsid w:val="00A82E5C"/>
    <w:rsid w:val="00A8782C"/>
    <w:rsid w:val="00A951F1"/>
    <w:rsid w:val="00A95657"/>
    <w:rsid w:val="00A96139"/>
    <w:rsid w:val="00A971D5"/>
    <w:rsid w:val="00AA0B4F"/>
    <w:rsid w:val="00AA2C0B"/>
    <w:rsid w:val="00AA3A8E"/>
    <w:rsid w:val="00AA6817"/>
    <w:rsid w:val="00AB095E"/>
    <w:rsid w:val="00AB1858"/>
    <w:rsid w:val="00AB2AFF"/>
    <w:rsid w:val="00AB5D81"/>
    <w:rsid w:val="00AC0765"/>
    <w:rsid w:val="00AC3419"/>
    <w:rsid w:val="00AC356E"/>
    <w:rsid w:val="00AC3BCC"/>
    <w:rsid w:val="00AC5BA0"/>
    <w:rsid w:val="00AD003A"/>
    <w:rsid w:val="00AD29D9"/>
    <w:rsid w:val="00AD6676"/>
    <w:rsid w:val="00AD6A6A"/>
    <w:rsid w:val="00AE1EFC"/>
    <w:rsid w:val="00AE262A"/>
    <w:rsid w:val="00AE2BFE"/>
    <w:rsid w:val="00AE62CB"/>
    <w:rsid w:val="00AE6AE7"/>
    <w:rsid w:val="00AE6B4D"/>
    <w:rsid w:val="00AE7CDB"/>
    <w:rsid w:val="00AF0623"/>
    <w:rsid w:val="00AF1C75"/>
    <w:rsid w:val="00AF3727"/>
    <w:rsid w:val="00AF3E1B"/>
    <w:rsid w:val="00AF41E3"/>
    <w:rsid w:val="00B030BA"/>
    <w:rsid w:val="00B03D1F"/>
    <w:rsid w:val="00B04C16"/>
    <w:rsid w:val="00B07C02"/>
    <w:rsid w:val="00B11725"/>
    <w:rsid w:val="00B13429"/>
    <w:rsid w:val="00B149A6"/>
    <w:rsid w:val="00B16B4D"/>
    <w:rsid w:val="00B17352"/>
    <w:rsid w:val="00B2270B"/>
    <w:rsid w:val="00B23582"/>
    <w:rsid w:val="00B236BF"/>
    <w:rsid w:val="00B2538E"/>
    <w:rsid w:val="00B258DC"/>
    <w:rsid w:val="00B26D55"/>
    <w:rsid w:val="00B3062C"/>
    <w:rsid w:val="00B33E97"/>
    <w:rsid w:val="00B3570F"/>
    <w:rsid w:val="00B35D8D"/>
    <w:rsid w:val="00B366E0"/>
    <w:rsid w:val="00B36CC6"/>
    <w:rsid w:val="00B36F02"/>
    <w:rsid w:val="00B3794C"/>
    <w:rsid w:val="00B42773"/>
    <w:rsid w:val="00B42E56"/>
    <w:rsid w:val="00B436FA"/>
    <w:rsid w:val="00B518E9"/>
    <w:rsid w:val="00B519DF"/>
    <w:rsid w:val="00B53913"/>
    <w:rsid w:val="00B543E0"/>
    <w:rsid w:val="00B54999"/>
    <w:rsid w:val="00B55872"/>
    <w:rsid w:val="00B6085F"/>
    <w:rsid w:val="00B64B4F"/>
    <w:rsid w:val="00B64ECA"/>
    <w:rsid w:val="00B670C2"/>
    <w:rsid w:val="00B70C03"/>
    <w:rsid w:val="00B745CE"/>
    <w:rsid w:val="00B746B6"/>
    <w:rsid w:val="00B770E2"/>
    <w:rsid w:val="00B77FE1"/>
    <w:rsid w:val="00B81341"/>
    <w:rsid w:val="00B813C7"/>
    <w:rsid w:val="00B837A9"/>
    <w:rsid w:val="00B844EA"/>
    <w:rsid w:val="00B86A64"/>
    <w:rsid w:val="00B8712F"/>
    <w:rsid w:val="00B926E7"/>
    <w:rsid w:val="00B93346"/>
    <w:rsid w:val="00B9512A"/>
    <w:rsid w:val="00B95C4D"/>
    <w:rsid w:val="00B96D82"/>
    <w:rsid w:val="00B96EE7"/>
    <w:rsid w:val="00B97BA3"/>
    <w:rsid w:val="00BA0EE4"/>
    <w:rsid w:val="00BA1E15"/>
    <w:rsid w:val="00BA238B"/>
    <w:rsid w:val="00BA2C4E"/>
    <w:rsid w:val="00BA5445"/>
    <w:rsid w:val="00BB6EA8"/>
    <w:rsid w:val="00BC077D"/>
    <w:rsid w:val="00BC1886"/>
    <w:rsid w:val="00BC2E44"/>
    <w:rsid w:val="00BC3316"/>
    <w:rsid w:val="00BC331D"/>
    <w:rsid w:val="00BC7D32"/>
    <w:rsid w:val="00BD494F"/>
    <w:rsid w:val="00BD5837"/>
    <w:rsid w:val="00BD657E"/>
    <w:rsid w:val="00BE14A0"/>
    <w:rsid w:val="00BE6F95"/>
    <w:rsid w:val="00BF153F"/>
    <w:rsid w:val="00BF36F3"/>
    <w:rsid w:val="00BF4377"/>
    <w:rsid w:val="00BF4ADC"/>
    <w:rsid w:val="00BF7C7D"/>
    <w:rsid w:val="00C014D3"/>
    <w:rsid w:val="00C0337C"/>
    <w:rsid w:val="00C04151"/>
    <w:rsid w:val="00C0471B"/>
    <w:rsid w:val="00C05DE9"/>
    <w:rsid w:val="00C064E3"/>
    <w:rsid w:val="00C10B03"/>
    <w:rsid w:val="00C10D87"/>
    <w:rsid w:val="00C14B01"/>
    <w:rsid w:val="00C165A2"/>
    <w:rsid w:val="00C20C13"/>
    <w:rsid w:val="00C22B1C"/>
    <w:rsid w:val="00C23985"/>
    <w:rsid w:val="00C30EDD"/>
    <w:rsid w:val="00C3418B"/>
    <w:rsid w:val="00C34B4F"/>
    <w:rsid w:val="00C36452"/>
    <w:rsid w:val="00C36BB8"/>
    <w:rsid w:val="00C411C9"/>
    <w:rsid w:val="00C4422E"/>
    <w:rsid w:val="00C475F5"/>
    <w:rsid w:val="00C505B1"/>
    <w:rsid w:val="00C50BFA"/>
    <w:rsid w:val="00C50C8F"/>
    <w:rsid w:val="00C518F0"/>
    <w:rsid w:val="00C51F82"/>
    <w:rsid w:val="00C54A09"/>
    <w:rsid w:val="00C600F8"/>
    <w:rsid w:val="00C63BA4"/>
    <w:rsid w:val="00C64E95"/>
    <w:rsid w:val="00C660CF"/>
    <w:rsid w:val="00C711B9"/>
    <w:rsid w:val="00C72C0B"/>
    <w:rsid w:val="00C757A4"/>
    <w:rsid w:val="00C80DB2"/>
    <w:rsid w:val="00C83E9C"/>
    <w:rsid w:val="00C874E7"/>
    <w:rsid w:val="00C954F0"/>
    <w:rsid w:val="00C95547"/>
    <w:rsid w:val="00C96886"/>
    <w:rsid w:val="00C97714"/>
    <w:rsid w:val="00CA0CEC"/>
    <w:rsid w:val="00CA1BB4"/>
    <w:rsid w:val="00CA36C3"/>
    <w:rsid w:val="00CA4C36"/>
    <w:rsid w:val="00CB0ABA"/>
    <w:rsid w:val="00CB0E9F"/>
    <w:rsid w:val="00CB1401"/>
    <w:rsid w:val="00CB5661"/>
    <w:rsid w:val="00CC0C37"/>
    <w:rsid w:val="00CC2C37"/>
    <w:rsid w:val="00CC316A"/>
    <w:rsid w:val="00CC3FAD"/>
    <w:rsid w:val="00CC62CA"/>
    <w:rsid w:val="00CC6EAB"/>
    <w:rsid w:val="00CD31FA"/>
    <w:rsid w:val="00CD321F"/>
    <w:rsid w:val="00CD4131"/>
    <w:rsid w:val="00CE0249"/>
    <w:rsid w:val="00CE1503"/>
    <w:rsid w:val="00CE35C4"/>
    <w:rsid w:val="00CE4C9C"/>
    <w:rsid w:val="00CE736B"/>
    <w:rsid w:val="00CF0024"/>
    <w:rsid w:val="00CF0E3A"/>
    <w:rsid w:val="00CF6088"/>
    <w:rsid w:val="00CF760D"/>
    <w:rsid w:val="00D04F31"/>
    <w:rsid w:val="00D05A63"/>
    <w:rsid w:val="00D05EF7"/>
    <w:rsid w:val="00D06267"/>
    <w:rsid w:val="00D06FB9"/>
    <w:rsid w:val="00D10AFA"/>
    <w:rsid w:val="00D111F8"/>
    <w:rsid w:val="00D1282A"/>
    <w:rsid w:val="00D1313F"/>
    <w:rsid w:val="00D132DE"/>
    <w:rsid w:val="00D14427"/>
    <w:rsid w:val="00D148EE"/>
    <w:rsid w:val="00D1616F"/>
    <w:rsid w:val="00D1623E"/>
    <w:rsid w:val="00D16A3D"/>
    <w:rsid w:val="00D208B5"/>
    <w:rsid w:val="00D217BD"/>
    <w:rsid w:val="00D22FBA"/>
    <w:rsid w:val="00D238EB"/>
    <w:rsid w:val="00D23EC1"/>
    <w:rsid w:val="00D2771F"/>
    <w:rsid w:val="00D27E45"/>
    <w:rsid w:val="00D300D2"/>
    <w:rsid w:val="00D302EC"/>
    <w:rsid w:val="00D30F93"/>
    <w:rsid w:val="00D3503C"/>
    <w:rsid w:val="00D363A7"/>
    <w:rsid w:val="00D37135"/>
    <w:rsid w:val="00D37340"/>
    <w:rsid w:val="00D37EA2"/>
    <w:rsid w:val="00D416FB"/>
    <w:rsid w:val="00D42D2F"/>
    <w:rsid w:val="00D44937"/>
    <w:rsid w:val="00D44A6F"/>
    <w:rsid w:val="00D4592E"/>
    <w:rsid w:val="00D5204F"/>
    <w:rsid w:val="00D60494"/>
    <w:rsid w:val="00D606E2"/>
    <w:rsid w:val="00D65553"/>
    <w:rsid w:val="00D6596D"/>
    <w:rsid w:val="00D663A6"/>
    <w:rsid w:val="00D71E75"/>
    <w:rsid w:val="00D72BE1"/>
    <w:rsid w:val="00D7381E"/>
    <w:rsid w:val="00D742BB"/>
    <w:rsid w:val="00D76F8C"/>
    <w:rsid w:val="00D80502"/>
    <w:rsid w:val="00D80D11"/>
    <w:rsid w:val="00D81D44"/>
    <w:rsid w:val="00D8611E"/>
    <w:rsid w:val="00D94481"/>
    <w:rsid w:val="00D9617B"/>
    <w:rsid w:val="00DA3681"/>
    <w:rsid w:val="00DB1776"/>
    <w:rsid w:val="00DB51BB"/>
    <w:rsid w:val="00DB5E80"/>
    <w:rsid w:val="00DC0470"/>
    <w:rsid w:val="00DC13AD"/>
    <w:rsid w:val="00DC142D"/>
    <w:rsid w:val="00DC1FCC"/>
    <w:rsid w:val="00DC35AF"/>
    <w:rsid w:val="00DC529A"/>
    <w:rsid w:val="00DD00D2"/>
    <w:rsid w:val="00DD03AB"/>
    <w:rsid w:val="00DD0925"/>
    <w:rsid w:val="00DD0BDF"/>
    <w:rsid w:val="00DD15DA"/>
    <w:rsid w:val="00DD34FD"/>
    <w:rsid w:val="00DD3E92"/>
    <w:rsid w:val="00DD7370"/>
    <w:rsid w:val="00DD79E5"/>
    <w:rsid w:val="00DE35CF"/>
    <w:rsid w:val="00DE3A38"/>
    <w:rsid w:val="00DE4296"/>
    <w:rsid w:val="00DE5DC9"/>
    <w:rsid w:val="00DE5FAD"/>
    <w:rsid w:val="00DE6028"/>
    <w:rsid w:val="00DE739D"/>
    <w:rsid w:val="00DF30C2"/>
    <w:rsid w:val="00DF632A"/>
    <w:rsid w:val="00E017B3"/>
    <w:rsid w:val="00E07B3C"/>
    <w:rsid w:val="00E113C0"/>
    <w:rsid w:val="00E130A2"/>
    <w:rsid w:val="00E132C1"/>
    <w:rsid w:val="00E1346B"/>
    <w:rsid w:val="00E145D0"/>
    <w:rsid w:val="00E14B6F"/>
    <w:rsid w:val="00E14D8E"/>
    <w:rsid w:val="00E244FD"/>
    <w:rsid w:val="00E304D5"/>
    <w:rsid w:val="00E36214"/>
    <w:rsid w:val="00E408F3"/>
    <w:rsid w:val="00E43795"/>
    <w:rsid w:val="00E443E4"/>
    <w:rsid w:val="00E44C07"/>
    <w:rsid w:val="00E47647"/>
    <w:rsid w:val="00E5070A"/>
    <w:rsid w:val="00E51C2A"/>
    <w:rsid w:val="00E5697F"/>
    <w:rsid w:val="00E60A0B"/>
    <w:rsid w:val="00E61AA9"/>
    <w:rsid w:val="00E643CA"/>
    <w:rsid w:val="00E709FB"/>
    <w:rsid w:val="00E73BFB"/>
    <w:rsid w:val="00E74365"/>
    <w:rsid w:val="00E757DC"/>
    <w:rsid w:val="00E7620C"/>
    <w:rsid w:val="00E8172A"/>
    <w:rsid w:val="00E82AD3"/>
    <w:rsid w:val="00E84F11"/>
    <w:rsid w:val="00E8611F"/>
    <w:rsid w:val="00E86DD1"/>
    <w:rsid w:val="00E92E42"/>
    <w:rsid w:val="00E962AD"/>
    <w:rsid w:val="00E962D8"/>
    <w:rsid w:val="00E97F77"/>
    <w:rsid w:val="00EA13DB"/>
    <w:rsid w:val="00EA2961"/>
    <w:rsid w:val="00EA3C95"/>
    <w:rsid w:val="00EA4E24"/>
    <w:rsid w:val="00EA7835"/>
    <w:rsid w:val="00EA7CF0"/>
    <w:rsid w:val="00EB2B2A"/>
    <w:rsid w:val="00EB4386"/>
    <w:rsid w:val="00EB4745"/>
    <w:rsid w:val="00EB4A46"/>
    <w:rsid w:val="00EC61A2"/>
    <w:rsid w:val="00ED3DC5"/>
    <w:rsid w:val="00EE079F"/>
    <w:rsid w:val="00EE2AED"/>
    <w:rsid w:val="00EE539E"/>
    <w:rsid w:val="00EE59AF"/>
    <w:rsid w:val="00EE6C62"/>
    <w:rsid w:val="00EE7FA0"/>
    <w:rsid w:val="00EF29BD"/>
    <w:rsid w:val="00EF31B6"/>
    <w:rsid w:val="00EF5201"/>
    <w:rsid w:val="00EF7613"/>
    <w:rsid w:val="00F00A29"/>
    <w:rsid w:val="00F024C3"/>
    <w:rsid w:val="00F03072"/>
    <w:rsid w:val="00F0359A"/>
    <w:rsid w:val="00F04512"/>
    <w:rsid w:val="00F04FA0"/>
    <w:rsid w:val="00F14D2E"/>
    <w:rsid w:val="00F16143"/>
    <w:rsid w:val="00F16E2D"/>
    <w:rsid w:val="00F249B4"/>
    <w:rsid w:val="00F2548A"/>
    <w:rsid w:val="00F27457"/>
    <w:rsid w:val="00F30544"/>
    <w:rsid w:val="00F310E1"/>
    <w:rsid w:val="00F311AA"/>
    <w:rsid w:val="00F406B6"/>
    <w:rsid w:val="00F409FD"/>
    <w:rsid w:val="00F4169E"/>
    <w:rsid w:val="00F42A62"/>
    <w:rsid w:val="00F45015"/>
    <w:rsid w:val="00F47AB2"/>
    <w:rsid w:val="00F5103D"/>
    <w:rsid w:val="00F5107E"/>
    <w:rsid w:val="00F5147B"/>
    <w:rsid w:val="00F51DCA"/>
    <w:rsid w:val="00F523F7"/>
    <w:rsid w:val="00F53079"/>
    <w:rsid w:val="00F53ADD"/>
    <w:rsid w:val="00F55E0A"/>
    <w:rsid w:val="00F560E7"/>
    <w:rsid w:val="00F62151"/>
    <w:rsid w:val="00F65116"/>
    <w:rsid w:val="00F65781"/>
    <w:rsid w:val="00F679D9"/>
    <w:rsid w:val="00F72FD9"/>
    <w:rsid w:val="00F77A42"/>
    <w:rsid w:val="00F8032D"/>
    <w:rsid w:val="00F85479"/>
    <w:rsid w:val="00F8739D"/>
    <w:rsid w:val="00F92735"/>
    <w:rsid w:val="00F9291A"/>
    <w:rsid w:val="00F92F35"/>
    <w:rsid w:val="00F961A4"/>
    <w:rsid w:val="00FA1BE7"/>
    <w:rsid w:val="00FA3265"/>
    <w:rsid w:val="00FA4A2D"/>
    <w:rsid w:val="00FA5C24"/>
    <w:rsid w:val="00FA6501"/>
    <w:rsid w:val="00FA7902"/>
    <w:rsid w:val="00FB12A9"/>
    <w:rsid w:val="00FB226C"/>
    <w:rsid w:val="00FB50CF"/>
    <w:rsid w:val="00FB5DA7"/>
    <w:rsid w:val="00FC70E5"/>
    <w:rsid w:val="00FD07EF"/>
    <w:rsid w:val="00FD11DA"/>
    <w:rsid w:val="00FD2B98"/>
    <w:rsid w:val="00FD3976"/>
    <w:rsid w:val="00FD40F1"/>
    <w:rsid w:val="00FD5422"/>
    <w:rsid w:val="00FD55EA"/>
    <w:rsid w:val="00FD5985"/>
    <w:rsid w:val="00FD7EFA"/>
    <w:rsid w:val="00FE1888"/>
    <w:rsid w:val="00FE1B6E"/>
    <w:rsid w:val="00FE2BF5"/>
    <w:rsid w:val="00FE494D"/>
    <w:rsid w:val="00FF24D2"/>
    <w:rsid w:val="00FF45EC"/>
    <w:rsid w:val="00FF4898"/>
    <w:rsid w:val="00FF4916"/>
    <w:rsid w:val="00FF6252"/>
    <w:rsid w:val="00FF6267"/>
    <w:rsid w:val="00FF773B"/>
    <w:rsid w:val="024C4754"/>
    <w:rsid w:val="05165F53"/>
    <w:rsid w:val="05283FF6"/>
    <w:rsid w:val="05E72699"/>
    <w:rsid w:val="084656ED"/>
    <w:rsid w:val="09C30C4A"/>
    <w:rsid w:val="0A8667B2"/>
    <w:rsid w:val="0AC5533A"/>
    <w:rsid w:val="0AE93AAE"/>
    <w:rsid w:val="0C304C7B"/>
    <w:rsid w:val="0CDD5A9B"/>
    <w:rsid w:val="0D0A17F5"/>
    <w:rsid w:val="0DB91D5D"/>
    <w:rsid w:val="0DE41629"/>
    <w:rsid w:val="0E20070D"/>
    <w:rsid w:val="0E983B8A"/>
    <w:rsid w:val="0EF65308"/>
    <w:rsid w:val="0F4636F1"/>
    <w:rsid w:val="0F673829"/>
    <w:rsid w:val="112A0724"/>
    <w:rsid w:val="114C61FB"/>
    <w:rsid w:val="1162404E"/>
    <w:rsid w:val="11E34ECA"/>
    <w:rsid w:val="12173593"/>
    <w:rsid w:val="122550A5"/>
    <w:rsid w:val="12FD0BC4"/>
    <w:rsid w:val="144C4AE5"/>
    <w:rsid w:val="180D64BC"/>
    <w:rsid w:val="18EB49E5"/>
    <w:rsid w:val="195E3F2E"/>
    <w:rsid w:val="19D24D94"/>
    <w:rsid w:val="1A1F754D"/>
    <w:rsid w:val="1A7E04AA"/>
    <w:rsid w:val="1B696774"/>
    <w:rsid w:val="1DA277A7"/>
    <w:rsid w:val="1E416293"/>
    <w:rsid w:val="1E523C70"/>
    <w:rsid w:val="1EB103C0"/>
    <w:rsid w:val="1F8D65CC"/>
    <w:rsid w:val="20847AC0"/>
    <w:rsid w:val="209D1E7D"/>
    <w:rsid w:val="213D07D5"/>
    <w:rsid w:val="235E3B0A"/>
    <w:rsid w:val="23B978C9"/>
    <w:rsid w:val="241A0913"/>
    <w:rsid w:val="27227BBE"/>
    <w:rsid w:val="296E50E6"/>
    <w:rsid w:val="2AAB4039"/>
    <w:rsid w:val="2AB55194"/>
    <w:rsid w:val="2D2D4352"/>
    <w:rsid w:val="2EE44060"/>
    <w:rsid w:val="2F4872E8"/>
    <w:rsid w:val="31555506"/>
    <w:rsid w:val="334C673F"/>
    <w:rsid w:val="356163B6"/>
    <w:rsid w:val="364D2448"/>
    <w:rsid w:val="3873104F"/>
    <w:rsid w:val="38966C10"/>
    <w:rsid w:val="39185BB5"/>
    <w:rsid w:val="3AC96552"/>
    <w:rsid w:val="3AFC6C91"/>
    <w:rsid w:val="3E23065E"/>
    <w:rsid w:val="3E414576"/>
    <w:rsid w:val="3E504B30"/>
    <w:rsid w:val="41757B38"/>
    <w:rsid w:val="436D4864"/>
    <w:rsid w:val="43FD3D99"/>
    <w:rsid w:val="44A2028C"/>
    <w:rsid w:val="451846E6"/>
    <w:rsid w:val="45E020B7"/>
    <w:rsid w:val="464E7203"/>
    <w:rsid w:val="48FA23CC"/>
    <w:rsid w:val="491635ED"/>
    <w:rsid w:val="4BC15DD3"/>
    <w:rsid w:val="4E67402C"/>
    <w:rsid w:val="4F333FEB"/>
    <w:rsid w:val="4FCB63BE"/>
    <w:rsid w:val="500A3E03"/>
    <w:rsid w:val="5068570A"/>
    <w:rsid w:val="5075578D"/>
    <w:rsid w:val="528C25F9"/>
    <w:rsid w:val="536B2363"/>
    <w:rsid w:val="536F3549"/>
    <w:rsid w:val="53B02190"/>
    <w:rsid w:val="540764C3"/>
    <w:rsid w:val="54812DCB"/>
    <w:rsid w:val="5515795C"/>
    <w:rsid w:val="558B1248"/>
    <w:rsid w:val="55FD4365"/>
    <w:rsid w:val="568A4516"/>
    <w:rsid w:val="56C169E5"/>
    <w:rsid w:val="57D62C26"/>
    <w:rsid w:val="595D1819"/>
    <w:rsid w:val="59D11597"/>
    <w:rsid w:val="59EF69EF"/>
    <w:rsid w:val="5A2A18D3"/>
    <w:rsid w:val="5AEA6A34"/>
    <w:rsid w:val="5AF92260"/>
    <w:rsid w:val="5CFC19C2"/>
    <w:rsid w:val="5E604F5C"/>
    <w:rsid w:val="60451E18"/>
    <w:rsid w:val="61ED313C"/>
    <w:rsid w:val="636B59F1"/>
    <w:rsid w:val="69326FED"/>
    <w:rsid w:val="69AF1B0E"/>
    <w:rsid w:val="6A88127B"/>
    <w:rsid w:val="6B2752FB"/>
    <w:rsid w:val="717238A0"/>
    <w:rsid w:val="737859BA"/>
    <w:rsid w:val="74AB754B"/>
    <w:rsid w:val="75302257"/>
    <w:rsid w:val="76090BDC"/>
    <w:rsid w:val="76A5471E"/>
    <w:rsid w:val="78D120BF"/>
    <w:rsid w:val="79D23627"/>
    <w:rsid w:val="7CBE4456"/>
    <w:rsid w:val="7FCA25C6"/>
    <w:rsid w:val="7FE70A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80" w:firstLineChars="200"/>
      <w:jc w:val="both"/>
    </w:pPr>
    <w:rPr>
      <w:rFonts w:ascii="Calibri" w:hAnsi="Calibri" w:eastAsia="宋体" w:cs="Times New Roman"/>
      <w:sz w:val="28"/>
      <w:szCs w:val="22"/>
      <w:lang w:val="en-US" w:eastAsia="zh-CN" w:bidi="ar-SA"/>
    </w:rPr>
  </w:style>
  <w:style w:type="paragraph" w:styleId="2">
    <w:name w:val="heading 1"/>
    <w:basedOn w:val="1"/>
    <w:next w:val="1"/>
    <w:qFormat/>
    <w:uiPriority w:val="0"/>
    <w:pPr>
      <w:keepNext/>
      <w:keepLines/>
      <w:spacing w:line="576" w:lineRule="auto"/>
      <w:jc w:val="center"/>
      <w:outlineLvl w:val="0"/>
    </w:pPr>
    <w:rPr>
      <w:rFonts w:eastAsia="微软雅黑"/>
      <w:b/>
      <w:kern w:val="44"/>
      <w:sz w:val="44"/>
    </w:rPr>
  </w:style>
  <w:style w:type="paragraph" w:styleId="3">
    <w:name w:val="heading 2"/>
    <w:basedOn w:val="1"/>
    <w:next w:val="1"/>
    <w:unhideWhenUsed/>
    <w:qFormat/>
    <w:uiPriority w:val="0"/>
    <w:pPr>
      <w:keepNext/>
      <w:keepLines/>
      <w:numPr>
        <w:ilvl w:val="0"/>
        <w:numId w:val="1"/>
      </w:numPr>
      <w:ind w:left="0"/>
      <w:outlineLvl w:val="1"/>
    </w:pPr>
    <w:rPr>
      <w:rFonts w:ascii="Arial" w:hAnsi="Arial" w:eastAsia="黑体"/>
      <w:b/>
      <w:szCs w:val="24"/>
    </w:rPr>
  </w:style>
  <w:style w:type="paragraph" w:styleId="4">
    <w:name w:val="heading 3"/>
    <w:basedOn w:val="1"/>
    <w:next w:val="1"/>
    <w:unhideWhenUsed/>
    <w:qFormat/>
    <w:uiPriority w:val="0"/>
    <w:pPr>
      <w:keepNext/>
      <w:keepLines/>
      <w:numPr>
        <w:ilvl w:val="0"/>
        <w:numId w:val="2"/>
      </w:numPr>
      <w:outlineLvl w:val="2"/>
    </w:pPr>
    <w:rPr>
      <w:b/>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4"/>
    <w:qFormat/>
    <w:uiPriority w:val="0"/>
    <w:pPr>
      <w:spacing w:after="120"/>
    </w:pPr>
  </w:style>
  <w:style w:type="paragraph" w:styleId="6">
    <w:name w:val="Body Text Indent"/>
    <w:basedOn w:val="1"/>
    <w:link w:val="18"/>
    <w:qFormat/>
    <w:uiPriority w:val="0"/>
    <w:pPr>
      <w:spacing w:after="120"/>
      <w:ind w:left="420" w:leftChars="200"/>
    </w:pPr>
  </w:style>
  <w:style w:type="paragraph" w:styleId="7">
    <w:name w:val="Balloon Text"/>
    <w:basedOn w:val="1"/>
    <w:link w:val="16"/>
    <w:qFormat/>
    <w:uiPriority w:val="0"/>
    <w:rPr>
      <w:sz w:val="18"/>
      <w:szCs w:val="18"/>
    </w:rPr>
  </w:style>
  <w:style w:type="paragraph" w:styleId="8">
    <w:name w:val="footer"/>
    <w:basedOn w:val="1"/>
    <w:link w:val="17"/>
    <w:qFormat/>
    <w:uiPriority w:val="99"/>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Body Text First Indent 2"/>
    <w:basedOn w:val="6"/>
    <w:link w:val="19"/>
    <w:unhideWhenUsed/>
    <w:qFormat/>
    <w:uiPriority w:val="99"/>
    <w:pPr>
      <w:widowControl/>
      <w:ind w:firstLine="420"/>
      <w:jc w:val="left"/>
    </w:pPr>
    <w:rPr>
      <w:rFonts w:ascii="Times New Roman" w:hAnsi="Times New Roman"/>
      <w:sz w:val="21"/>
      <w:szCs w:val="20"/>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正文加序号"/>
    <w:basedOn w:val="1"/>
    <w:link w:val="15"/>
    <w:qFormat/>
    <w:uiPriority w:val="0"/>
    <w:pPr>
      <w:numPr>
        <w:ilvl w:val="0"/>
        <w:numId w:val="3"/>
      </w:numPr>
      <w:ind w:firstLine="0" w:firstLineChars="0"/>
    </w:pPr>
  </w:style>
  <w:style w:type="character" w:customStyle="1" w:styleId="15">
    <w:name w:val="正文加序号 Char"/>
    <w:link w:val="14"/>
    <w:qFormat/>
    <w:uiPriority w:val="0"/>
    <w:rPr>
      <w:rFonts w:ascii="Calibri" w:hAnsi="Calibri" w:cs="Times New Roman"/>
      <w:sz w:val="28"/>
      <w:szCs w:val="22"/>
    </w:rPr>
  </w:style>
  <w:style w:type="character" w:customStyle="1" w:styleId="16">
    <w:name w:val="批注框文本 Char"/>
    <w:basedOn w:val="13"/>
    <w:link w:val="7"/>
    <w:qFormat/>
    <w:uiPriority w:val="0"/>
    <w:rPr>
      <w:rFonts w:ascii="Calibri" w:hAnsi="Calibri" w:cs="Times New Roman"/>
      <w:sz w:val="18"/>
      <w:szCs w:val="18"/>
    </w:rPr>
  </w:style>
  <w:style w:type="character" w:customStyle="1" w:styleId="17">
    <w:name w:val="页脚 Char"/>
    <w:basedOn w:val="13"/>
    <w:link w:val="8"/>
    <w:qFormat/>
    <w:uiPriority w:val="99"/>
    <w:rPr>
      <w:rFonts w:ascii="Calibri" w:hAnsi="Calibri"/>
      <w:sz w:val="18"/>
      <w:szCs w:val="22"/>
    </w:rPr>
  </w:style>
  <w:style w:type="character" w:customStyle="1" w:styleId="18">
    <w:name w:val="正文文本缩进 Char"/>
    <w:basedOn w:val="13"/>
    <w:link w:val="6"/>
    <w:qFormat/>
    <w:uiPriority w:val="0"/>
    <w:rPr>
      <w:rFonts w:ascii="Calibri" w:hAnsi="Calibri"/>
      <w:sz w:val="28"/>
      <w:szCs w:val="22"/>
    </w:rPr>
  </w:style>
  <w:style w:type="character" w:customStyle="1" w:styleId="19">
    <w:name w:val="正文首行缩进 2 Char"/>
    <w:basedOn w:val="18"/>
    <w:link w:val="10"/>
    <w:qFormat/>
    <w:uiPriority w:val="99"/>
    <w:rPr>
      <w:rFonts w:ascii="Calibri" w:hAnsi="Calibri"/>
      <w:sz w:val="21"/>
      <w:szCs w:val="22"/>
    </w:rPr>
  </w:style>
  <w:style w:type="character" w:customStyle="1" w:styleId="20">
    <w:name w:val="font121"/>
    <w:basedOn w:val="13"/>
    <w:qFormat/>
    <w:uiPriority w:val="0"/>
    <w:rPr>
      <w:rFonts w:hint="eastAsia" w:ascii="宋体" w:hAnsi="宋体" w:eastAsia="宋体" w:cs="宋体"/>
      <w:color w:val="000000"/>
      <w:sz w:val="21"/>
      <w:szCs w:val="21"/>
      <w:u w:val="none"/>
    </w:rPr>
  </w:style>
  <w:style w:type="character" w:customStyle="1" w:styleId="21">
    <w:name w:val="font51"/>
    <w:basedOn w:val="13"/>
    <w:qFormat/>
    <w:uiPriority w:val="0"/>
    <w:rPr>
      <w:rFonts w:hint="eastAsia" w:ascii="宋体" w:hAnsi="宋体" w:eastAsia="宋体" w:cs="宋体"/>
      <w:b/>
      <w:color w:val="000000"/>
      <w:sz w:val="21"/>
      <w:szCs w:val="21"/>
      <w:u w:val="none"/>
    </w:rPr>
  </w:style>
  <w:style w:type="character" w:customStyle="1" w:styleId="22">
    <w:name w:val="font71"/>
    <w:basedOn w:val="13"/>
    <w:qFormat/>
    <w:uiPriority w:val="0"/>
    <w:rPr>
      <w:rFonts w:hint="eastAsia" w:ascii="宋体" w:hAnsi="宋体" w:eastAsia="宋体" w:cs="宋体"/>
      <w:b/>
      <w:color w:val="000000"/>
      <w:sz w:val="21"/>
      <w:szCs w:val="21"/>
      <w:u w:val="none"/>
    </w:rPr>
  </w:style>
  <w:style w:type="paragraph" w:styleId="23">
    <w:name w:val="List Paragraph"/>
    <w:basedOn w:val="1"/>
    <w:unhideWhenUsed/>
    <w:qFormat/>
    <w:uiPriority w:val="99"/>
    <w:pPr>
      <w:ind w:firstLine="420"/>
    </w:pPr>
  </w:style>
  <w:style w:type="character" w:customStyle="1" w:styleId="24">
    <w:name w:val="正文文本 Char"/>
    <w:basedOn w:val="13"/>
    <w:link w:val="5"/>
    <w:qFormat/>
    <w:uiPriority w:val="0"/>
    <w:rPr>
      <w:rFonts w:ascii="Calibri" w:hAnsi="Calibri"/>
      <w:sz w:val="28"/>
      <w:szCs w:val="22"/>
    </w:rPr>
  </w:style>
  <w:style w:type="paragraph" w:customStyle="1" w:styleId="25">
    <w:name w:val="Table Text"/>
    <w:basedOn w:val="1"/>
    <w:semiHidden/>
    <w:qFormat/>
    <w:uiPriority w:val="0"/>
    <w:pPr>
      <w:widowControl/>
      <w:kinsoku w:val="0"/>
      <w:autoSpaceDE w:val="0"/>
      <w:autoSpaceDN w:val="0"/>
      <w:adjustRightInd w:val="0"/>
      <w:snapToGrid w:val="0"/>
      <w:ind w:firstLine="0" w:firstLineChars="0"/>
      <w:jc w:val="left"/>
      <w:textAlignment w:val="baseline"/>
    </w:pPr>
    <w:rPr>
      <w:rFonts w:ascii="宋体" w:hAnsi="宋体" w:cs="宋体"/>
      <w:snapToGrid w:val="0"/>
      <w:color w:val="00000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957656-465A-4158-95D2-F9FF6F508D70}">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5216</Words>
  <Characters>5302</Characters>
  <Application>WPS Office_11.1.0.13703_F1E327BC-269C-435d-A152-05C5408002CA</Application>
  <DocSecurity>0</DocSecurity>
  <Lines>45</Lines>
  <Paragraphs>12</Paragraphs>
  <ScaleCrop>false</ScaleCrop>
  <LinksUpToDate>false</LinksUpToDate>
  <CharactersWithSpaces>5824</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2024-10-31T08:12:00Z</cp:lastPrinted>
  <dcterms:created xsi:type="dcterms:W3CDTF">2024-10-31T06:53:00Z</dcterms:created>
  <dcterms:modified xsi:type="dcterms:W3CDTF">2024-11-26T03:06:51Z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F216385C4B4E41E3B8F7B194C79D1B93</vt:lpwstr>
  </property>
</Properties>
</file>