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BFAB8">
      <w:pPr>
        <w:spacing w:line="360" w:lineRule="auto"/>
        <w:jc w:val="center"/>
        <w:rPr>
          <w:rFonts w:hint="eastAsia"/>
          <w:b/>
          <w:color w:val="auto"/>
          <w:sz w:val="60"/>
          <w:szCs w:val="60"/>
          <w:highlight w:val="none"/>
        </w:rPr>
      </w:pPr>
      <w:r>
        <w:rPr>
          <w:rFonts w:hint="eastAsia"/>
          <w:b/>
          <w:color w:val="auto"/>
          <w:sz w:val="60"/>
          <w:szCs w:val="60"/>
          <w:highlight w:val="none"/>
        </w:rPr>
        <w:t>广垦天河1号装修改造工程项目</w:t>
      </w:r>
    </w:p>
    <w:p w14:paraId="21CE91F5">
      <w:pPr>
        <w:spacing w:line="360" w:lineRule="auto"/>
        <w:jc w:val="center"/>
        <w:rPr>
          <w:b/>
          <w:color w:val="auto"/>
          <w:sz w:val="44"/>
          <w:highlight w:val="none"/>
        </w:rPr>
      </w:pPr>
    </w:p>
    <w:p w14:paraId="7183AC63">
      <w:pPr>
        <w:spacing w:line="360" w:lineRule="auto"/>
        <w:jc w:val="center"/>
        <w:rPr>
          <w:rFonts w:hint="eastAsia"/>
          <w:b/>
          <w:color w:val="auto"/>
          <w:sz w:val="72"/>
          <w:szCs w:val="72"/>
          <w:highlight w:val="none"/>
        </w:rPr>
      </w:pPr>
    </w:p>
    <w:p w14:paraId="29F2ACAB">
      <w:pPr>
        <w:spacing w:line="360" w:lineRule="auto"/>
        <w:jc w:val="center"/>
        <w:rPr>
          <w:rFonts w:hint="eastAsia"/>
          <w:b/>
          <w:color w:val="auto"/>
          <w:sz w:val="72"/>
          <w:szCs w:val="72"/>
          <w:highlight w:val="none"/>
        </w:rPr>
      </w:pPr>
    </w:p>
    <w:p w14:paraId="6171AEBA">
      <w:pPr>
        <w:spacing w:line="360" w:lineRule="auto"/>
        <w:jc w:val="center"/>
        <w:rPr>
          <w:rFonts w:hint="eastAsia"/>
          <w:b/>
          <w:color w:val="auto"/>
          <w:sz w:val="72"/>
          <w:szCs w:val="72"/>
          <w:highlight w:val="none"/>
        </w:rPr>
      </w:pPr>
    </w:p>
    <w:p w14:paraId="77608C9F">
      <w:pPr>
        <w:spacing w:line="360" w:lineRule="auto"/>
        <w:jc w:val="center"/>
        <w:rPr>
          <w:b/>
          <w:color w:val="auto"/>
          <w:sz w:val="72"/>
          <w:szCs w:val="72"/>
          <w:highlight w:val="none"/>
        </w:rPr>
      </w:pPr>
      <w:r>
        <w:rPr>
          <w:rFonts w:hint="eastAsia"/>
          <w:b/>
          <w:color w:val="auto"/>
          <w:sz w:val="72"/>
          <w:szCs w:val="72"/>
          <w:highlight w:val="none"/>
        </w:rPr>
        <w:t>资格预审文件</w:t>
      </w:r>
    </w:p>
    <w:p w14:paraId="579ADC61">
      <w:pPr>
        <w:spacing w:line="360" w:lineRule="auto"/>
        <w:jc w:val="center"/>
        <w:rPr>
          <w:rFonts w:eastAsia="隶书"/>
          <w:color w:val="auto"/>
          <w:sz w:val="44"/>
          <w:highlight w:val="none"/>
        </w:rPr>
      </w:pPr>
    </w:p>
    <w:p w14:paraId="6335B95B">
      <w:pPr>
        <w:spacing w:line="360" w:lineRule="auto"/>
        <w:jc w:val="center"/>
        <w:rPr>
          <w:rFonts w:eastAsia="隶书"/>
          <w:color w:val="auto"/>
          <w:sz w:val="44"/>
          <w:highlight w:val="none"/>
        </w:rPr>
      </w:pPr>
    </w:p>
    <w:p w14:paraId="01A6095D">
      <w:pPr>
        <w:spacing w:line="360" w:lineRule="auto"/>
        <w:jc w:val="center"/>
        <w:rPr>
          <w:rFonts w:eastAsia="隶书"/>
          <w:color w:val="auto"/>
          <w:sz w:val="44"/>
          <w:highlight w:val="none"/>
        </w:rPr>
      </w:pPr>
    </w:p>
    <w:p w14:paraId="6A4438A9">
      <w:pPr>
        <w:spacing w:line="360" w:lineRule="auto"/>
        <w:jc w:val="center"/>
        <w:rPr>
          <w:rFonts w:eastAsia="隶书"/>
          <w:color w:val="auto"/>
          <w:sz w:val="44"/>
          <w:highlight w:val="none"/>
        </w:rPr>
      </w:pPr>
    </w:p>
    <w:p w14:paraId="32F2A37A">
      <w:pPr>
        <w:spacing w:line="360" w:lineRule="auto"/>
        <w:rPr>
          <w:rFonts w:ascii="宋体"/>
          <w:b/>
          <w:bCs/>
          <w:color w:val="auto"/>
          <w:sz w:val="32"/>
          <w:highlight w:val="none"/>
        </w:rPr>
      </w:pPr>
    </w:p>
    <w:p w14:paraId="4F5AE6D4">
      <w:pPr>
        <w:spacing w:line="360" w:lineRule="auto"/>
        <w:ind w:firstLine="611" w:firstLineChars="203"/>
        <w:rPr>
          <w:rFonts w:hint="eastAsia" w:ascii="宋体" w:hAnsi="宋体"/>
          <w:b/>
          <w:bCs/>
          <w:color w:val="auto"/>
          <w:sz w:val="30"/>
          <w:szCs w:val="30"/>
          <w:highlight w:val="none"/>
        </w:rPr>
      </w:pPr>
    </w:p>
    <w:p w14:paraId="17BF9782">
      <w:pPr>
        <w:spacing w:line="360" w:lineRule="auto"/>
        <w:ind w:firstLine="611" w:firstLineChars="203"/>
        <w:rPr>
          <w:rFonts w:hint="eastAsia" w:ascii="宋体" w:hAnsi="宋体"/>
          <w:b/>
          <w:bCs/>
          <w:color w:val="auto"/>
          <w:sz w:val="30"/>
          <w:szCs w:val="30"/>
          <w:highlight w:val="none"/>
        </w:rPr>
      </w:pPr>
    </w:p>
    <w:p w14:paraId="4E845EFD">
      <w:pPr>
        <w:spacing w:line="360" w:lineRule="auto"/>
        <w:ind w:firstLine="611" w:firstLineChars="203"/>
        <w:rPr>
          <w:rFonts w:hint="eastAsia" w:ascii="宋体" w:hAnsi="宋体"/>
          <w:b/>
          <w:bCs/>
          <w:color w:val="auto"/>
          <w:sz w:val="30"/>
          <w:szCs w:val="30"/>
          <w:highlight w:val="none"/>
        </w:rPr>
      </w:pPr>
    </w:p>
    <w:p w14:paraId="3B89565B">
      <w:pPr>
        <w:spacing w:line="360" w:lineRule="auto"/>
        <w:ind w:firstLine="611" w:firstLineChars="203"/>
        <w:rPr>
          <w:rFonts w:hint="eastAsia" w:ascii="宋体" w:hAnsi="宋体"/>
          <w:b/>
          <w:bCs/>
          <w:color w:val="auto"/>
          <w:sz w:val="30"/>
          <w:szCs w:val="30"/>
          <w:highlight w:val="none"/>
        </w:rPr>
      </w:pPr>
    </w:p>
    <w:p w14:paraId="16E06343">
      <w:pPr>
        <w:spacing w:line="360" w:lineRule="auto"/>
        <w:ind w:firstLine="611" w:firstLineChars="203"/>
        <w:jc w:val="center"/>
        <w:rPr>
          <w:rFonts w:ascii="宋体"/>
          <w:b/>
          <w:bCs/>
          <w:color w:val="auto"/>
          <w:sz w:val="30"/>
          <w:szCs w:val="30"/>
          <w:highlight w:val="none"/>
        </w:rPr>
      </w:pPr>
      <w:r>
        <w:rPr>
          <w:rFonts w:hint="eastAsia" w:ascii="宋体" w:hAnsi="宋体"/>
          <w:b/>
          <w:bCs/>
          <w:color w:val="auto"/>
          <w:sz w:val="30"/>
          <w:szCs w:val="30"/>
          <w:highlight w:val="none"/>
        </w:rPr>
        <w:t>招</w:t>
      </w:r>
      <w:r>
        <w:rPr>
          <w:rFonts w:ascii="宋体" w:hAnsi="宋体"/>
          <w:b/>
          <w:bCs/>
          <w:color w:val="auto"/>
          <w:sz w:val="30"/>
          <w:szCs w:val="30"/>
          <w:highlight w:val="none"/>
        </w:rPr>
        <w:t xml:space="preserve">   </w:t>
      </w:r>
      <w:r>
        <w:rPr>
          <w:rFonts w:hint="eastAsia" w:ascii="宋体" w:hAnsi="宋体"/>
          <w:b/>
          <w:bCs/>
          <w:color w:val="auto"/>
          <w:sz w:val="30"/>
          <w:szCs w:val="30"/>
          <w:highlight w:val="none"/>
        </w:rPr>
        <w:t>标</w:t>
      </w:r>
      <w:r>
        <w:rPr>
          <w:rFonts w:ascii="宋体" w:hAnsi="宋体"/>
          <w:b/>
          <w:bCs/>
          <w:color w:val="auto"/>
          <w:sz w:val="30"/>
          <w:szCs w:val="30"/>
          <w:highlight w:val="none"/>
        </w:rPr>
        <w:t xml:space="preserve">   </w:t>
      </w:r>
      <w:r>
        <w:rPr>
          <w:rFonts w:hint="eastAsia" w:ascii="宋体" w:hAnsi="宋体"/>
          <w:b/>
          <w:bCs/>
          <w:color w:val="auto"/>
          <w:sz w:val="30"/>
          <w:szCs w:val="30"/>
          <w:highlight w:val="none"/>
        </w:rPr>
        <w:t>人</w:t>
      </w:r>
      <w:r>
        <w:rPr>
          <w:rFonts w:ascii="宋体" w:hAnsi="宋体"/>
          <w:b/>
          <w:bCs/>
          <w:color w:val="auto"/>
          <w:sz w:val="30"/>
          <w:szCs w:val="30"/>
          <w:highlight w:val="none"/>
        </w:rPr>
        <w:t>:</w:t>
      </w:r>
      <w:r>
        <w:rPr>
          <w:rFonts w:hint="eastAsia" w:ascii="宋体" w:hAnsi="宋体"/>
          <w:b/>
          <w:bCs/>
          <w:color w:val="auto"/>
          <w:sz w:val="30"/>
          <w:szCs w:val="30"/>
          <w:highlight w:val="none"/>
          <w:u w:val="single"/>
        </w:rPr>
        <w:t>广东省信息技术应用研究所</w:t>
      </w:r>
    </w:p>
    <w:p w14:paraId="59D52FAB">
      <w:pPr>
        <w:spacing w:line="360" w:lineRule="auto"/>
        <w:ind w:firstLine="596" w:firstLineChars="198"/>
        <w:jc w:val="center"/>
        <w:rPr>
          <w:rFonts w:ascii="宋体"/>
          <w:b/>
          <w:bCs/>
          <w:color w:val="auto"/>
          <w:sz w:val="30"/>
          <w:szCs w:val="30"/>
          <w:highlight w:val="none"/>
          <w:u w:val="single"/>
        </w:rPr>
      </w:pPr>
      <w:r>
        <w:rPr>
          <w:rFonts w:hint="eastAsia" w:ascii="宋体" w:hAnsi="宋体"/>
          <w:b/>
          <w:bCs/>
          <w:color w:val="auto"/>
          <w:sz w:val="30"/>
          <w:szCs w:val="30"/>
          <w:highlight w:val="none"/>
        </w:rPr>
        <w:t>招标代理机构：</w:t>
      </w:r>
      <w:r>
        <w:rPr>
          <w:rFonts w:hint="eastAsia" w:ascii="宋体" w:hAnsi="宋体"/>
          <w:b/>
          <w:bCs/>
          <w:color w:val="auto"/>
          <w:sz w:val="30"/>
          <w:szCs w:val="30"/>
          <w:highlight w:val="none"/>
          <w:u w:val="single"/>
        </w:rPr>
        <w:t>广州市市政工程监理有限公司</w:t>
      </w:r>
    </w:p>
    <w:p w14:paraId="5C58C593">
      <w:pPr>
        <w:jc w:val="center"/>
        <w:rPr>
          <w:rFonts w:hint="eastAsia" w:ascii="宋体" w:hAnsi="宋体"/>
          <w:b/>
          <w:bCs/>
          <w:color w:val="auto"/>
          <w:sz w:val="32"/>
          <w:szCs w:val="32"/>
          <w:highlight w:val="none"/>
        </w:rPr>
        <w:sectPr>
          <w:pgSz w:w="11906" w:h="16838"/>
          <w:pgMar w:top="1440" w:right="1800" w:bottom="1440" w:left="1800" w:header="851" w:footer="992" w:gutter="0"/>
          <w:cols w:space="425" w:num="1"/>
          <w:docGrid w:type="lines" w:linePitch="312" w:charSpace="0"/>
        </w:sectPr>
      </w:pPr>
      <w:r>
        <w:rPr>
          <w:rFonts w:hint="eastAsia" w:ascii="宋体" w:hAnsi="宋体"/>
          <w:b/>
          <w:bCs/>
          <w:color w:val="auto"/>
          <w:sz w:val="32"/>
          <w:szCs w:val="32"/>
          <w:highlight w:val="none"/>
          <w:lang w:val="en-US" w:eastAsia="zh-CN"/>
        </w:rPr>
        <w:t>2024</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11</w:t>
      </w:r>
      <w:r>
        <w:rPr>
          <w:rFonts w:hint="eastAsia" w:ascii="宋体" w:hAnsi="宋体"/>
          <w:b/>
          <w:bCs/>
          <w:color w:val="auto"/>
          <w:sz w:val="32"/>
          <w:szCs w:val="32"/>
          <w:highlight w:val="none"/>
        </w:rPr>
        <w:t>月</w:t>
      </w:r>
      <w:bookmarkStart w:id="0" w:name="_Toc154922225"/>
      <w:bookmarkStart w:id="1" w:name="_Toc154921241"/>
    </w:p>
    <w:p w14:paraId="230F022E">
      <w:pPr>
        <w:jc w:val="center"/>
        <w:rPr>
          <w:b/>
          <w:bCs/>
          <w:color w:val="auto"/>
          <w:sz w:val="40"/>
          <w:szCs w:val="18"/>
          <w:highlight w:val="none"/>
        </w:rPr>
      </w:pPr>
      <w:bookmarkStart w:id="50" w:name="_GoBack"/>
      <w:bookmarkEnd w:id="50"/>
      <w:r>
        <w:rPr>
          <w:rFonts w:hint="eastAsia"/>
          <w:b/>
          <w:bCs/>
          <w:color w:val="auto"/>
          <w:sz w:val="40"/>
          <w:szCs w:val="18"/>
          <w:highlight w:val="none"/>
        </w:rPr>
        <w:t>资格预审申请文件通用条款修改</w:t>
      </w:r>
    </w:p>
    <w:p w14:paraId="0D1A71ED">
      <w:pPr>
        <w:spacing w:line="480" w:lineRule="auto"/>
        <w:ind w:firstLine="540" w:firstLineChars="224"/>
        <w:rPr>
          <w:rFonts w:ascii="宋体" w:hAnsi="宋体"/>
          <w:b/>
          <w:color w:val="auto"/>
          <w:sz w:val="24"/>
          <w:szCs w:val="24"/>
          <w:highlight w:val="none"/>
        </w:rPr>
      </w:pPr>
      <w:r>
        <w:rPr>
          <w:rFonts w:hint="eastAsia" w:ascii="宋体" w:hAnsi="宋体"/>
          <w:b/>
          <w:color w:val="auto"/>
          <w:sz w:val="24"/>
          <w:szCs w:val="24"/>
          <w:highlight w:val="none"/>
        </w:rPr>
        <w:t>声明：本资格预审文件使用GZZB2018-1招标文件范本的资格预审文件通用条款，与该通用条款不同之处，均在本文中列明，并以现文为准，原文不再有效。本公告中不再转录资格预审文件通用条款，请投标人自行到广州市住房和城乡建设局网站（网址：http://zfcj.gz.gov.cn/）下载GZZB2018-1范本查阅。</w:t>
      </w:r>
    </w:p>
    <w:p w14:paraId="194E58F7">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通用条款号：1.4</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修改类型：修改</w:t>
      </w:r>
    </w:p>
    <w:p w14:paraId="577CD075">
      <w:pPr>
        <w:pBdr>
          <w:bottom w:val="single" w:color="auto" w:sz="6" w:space="1"/>
        </w:pBdr>
        <w:spacing w:line="48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1.4资格预审申请文件的编制</w:t>
      </w:r>
    </w:p>
    <w:p w14:paraId="3D9998F6">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资格预审申请文件的具体内容详见附件一《资格预审申请文件提交资料一览表》，资格预审申请文件全部采用电子文档。除取自广州市住建行业信用管理平台的资料外，其他资料均提供原件扫描件，并采用单位数字证书，按要求在相应位置加盖电子印章。资格预审申请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FDDE4C1">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1.4.2资格预审申请文件应按照交易平台关于全流程电子化项目的相关指南进行编制，详见：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363956C">
      <w:pPr>
        <w:pBdr>
          <w:bottom w:val="single" w:color="auto" w:sz="6" w:space="1"/>
        </w:pBd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1.4资格预审申请文件的编制</w:t>
      </w:r>
    </w:p>
    <w:p w14:paraId="60136419">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资格预审申请文件的具体内容详见附件一《资格预审申请文件提交资料一览表》，资格预审申请文件全部采用电子文档。除取自广州市住建行业信用管理平台的资料外，其他资料均提供原件扫描件，并采用单位数字证书，按要求在相应位置加盖电子印章。资格预审申请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《房屋建筑和市政基础设施工程全流程电子化项目专章》。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注释：资格预审申请文件电子文档需要投标人单位盖章的材料，投标人加盖电子印章即可，不得将投标人未对电子文档加盖实物印章作为否决投标的情形。</w:t>
      </w:r>
    </w:p>
    <w:p w14:paraId="1BBCD622">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1.4.2资格预审申请文件应按照交易平台关于全流程电子化项目的相关指南进行编制，详见：</w:t>
      </w:r>
      <w:r>
        <w:rPr>
          <w:rFonts w:hint="eastAsia" w:ascii="宋体" w:hAnsi="宋体" w:eastAsia="宋体" w:cs="宋体"/>
          <w:color w:val="auto"/>
          <w:sz w:val="24"/>
          <w:szCs w:val="24"/>
          <w:highlight w:val="none"/>
          <w:u w:val="single"/>
        </w:rPr>
        <w:t>《房屋建筑和市政基础设施工程全流程电子化项目专章》</w:t>
      </w:r>
      <w:r>
        <w:rPr>
          <w:rFonts w:hint="eastAsia" w:ascii="宋体" w:hAnsi="宋体" w:eastAsia="宋体" w:cs="宋体"/>
          <w:color w:val="auto"/>
          <w:sz w:val="24"/>
          <w:szCs w:val="24"/>
          <w:highlight w:val="none"/>
        </w:rPr>
        <w:t>。</w:t>
      </w:r>
    </w:p>
    <w:p w14:paraId="67F2F352">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通用条款号：1.</w:t>
      </w:r>
      <w:r>
        <w:rPr>
          <w:rFonts w:hint="eastAsia" w:ascii="宋体" w:hAnsi="宋体" w:cs="宋体"/>
          <w:b/>
          <w:color w:val="auto"/>
          <w:sz w:val="24"/>
          <w:szCs w:val="24"/>
          <w:highlight w:val="none"/>
          <w:lang w:val="en-US" w:eastAsia="zh-CN"/>
        </w:rPr>
        <w:t xml:space="preserve">6.1                </w:t>
      </w:r>
      <w:r>
        <w:rPr>
          <w:rFonts w:hint="eastAsia" w:ascii="宋体" w:hAnsi="宋体" w:eastAsia="宋体" w:cs="宋体"/>
          <w:b/>
          <w:color w:val="auto"/>
          <w:sz w:val="24"/>
          <w:szCs w:val="24"/>
          <w:highlight w:val="none"/>
        </w:rPr>
        <w:t>修改类型：修改</w:t>
      </w:r>
    </w:p>
    <w:p w14:paraId="1CAB3C54">
      <w:pPr>
        <w:pBdr>
          <w:bottom w:val="single" w:color="auto" w:sz="6" w:space="1"/>
        </w:pBdr>
        <w:spacing w:line="48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1.6.1投标申请人应在资格预审申请文件递交截止时间后半小时内完成解密。</w:t>
      </w:r>
    </w:p>
    <w:p w14:paraId="74FA5C28">
      <w:pPr>
        <w:pBdr>
          <w:bottom w:val="single" w:color="auto" w:sz="6" w:space="1"/>
        </w:pBdr>
        <w:spacing w:line="480" w:lineRule="auto"/>
        <w:ind w:firstLine="540" w:firstLineChars="224"/>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1.6.1投标申请人应在资格预审申请文件递交截止时间后</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小时</w:t>
      </w:r>
      <w:r>
        <w:rPr>
          <w:rFonts w:hint="eastAsia" w:ascii="宋体" w:hAnsi="宋体" w:eastAsia="宋体" w:cs="宋体"/>
          <w:color w:val="auto"/>
          <w:sz w:val="24"/>
          <w:szCs w:val="24"/>
          <w:highlight w:val="none"/>
        </w:rPr>
        <w:t>内完成解密</w:t>
      </w:r>
      <w:r>
        <w:rPr>
          <w:rFonts w:hint="eastAsia" w:ascii="宋体" w:hAnsi="宋体" w:cs="宋体"/>
          <w:b/>
          <w:color w:val="auto"/>
          <w:sz w:val="24"/>
          <w:szCs w:val="24"/>
          <w:highlight w:val="none"/>
          <w:lang w:eastAsia="zh-CN"/>
        </w:rPr>
        <w:t>。</w:t>
      </w:r>
    </w:p>
    <w:p w14:paraId="463CC672">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通用条款号：1.7</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修改类型：修改</w:t>
      </w:r>
    </w:p>
    <w:p w14:paraId="78E930B5">
      <w:pPr>
        <w:pBdr>
          <w:bottom w:val="single" w:color="auto" w:sz="6" w:space="1"/>
        </w:pBdr>
        <w:spacing w:line="48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1.7资格审查结果的通知和公示</w:t>
      </w:r>
    </w:p>
    <w:p w14:paraId="7AB58713">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资格审查结果将在交易平台网站及广东省招标投标监管网上公示。公示时间不得少于3日。投标人或者其他利害关系人对资格审查结果有异议的，应当在资格审查结果公示期间向招标人提出。招标人应当自收到异议之日起3日内作出答复；作出答复前，应当暂停招标投标活动。</w:t>
      </w:r>
    </w:p>
    <w:p w14:paraId="67187656">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1.7.2招标人将通过交易平台以数据电文的形式把资格审查结果通知各投标申请人（具体格式详见附件七）。</w:t>
      </w:r>
    </w:p>
    <w:p w14:paraId="39760AEE">
      <w:pPr>
        <w:pBdr>
          <w:bottom w:val="single" w:color="auto" w:sz="6" w:space="1"/>
        </w:pBdr>
        <w:spacing w:line="48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1.7资格审查结果的通知和公示</w:t>
      </w:r>
    </w:p>
    <w:p w14:paraId="34C911A6">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1.7.1资格审查结果将在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网站及广东省招标投标监管网上公示。公示时间不得少于3日。投标人或者其他利害关系人对资格审查结果有异议的，应当在资格审查结果公示期间向招标人提出。招标人应当自收到异议之日起3日内作出答复；作出答复前，应当暂停招标投标活动。</w:t>
      </w:r>
    </w:p>
    <w:p w14:paraId="7491190C">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1.7.2招标人将通过</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交易平台以数据电文的形式把资格审查结果通知各投标申请人（具体格式详见附件</w:t>
      </w: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w:t>
      </w:r>
    </w:p>
    <w:p w14:paraId="5CE2C775">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通用条款号：</w:t>
      </w:r>
      <w:r>
        <w:rPr>
          <w:rFonts w:hint="eastAsia" w:ascii="宋体" w:hAnsi="宋体" w:cs="宋体"/>
          <w:b/>
          <w:color w:val="auto"/>
          <w:sz w:val="24"/>
          <w:szCs w:val="24"/>
          <w:highlight w:val="none"/>
          <w:lang w:val="en-US" w:eastAsia="zh-CN"/>
        </w:rPr>
        <w:t xml:space="preserve">2.3、2.4、2.5                </w:t>
      </w:r>
      <w:r>
        <w:rPr>
          <w:rFonts w:hint="eastAsia" w:ascii="宋体" w:hAnsi="宋体" w:eastAsia="宋体" w:cs="宋体"/>
          <w:b/>
          <w:color w:val="auto"/>
          <w:sz w:val="24"/>
          <w:szCs w:val="24"/>
          <w:highlight w:val="none"/>
        </w:rPr>
        <w:t>修改类型：修改</w:t>
      </w:r>
    </w:p>
    <w:p w14:paraId="1B98F5FE">
      <w:pPr>
        <w:spacing w:line="360" w:lineRule="auto"/>
        <w:ind w:firstLine="482" w:firstLineChars="200"/>
        <w:rPr>
          <w:rFonts w:ascii="宋体"/>
          <w:bCs/>
          <w:color w:val="auto"/>
          <w:sz w:val="24"/>
          <w:highlight w:val="none"/>
        </w:rPr>
      </w:pPr>
      <w:r>
        <w:rPr>
          <w:rFonts w:hint="eastAsia" w:ascii="宋体" w:hAnsi="宋体" w:eastAsia="宋体" w:cs="宋体"/>
          <w:b/>
          <w:color w:val="auto"/>
          <w:sz w:val="24"/>
          <w:szCs w:val="24"/>
          <w:highlight w:val="none"/>
        </w:rPr>
        <w:t>原文：</w:t>
      </w:r>
      <w:bookmarkStart w:id="2" w:name="_Toc154922238"/>
      <w:r>
        <w:rPr>
          <w:rFonts w:ascii="宋体" w:hAnsi="宋体"/>
          <w:bCs/>
          <w:color w:val="auto"/>
          <w:sz w:val="24"/>
          <w:highlight w:val="none"/>
        </w:rPr>
        <w:t>2.3</w:t>
      </w:r>
      <w:r>
        <w:rPr>
          <w:rFonts w:hint="eastAsia" w:ascii="宋体" w:hAnsi="宋体"/>
          <w:bCs/>
          <w:color w:val="auto"/>
          <w:sz w:val="24"/>
          <w:highlight w:val="none"/>
        </w:rPr>
        <w:t>资格审查委员会资格审查的程序和细则</w:t>
      </w:r>
      <w:bookmarkEnd w:id="2"/>
    </w:p>
    <w:p w14:paraId="6EEC17ED">
      <w:pPr>
        <w:spacing w:line="360" w:lineRule="auto"/>
        <w:ind w:firstLine="480" w:firstLineChars="200"/>
        <w:rPr>
          <w:rFonts w:ascii="宋体"/>
          <w:bCs/>
          <w:color w:val="auto"/>
          <w:sz w:val="24"/>
          <w:highlight w:val="none"/>
        </w:rPr>
      </w:pPr>
      <w:r>
        <w:rPr>
          <w:rFonts w:ascii="宋体" w:hAnsi="宋体"/>
          <w:bCs/>
          <w:color w:val="auto"/>
          <w:sz w:val="24"/>
          <w:highlight w:val="none"/>
        </w:rPr>
        <w:t>2.3.1</w:t>
      </w:r>
      <w:r>
        <w:rPr>
          <w:rFonts w:hint="eastAsia" w:ascii="宋体" w:hAnsi="宋体"/>
          <w:bCs/>
          <w:color w:val="auto"/>
          <w:sz w:val="24"/>
          <w:highlight w:val="none"/>
        </w:rPr>
        <w:t>资格审查委员会各成员根据附件六《资格审查表》独立审查各项资格审查申请资料，认定其是否证明了申请人符合资格预审公告载明的相应投标人合格条件。</w:t>
      </w:r>
    </w:p>
    <w:p w14:paraId="45E1B40D">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2汇总审查情况，确定通过资格审查的申请人名单并择优（如有）。</w:t>
      </w:r>
    </w:p>
    <w:p w14:paraId="4853938C">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3编写资格审查报告。</w:t>
      </w:r>
    </w:p>
    <w:p w14:paraId="417DEE4D">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确定正式投标人</w:t>
      </w:r>
    </w:p>
    <w:p w14:paraId="7B84F0FF">
      <w:pPr>
        <w:spacing w:line="360" w:lineRule="auto"/>
        <w:ind w:firstLine="480" w:firstLineChars="200"/>
        <w:rPr>
          <w:rFonts w:ascii="宋体"/>
          <w:bCs/>
          <w:color w:val="auto"/>
          <w:sz w:val="24"/>
          <w:highlight w:val="none"/>
        </w:rPr>
      </w:pPr>
      <w:r>
        <w:rPr>
          <w:rFonts w:ascii="宋体" w:hAnsi="宋体"/>
          <w:bCs/>
          <w:color w:val="auto"/>
          <w:sz w:val="24"/>
          <w:highlight w:val="none"/>
        </w:rPr>
        <w:t>2.4.1</w:t>
      </w:r>
      <w:r>
        <w:rPr>
          <w:rFonts w:hint="eastAsia" w:ascii="宋体" w:hAnsi="宋体"/>
          <w:bCs/>
          <w:color w:val="auto"/>
          <w:sz w:val="24"/>
          <w:highlight w:val="none"/>
        </w:rPr>
        <w:t>按照资格预审公告载明的方式确定正式投标人。</w:t>
      </w:r>
    </w:p>
    <w:p w14:paraId="26E07C99">
      <w:pPr>
        <w:spacing w:line="360" w:lineRule="auto"/>
        <w:ind w:firstLine="480" w:firstLineChars="200"/>
        <w:rPr>
          <w:rFonts w:ascii="宋体"/>
          <w:bCs/>
          <w:color w:val="auto"/>
          <w:sz w:val="24"/>
          <w:highlight w:val="none"/>
        </w:rPr>
      </w:pPr>
      <w:r>
        <w:rPr>
          <w:rFonts w:ascii="宋体" w:hAnsi="宋体"/>
          <w:bCs/>
          <w:color w:val="auto"/>
          <w:sz w:val="24"/>
          <w:highlight w:val="none"/>
        </w:rPr>
        <w:t>2.5</w:t>
      </w:r>
      <w:r>
        <w:rPr>
          <w:rFonts w:hint="eastAsia" w:ascii="宋体" w:hAnsi="宋体"/>
          <w:bCs/>
          <w:color w:val="auto"/>
          <w:sz w:val="24"/>
          <w:highlight w:val="none"/>
        </w:rPr>
        <w:t>正式投标人确定后，招标人因故暂停招标程序，恢复招标程序时，若法律、法规、规章对投标人资格提出新的强制性规定，招标人按照新的规定要求正式投标人补充、更换相关资格证明资料并核查，以符合现行规定。补充、更换资料的时间应不少于</w:t>
      </w:r>
      <w:r>
        <w:rPr>
          <w:rFonts w:ascii="宋体" w:hAnsi="宋体"/>
          <w:bCs/>
          <w:color w:val="auto"/>
          <w:sz w:val="24"/>
          <w:highlight w:val="none"/>
        </w:rPr>
        <w:t>15</w:t>
      </w:r>
      <w:r>
        <w:rPr>
          <w:rFonts w:hint="eastAsia" w:ascii="宋体" w:hAnsi="宋体"/>
          <w:bCs/>
          <w:color w:val="auto"/>
          <w:sz w:val="24"/>
          <w:highlight w:val="none"/>
        </w:rPr>
        <w:t>日。补充、更换资料的期间可以进行投标程序。</w:t>
      </w:r>
    </w:p>
    <w:p w14:paraId="2F881500">
      <w:pPr>
        <w:spacing w:line="360" w:lineRule="auto"/>
        <w:ind w:firstLine="480" w:firstLineChars="200"/>
        <w:rPr>
          <w:rFonts w:ascii="宋体"/>
          <w:bCs/>
          <w:color w:val="auto"/>
          <w:sz w:val="24"/>
          <w:highlight w:val="none"/>
        </w:rPr>
      </w:pPr>
      <w:r>
        <w:rPr>
          <w:rFonts w:hint="eastAsia" w:ascii="宋体" w:hAnsi="宋体"/>
          <w:bCs/>
          <w:color w:val="auto"/>
          <w:sz w:val="24"/>
          <w:highlight w:val="none"/>
        </w:rPr>
        <w:t>原正式投标人补充、更换资料后，经审查，满足现行规定的，可以参加投标。重新审查后，合格投标人少于3（当N个标段同时招标且不允许兼中时，应为N+2名），应重新招标。已书面退出该项目投标的，无权再参加此次投标。</w:t>
      </w:r>
    </w:p>
    <w:p w14:paraId="0CC5CFF5">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bCs/>
          <w:color w:val="auto"/>
          <w:sz w:val="24"/>
          <w:highlight w:val="none"/>
        </w:rPr>
        <w:t>如暂停超过半年仍未启动招标程序的，招标人依法发布终止公告。</w:t>
      </w:r>
    </w:p>
    <w:p w14:paraId="457CD72F">
      <w:pPr>
        <w:spacing w:line="360" w:lineRule="auto"/>
        <w:ind w:firstLine="482" w:firstLineChars="200"/>
        <w:rPr>
          <w:rFonts w:hint="eastAsia" w:ascii="宋体" w:hAnsi="宋体"/>
          <w:bCs/>
          <w:color w:val="auto"/>
          <w:sz w:val="24"/>
          <w:highlight w:val="none"/>
        </w:rPr>
      </w:pPr>
      <w:r>
        <w:rPr>
          <w:rFonts w:hint="eastAsia" w:ascii="宋体" w:hAnsi="宋体" w:eastAsia="宋体" w:cs="宋体"/>
          <w:b/>
          <w:color w:val="auto"/>
          <w:sz w:val="24"/>
          <w:szCs w:val="24"/>
          <w:highlight w:val="none"/>
        </w:rPr>
        <w:t>现文：</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资格审查委员会资格审查在开始评审前，应了解评标专家的职责及守则，认真阅读附件</w:t>
      </w:r>
      <w:r>
        <w:rPr>
          <w:rFonts w:hint="eastAsia" w:ascii="宋体" w:hAnsi="宋体"/>
          <w:bCs/>
          <w:color w:val="auto"/>
          <w:sz w:val="24"/>
          <w:highlight w:val="none"/>
          <w:u w:val="single"/>
          <w:lang w:val="en-US" w:eastAsia="zh-CN"/>
        </w:rPr>
        <w:t>二</w:t>
      </w:r>
      <w:r>
        <w:rPr>
          <w:rFonts w:hint="eastAsia" w:ascii="宋体" w:hAnsi="宋体"/>
          <w:bCs/>
          <w:color w:val="auto"/>
          <w:sz w:val="24"/>
          <w:highlight w:val="none"/>
          <w:u w:val="single"/>
        </w:rPr>
        <w:t>《资格审查委员会成员声明》的内容并签名，签字后方可进行评标；</w:t>
      </w:r>
    </w:p>
    <w:p w14:paraId="087565D7">
      <w:pPr>
        <w:spacing w:line="360" w:lineRule="auto"/>
        <w:ind w:firstLine="480" w:firstLineChars="200"/>
        <w:rPr>
          <w:rFonts w:asci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u w:val="single"/>
          <w:lang w:val="en-US" w:eastAsia="zh-CN"/>
        </w:rPr>
        <w:t>4</w:t>
      </w:r>
      <w:r>
        <w:rPr>
          <w:rFonts w:hint="eastAsia" w:ascii="宋体" w:hAnsi="宋体"/>
          <w:bCs/>
          <w:color w:val="auto"/>
          <w:sz w:val="24"/>
          <w:highlight w:val="none"/>
        </w:rPr>
        <w:t>资格审查委员会资格审查的程序和细则</w:t>
      </w:r>
    </w:p>
    <w:p w14:paraId="2E1CE019">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4</w:t>
      </w:r>
      <w:r>
        <w:rPr>
          <w:rFonts w:ascii="宋体" w:hAnsi="宋体"/>
          <w:bCs/>
          <w:color w:val="auto"/>
          <w:sz w:val="24"/>
          <w:highlight w:val="none"/>
        </w:rPr>
        <w:t>.1</w:t>
      </w:r>
      <w:r>
        <w:rPr>
          <w:rFonts w:hint="eastAsia" w:ascii="宋体" w:hAnsi="宋体"/>
          <w:bCs/>
          <w:color w:val="auto"/>
          <w:sz w:val="24"/>
          <w:highlight w:val="none"/>
        </w:rPr>
        <w:t>资格审查委员会各成员根据附件六《资格审查表》独立审查各项资格审查申请资料，认定其是否证明了申请人符合资格预审公告载明的相应投标人合格条件。</w:t>
      </w:r>
    </w:p>
    <w:p w14:paraId="4604C930">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4</w:t>
      </w:r>
      <w:r>
        <w:rPr>
          <w:rFonts w:ascii="宋体" w:hAnsi="宋体"/>
          <w:bCs/>
          <w:color w:val="auto"/>
          <w:sz w:val="24"/>
          <w:highlight w:val="none"/>
        </w:rPr>
        <w:t>.</w:t>
      </w:r>
      <w:r>
        <w:rPr>
          <w:rFonts w:hint="eastAsia" w:ascii="宋体" w:hAnsi="宋体"/>
          <w:bCs/>
          <w:color w:val="auto"/>
          <w:sz w:val="24"/>
          <w:highlight w:val="none"/>
        </w:rPr>
        <w:t>2汇总审查情况，确定通过资格审查的申请人名单并择优（如有）。</w:t>
      </w:r>
    </w:p>
    <w:p w14:paraId="29EA403E">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4</w:t>
      </w:r>
      <w:r>
        <w:rPr>
          <w:rFonts w:ascii="宋体" w:hAnsi="宋体"/>
          <w:bCs/>
          <w:color w:val="auto"/>
          <w:sz w:val="24"/>
          <w:highlight w:val="none"/>
        </w:rPr>
        <w:t>.</w:t>
      </w:r>
      <w:r>
        <w:rPr>
          <w:rFonts w:hint="eastAsia" w:ascii="宋体" w:hAnsi="宋体"/>
          <w:bCs/>
          <w:color w:val="auto"/>
          <w:sz w:val="24"/>
          <w:highlight w:val="none"/>
        </w:rPr>
        <w:t>3编写资格审查报告。</w:t>
      </w:r>
    </w:p>
    <w:p w14:paraId="50BCC9CD">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5</w:t>
      </w:r>
      <w:r>
        <w:rPr>
          <w:rFonts w:hint="eastAsia" w:ascii="宋体" w:hAnsi="宋体"/>
          <w:bCs/>
          <w:color w:val="auto"/>
          <w:sz w:val="24"/>
          <w:highlight w:val="none"/>
        </w:rPr>
        <w:t>确定正式投标人</w:t>
      </w:r>
    </w:p>
    <w:p w14:paraId="415B5BD5">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5</w:t>
      </w:r>
      <w:r>
        <w:rPr>
          <w:rFonts w:ascii="宋体" w:hAnsi="宋体"/>
          <w:bCs/>
          <w:color w:val="auto"/>
          <w:sz w:val="24"/>
          <w:highlight w:val="none"/>
        </w:rPr>
        <w:t>.1</w:t>
      </w:r>
      <w:r>
        <w:rPr>
          <w:rFonts w:hint="eastAsia" w:ascii="宋体" w:hAnsi="宋体"/>
          <w:bCs/>
          <w:color w:val="auto"/>
          <w:sz w:val="24"/>
          <w:highlight w:val="none"/>
        </w:rPr>
        <w:t>按照资格预审公告载明的方式确定正式投标人。</w:t>
      </w:r>
    </w:p>
    <w:p w14:paraId="2569BA0E">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rPr>
        <w:t>正式投标人确定后，招标人因故暂停招标程序，恢复招标程序时，若法律、法规、规章对投标人资格提出新的强制性规定，招标人按照新的规定要求正式投标人补充、更换相关资格证明资料并核查，以符合现行规定。补充、更换资料的时间应不少于</w:t>
      </w:r>
      <w:r>
        <w:rPr>
          <w:rFonts w:ascii="宋体" w:hAnsi="宋体"/>
          <w:bCs/>
          <w:color w:val="auto"/>
          <w:sz w:val="24"/>
          <w:highlight w:val="none"/>
        </w:rPr>
        <w:t>15</w:t>
      </w:r>
      <w:r>
        <w:rPr>
          <w:rFonts w:hint="eastAsia" w:ascii="宋体" w:hAnsi="宋体"/>
          <w:bCs/>
          <w:color w:val="auto"/>
          <w:sz w:val="24"/>
          <w:highlight w:val="none"/>
        </w:rPr>
        <w:t>日。补充、更换资料的期间可以进行投标程序。</w:t>
      </w:r>
    </w:p>
    <w:p w14:paraId="57C79C55">
      <w:pPr>
        <w:spacing w:line="360" w:lineRule="auto"/>
        <w:ind w:firstLine="480" w:firstLineChars="200"/>
        <w:rPr>
          <w:rFonts w:ascii="宋体"/>
          <w:bCs/>
          <w:color w:val="auto"/>
          <w:sz w:val="24"/>
          <w:highlight w:val="none"/>
        </w:rPr>
      </w:pPr>
      <w:r>
        <w:rPr>
          <w:rFonts w:hint="eastAsia" w:ascii="宋体" w:hAnsi="宋体"/>
          <w:bCs/>
          <w:color w:val="auto"/>
          <w:sz w:val="24"/>
          <w:highlight w:val="none"/>
        </w:rPr>
        <w:t>原正式投标人补充、更换资料后，经审查，满足现行规定的，可以参加投标。重新审查后，合格投标人少于3（当N个标段同时招标且不允许兼中时，应为N+2名），应重新招标。已书面退出该项目投标的，无权再参加此次投标。</w:t>
      </w:r>
    </w:p>
    <w:p w14:paraId="7A391560">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bCs/>
          <w:color w:val="auto"/>
          <w:sz w:val="24"/>
          <w:highlight w:val="none"/>
        </w:rPr>
        <w:t>如暂停超过半年仍未启动招标程序的，招标人依法发布终止公告。</w:t>
      </w:r>
    </w:p>
    <w:p w14:paraId="3F2BFF99">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通用条款号：附件一《资格预审申请文件提交资料一览表》</w:t>
      </w:r>
    </w:p>
    <w:p w14:paraId="10033998">
      <w:pPr>
        <w:spacing w:line="480" w:lineRule="auto"/>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修改类型：修改</w:t>
      </w:r>
    </w:p>
    <w:p w14:paraId="136C54EF">
      <w:pPr>
        <w:pBdr>
          <w:bottom w:val="single" w:color="auto" w:sz="6" w:space="1"/>
        </w:pBdr>
        <w:spacing w:line="480" w:lineRule="auto"/>
        <w:ind w:firstLine="540" w:firstLineChars="224"/>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详见《广州市建设工程施工公开招标项目招标文件范本GZZB2018-3》</w:t>
      </w:r>
    </w:p>
    <w:p w14:paraId="35883DDC">
      <w:pPr>
        <w:pBdr>
          <w:bottom w:val="single" w:color="auto" w:sz="6" w:space="1"/>
        </w:pBdr>
        <w:spacing w:line="480" w:lineRule="auto"/>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详见附表</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《资格预审申请文件提交资料一览表》</w:t>
      </w:r>
    </w:p>
    <w:p w14:paraId="1FC628AF">
      <w:pPr>
        <w:spacing w:line="480" w:lineRule="auto"/>
        <w:ind w:firstLine="470" w:firstLineChars="19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通用条款号：附件六《资格审查表》 修改类型：删除</w:t>
      </w:r>
    </w:p>
    <w:p w14:paraId="7AD69840">
      <w:pPr>
        <w:pBdr>
          <w:bottom w:val="single" w:color="auto" w:sz="6" w:space="1"/>
        </w:pBdr>
        <w:spacing w:line="48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详见《广州市建设工程施工公开招标项目招标文件范本GZZB2018-3》</w:t>
      </w:r>
    </w:p>
    <w:p w14:paraId="22B315E7">
      <w:pPr>
        <w:pBdr>
          <w:bottom w:val="single" w:color="auto" w:sz="6" w:space="1"/>
        </w:pBdr>
        <w:spacing w:line="480" w:lineRule="auto"/>
        <w:ind w:firstLine="472" w:firstLineChars="196"/>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详见附件</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《资格审查表》</w:t>
      </w:r>
    </w:p>
    <w:p w14:paraId="1931A255">
      <w:pPr>
        <w:spacing w:line="360" w:lineRule="auto"/>
        <w:ind w:firstLine="723" w:firstLineChars="300"/>
        <w:rPr>
          <w:rFonts w:hint="eastAsia" w:ascii="宋体" w:hAnsi="宋体" w:eastAsia="宋体" w:cs="宋体"/>
          <w:b/>
          <w:color w:val="auto"/>
          <w:sz w:val="24"/>
          <w:szCs w:val="24"/>
          <w:highlight w:val="none"/>
        </w:rPr>
      </w:pPr>
    </w:p>
    <w:p w14:paraId="7CAFB987">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649D76F4">
      <w:pPr>
        <w:spacing w:line="360" w:lineRule="auto"/>
        <w:jc w:val="center"/>
        <w:rPr>
          <w:b/>
          <w:bCs/>
          <w:color w:val="auto"/>
          <w:sz w:val="40"/>
          <w:szCs w:val="40"/>
          <w:highlight w:val="none"/>
        </w:rPr>
      </w:pPr>
      <w:r>
        <w:rPr>
          <w:rFonts w:hint="eastAsia" w:ascii="宋体" w:hAnsi="宋体" w:eastAsia="宋体" w:cs="宋体"/>
          <w:b/>
          <w:color w:val="auto"/>
          <w:sz w:val="24"/>
          <w:szCs w:val="24"/>
          <w:highlight w:val="none"/>
        </w:rPr>
        <w:t>（以下无正文）</w:t>
      </w:r>
      <w:r>
        <w:rPr>
          <w:bCs/>
          <w:color w:val="auto"/>
          <w:sz w:val="52"/>
          <w:highlight w:val="none"/>
        </w:rPr>
        <w:br w:type="page"/>
      </w:r>
      <w:r>
        <w:rPr>
          <w:rFonts w:hint="eastAsia"/>
          <w:b/>
          <w:bCs/>
          <w:color w:val="auto"/>
          <w:sz w:val="40"/>
          <w:szCs w:val="40"/>
          <w:highlight w:val="none"/>
        </w:rPr>
        <w:t>资格预审申请文件通用条款</w:t>
      </w:r>
    </w:p>
    <w:p w14:paraId="77971352">
      <w:pPr>
        <w:jc w:val="center"/>
        <w:rPr>
          <w:b/>
          <w:color w:val="auto"/>
          <w:sz w:val="30"/>
          <w:szCs w:val="30"/>
          <w:highlight w:val="none"/>
        </w:rPr>
      </w:pPr>
      <w:bookmarkStart w:id="3" w:name="_Toc253143221"/>
      <w:bookmarkStart w:id="4" w:name="_Toc249845974"/>
      <w:bookmarkStart w:id="5" w:name="_Toc266881402"/>
      <w:bookmarkStart w:id="6" w:name="_Toc416357989"/>
      <w:bookmarkStart w:id="7" w:name="_Toc249846229"/>
      <w:bookmarkStart w:id="8" w:name="_Toc416358160"/>
      <w:bookmarkStart w:id="9" w:name="_Toc245024002"/>
      <w:bookmarkStart w:id="10" w:name="_Toc266093550"/>
      <w:r>
        <w:rPr>
          <w:b/>
          <w:color w:val="auto"/>
          <w:sz w:val="30"/>
          <w:szCs w:val="30"/>
          <w:highlight w:val="none"/>
        </w:rPr>
        <w:t>1.</w:t>
      </w:r>
      <w:r>
        <w:rPr>
          <w:rFonts w:hint="eastAsia"/>
          <w:b/>
          <w:color w:val="auto"/>
          <w:sz w:val="30"/>
          <w:szCs w:val="30"/>
          <w:highlight w:val="none"/>
        </w:rPr>
        <w:t>申请人须知</w:t>
      </w:r>
      <w:bookmarkEnd w:id="0"/>
      <w:bookmarkEnd w:id="1"/>
      <w:bookmarkEnd w:id="3"/>
      <w:bookmarkEnd w:id="4"/>
      <w:bookmarkEnd w:id="5"/>
      <w:bookmarkEnd w:id="6"/>
      <w:bookmarkEnd w:id="7"/>
      <w:bookmarkEnd w:id="8"/>
      <w:bookmarkEnd w:id="9"/>
      <w:bookmarkEnd w:id="10"/>
    </w:p>
    <w:p w14:paraId="1581F383">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 </w:t>
      </w:r>
      <w:r>
        <w:rPr>
          <w:rFonts w:hint="eastAsia" w:ascii="宋体" w:hAnsi="宋体"/>
          <w:bCs/>
          <w:color w:val="auto"/>
          <w:sz w:val="24"/>
          <w:highlight w:val="none"/>
        </w:rPr>
        <w:t>本招标人按照《中华人民共和国招标投标法》（中华人民共和国主席令第</w:t>
      </w:r>
      <w:r>
        <w:rPr>
          <w:rFonts w:ascii="宋体" w:hAnsi="宋体"/>
          <w:bCs/>
          <w:color w:val="auto"/>
          <w:sz w:val="24"/>
          <w:highlight w:val="none"/>
        </w:rPr>
        <w:t>21</w:t>
      </w:r>
      <w:r>
        <w:rPr>
          <w:rFonts w:hint="eastAsia" w:ascii="宋体" w:hAnsi="宋体"/>
          <w:bCs/>
          <w:color w:val="auto"/>
          <w:sz w:val="24"/>
          <w:highlight w:val="none"/>
        </w:rPr>
        <w:t>号）等有关法律法规对资格预审公告所列项目进行公开招标，招标工作严格按国家和省市政府的有关法律、法规及相关规定进行。</w:t>
      </w:r>
    </w:p>
    <w:p w14:paraId="2B5AE2BA">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1.2 </w:t>
      </w:r>
      <w:r>
        <w:rPr>
          <w:rFonts w:hint="eastAsia" w:ascii="宋体" w:hAnsi="宋体"/>
          <w:bCs/>
          <w:color w:val="auto"/>
          <w:sz w:val="24"/>
          <w:highlight w:val="none"/>
        </w:rPr>
        <w:t>招标人、工程名称、工程建设地点等相关情况均详见本项目资格预审公告。</w:t>
      </w:r>
    </w:p>
    <w:p w14:paraId="422A605C">
      <w:pPr>
        <w:spacing w:line="360" w:lineRule="auto"/>
        <w:ind w:firstLine="480" w:firstLineChars="200"/>
        <w:rPr>
          <w:rFonts w:hint="eastAsia" w:ascii="宋体" w:hAnsi="宋体"/>
          <w:bCs/>
          <w:color w:val="auto"/>
          <w:sz w:val="24"/>
          <w:highlight w:val="none"/>
        </w:rPr>
      </w:pPr>
      <w:bookmarkStart w:id="11" w:name="_Toc71800037"/>
      <w:bookmarkStart w:id="12" w:name="_Toc154922230"/>
      <w:bookmarkStart w:id="13" w:name="_Toc154921246"/>
      <w:r>
        <w:rPr>
          <w:rFonts w:hint="eastAsia" w:ascii="宋体" w:hAnsi="宋体"/>
          <w:bCs/>
          <w:color w:val="auto"/>
          <w:sz w:val="24"/>
          <w:highlight w:val="none"/>
        </w:rPr>
        <w:t>1.3本项目招标使用GZZB2018-1招标文件范本资格预审文件通用条款，所有与该范本不同之处，均在资格预审文件通用条款修改中载明。</w:t>
      </w:r>
    </w:p>
    <w:p w14:paraId="67260B60">
      <w:pPr>
        <w:spacing w:line="360" w:lineRule="auto"/>
        <w:ind w:firstLine="480" w:firstLineChars="200"/>
        <w:rPr>
          <w:rFonts w:ascii="宋体"/>
          <w:bCs/>
          <w:color w:val="auto"/>
          <w:sz w:val="24"/>
          <w:highlight w:val="none"/>
        </w:rPr>
      </w:pPr>
      <w:r>
        <w:rPr>
          <w:rFonts w:ascii="宋体" w:hAnsi="宋体"/>
          <w:bCs/>
          <w:color w:val="auto"/>
          <w:sz w:val="24"/>
          <w:highlight w:val="none"/>
        </w:rPr>
        <w:t>1.4</w:t>
      </w:r>
      <w:r>
        <w:rPr>
          <w:rFonts w:hint="eastAsia" w:ascii="宋体" w:hAnsi="宋体"/>
          <w:bCs/>
          <w:color w:val="auto"/>
          <w:sz w:val="24"/>
          <w:highlight w:val="none"/>
        </w:rPr>
        <w:t>资格预审申请文件的编制</w:t>
      </w:r>
      <w:bookmarkEnd w:id="11"/>
      <w:bookmarkEnd w:id="12"/>
      <w:bookmarkEnd w:id="13"/>
    </w:p>
    <w:p w14:paraId="6D60E1C4">
      <w:pPr>
        <w:spacing w:line="360" w:lineRule="auto"/>
        <w:ind w:firstLine="480" w:firstLineChars="200"/>
        <w:rPr>
          <w:rFonts w:hint="eastAsia" w:ascii="宋体" w:hAnsi="宋体"/>
          <w:color w:val="auto"/>
          <w:sz w:val="24"/>
          <w:highlight w:val="none"/>
          <w:u w:val="single"/>
        </w:rPr>
      </w:pPr>
      <w:r>
        <w:rPr>
          <w:rFonts w:ascii="宋体" w:hAnsi="宋体"/>
          <w:bCs/>
          <w:color w:val="auto"/>
          <w:sz w:val="24"/>
          <w:highlight w:val="none"/>
        </w:rPr>
        <w:t>1.4.</w:t>
      </w:r>
      <w:r>
        <w:rPr>
          <w:rFonts w:hint="eastAsia" w:ascii="宋体" w:hAnsi="宋体"/>
          <w:bCs/>
          <w:color w:val="auto"/>
          <w:sz w:val="24"/>
          <w:highlight w:val="none"/>
        </w:rPr>
        <w:t>1</w:t>
      </w:r>
      <w:r>
        <w:rPr>
          <w:rFonts w:hint="eastAsia"/>
          <w:bCs/>
          <w:color w:val="auto"/>
          <w:sz w:val="24"/>
          <w:highlight w:val="none"/>
        </w:rPr>
        <w:t>资格预审申请文件的具体内容详见附件一</w:t>
      </w:r>
      <w:r>
        <w:rPr>
          <w:rFonts w:hint="eastAsia"/>
          <w:bCs/>
          <w:color w:val="auto"/>
          <w:sz w:val="24"/>
          <w:szCs w:val="24"/>
          <w:highlight w:val="none"/>
        </w:rPr>
        <w:t>《</w:t>
      </w:r>
      <w:r>
        <w:rPr>
          <w:rFonts w:hint="eastAsia"/>
          <w:color w:val="auto"/>
          <w:sz w:val="24"/>
          <w:szCs w:val="24"/>
          <w:highlight w:val="none"/>
        </w:rPr>
        <w:t>资格预审申请文件提交资料一览表</w:t>
      </w:r>
      <w:r>
        <w:rPr>
          <w:rFonts w:hint="eastAsia"/>
          <w:bCs/>
          <w:color w:val="auto"/>
          <w:sz w:val="24"/>
          <w:szCs w:val="24"/>
          <w:highlight w:val="none"/>
        </w:rPr>
        <w:t>》，资格预审申请文件全部采用电子文档。</w:t>
      </w:r>
      <w:r>
        <w:rPr>
          <w:rFonts w:hint="eastAsia" w:ascii="宋体"/>
          <w:bCs/>
          <w:color w:val="auto"/>
          <w:sz w:val="24"/>
          <w:szCs w:val="24"/>
          <w:highlight w:val="none"/>
        </w:rPr>
        <w:t>除取自广州市住建行业信用管理平台</w:t>
      </w:r>
      <w:r>
        <w:rPr>
          <w:rFonts w:hint="eastAsia"/>
          <w:color w:val="auto"/>
          <w:sz w:val="24"/>
          <w:szCs w:val="24"/>
          <w:highlight w:val="none"/>
        </w:rPr>
        <w:t>的资料外，其他资料均提供原件扫描件，并采用单位数字证书，按要求在相应位置加盖电子印章。资格预审申请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广州交易集团有限公司（广州公共资源交易中心）网站http:// www.gzggzy.cn）《房屋建筑和市政基础设施工程全流程电子化项目专章》。</w:t>
      </w:r>
    </w:p>
    <w:p w14:paraId="02BE4384">
      <w:pPr>
        <w:spacing w:line="360" w:lineRule="auto"/>
        <w:ind w:firstLine="482" w:firstLineChars="200"/>
        <w:rPr>
          <w:rFonts w:hint="eastAsia" w:eastAsia="宋体" w:cs="Times New Roman"/>
          <w:b/>
          <w:bCs/>
          <w:color w:val="auto"/>
          <w:sz w:val="24"/>
          <w:szCs w:val="24"/>
          <w:highlight w:val="none"/>
        </w:rPr>
      </w:pPr>
      <w:r>
        <w:rPr>
          <w:rFonts w:hint="eastAsia" w:eastAsia="宋体" w:cs="Times New Roman"/>
          <w:b/>
          <w:bCs/>
          <w:color w:val="auto"/>
          <w:sz w:val="24"/>
          <w:szCs w:val="24"/>
          <w:highlight w:val="none"/>
        </w:rPr>
        <w:t>注释：资格预审申请文件电子文档需要投标人单位盖章的材料，投标人加盖电子印章即可，不得将投标人未对电子文档加盖实物印章作为否决投标的情形。</w:t>
      </w:r>
    </w:p>
    <w:p w14:paraId="6F9C7F7B">
      <w:pPr>
        <w:spacing w:line="360" w:lineRule="auto"/>
        <w:ind w:firstLine="480" w:firstLineChars="200"/>
        <w:rPr>
          <w:rFonts w:ascii="宋体" w:hAnsi="宋体"/>
          <w:bCs/>
          <w:color w:val="auto"/>
          <w:sz w:val="24"/>
          <w:szCs w:val="24"/>
          <w:highlight w:val="none"/>
        </w:rPr>
      </w:pPr>
      <w:r>
        <w:rPr>
          <w:rFonts w:hint="eastAsia" w:ascii="宋体" w:hAnsi="宋体"/>
          <w:bCs/>
          <w:color w:val="auto"/>
          <w:sz w:val="24"/>
          <w:highlight w:val="none"/>
        </w:rPr>
        <w:t>1.4.2</w:t>
      </w:r>
      <w:r>
        <w:rPr>
          <w:rFonts w:hint="eastAsia"/>
          <w:bCs/>
          <w:color w:val="auto"/>
          <w:sz w:val="24"/>
          <w:highlight w:val="none"/>
        </w:rPr>
        <w:t>资格预审申请文件</w:t>
      </w:r>
      <w:r>
        <w:rPr>
          <w:rFonts w:hint="eastAsia" w:ascii="宋体" w:hAnsi="宋体"/>
          <w:bCs/>
          <w:color w:val="auto"/>
          <w:sz w:val="24"/>
          <w:szCs w:val="24"/>
          <w:highlight w:val="none"/>
        </w:rPr>
        <w:t>应按照交易平台关于</w:t>
      </w:r>
      <w:r>
        <w:rPr>
          <w:rFonts w:hint="eastAsia"/>
          <w:color w:val="auto"/>
          <w:sz w:val="24"/>
          <w:szCs w:val="24"/>
          <w:highlight w:val="none"/>
        </w:rPr>
        <w:t>全流程电子化项目的相关指南进行编制，</w:t>
      </w:r>
      <w:r>
        <w:rPr>
          <w:rFonts w:hint="eastAsia" w:ascii="宋体" w:hAnsi="宋体"/>
          <w:bCs/>
          <w:color w:val="auto"/>
          <w:sz w:val="24"/>
          <w:szCs w:val="24"/>
          <w:highlight w:val="none"/>
        </w:rPr>
        <w:t>详见：</w:t>
      </w:r>
      <w:r>
        <w:rPr>
          <w:rFonts w:hint="eastAsia" w:ascii="宋体" w:hAnsi="宋体"/>
          <w:color w:val="auto"/>
          <w:sz w:val="24"/>
          <w:highlight w:val="none"/>
          <w:u w:val="single"/>
        </w:rPr>
        <w:t>广州交易集团有限公司（广州公共资源交易中心）网站http:// www.gzggzy.cn）《房屋建筑和市政基础设施工程全流程电子化项目专章》。</w:t>
      </w:r>
      <w:r>
        <w:rPr>
          <w:rFonts w:hint="eastAsia" w:ascii="宋体" w:hAnsi="宋体"/>
          <w:bCs/>
          <w:color w:val="auto"/>
          <w:sz w:val="24"/>
          <w:szCs w:val="24"/>
          <w:highlight w:val="none"/>
        </w:rPr>
        <w:t xml:space="preserve"> 。</w:t>
      </w:r>
    </w:p>
    <w:p w14:paraId="23939108">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5D7B78D3">
      <w:pPr>
        <w:spacing w:line="360" w:lineRule="auto"/>
        <w:ind w:firstLine="480" w:firstLineChars="200"/>
        <w:rPr>
          <w:rFonts w:ascii="宋体"/>
          <w:bCs/>
          <w:color w:val="auto"/>
          <w:sz w:val="24"/>
          <w:highlight w:val="none"/>
        </w:rPr>
      </w:pPr>
      <w:r>
        <w:rPr>
          <w:rFonts w:ascii="宋体" w:hAnsi="宋体"/>
          <w:bCs/>
          <w:color w:val="auto"/>
          <w:sz w:val="24"/>
          <w:highlight w:val="none"/>
        </w:rPr>
        <w:t>1.4.</w:t>
      </w:r>
      <w:r>
        <w:rPr>
          <w:rFonts w:hint="eastAsia" w:ascii="宋体" w:hAnsi="宋体"/>
          <w:bCs/>
          <w:color w:val="auto"/>
          <w:sz w:val="24"/>
          <w:highlight w:val="none"/>
        </w:rPr>
        <w:t>3投标申请人应承担其资格预审申请文件编制与递交所涉及的一切费用，在任何情况下招标人对上述费用均不负任何责任。</w:t>
      </w:r>
    </w:p>
    <w:p w14:paraId="43A017A9">
      <w:pPr>
        <w:spacing w:line="360" w:lineRule="auto"/>
        <w:ind w:firstLine="480" w:firstLineChars="200"/>
        <w:rPr>
          <w:rFonts w:ascii="宋体"/>
          <w:bCs/>
          <w:color w:val="auto"/>
          <w:sz w:val="24"/>
          <w:highlight w:val="none"/>
        </w:rPr>
      </w:pPr>
      <w:bookmarkStart w:id="14" w:name="_Toc154921247"/>
      <w:bookmarkStart w:id="15" w:name="_Toc71800039"/>
      <w:bookmarkStart w:id="16" w:name="_Toc154922231"/>
      <w:r>
        <w:rPr>
          <w:rFonts w:ascii="宋体" w:hAnsi="宋体"/>
          <w:bCs/>
          <w:color w:val="auto"/>
          <w:sz w:val="24"/>
          <w:highlight w:val="none"/>
        </w:rPr>
        <w:t>1.5</w:t>
      </w:r>
      <w:r>
        <w:rPr>
          <w:rFonts w:hint="eastAsia" w:ascii="宋体" w:hAnsi="宋体"/>
          <w:bCs/>
          <w:color w:val="auto"/>
          <w:sz w:val="24"/>
          <w:highlight w:val="none"/>
        </w:rPr>
        <w:t>资格预审申请文件的加密和递交</w:t>
      </w:r>
      <w:bookmarkEnd w:id="14"/>
      <w:bookmarkEnd w:id="15"/>
      <w:bookmarkEnd w:id="16"/>
    </w:p>
    <w:p w14:paraId="4100F0AD">
      <w:pPr>
        <w:spacing w:line="360" w:lineRule="auto"/>
        <w:ind w:firstLine="480" w:firstLineChars="200"/>
        <w:rPr>
          <w:rFonts w:ascii="宋体"/>
          <w:bCs/>
          <w:color w:val="auto"/>
          <w:sz w:val="24"/>
          <w:highlight w:val="none"/>
        </w:rPr>
      </w:pPr>
      <w:r>
        <w:rPr>
          <w:rFonts w:ascii="宋体" w:hAnsi="宋体"/>
          <w:bCs/>
          <w:color w:val="auto"/>
          <w:sz w:val="24"/>
          <w:highlight w:val="none"/>
        </w:rPr>
        <w:t>1.5.1</w:t>
      </w:r>
      <w:r>
        <w:rPr>
          <w:rFonts w:hint="eastAsia" w:ascii="宋体" w:hAnsi="宋体"/>
          <w:bCs/>
          <w:color w:val="auto"/>
          <w:sz w:val="24"/>
          <w:highlight w:val="none"/>
        </w:rPr>
        <w:t>递交的电子资格预审申请文件必须进行加密。按照交易平台关于全流程电子化项目的相关指南进行操作。详见：</w:t>
      </w:r>
      <w:r>
        <w:rPr>
          <w:rFonts w:hint="eastAsia" w:ascii="宋体" w:hAnsi="宋体"/>
          <w:color w:val="auto"/>
          <w:sz w:val="24"/>
          <w:highlight w:val="none"/>
          <w:u w:val="single"/>
        </w:rPr>
        <w:t>广州交易集团有限公司（广州公共资源交易中心）网站http:// www.gzggzy.cn）《房屋建筑和市政基础设施工程全流程电子化项目专章》。</w:t>
      </w:r>
      <w:r>
        <w:rPr>
          <w:rFonts w:hint="eastAsia" w:ascii="宋体" w:hAnsi="宋体"/>
          <w:bCs/>
          <w:color w:val="auto"/>
          <w:sz w:val="24"/>
          <w:highlight w:val="none"/>
        </w:rPr>
        <w:t>。</w:t>
      </w:r>
    </w:p>
    <w:p w14:paraId="211ADCB1">
      <w:pPr>
        <w:spacing w:line="360" w:lineRule="auto"/>
        <w:ind w:firstLine="480" w:firstLineChars="200"/>
        <w:rPr>
          <w:rFonts w:asci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2投标申请人通过</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交易平台递交电子资格预审申请文件。</w:t>
      </w:r>
    </w:p>
    <w:p w14:paraId="2F960BC6">
      <w:pPr>
        <w:spacing w:line="360" w:lineRule="auto"/>
        <w:ind w:firstLine="480" w:firstLineChars="200"/>
        <w:rPr>
          <w:rFonts w:asci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3投标申请人完成电子资格预审申请文件上传后，</w:t>
      </w:r>
      <w:r>
        <w:rPr>
          <w:rFonts w:hint="eastAsia" w:ascii="宋体" w:hAnsi="宋体"/>
          <w:color w:val="auto"/>
          <w:sz w:val="24"/>
          <w:highlight w:val="none"/>
        </w:rPr>
        <w:t>交易平台即时向投标申请人发出递交回执通知。递交时间以递交回执通知载明的传输完成时间为准。</w:t>
      </w:r>
    </w:p>
    <w:p w14:paraId="03F09AC3">
      <w:pPr>
        <w:spacing w:line="360" w:lineRule="auto"/>
        <w:ind w:firstLine="480" w:firstLineChars="200"/>
        <w:rPr>
          <w:rFonts w:ascii="宋体" w:hAnsi="宋体"/>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4</w:t>
      </w:r>
      <w:r>
        <w:rPr>
          <w:rFonts w:hint="eastAsia"/>
          <w:bCs/>
          <w:color w:val="auto"/>
          <w:sz w:val="24"/>
          <w:szCs w:val="24"/>
          <w:highlight w:val="none"/>
        </w:rPr>
        <w:t>逾期送达的</w:t>
      </w:r>
      <w:r>
        <w:rPr>
          <w:rFonts w:hint="eastAsia" w:ascii="宋体" w:hAnsi="宋体"/>
          <w:bCs/>
          <w:color w:val="auto"/>
          <w:sz w:val="24"/>
          <w:highlight w:val="none"/>
        </w:rPr>
        <w:t>电子资格预审申请文件，</w:t>
      </w:r>
      <w:r>
        <w:rPr>
          <w:rFonts w:hint="eastAsia" w:ascii="宋体" w:hAnsi="宋体"/>
          <w:color w:val="auto"/>
          <w:sz w:val="24"/>
          <w:highlight w:val="none"/>
        </w:rPr>
        <w:t>交易平台将予以拒收。</w:t>
      </w:r>
    </w:p>
    <w:p w14:paraId="1437D4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1.6资格预审申请文件的解密和评审</w:t>
      </w:r>
    </w:p>
    <w:p w14:paraId="4CFF64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1.6.1投标申请人应在资格预审申请文件递交截止时间后</w:t>
      </w:r>
      <w:r>
        <w:rPr>
          <w:rFonts w:hint="eastAsia" w:ascii="宋体" w:hAnsi="宋体"/>
          <w:b/>
          <w:bCs/>
          <w:color w:val="auto"/>
          <w:sz w:val="24"/>
          <w:highlight w:val="none"/>
          <w:u w:val="single"/>
        </w:rPr>
        <w:t>一小时</w:t>
      </w:r>
      <w:r>
        <w:rPr>
          <w:rFonts w:hint="eastAsia" w:ascii="宋体" w:hAnsi="宋体"/>
          <w:color w:val="auto"/>
          <w:sz w:val="24"/>
          <w:highlight w:val="none"/>
        </w:rPr>
        <w:t>内完成解密。</w:t>
      </w:r>
    </w:p>
    <w:p w14:paraId="50EE9E29">
      <w:pPr>
        <w:spacing w:line="360" w:lineRule="auto"/>
        <w:ind w:firstLine="480" w:firstLineChars="200"/>
        <w:rPr>
          <w:rFonts w:ascii="宋体" w:hAnsi="宋体"/>
          <w:color w:val="auto"/>
          <w:sz w:val="24"/>
          <w:highlight w:val="none"/>
        </w:rPr>
      </w:pPr>
      <w:r>
        <w:rPr>
          <w:rFonts w:hint="eastAsia" w:ascii="宋体"/>
          <w:bCs/>
          <w:color w:val="auto"/>
          <w:sz w:val="24"/>
          <w:highlight w:val="none"/>
        </w:rPr>
        <w:t>1.6.2</w:t>
      </w:r>
      <w:r>
        <w:rPr>
          <w:rFonts w:hint="eastAsia" w:ascii="宋体" w:hAnsi="宋体"/>
          <w:color w:val="auto"/>
          <w:sz w:val="24"/>
          <w:highlight w:val="none"/>
        </w:rPr>
        <w:t>资格预审申请文件递交截止时间前未完成资格预审申请文件传输的或资格预审申请文件未在规定的时间内完成解密的，视为投标申请人未递交资格预审申请文件。</w:t>
      </w:r>
    </w:p>
    <w:p w14:paraId="3625CF3D">
      <w:pPr>
        <w:spacing w:line="360" w:lineRule="auto"/>
        <w:ind w:firstLine="480" w:firstLineChars="200"/>
        <w:rPr>
          <w:rFonts w:ascii="宋体"/>
          <w:bCs/>
          <w:color w:val="auto"/>
          <w:sz w:val="24"/>
          <w:highlight w:val="none"/>
        </w:rPr>
      </w:pPr>
      <w:r>
        <w:rPr>
          <w:rFonts w:hint="eastAsia" w:ascii="宋体" w:hAnsi="宋体"/>
          <w:color w:val="auto"/>
          <w:sz w:val="24"/>
          <w:highlight w:val="none"/>
        </w:rPr>
        <w:t>1.6.3两个（含两个）以上的投标人加密打包资格预审申请文件电脑机器特征码一致的，视为资格审查不通过。</w:t>
      </w:r>
    </w:p>
    <w:p w14:paraId="68EFD648">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6</w:t>
      </w:r>
      <w:r>
        <w:rPr>
          <w:rFonts w:ascii="宋体" w:hAnsi="宋体"/>
          <w:bCs/>
          <w:color w:val="auto"/>
          <w:sz w:val="24"/>
          <w:highlight w:val="none"/>
        </w:rPr>
        <w:t>.</w:t>
      </w:r>
      <w:r>
        <w:rPr>
          <w:rFonts w:hint="eastAsia" w:ascii="宋体" w:hAnsi="宋体"/>
          <w:bCs/>
          <w:color w:val="auto"/>
          <w:sz w:val="24"/>
          <w:highlight w:val="none"/>
        </w:rPr>
        <w:t>4资格审查由招标人组建的资格审查委员会负责。</w:t>
      </w:r>
    </w:p>
    <w:p w14:paraId="1D186608">
      <w:pPr>
        <w:spacing w:line="360" w:lineRule="auto"/>
        <w:ind w:firstLine="480" w:firstLineChars="200"/>
        <w:rPr>
          <w:rFonts w:ascii="宋体"/>
          <w:bCs/>
          <w:color w:val="auto"/>
          <w:sz w:val="24"/>
          <w:highlight w:val="none"/>
        </w:rPr>
      </w:pPr>
      <w:bookmarkStart w:id="17" w:name="_Toc71800040"/>
      <w:bookmarkStart w:id="18" w:name="_Toc154921248"/>
      <w:bookmarkStart w:id="19" w:name="_Toc154922232"/>
      <w:r>
        <w:rPr>
          <w:rFonts w:ascii="宋体" w:hAnsi="宋体"/>
          <w:bCs/>
          <w:color w:val="auto"/>
          <w:sz w:val="24"/>
          <w:highlight w:val="none"/>
        </w:rPr>
        <w:t>1.</w:t>
      </w:r>
      <w:r>
        <w:rPr>
          <w:rFonts w:hint="eastAsia" w:ascii="宋体" w:hAnsi="宋体"/>
          <w:bCs/>
          <w:color w:val="auto"/>
          <w:sz w:val="24"/>
          <w:highlight w:val="none"/>
        </w:rPr>
        <w:t>7资格审查结果的通知</w:t>
      </w:r>
      <w:bookmarkEnd w:id="17"/>
      <w:r>
        <w:rPr>
          <w:rFonts w:hint="eastAsia" w:ascii="宋体" w:hAnsi="宋体"/>
          <w:bCs/>
          <w:color w:val="auto"/>
          <w:sz w:val="24"/>
          <w:highlight w:val="none"/>
        </w:rPr>
        <w:t>和公示</w:t>
      </w:r>
      <w:bookmarkEnd w:id="18"/>
      <w:bookmarkEnd w:id="19"/>
    </w:p>
    <w:p w14:paraId="5F403BF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7</w:t>
      </w:r>
      <w:r>
        <w:rPr>
          <w:rFonts w:ascii="宋体" w:hAnsi="宋体"/>
          <w:bCs/>
          <w:color w:val="auto"/>
          <w:sz w:val="24"/>
          <w:highlight w:val="none"/>
        </w:rPr>
        <w:t>.</w:t>
      </w:r>
      <w:r>
        <w:rPr>
          <w:rFonts w:hint="eastAsia" w:ascii="宋体" w:hAnsi="宋体"/>
          <w:bCs/>
          <w:color w:val="auto"/>
          <w:sz w:val="24"/>
          <w:highlight w:val="none"/>
        </w:rPr>
        <w:t>1资格审查结果将在</w:t>
      </w:r>
      <w:r>
        <w:rPr>
          <w:rFonts w:hint="eastAsia" w:ascii="宋体" w:hAnsi="宋体"/>
          <w:bCs/>
          <w:color w:val="auto"/>
          <w:sz w:val="24"/>
          <w:highlight w:val="none"/>
          <w:u w:val="single"/>
        </w:rPr>
        <w:t>广州交易集团有限公司（广州公共资源交易中心）</w:t>
      </w:r>
      <w:r>
        <w:rPr>
          <w:rFonts w:hint="eastAsia" w:ascii="宋体" w:hAnsi="宋体"/>
          <w:bCs/>
          <w:color w:val="auto"/>
          <w:sz w:val="24"/>
          <w:highlight w:val="none"/>
        </w:rPr>
        <w:t>交易平台网站上公示。公示时间不得少于3日。投标人或者其他利害关系人对资格审查结果有异议的，应当在资格审查结果公示期间向招标人提出。招标人应当自收到异议之日起3日内作出答复；作出答复前，应当暂停招标投标活动。</w:t>
      </w:r>
    </w:p>
    <w:p w14:paraId="18DCA1E7">
      <w:pPr>
        <w:spacing w:line="360" w:lineRule="auto"/>
        <w:ind w:firstLine="480" w:firstLineChars="200"/>
        <w:rPr>
          <w:b/>
          <w:bCs/>
          <w:color w:val="auto"/>
          <w:sz w:val="28"/>
          <w:highlight w:val="none"/>
        </w:rPr>
      </w:pPr>
      <w:r>
        <w:rPr>
          <w:rFonts w:ascii="宋体" w:hAnsi="宋体"/>
          <w:bCs/>
          <w:color w:val="auto"/>
          <w:sz w:val="24"/>
          <w:highlight w:val="none"/>
        </w:rPr>
        <w:t>1.</w:t>
      </w:r>
      <w:r>
        <w:rPr>
          <w:rFonts w:hint="eastAsia" w:ascii="宋体" w:hAnsi="宋体"/>
          <w:bCs/>
          <w:color w:val="auto"/>
          <w:sz w:val="24"/>
          <w:highlight w:val="none"/>
        </w:rPr>
        <w:t>7</w:t>
      </w:r>
      <w:r>
        <w:rPr>
          <w:rFonts w:ascii="宋体" w:hAnsi="宋体"/>
          <w:bCs/>
          <w:color w:val="auto"/>
          <w:sz w:val="24"/>
          <w:highlight w:val="none"/>
        </w:rPr>
        <w:t>.</w:t>
      </w:r>
      <w:r>
        <w:rPr>
          <w:rFonts w:hint="eastAsia" w:ascii="宋体" w:hAnsi="宋体"/>
          <w:bCs/>
          <w:color w:val="auto"/>
          <w:sz w:val="24"/>
          <w:highlight w:val="none"/>
        </w:rPr>
        <w:t>2招标人将通过</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交易平台</w:t>
      </w:r>
      <w:r>
        <w:rPr>
          <w:rFonts w:hint="eastAsia" w:ascii="宋体" w:hAnsi="宋体"/>
          <w:bCs/>
          <w:color w:val="auto"/>
          <w:sz w:val="24"/>
          <w:highlight w:val="none"/>
        </w:rPr>
        <w:t>以数据电文的形式把资格审查结果通知各投标申请人（具体格式详见附件</w:t>
      </w:r>
      <w:r>
        <w:rPr>
          <w:rFonts w:hint="eastAsia" w:ascii="宋体" w:hAnsi="宋体"/>
          <w:bCs/>
          <w:color w:val="auto"/>
          <w:sz w:val="24"/>
          <w:highlight w:val="none"/>
          <w:lang w:eastAsia="zh-CN"/>
        </w:rPr>
        <w:t>八</w:t>
      </w:r>
      <w:r>
        <w:rPr>
          <w:rFonts w:hint="eastAsia" w:ascii="宋体" w:hAnsi="宋体"/>
          <w:bCs/>
          <w:color w:val="auto"/>
          <w:sz w:val="24"/>
          <w:highlight w:val="none"/>
        </w:rPr>
        <w:t>）。</w:t>
      </w:r>
      <w:bookmarkStart w:id="20" w:name="_Toc71800042"/>
      <w:r>
        <w:rPr>
          <w:color w:val="auto"/>
          <w:highlight w:val="none"/>
        </w:rPr>
        <w:br w:type="page"/>
      </w:r>
      <w:bookmarkEnd w:id="20"/>
    </w:p>
    <w:p w14:paraId="0ED906A6">
      <w:pPr>
        <w:jc w:val="center"/>
        <w:rPr>
          <w:rFonts w:ascii="宋体" w:hAnsi="宋体"/>
          <w:b/>
          <w:color w:val="auto"/>
          <w:sz w:val="30"/>
          <w:szCs w:val="30"/>
          <w:highlight w:val="none"/>
        </w:rPr>
      </w:pPr>
      <w:bookmarkStart w:id="21" w:name="_Toc154922235"/>
      <w:bookmarkStart w:id="22" w:name="_Toc416358161"/>
      <w:bookmarkStart w:id="23" w:name="_Toc253143222"/>
      <w:bookmarkStart w:id="24" w:name="_Toc71800043"/>
      <w:bookmarkStart w:id="25" w:name="_Toc266881403"/>
      <w:bookmarkStart w:id="26" w:name="_Toc266093551"/>
      <w:bookmarkStart w:id="27" w:name="_Toc249846230"/>
      <w:bookmarkStart w:id="28" w:name="_Toc154921251"/>
      <w:bookmarkStart w:id="29" w:name="_Toc249845975"/>
      <w:bookmarkStart w:id="30" w:name="_Toc245024003"/>
      <w:bookmarkStart w:id="31" w:name="_Toc416357990"/>
      <w:r>
        <w:rPr>
          <w:rFonts w:ascii="宋体" w:hAnsi="宋体"/>
          <w:b/>
          <w:color w:val="auto"/>
          <w:sz w:val="30"/>
          <w:szCs w:val="30"/>
          <w:highlight w:val="none"/>
        </w:rPr>
        <w:t>2.</w:t>
      </w:r>
      <w:r>
        <w:rPr>
          <w:rFonts w:hint="eastAsia" w:ascii="宋体" w:hAnsi="宋体"/>
          <w:b/>
          <w:color w:val="auto"/>
          <w:sz w:val="30"/>
          <w:szCs w:val="30"/>
          <w:highlight w:val="none"/>
        </w:rPr>
        <w:t>资格审查和确定正式投标人办法</w:t>
      </w:r>
      <w:bookmarkEnd w:id="21"/>
      <w:bookmarkEnd w:id="22"/>
      <w:bookmarkEnd w:id="23"/>
      <w:bookmarkEnd w:id="24"/>
      <w:bookmarkEnd w:id="25"/>
      <w:bookmarkEnd w:id="26"/>
      <w:bookmarkEnd w:id="27"/>
      <w:bookmarkEnd w:id="28"/>
      <w:bookmarkEnd w:id="29"/>
      <w:bookmarkEnd w:id="30"/>
      <w:bookmarkEnd w:id="31"/>
    </w:p>
    <w:p w14:paraId="153AE7DA">
      <w:pPr>
        <w:spacing w:line="360" w:lineRule="auto"/>
        <w:ind w:firstLine="480" w:firstLineChars="200"/>
        <w:rPr>
          <w:rFonts w:ascii="宋体"/>
          <w:bCs/>
          <w:color w:val="auto"/>
          <w:sz w:val="24"/>
          <w:highlight w:val="none"/>
        </w:rPr>
      </w:pPr>
      <w:bookmarkStart w:id="32" w:name="_Toc154922236"/>
      <w:bookmarkStart w:id="33" w:name="_Toc154921252"/>
      <w:r>
        <w:rPr>
          <w:rFonts w:ascii="宋体" w:hAnsi="宋体"/>
          <w:bCs/>
          <w:color w:val="auto"/>
          <w:sz w:val="24"/>
          <w:highlight w:val="none"/>
        </w:rPr>
        <w:t>2.1</w:t>
      </w:r>
      <w:r>
        <w:rPr>
          <w:rFonts w:hint="eastAsia" w:ascii="宋体" w:hAnsi="宋体"/>
          <w:bCs/>
          <w:color w:val="auto"/>
          <w:sz w:val="24"/>
          <w:highlight w:val="none"/>
        </w:rPr>
        <w:t>总则</w:t>
      </w:r>
    </w:p>
    <w:bookmarkEnd w:id="32"/>
    <w:bookmarkEnd w:id="33"/>
    <w:p w14:paraId="2A8A657B">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2.1.1资格审查坚持“公开、公正、公平、客观、准确”的评审原则，按照资格预审公告和本资格预审文件规定的程序，选定具有良好的业绩和能力的投标申请人参加投标。</w:t>
      </w:r>
    </w:p>
    <w:p w14:paraId="5A758B93">
      <w:pPr>
        <w:spacing w:line="360" w:lineRule="auto"/>
        <w:ind w:firstLine="480" w:firstLineChars="200"/>
        <w:rPr>
          <w:rFonts w:ascii="宋体"/>
          <w:bCs/>
          <w:color w:val="auto"/>
          <w:sz w:val="24"/>
          <w:highlight w:val="none"/>
        </w:rPr>
      </w:pPr>
      <w:r>
        <w:rPr>
          <w:rFonts w:ascii="宋体" w:hAnsi="宋体"/>
          <w:bCs/>
          <w:color w:val="auto"/>
          <w:sz w:val="24"/>
          <w:highlight w:val="none"/>
        </w:rPr>
        <w:t>2.1.2</w:t>
      </w:r>
      <w:r>
        <w:rPr>
          <w:rFonts w:hint="eastAsia" w:ascii="宋体" w:hAnsi="宋体"/>
          <w:bCs/>
          <w:color w:val="auto"/>
          <w:sz w:val="24"/>
          <w:highlight w:val="none"/>
        </w:rPr>
        <w:t>资格审查将按照申请人须提交的</w:t>
      </w:r>
      <w:r>
        <w:rPr>
          <w:rFonts w:hint="eastAsia" w:ascii="宋体" w:hAnsi="宋体"/>
          <w:color w:val="auto"/>
          <w:sz w:val="24"/>
          <w:highlight w:val="none"/>
        </w:rPr>
        <w:t>书面</w:t>
      </w:r>
      <w:r>
        <w:rPr>
          <w:rFonts w:hint="eastAsia" w:ascii="宋体" w:hAnsi="宋体"/>
          <w:bCs/>
          <w:color w:val="auto"/>
          <w:sz w:val="24"/>
          <w:highlight w:val="none"/>
        </w:rPr>
        <w:t>资格审查申请资料和</w:t>
      </w:r>
      <w:r>
        <w:rPr>
          <w:rFonts w:hint="eastAsia" w:ascii="宋体" w:hAnsi="宋体"/>
          <w:color w:val="auto"/>
          <w:sz w:val="24"/>
          <w:highlight w:val="none"/>
        </w:rPr>
        <w:t>其他</w:t>
      </w:r>
      <w:r>
        <w:rPr>
          <w:rFonts w:hint="eastAsia" w:ascii="宋体" w:hAnsi="宋体"/>
          <w:color w:val="auto"/>
          <w:sz w:val="24"/>
          <w:szCs w:val="24"/>
          <w:highlight w:val="none"/>
        </w:rPr>
        <w:t>在广州市住建行业信用管理平台登记的上传件或信息，审查其</w:t>
      </w:r>
      <w:r>
        <w:rPr>
          <w:rFonts w:hint="eastAsia" w:ascii="宋体" w:hAnsi="宋体"/>
          <w:bCs/>
          <w:color w:val="auto"/>
          <w:sz w:val="24"/>
          <w:highlight w:val="none"/>
        </w:rPr>
        <w:t>是否符合资格预审公告载明的投标人资格审查合格条件。不符合资格审查合格条件的申请人</w:t>
      </w:r>
      <w:r>
        <w:rPr>
          <w:rFonts w:ascii="宋体"/>
          <w:bCs/>
          <w:color w:val="auto"/>
          <w:sz w:val="24"/>
          <w:highlight w:val="none"/>
        </w:rPr>
        <w:t>,</w:t>
      </w:r>
      <w:r>
        <w:rPr>
          <w:rFonts w:hint="eastAsia" w:ascii="宋体" w:hAnsi="宋体"/>
          <w:bCs/>
          <w:color w:val="auto"/>
          <w:sz w:val="24"/>
          <w:highlight w:val="none"/>
        </w:rPr>
        <w:t>将不能通过资格审查。</w:t>
      </w:r>
    </w:p>
    <w:p w14:paraId="7B982DCB">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3在审查过程中，审查委员会可以书面形式，公开要求所有申请人对资格审查资料中不明确的内容进行必要的澄清或说明。申请人的澄清或说明应采用书面形式，并不得改变资格预审申请文件的实质性内容。申请人的澄清和说明内容属于资格预审申请文件的组成部分。整个澄清和说明的过程不得存在排斥潜在投标人的现象。</w:t>
      </w:r>
    </w:p>
    <w:p w14:paraId="4EA77D89">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4</w:t>
      </w:r>
      <w:r>
        <w:rPr>
          <w:rFonts w:hint="eastAsia"/>
          <w:bCs/>
          <w:color w:val="auto"/>
          <w:sz w:val="24"/>
          <w:szCs w:val="24"/>
          <w:highlight w:val="none"/>
        </w:rPr>
        <w:t>《</w:t>
      </w:r>
      <w:r>
        <w:rPr>
          <w:rFonts w:hint="eastAsia"/>
          <w:color w:val="auto"/>
          <w:sz w:val="24"/>
          <w:szCs w:val="24"/>
          <w:highlight w:val="none"/>
        </w:rPr>
        <w:t>资格预审申请文件提交资料一览表</w:t>
      </w:r>
      <w:r>
        <w:rPr>
          <w:rFonts w:hint="eastAsia"/>
          <w:bCs/>
          <w:color w:val="auto"/>
          <w:sz w:val="24"/>
          <w:szCs w:val="24"/>
          <w:highlight w:val="none"/>
        </w:rPr>
        <w:t>》</w:t>
      </w:r>
      <w:r>
        <w:rPr>
          <w:rFonts w:hint="eastAsia" w:ascii="宋体" w:hAnsi="宋体"/>
          <w:bCs/>
          <w:color w:val="auto"/>
          <w:sz w:val="24"/>
          <w:highlight w:val="none"/>
        </w:rPr>
        <w:t>中没有要求提交的资料不作为资审不合格的依据。</w:t>
      </w:r>
    </w:p>
    <w:p w14:paraId="7A062CC1">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5经资格审查合格的投标申请人，按资格预审公告中的方式确定正式投标人。</w:t>
      </w:r>
    </w:p>
    <w:p w14:paraId="631E4EC2">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6拒绝挂靠单位参加投标，一旦发现即取消其投标或中标资格，其投标保证金</w:t>
      </w:r>
      <w:r>
        <w:rPr>
          <w:rFonts w:hint="eastAsia" w:ascii="宋体" w:hAnsi="宋体"/>
          <w:color w:val="auto"/>
          <w:sz w:val="24"/>
          <w:szCs w:val="24"/>
          <w:highlight w:val="none"/>
        </w:rPr>
        <w:t>不予退还</w:t>
      </w:r>
      <w:r>
        <w:rPr>
          <w:rFonts w:hint="eastAsia" w:ascii="宋体" w:hAnsi="宋体"/>
          <w:bCs/>
          <w:color w:val="auto"/>
          <w:sz w:val="24"/>
          <w:highlight w:val="none"/>
        </w:rPr>
        <w:t>，并上报有关建设主管部门处理，将挂靠情况及处理结果向社会公布。</w:t>
      </w:r>
    </w:p>
    <w:p w14:paraId="2BE723B3">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2.1.7投标申请人必须确保所提供的资料的真实性。如被查实提供虚假的证明材料，经建设行政主管部门、或招标监督管理机构、或招标人及其组织的资格审查委员会确认后，将取消该投标申请人在其本项目的投标资格，其投标保证金不予退还，同时上报上级主管部门，建设行政主管部门或招标监督管理机构将对该投标申请人给予行政处罚。</w:t>
      </w:r>
    </w:p>
    <w:p w14:paraId="7417877A">
      <w:pPr>
        <w:spacing w:line="360" w:lineRule="auto"/>
        <w:ind w:firstLine="480" w:firstLineChars="200"/>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8特别声明：资审合格后，投标人的资格发生变化而不满足投标人合格条件，在发出中标通知书前，资格问题仍未解决的，招标人将取消其中标资格。</w:t>
      </w:r>
    </w:p>
    <w:p w14:paraId="18EE348A">
      <w:pPr>
        <w:spacing w:line="360" w:lineRule="auto"/>
        <w:ind w:firstLine="480" w:firstLineChars="200"/>
        <w:rPr>
          <w:rFonts w:ascii="宋体"/>
          <w:b/>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9资格审查时，</w:t>
      </w:r>
      <w:r>
        <w:rPr>
          <w:rFonts w:hint="eastAsia" w:ascii="宋体" w:hAnsi="宋体"/>
          <w:bCs/>
          <w:color w:val="auto"/>
          <w:sz w:val="24"/>
          <w:szCs w:val="21"/>
          <w:highlight w:val="none"/>
        </w:rPr>
        <w:t>投标企业</w:t>
      </w:r>
      <w:r>
        <w:rPr>
          <w:rFonts w:hint="eastAsia" w:ascii="宋体" w:hAnsi="宋体"/>
          <w:bCs/>
          <w:color w:val="auto"/>
          <w:sz w:val="24"/>
          <w:highlight w:val="none"/>
        </w:rPr>
        <w:t>名称已经工商变更的，但企业及个人的资质证书未完</w:t>
      </w:r>
      <w:r>
        <w:rPr>
          <w:rFonts w:hint="eastAsia" w:ascii="Verdana" w:hAnsi="Verdana"/>
          <w:color w:val="auto"/>
          <w:sz w:val="24"/>
          <w:highlight w:val="none"/>
        </w:rPr>
        <w:t>成企业名称变更，仍然承认其有效。营业执照、资质证书、安全生产许可证登记的信息不一致，应当允许投标人澄清，不得直接认定为无效。</w:t>
      </w:r>
    </w:p>
    <w:p w14:paraId="052DDC77">
      <w:pPr>
        <w:spacing w:line="360" w:lineRule="auto"/>
        <w:ind w:firstLine="480" w:firstLineChars="200"/>
        <w:rPr>
          <w:rFonts w:ascii="宋体"/>
          <w:bCs/>
          <w:color w:val="auto"/>
          <w:sz w:val="24"/>
          <w:highlight w:val="none"/>
        </w:rPr>
      </w:pPr>
      <w:bookmarkStart w:id="34" w:name="_Toc154921253"/>
      <w:bookmarkStart w:id="35" w:name="_Toc154922237"/>
      <w:r>
        <w:rPr>
          <w:rFonts w:ascii="宋体" w:hAnsi="宋体"/>
          <w:bCs/>
          <w:color w:val="auto"/>
          <w:sz w:val="24"/>
          <w:highlight w:val="none"/>
        </w:rPr>
        <w:t>2.2</w:t>
      </w:r>
      <w:r>
        <w:rPr>
          <w:rFonts w:hint="eastAsia" w:ascii="宋体" w:hAnsi="宋体"/>
          <w:bCs/>
          <w:color w:val="auto"/>
          <w:sz w:val="24"/>
          <w:highlight w:val="none"/>
        </w:rPr>
        <w:t>评审工作机构</w:t>
      </w:r>
      <w:bookmarkEnd w:id="34"/>
      <w:bookmarkEnd w:id="35"/>
    </w:p>
    <w:p w14:paraId="76363401">
      <w:pPr>
        <w:spacing w:line="360" w:lineRule="auto"/>
        <w:ind w:firstLine="480" w:firstLineChars="200"/>
        <w:rPr>
          <w:rFonts w:ascii="宋体"/>
          <w:bCs/>
          <w:color w:val="auto"/>
          <w:sz w:val="24"/>
          <w:highlight w:val="none"/>
        </w:rPr>
      </w:pPr>
      <w:r>
        <w:rPr>
          <w:rFonts w:ascii="宋体" w:hAnsi="宋体"/>
          <w:bCs/>
          <w:color w:val="auto"/>
          <w:sz w:val="24"/>
          <w:highlight w:val="none"/>
        </w:rPr>
        <w:t>2.2.1</w:t>
      </w:r>
      <w:r>
        <w:rPr>
          <w:rFonts w:hint="eastAsia" w:ascii="宋体" w:hAnsi="宋体"/>
          <w:bCs/>
          <w:color w:val="auto"/>
          <w:sz w:val="24"/>
          <w:highlight w:val="none"/>
        </w:rPr>
        <w:t>招标人应按相关规定组成资格预审委员会，根据资格预审文件公布的标准和要求进行审查。资格预审委员会的组成、专家的条件和抽取按照国家和省、市有关评标委员会和评标专家的规定执行。</w:t>
      </w:r>
    </w:p>
    <w:p w14:paraId="7CE5A99E">
      <w:pPr>
        <w:spacing w:line="360" w:lineRule="auto"/>
        <w:ind w:firstLine="480" w:firstLineChars="200"/>
        <w:rPr>
          <w:rFonts w:ascii="宋体"/>
          <w:bCs/>
          <w:color w:val="auto"/>
          <w:sz w:val="24"/>
          <w:highlight w:val="none"/>
        </w:rPr>
      </w:pPr>
      <w:r>
        <w:rPr>
          <w:rFonts w:ascii="宋体" w:hAnsi="宋体"/>
          <w:bCs/>
          <w:color w:val="auto"/>
          <w:sz w:val="24"/>
          <w:highlight w:val="none"/>
        </w:rPr>
        <w:t>2.2.2</w:t>
      </w:r>
      <w:r>
        <w:rPr>
          <w:rFonts w:hint="eastAsia" w:ascii="宋体" w:hAnsi="宋体"/>
          <w:bCs/>
          <w:color w:val="auto"/>
          <w:sz w:val="24"/>
          <w:highlight w:val="none"/>
        </w:rPr>
        <w:t>资格评审委员会，负责资格审查及择优（若有）工作并编制审查报告，确定正式投标人。</w:t>
      </w:r>
    </w:p>
    <w:p w14:paraId="14AF31CF">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资格审查委员会资格审查在开始评审前，应了解评标专家的职责及守则，认真阅读附件</w:t>
      </w:r>
      <w:r>
        <w:rPr>
          <w:rFonts w:hint="eastAsia" w:ascii="宋体" w:hAnsi="宋体"/>
          <w:bCs/>
          <w:color w:val="auto"/>
          <w:sz w:val="24"/>
          <w:highlight w:val="none"/>
          <w:u w:val="single"/>
          <w:lang w:val="en-US" w:eastAsia="zh-CN"/>
        </w:rPr>
        <w:t>二</w:t>
      </w:r>
      <w:r>
        <w:rPr>
          <w:rFonts w:hint="eastAsia" w:ascii="宋体" w:hAnsi="宋体"/>
          <w:bCs/>
          <w:color w:val="auto"/>
          <w:sz w:val="24"/>
          <w:highlight w:val="none"/>
          <w:u w:val="single"/>
        </w:rPr>
        <w:t>《资格审查委员会成员声明》的内容并签名，签字后方可进行评标；</w:t>
      </w:r>
    </w:p>
    <w:p w14:paraId="0740AC57">
      <w:pPr>
        <w:spacing w:line="360" w:lineRule="auto"/>
        <w:ind w:firstLine="480" w:firstLineChars="200"/>
        <w:rPr>
          <w:rFonts w:asci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u w:val="single"/>
          <w:lang w:val="en-US" w:eastAsia="zh-CN"/>
        </w:rPr>
        <w:t>4</w:t>
      </w:r>
      <w:r>
        <w:rPr>
          <w:rFonts w:hint="eastAsia" w:ascii="宋体" w:hAnsi="宋体"/>
          <w:bCs/>
          <w:color w:val="auto"/>
          <w:sz w:val="24"/>
          <w:highlight w:val="none"/>
        </w:rPr>
        <w:t>资格审查委员会资格审查的程序和细则</w:t>
      </w:r>
    </w:p>
    <w:p w14:paraId="32E5829B">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4</w:t>
      </w:r>
      <w:r>
        <w:rPr>
          <w:rFonts w:ascii="宋体" w:hAnsi="宋体"/>
          <w:bCs/>
          <w:color w:val="auto"/>
          <w:sz w:val="24"/>
          <w:highlight w:val="none"/>
        </w:rPr>
        <w:t>.1</w:t>
      </w:r>
      <w:r>
        <w:rPr>
          <w:rFonts w:hint="eastAsia" w:ascii="宋体" w:hAnsi="宋体"/>
          <w:bCs/>
          <w:color w:val="auto"/>
          <w:sz w:val="24"/>
          <w:highlight w:val="none"/>
        </w:rPr>
        <w:t>资格审查委员会各成员根据附件六《资格审查表》独立审查各项资格审查申请资料，认定其是否证明了申请人符合资格预审公告载明的相应投标人合格条件。</w:t>
      </w:r>
    </w:p>
    <w:p w14:paraId="03A528C7">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4</w:t>
      </w:r>
      <w:r>
        <w:rPr>
          <w:rFonts w:ascii="宋体" w:hAnsi="宋体"/>
          <w:bCs/>
          <w:color w:val="auto"/>
          <w:sz w:val="24"/>
          <w:highlight w:val="none"/>
        </w:rPr>
        <w:t>.</w:t>
      </w:r>
      <w:r>
        <w:rPr>
          <w:rFonts w:hint="eastAsia" w:ascii="宋体" w:hAnsi="宋体"/>
          <w:bCs/>
          <w:color w:val="auto"/>
          <w:sz w:val="24"/>
          <w:highlight w:val="none"/>
        </w:rPr>
        <w:t>2汇总审查情况，确定通过资格审查的申请人名单并择优（如有）。</w:t>
      </w:r>
    </w:p>
    <w:p w14:paraId="4CC1BCEB">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4</w:t>
      </w:r>
      <w:r>
        <w:rPr>
          <w:rFonts w:ascii="宋体" w:hAnsi="宋体"/>
          <w:bCs/>
          <w:color w:val="auto"/>
          <w:sz w:val="24"/>
          <w:highlight w:val="none"/>
        </w:rPr>
        <w:t>.</w:t>
      </w:r>
      <w:r>
        <w:rPr>
          <w:rFonts w:hint="eastAsia" w:ascii="宋体" w:hAnsi="宋体"/>
          <w:bCs/>
          <w:color w:val="auto"/>
          <w:sz w:val="24"/>
          <w:highlight w:val="none"/>
        </w:rPr>
        <w:t>3编写资格审查报告。</w:t>
      </w:r>
    </w:p>
    <w:p w14:paraId="653AB820">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5</w:t>
      </w:r>
      <w:r>
        <w:rPr>
          <w:rFonts w:hint="eastAsia" w:ascii="宋体" w:hAnsi="宋体"/>
          <w:bCs/>
          <w:color w:val="auto"/>
          <w:sz w:val="24"/>
          <w:highlight w:val="none"/>
        </w:rPr>
        <w:t>确定正式投标人</w:t>
      </w:r>
    </w:p>
    <w:p w14:paraId="62F95184">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5</w:t>
      </w:r>
      <w:r>
        <w:rPr>
          <w:rFonts w:ascii="宋体" w:hAnsi="宋体"/>
          <w:bCs/>
          <w:color w:val="auto"/>
          <w:sz w:val="24"/>
          <w:highlight w:val="none"/>
        </w:rPr>
        <w:t>.1</w:t>
      </w:r>
      <w:r>
        <w:rPr>
          <w:rFonts w:hint="eastAsia" w:ascii="宋体" w:hAnsi="宋体"/>
          <w:bCs/>
          <w:color w:val="auto"/>
          <w:sz w:val="24"/>
          <w:highlight w:val="none"/>
        </w:rPr>
        <w:t>按照资格预审公告载明的方式确定正式投标人。</w:t>
      </w:r>
    </w:p>
    <w:p w14:paraId="5C162129">
      <w:pPr>
        <w:spacing w:line="360" w:lineRule="auto"/>
        <w:ind w:firstLine="480" w:firstLineChars="20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rPr>
        <w:t>正式投标人确定后，招标人因故暂停招标程序，恢复招标程序时，若法律、法规、规章对投标人资格提出新的强制性规定，招标人按照新的规定要求正式投标人补充、更换相关资格证明资料并核查，以符合现行规定。补充、更换资料的时间应不少于</w:t>
      </w:r>
      <w:r>
        <w:rPr>
          <w:rFonts w:ascii="宋体" w:hAnsi="宋体"/>
          <w:bCs/>
          <w:color w:val="auto"/>
          <w:sz w:val="24"/>
          <w:highlight w:val="none"/>
        </w:rPr>
        <w:t>15</w:t>
      </w:r>
      <w:r>
        <w:rPr>
          <w:rFonts w:hint="eastAsia" w:ascii="宋体" w:hAnsi="宋体"/>
          <w:bCs/>
          <w:color w:val="auto"/>
          <w:sz w:val="24"/>
          <w:highlight w:val="none"/>
        </w:rPr>
        <w:t>日。补充、更换资料的期间可以进行投标程序。</w:t>
      </w:r>
    </w:p>
    <w:p w14:paraId="2239D5CB">
      <w:pPr>
        <w:spacing w:line="360" w:lineRule="auto"/>
        <w:ind w:firstLine="480" w:firstLineChars="200"/>
        <w:rPr>
          <w:rFonts w:ascii="宋体"/>
          <w:bCs/>
          <w:color w:val="auto"/>
          <w:sz w:val="24"/>
          <w:highlight w:val="none"/>
        </w:rPr>
      </w:pPr>
      <w:r>
        <w:rPr>
          <w:rFonts w:hint="eastAsia" w:ascii="宋体" w:hAnsi="宋体"/>
          <w:bCs/>
          <w:color w:val="auto"/>
          <w:sz w:val="24"/>
          <w:highlight w:val="none"/>
        </w:rPr>
        <w:t>原正式投标人补充、更换资料后，经审查，满足现行规定的，可以参加投标。重新审查后，合格投标人少于3（当N个标段同时招标且不允许兼中时，应为N+2名），应重新招标。已书面退出该项目投标的，无权再参加此次投标。</w:t>
      </w:r>
    </w:p>
    <w:p w14:paraId="4CDCB689">
      <w:pPr>
        <w:spacing w:line="360" w:lineRule="auto"/>
        <w:ind w:firstLine="480" w:firstLineChars="200"/>
        <w:rPr>
          <w:rFonts w:ascii="宋体"/>
          <w:bCs/>
          <w:color w:val="auto"/>
          <w:sz w:val="24"/>
          <w:highlight w:val="none"/>
        </w:rPr>
      </w:pPr>
      <w:r>
        <w:rPr>
          <w:rFonts w:hint="eastAsia" w:ascii="宋体" w:hAnsi="宋体"/>
          <w:bCs/>
          <w:color w:val="auto"/>
          <w:sz w:val="24"/>
          <w:highlight w:val="none"/>
        </w:rPr>
        <w:t>如暂停超过半年仍未启动招标程序的，招标人依法发布终止公告。</w:t>
      </w:r>
    </w:p>
    <w:p w14:paraId="028A5E1F">
      <w:pPr>
        <w:jc w:val="left"/>
        <w:rPr>
          <w:rFonts w:hint="eastAsia" w:ascii="宋体" w:hAnsi="宋体" w:eastAsia="宋体" w:cs="宋体"/>
          <w:color w:val="auto"/>
          <w:sz w:val="24"/>
          <w:szCs w:val="24"/>
          <w:highlight w:val="none"/>
          <w:lang w:eastAsia="zh-CN"/>
        </w:rPr>
      </w:pPr>
      <w:r>
        <w:rPr>
          <w:rFonts w:ascii="宋体"/>
          <w:color w:val="auto"/>
          <w:sz w:val="24"/>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一</w:t>
      </w:r>
    </w:p>
    <w:p w14:paraId="4CBB31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（招标人红头文件出具）</w:t>
      </w:r>
    </w:p>
    <w:p w14:paraId="408AAB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招标人声明</w:t>
      </w:r>
    </w:p>
    <w:p w14:paraId="1D556132">
      <w:pPr>
        <w:rPr>
          <w:rFonts w:hint="eastAsia" w:ascii="宋体" w:hAnsi="宋体" w:eastAsia="宋体" w:cs="宋体"/>
          <w:color w:val="auto"/>
          <w:sz w:val="24"/>
          <w:szCs w:val="24"/>
          <w:highlight w:val="none"/>
        </w:rPr>
      </w:pPr>
    </w:p>
    <w:p w14:paraId="27868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广东省信息技术应用研究所</w:t>
      </w:r>
      <w:r>
        <w:rPr>
          <w:rFonts w:hint="eastAsia" w:ascii="宋体" w:hAnsi="宋体" w:eastAsia="宋体" w:cs="宋体"/>
          <w:color w:val="auto"/>
          <w:sz w:val="24"/>
          <w:szCs w:val="24"/>
          <w:highlight w:val="none"/>
        </w:rPr>
        <w:t>：</w:t>
      </w:r>
    </w:p>
    <w:p w14:paraId="0948A4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我单位就</w:t>
      </w:r>
      <w:r>
        <w:rPr>
          <w:rFonts w:hint="eastAsia" w:ascii="宋体" w:hAnsi="宋体" w:cs="宋体"/>
          <w:color w:val="auto"/>
          <w:sz w:val="24"/>
          <w:szCs w:val="24"/>
          <w:highlight w:val="none"/>
          <w:u w:val="single"/>
          <w:lang w:eastAsia="zh-CN"/>
        </w:rPr>
        <w:t>广垦天河1号装修改造工程项目</w:t>
      </w:r>
      <w:r>
        <w:rPr>
          <w:rFonts w:hint="eastAsia" w:ascii="宋体" w:hAnsi="宋体" w:eastAsia="宋体" w:cs="宋体"/>
          <w:color w:val="auto"/>
          <w:sz w:val="24"/>
          <w:szCs w:val="24"/>
          <w:highlight w:val="none"/>
        </w:rPr>
        <w:t>项目进行公开招标，现就有关事项作出如下声明：</w:t>
      </w:r>
    </w:p>
    <w:p w14:paraId="7CAC61AC">
      <w:pPr>
        <w:keepNext w:val="0"/>
        <w:keepLines w:val="0"/>
        <w:pageBreakBefore w:val="0"/>
        <w:widowControl w:val="0"/>
        <w:kinsoku/>
        <w:wordWrap/>
        <w:overflowPunct/>
        <w:topLinePunct w:val="0"/>
        <w:autoSpaceDE/>
        <w:autoSpaceDN/>
        <w:bidi w:val="0"/>
        <w:adjustRightInd/>
        <w:snapToGrid/>
        <w:spacing w:line="360" w:lineRule="auto"/>
        <w:ind w:left="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一、本项目已具备法定招标条件。</w:t>
      </w:r>
    </w:p>
    <w:p w14:paraId="436A5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二、本项目在招标计划、招标控制价、招标公告、资格预审文件、招标人代表选派、资格预审结果、招标文件、中标结果等关键事项中，已履行“三重一大”决策程序，在监管过程中将按照监管部门的要求提供。</w:t>
      </w:r>
    </w:p>
    <w:p w14:paraId="1344A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三、本次招标内容与政府有关部门的审批、核准或备案文件内容相符。</w:t>
      </w:r>
    </w:p>
    <w:p w14:paraId="12C04A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四、招标公告和招标文件均依法编制，无违法内容，不同所有制投标人都能参与本项目竞争，具有足够的竞争性。</w:t>
      </w:r>
    </w:p>
    <w:p w14:paraId="59074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五、在本项目招标过程中我单位未与潜在投标人或利害相关人串通，未直接或者间接向潜在投标人泄露重要技术参数等信息，工作人员不存在收受贿赂等违法违规行为。</w:t>
      </w:r>
    </w:p>
    <w:p w14:paraId="5F175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6742B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我单位承诺，如上述声明与事实不符，由我单位承担由此导致的一切法律责任，并自愿接受监督部门或机构的查处和公开通报。</w:t>
      </w:r>
    </w:p>
    <w:p w14:paraId="3CB710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7342A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4BB147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A6FC3BB">
      <w:pPr>
        <w:keepNext w:val="0"/>
        <w:keepLines w:val="0"/>
        <w:pageBreakBefore w:val="0"/>
        <w:widowControl w:val="0"/>
        <w:kinsoku/>
        <w:wordWrap/>
        <w:overflowPunct/>
        <w:topLinePunct w:val="0"/>
        <w:autoSpaceDE/>
        <w:autoSpaceDN/>
        <w:bidi w:val="0"/>
        <w:adjustRightInd/>
        <w:snapToGrid/>
        <w:spacing w:line="360" w:lineRule="auto"/>
        <w:ind w:firstLine="4440" w:firstLineChars="18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（招标人公章）</w:t>
      </w:r>
    </w:p>
    <w:p w14:paraId="18F90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t xml:space="preserve">                                 年    月  日</w:t>
      </w:r>
    </w:p>
    <w:p w14:paraId="6C8EE9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ascii="宋体"/>
          <w:color w:val="auto"/>
          <w:sz w:val="24"/>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二</w:t>
      </w:r>
    </w:p>
    <w:p w14:paraId="006D03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资格审查委员会成员声明</w:t>
      </w:r>
    </w:p>
    <w:p w14:paraId="6395BB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广东省信息技术应用研究所</w:t>
      </w:r>
      <w:r>
        <w:rPr>
          <w:rFonts w:hint="eastAsia" w:ascii="宋体" w:hAnsi="宋体" w:eastAsia="宋体" w:cs="宋体"/>
          <w:color w:val="auto"/>
          <w:sz w:val="24"/>
          <w:szCs w:val="24"/>
          <w:highlight w:val="none"/>
        </w:rPr>
        <w:t>：</w:t>
      </w:r>
    </w:p>
    <w:p w14:paraId="2A4D0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cs="宋体"/>
          <w:color w:val="auto"/>
          <w:sz w:val="24"/>
          <w:szCs w:val="24"/>
          <w:highlight w:val="none"/>
          <w:u w:val="single"/>
          <w:lang w:eastAsia="zh-CN"/>
        </w:rPr>
        <w:t>广垦天河1号装修改造工程项目</w:t>
      </w:r>
      <w:r>
        <w:rPr>
          <w:rFonts w:hint="eastAsia" w:ascii="宋体" w:hAnsi="宋体" w:eastAsia="宋体" w:cs="宋体"/>
          <w:color w:val="auto"/>
          <w:sz w:val="24"/>
          <w:szCs w:val="24"/>
          <w:highlight w:val="none"/>
        </w:rPr>
        <w:t>项目的评标工作，作出郑重声明：</w:t>
      </w:r>
    </w:p>
    <w:p w14:paraId="03B09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50CB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资格预审申请人；（三）收受本项目资格预审申请人、中介人、其他利害关系人的财物或者其他好处；（四）法律法规等规定的回避情形。</w:t>
      </w:r>
    </w:p>
    <w:p w14:paraId="22508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资格预审文件规定的评标标准和方法，客观、公正地对资格预审申请文件提出评审意见，不故意拖延评标时间，或者敷衍塞责随意评标，不透露本项目资格审查委员会成员身份，不透露对本项目资格预审申请文件的评审和比较、正式投标人的推荐情况、在评标过程中知悉的国家秘密和商业秘密以及与评标有关的其他情况。在本项目评标过程中，本人不对资格审查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C9A34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B16C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6A64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41084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C384E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p w14:paraId="36B242CF">
      <w:pPr>
        <w:pStyle w:val="3"/>
        <w:rPr>
          <w:color w:val="auto"/>
          <w:highlight w:val="none"/>
        </w:rPr>
      </w:pPr>
    </w:p>
    <w:p w14:paraId="3DCF1196">
      <w:pPr>
        <w:spacing w:line="360" w:lineRule="auto"/>
        <w:rPr>
          <w:rFonts w:hint="eastAsia" w:ascii="宋体" w:hAnsi="宋体"/>
          <w:color w:val="auto"/>
          <w:sz w:val="24"/>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14:paraId="77B7632D">
      <w:pPr>
        <w:spacing w:line="360" w:lineRule="auto"/>
        <w:rPr>
          <w:rFonts w:asci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三</w:t>
      </w:r>
      <w:r>
        <w:rPr>
          <w:rFonts w:hint="eastAsia" w:ascii="宋体" w:hAnsi="宋体"/>
          <w:color w:val="auto"/>
          <w:sz w:val="24"/>
          <w:highlight w:val="none"/>
        </w:rPr>
        <w:t>：</w:t>
      </w:r>
    </w:p>
    <w:p w14:paraId="2BBE593C">
      <w:pPr>
        <w:spacing w:line="480" w:lineRule="auto"/>
        <w:jc w:val="center"/>
        <w:rPr>
          <w:b/>
          <w:color w:val="auto"/>
          <w:sz w:val="24"/>
          <w:szCs w:val="24"/>
          <w:highlight w:val="none"/>
        </w:rPr>
      </w:pPr>
      <w:r>
        <w:rPr>
          <w:rFonts w:hint="eastAsia" w:ascii="宋体" w:hAnsi="宋体"/>
          <w:b/>
          <w:color w:val="auto"/>
          <w:sz w:val="24"/>
          <w:szCs w:val="24"/>
          <w:highlight w:val="none"/>
        </w:rPr>
        <w:t>资格预审申请文件提交资料一览表</w:t>
      </w:r>
    </w:p>
    <w:tbl>
      <w:tblPr>
        <w:tblStyle w:val="13"/>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3686"/>
      </w:tblGrid>
      <w:tr w14:paraId="1622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trPr>
        <w:tc>
          <w:tcPr>
            <w:tcW w:w="817" w:type="dxa"/>
            <w:tcBorders>
              <w:top w:val="double" w:color="auto" w:sz="4" w:space="0"/>
              <w:left w:val="double" w:color="auto" w:sz="4" w:space="0"/>
              <w:bottom w:val="single" w:color="auto" w:sz="4" w:space="0"/>
              <w:right w:val="single" w:color="auto" w:sz="4" w:space="0"/>
            </w:tcBorders>
            <w:vAlign w:val="center"/>
          </w:tcPr>
          <w:p w14:paraId="583F9AAB">
            <w:pPr>
              <w:jc w:val="center"/>
              <w:rPr>
                <w:rFonts w:ascii="宋体" w:hAnsi="宋体"/>
                <w:color w:val="auto"/>
                <w:szCs w:val="21"/>
                <w:highlight w:val="none"/>
              </w:rPr>
            </w:pPr>
            <w:r>
              <w:rPr>
                <w:rFonts w:hint="eastAsia" w:ascii="宋体" w:hAnsi="宋体"/>
                <w:color w:val="auto"/>
                <w:szCs w:val="21"/>
                <w:highlight w:val="none"/>
              </w:rPr>
              <w:t>序号</w:t>
            </w:r>
          </w:p>
        </w:tc>
        <w:tc>
          <w:tcPr>
            <w:tcW w:w="4536" w:type="dxa"/>
            <w:tcBorders>
              <w:top w:val="double" w:color="auto" w:sz="4" w:space="0"/>
              <w:left w:val="single" w:color="auto" w:sz="4" w:space="0"/>
              <w:bottom w:val="single" w:color="auto" w:sz="4" w:space="0"/>
              <w:right w:val="single" w:color="auto" w:sz="4" w:space="0"/>
            </w:tcBorders>
            <w:vAlign w:val="center"/>
          </w:tcPr>
          <w:p w14:paraId="36539540">
            <w:pPr>
              <w:jc w:val="center"/>
              <w:rPr>
                <w:rFonts w:ascii="宋体" w:hAnsi="宋体"/>
                <w:color w:val="auto"/>
                <w:szCs w:val="21"/>
                <w:highlight w:val="none"/>
              </w:rPr>
            </w:pPr>
            <w:r>
              <w:rPr>
                <w:rFonts w:hint="eastAsia" w:ascii="宋体" w:hAnsi="宋体"/>
                <w:b/>
                <w:color w:val="auto"/>
                <w:szCs w:val="21"/>
                <w:highlight w:val="none"/>
              </w:rPr>
              <w:t>项目</w:t>
            </w:r>
          </w:p>
        </w:tc>
        <w:tc>
          <w:tcPr>
            <w:tcW w:w="3686" w:type="dxa"/>
            <w:tcBorders>
              <w:top w:val="double" w:color="auto" w:sz="4" w:space="0"/>
              <w:left w:val="single" w:color="auto" w:sz="4" w:space="0"/>
              <w:right w:val="double" w:color="auto" w:sz="4" w:space="0"/>
            </w:tcBorders>
            <w:vAlign w:val="center"/>
          </w:tcPr>
          <w:p w14:paraId="22E84896">
            <w:pPr>
              <w:jc w:val="center"/>
              <w:rPr>
                <w:rFonts w:ascii="宋体" w:hAnsi="宋体"/>
                <w:color w:val="auto"/>
                <w:szCs w:val="21"/>
                <w:highlight w:val="none"/>
              </w:rPr>
            </w:pPr>
            <w:r>
              <w:rPr>
                <w:rFonts w:hint="eastAsia" w:ascii="宋体" w:hAnsi="宋体"/>
                <w:b/>
                <w:color w:val="auto"/>
                <w:szCs w:val="21"/>
                <w:highlight w:val="none"/>
              </w:rPr>
              <w:t>提交资料要求</w:t>
            </w:r>
          </w:p>
        </w:tc>
      </w:tr>
      <w:tr w14:paraId="2CF8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17" w:type="dxa"/>
            <w:tcBorders>
              <w:top w:val="single" w:color="auto" w:sz="4" w:space="0"/>
              <w:left w:val="double" w:color="auto" w:sz="4" w:space="0"/>
              <w:bottom w:val="single" w:color="auto" w:sz="4" w:space="0"/>
              <w:right w:val="single" w:color="auto" w:sz="4" w:space="0"/>
            </w:tcBorders>
            <w:vAlign w:val="center"/>
          </w:tcPr>
          <w:p w14:paraId="1544F0DD">
            <w:pPr>
              <w:jc w:val="center"/>
              <w:rPr>
                <w:rFonts w:ascii="宋体" w:hAnsi="宋体"/>
                <w:color w:val="auto"/>
                <w:szCs w:val="21"/>
                <w:highlight w:val="none"/>
              </w:rPr>
            </w:pPr>
            <w:r>
              <w:rPr>
                <w:rFonts w:hint="eastAsia" w:ascii="宋体" w:hAnsi="宋体"/>
                <w:color w:val="auto"/>
                <w:szCs w:val="21"/>
                <w:highlight w:val="none"/>
              </w:rPr>
              <w:t>1</w:t>
            </w:r>
          </w:p>
        </w:tc>
        <w:tc>
          <w:tcPr>
            <w:tcW w:w="4536" w:type="dxa"/>
            <w:tcBorders>
              <w:top w:val="single" w:color="auto" w:sz="4" w:space="0"/>
              <w:left w:val="single" w:color="auto" w:sz="4" w:space="0"/>
              <w:bottom w:val="single" w:color="auto" w:sz="4" w:space="0"/>
              <w:right w:val="single" w:color="auto" w:sz="4" w:space="0"/>
            </w:tcBorders>
            <w:vAlign w:val="center"/>
          </w:tcPr>
          <w:p w14:paraId="63C6CB3B">
            <w:pPr>
              <w:rPr>
                <w:rFonts w:ascii="宋体" w:hAnsi="宋体"/>
                <w:color w:val="auto"/>
                <w:szCs w:val="21"/>
                <w:highlight w:val="none"/>
              </w:rPr>
            </w:pPr>
            <w:r>
              <w:rPr>
                <w:rFonts w:hint="eastAsia" w:ascii="宋体" w:hAnsi="宋体"/>
                <w:color w:val="auto"/>
                <w:szCs w:val="21"/>
                <w:highlight w:val="none"/>
              </w:rPr>
              <w:t>企业法定代表人证明书</w:t>
            </w:r>
          </w:p>
        </w:tc>
        <w:tc>
          <w:tcPr>
            <w:tcW w:w="3686" w:type="dxa"/>
            <w:tcBorders>
              <w:top w:val="single" w:color="auto" w:sz="4" w:space="0"/>
              <w:left w:val="single" w:color="auto" w:sz="4" w:space="0"/>
              <w:bottom w:val="single" w:color="auto" w:sz="4" w:space="0"/>
              <w:right w:val="double" w:color="auto" w:sz="4" w:space="0"/>
            </w:tcBorders>
            <w:vAlign w:val="center"/>
          </w:tcPr>
          <w:p w14:paraId="6F8B986C">
            <w:pPr>
              <w:rPr>
                <w:rFonts w:ascii="宋体" w:hAnsi="宋体"/>
                <w:color w:val="auto"/>
                <w:szCs w:val="21"/>
                <w:highlight w:val="none"/>
              </w:rPr>
            </w:pPr>
            <w:r>
              <w:rPr>
                <w:rFonts w:hint="eastAsia" w:ascii="宋体" w:hAnsi="宋体"/>
                <w:color w:val="auto"/>
                <w:szCs w:val="21"/>
                <w:highlight w:val="none"/>
              </w:rPr>
              <w:t>须提交原件扫描件</w:t>
            </w:r>
          </w:p>
        </w:tc>
      </w:tr>
      <w:tr w14:paraId="65DF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17" w:type="dxa"/>
            <w:tcBorders>
              <w:top w:val="single" w:color="auto" w:sz="4" w:space="0"/>
              <w:left w:val="double" w:color="auto" w:sz="4" w:space="0"/>
              <w:bottom w:val="single" w:color="auto" w:sz="4" w:space="0"/>
              <w:right w:val="single" w:color="auto" w:sz="4" w:space="0"/>
            </w:tcBorders>
            <w:vAlign w:val="center"/>
          </w:tcPr>
          <w:p w14:paraId="6AAB7A32">
            <w:pPr>
              <w:jc w:val="center"/>
              <w:rPr>
                <w:rFonts w:ascii="宋体" w:hAnsi="宋体"/>
                <w:color w:val="auto"/>
                <w:szCs w:val="21"/>
                <w:highlight w:val="none"/>
              </w:rPr>
            </w:pPr>
            <w:r>
              <w:rPr>
                <w:rFonts w:hint="eastAsia" w:ascii="宋体" w:hAnsi="宋体"/>
                <w:color w:val="auto"/>
                <w:szCs w:val="21"/>
                <w:highlight w:val="none"/>
              </w:rPr>
              <w:t>2</w:t>
            </w:r>
          </w:p>
        </w:tc>
        <w:tc>
          <w:tcPr>
            <w:tcW w:w="4536" w:type="dxa"/>
            <w:tcBorders>
              <w:top w:val="single" w:color="auto" w:sz="4" w:space="0"/>
              <w:left w:val="single" w:color="auto" w:sz="4" w:space="0"/>
              <w:bottom w:val="single" w:color="auto" w:sz="4" w:space="0"/>
              <w:right w:val="single" w:color="auto" w:sz="4" w:space="0"/>
            </w:tcBorders>
            <w:vAlign w:val="center"/>
          </w:tcPr>
          <w:p w14:paraId="28654E5B">
            <w:pPr>
              <w:rPr>
                <w:rFonts w:ascii="宋体" w:hAnsi="宋体"/>
                <w:color w:val="auto"/>
                <w:szCs w:val="21"/>
                <w:highlight w:val="none"/>
              </w:rPr>
            </w:pPr>
            <w:r>
              <w:rPr>
                <w:rFonts w:hint="eastAsia" w:ascii="宋体" w:hAnsi="宋体"/>
                <w:color w:val="auto"/>
                <w:szCs w:val="21"/>
                <w:highlight w:val="none"/>
              </w:rPr>
              <w:t>投标人代表的法定代表人授权委托书</w:t>
            </w:r>
          </w:p>
        </w:tc>
        <w:tc>
          <w:tcPr>
            <w:tcW w:w="3686" w:type="dxa"/>
            <w:tcBorders>
              <w:top w:val="single" w:color="auto" w:sz="4" w:space="0"/>
              <w:left w:val="single" w:color="auto" w:sz="4" w:space="0"/>
              <w:bottom w:val="single" w:color="auto" w:sz="4" w:space="0"/>
              <w:right w:val="double" w:color="auto" w:sz="4" w:space="0"/>
            </w:tcBorders>
            <w:vAlign w:val="center"/>
          </w:tcPr>
          <w:p w14:paraId="69DA0672">
            <w:pPr>
              <w:rPr>
                <w:rFonts w:ascii="宋体" w:hAnsi="宋体"/>
                <w:color w:val="auto"/>
                <w:szCs w:val="21"/>
                <w:highlight w:val="none"/>
              </w:rPr>
            </w:pPr>
            <w:r>
              <w:rPr>
                <w:rFonts w:hint="eastAsia" w:ascii="宋体" w:hAnsi="宋体"/>
                <w:color w:val="auto"/>
                <w:szCs w:val="21"/>
                <w:highlight w:val="none"/>
              </w:rPr>
              <w:t>须提交原件扫描件</w:t>
            </w:r>
          </w:p>
        </w:tc>
      </w:tr>
      <w:tr w14:paraId="60B3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17" w:type="dxa"/>
            <w:tcBorders>
              <w:top w:val="single" w:color="auto" w:sz="4" w:space="0"/>
              <w:left w:val="double" w:color="auto" w:sz="4" w:space="0"/>
              <w:bottom w:val="single" w:color="auto" w:sz="4" w:space="0"/>
              <w:right w:val="single" w:color="auto" w:sz="4" w:space="0"/>
            </w:tcBorders>
            <w:vAlign w:val="center"/>
          </w:tcPr>
          <w:p w14:paraId="0F2B33C9">
            <w:pPr>
              <w:jc w:val="center"/>
              <w:rPr>
                <w:rFonts w:ascii="宋体" w:hAnsi="宋体"/>
                <w:color w:val="auto"/>
                <w:szCs w:val="21"/>
                <w:highlight w:val="none"/>
              </w:rPr>
            </w:pPr>
            <w:r>
              <w:rPr>
                <w:rFonts w:hint="eastAsia" w:ascii="宋体" w:hAnsi="宋体"/>
                <w:color w:val="auto"/>
                <w:szCs w:val="21"/>
                <w:highlight w:val="none"/>
              </w:rPr>
              <w:t>3</w:t>
            </w:r>
          </w:p>
        </w:tc>
        <w:tc>
          <w:tcPr>
            <w:tcW w:w="4536" w:type="dxa"/>
            <w:tcBorders>
              <w:top w:val="single" w:color="auto" w:sz="4" w:space="0"/>
              <w:left w:val="single" w:color="auto" w:sz="4" w:space="0"/>
              <w:bottom w:val="single" w:color="auto" w:sz="4" w:space="0"/>
              <w:right w:val="single" w:color="auto" w:sz="4" w:space="0"/>
            </w:tcBorders>
            <w:vAlign w:val="center"/>
          </w:tcPr>
          <w:p w14:paraId="16523CC7">
            <w:pPr>
              <w:rPr>
                <w:rFonts w:ascii="宋体" w:hAnsi="宋体"/>
                <w:color w:val="auto"/>
                <w:szCs w:val="21"/>
                <w:highlight w:val="none"/>
              </w:rPr>
            </w:pPr>
            <w:r>
              <w:rPr>
                <w:rFonts w:hint="eastAsia" w:ascii="宋体" w:hAnsi="宋体"/>
                <w:color w:val="auto"/>
                <w:szCs w:val="21"/>
                <w:highlight w:val="none"/>
              </w:rPr>
              <w:t>企业营业执照</w:t>
            </w:r>
          </w:p>
        </w:tc>
        <w:tc>
          <w:tcPr>
            <w:tcW w:w="3686" w:type="dxa"/>
            <w:tcBorders>
              <w:top w:val="single" w:color="auto" w:sz="4" w:space="0"/>
              <w:left w:val="single" w:color="auto" w:sz="4" w:space="0"/>
              <w:bottom w:val="single" w:color="auto" w:sz="4" w:space="0"/>
              <w:right w:val="double" w:color="auto" w:sz="4" w:space="0"/>
            </w:tcBorders>
            <w:vAlign w:val="center"/>
          </w:tcPr>
          <w:p w14:paraId="547D44E7">
            <w:pPr>
              <w:rPr>
                <w:rFonts w:ascii="宋体" w:hAnsi="宋体"/>
                <w:color w:val="auto"/>
                <w:szCs w:val="21"/>
                <w:highlight w:val="none"/>
              </w:rPr>
            </w:pPr>
            <w:r>
              <w:rPr>
                <w:rFonts w:hint="eastAsia" w:ascii="宋体" w:hAnsi="宋体"/>
                <w:color w:val="auto"/>
                <w:szCs w:val="21"/>
                <w:highlight w:val="none"/>
              </w:rPr>
              <w:t>须提交证书扫描件或电子证照</w:t>
            </w:r>
          </w:p>
        </w:tc>
      </w:tr>
      <w:tr w14:paraId="07E8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17" w:type="dxa"/>
            <w:tcBorders>
              <w:top w:val="single" w:color="auto" w:sz="4" w:space="0"/>
              <w:left w:val="double" w:color="auto" w:sz="4" w:space="0"/>
              <w:bottom w:val="single" w:color="auto" w:sz="4" w:space="0"/>
              <w:right w:val="single" w:color="auto" w:sz="4" w:space="0"/>
            </w:tcBorders>
            <w:vAlign w:val="center"/>
          </w:tcPr>
          <w:p w14:paraId="14A02A8A">
            <w:pPr>
              <w:jc w:val="center"/>
              <w:rPr>
                <w:rFonts w:ascii="宋体" w:hAnsi="宋体"/>
                <w:color w:val="auto"/>
                <w:szCs w:val="21"/>
                <w:highlight w:val="none"/>
              </w:rPr>
            </w:pPr>
            <w:r>
              <w:rPr>
                <w:rFonts w:hint="eastAsia" w:ascii="宋体" w:hAnsi="宋体"/>
                <w:color w:val="auto"/>
                <w:szCs w:val="21"/>
                <w:highlight w:val="none"/>
              </w:rPr>
              <w:t>4</w:t>
            </w:r>
          </w:p>
        </w:tc>
        <w:tc>
          <w:tcPr>
            <w:tcW w:w="4536" w:type="dxa"/>
            <w:tcBorders>
              <w:top w:val="single" w:color="auto" w:sz="4" w:space="0"/>
              <w:left w:val="single" w:color="auto" w:sz="4" w:space="0"/>
              <w:bottom w:val="single" w:color="auto" w:sz="4" w:space="0"/>
              <w:right w:val="single" w:color="auto" w:sz="4" w:space="0"/>
            </w:tcBorders>
            <w:vAlign w:val="center"/>
          </w:tcPr>
          <w:p w14:paraId="0366B374">
            <w:pPr>
              <w:rPr>
                <w:rFonts w:ascii="宋体" w:hAnsi="宋体"/>
                <w:color w:val="auto"/>
                <w:szCs w:val="21"/>
                <w:highlight w:val="none"/>
              </w:rPr>
            </w:pPr>
            <w:r>
              <w:rPr>
                <w:rFonts w:hint="eastAsia" w:ascii="宋体" w:hAnsi="宋体"/>
                <w:color w:val="auto"/>
                <w:szCs w:val="21"/>
                <w:highlight w:val="none"/>
              </w:rPr>
              <w:t>企业资质证书</w:t>
            </w:r>
          </w:p>
        </w:tc>
        <w:tc>
          <w:tcPr>
            <w:tcW w:w="3686" w:type="dxa"/>
            <w:tcBorders>
              <w:top w:val="single" w:color="auto" w:sz="4" w:space="0"/>
              <w:left w:val="single" w:color="auto" w:sz="4" w:space="0"/>
              <w:bottom w:val="single" w:color="auto" w:sz="4" w:space="0"/>
              <w:right w:val="double" w:color="auto" w:sz="4" w:space="0"/>
            </w:tcBorders>
            <w:vAlign w:val="center"/>
          </w:tcPr>
          <w:p w14:paraId="4ECA6502">
            <w:pPr>
              <w:rPr>
                <w:rFonts w:ascii="宋体" w:hAnsi="宋体"/>
                <w:color w:val="auto"/>
                <w:szCs w:val="21"/>
                <w:highlight w:val="none"/>
              </w:rPr>
            </w:pPr>
            <w:r>
              <w:rPr>
                <w:rFonts w:hint="eastAsia" w:ascii="宋体" w:hAnsi="宋体"/>
                <w:color w:val="auto"/>
                <w:szCs w:val="21"/>
                <w:highlight w:val="none"/>
              </w:rPr>
              <w:t>须提交证书扫描件或电子证照</w:t>
            </w:r>
          </w:p>
        </w:tc>
      </w:tr>
      <w:tr w14:paraId="56BD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817" w:type="dxa"/>
            <w:tcBorders>
              <w:top w:val="single" w:color="auto" w:sz="4" w:space="0"/>
              <w:left w:val="double" w:color="auto" w:sz="4" w:space="0"/>
              <w:bottom w:val="single" w:color="auto" w:sz="4" w:space="0"/>
              <w:right w:val="single" w:color="auto" w:sz="4" w:space="0"/>
            </w:tcBorders>
            <w:vAlign w:val="center"/>
          </w:tcPr>
          <w:p w14:paraId="70E35EC5">
            <w:pPr>
              <w:jc w:val="center"/>
              <w:rPr>
                <w:rFonts w:ascii="宋体" w:hAnsi="宋体"/>
                <w:color w:val="auto"/>
                <w:szCs w:val="21"/>
                <w:highlight w:val="none"/>
              </w:rPr>
            </w:pPr>
            <w:r>
              <w:rPr>
                <w:rFonts w:hint="eastAsia" w:ascii="宋体" w:hAnsi="宋体"/>
                <w:color w:val="auto"/>
                <w:szCs w:val="21"/>
                <w:highlight w:val="none"/>
              </w:rPr>
              <w:t>5</w:t>
            </w:r>
          </w:p>
        </w:tc>
        <w:tc>
          <w:tcPr>
            <w:tcW w:w="4536" w:type="dxa"/>
            <w:tcBorders>
              <w:top w:val="single" w:color="auto" w:sz="4" w:space="0"/>
              <w:left w:val="single" w:color="auto" w:sz="4" w:space="0"/>
              <w:bottom w:val="single" w:color="auto" w:sz="4" w:space="0"/>
              <w:right w:val="single" w:color="auto" w:sz="4" w:space="0"/>
            </w:tcBorders>
            <w:vAlign w:val="center"/>
          </w:tcPr>
          <w:p w14:paraId="0F052D80">
            <w:pPr>
              <w:rPr>
                <w:rFonts w:ascii="宋体" w:hAnsi="宋体"/>
                <w:color w:val="auto"/>
                <w:szCs w:val="21"/>
                <w:highlight w:val="none"/>
              </w:rPr>
            </w:pPr>
            <w:r>
              <w:rPr>
                <w:rFonts w:hint="eastAsia" w:ascii="宋体" w:hAnsi="宋体"/>
                <w:color w:val="auto"/>
                <w:szCs w:val="21"/>
                <w:highlight w:val="none"/>
              </w:rPr>
              <w:t>建筑施工企业安全生产许可证</w:t>
            </w:r>
          </w:p>
        </w:tc>
        <w:tc>
          <w:tcPr>
            <w:tcW w:w="3686" w:type="dxa"/>
            <w:tcBorders>
              <w:top w:val="single" w:color="auto" w:sz="4" w:space="0"/>
              <w:left w:val="single" w:color="auto" w:sz="4" w:space="0"/>
              <w:bottom w:val="single" w:color="auto" w:sz="4" w:space="0"/>
              <w:right w:val="double" w:color="auto" w:sz="4" w:space="0"/>
            </w:tcBorders>
            <w:vAlign w:val="center"/>
          </w:tcPr>
          <w:p w14:paraId="76511EE1">
            <w:pPr>
              <w:rPr>
                <w:rFonts w:ascii="宋体" w:hAnsi="宋体"/>
                <w:color w:val="auto"/>
                <w:szCs w:val="21"/>
                <w:highlight w:val="none"/>
              </w:rPr>
            </w:pPr>
            <w:r>
              <w:rPr>
                <w:rFonts w:hint="eastAsia" w:ascii="宋体" w:hAnsi="宋体"/>
                <w:color w:val="auto"/>
                <w:szCs w:val="21"/>
                <w:highlight w:val="none"/>
              </w:rPr>
              <w:t>须提交证书扫描件或电子证照</w:t>
            </w:r>
          </w:p>
        </w:tc>
      </w:tr>
      <w:tr w14:paraId="1081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817" w:type="dxa"/>
            <w:tcBorders>
              <w:top w:val="single" w:color="auto" w:sz="4" w:space="0"/>
              <w:left w:val="double" w:color="auto" w:sz="4" w:space="0"/>
              <w:bottom w:val="single" w:color="auto" w:sz="4" w:space="0"/>
              <w:right w:val="single" w:color="auto" w:sz="4" w:space="0"/>
            </w:tcBorders>
            <w:vAlign w:val="center"/>
          </w:tcPr>
          <w:p w14:paraId="034229E7">
            <w:pPr>
              <w:jc w:val="center"/>
              <w:rPr>
                <w:rFonts w:ascii="宋体" w:hAnsi="宋体"/>
                <w:color w:val="auto"/>
                <w:szCs w:val="21"/>
                <w:highlight w:val="none"/>
              </w:rPr>
            </w:pPr>
            <w:r>
              <w:rPr>
                <w:rFonts w:hint="eastAsia" w:ascii="宋体" w:hAnsi="宋体"/>
                <w:color w:val="auto"/>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14:paraId="081A3206">
            <w:pPr>
              <w:rPr>
                <w:rFonts w:ascii="宋体" w:hAnsi="宋体"/>
                <w:color w:val="auto"/>
                <w:szCs w:val="21"/>
                <w:highlight w:val="none"/>
              </w:rPr>
            </w:pPr>
            <w:r>
              <w:rPr>
                <w:rFonts w:hint="eastAsia" w:ascii="宋体" w:hAnsi="宋体"/>
                <w:color w:val="auto"/>
                <w:szCs w:val="21"/>
                <w:highlight w:val="none"/>
              </w:rPr>
              <w:t>拟委派项目负责人的建造师注册证书</w:t>
            </w:r>
          </w:p>
        </w:tc>
        <w:tc>
          <w:tcPr>
            <w:tcW w:w="3686" w:type="dxa"/>
            <w:tcBorders>
              <w:top w:val="single" w:color="auto" w:sz="4" w:space="0"/>
              <w:left w:val="single" w:color="auto" w:sz="4" w:space="0"/>
              <w:bottom w:val="single" w:color="auto" w:sz="4" w:space="0"/>
              <w:right w:val="double" w:color="auto" w:sz="4" w:space="0"/>
            </w:tcBorders>
            <w:vAlign w:val="center"/>
          </w:tcPr>
          <w:p w14:paraId="1A5F9EAA">
            <w:pPr>
              <w:rPr>
                <w:rFonts w:ascii="宋体" w:hAnsi="宋体"/>
                <w:color w:val="auto"/>
                <w:szCs w:val="21"/>
                <w:highlight w:val="none"/>
              </w:rPr>
            </w:pPr>
            <w:r>
              <w:rPr>
                <w:rFonts w:hint="eastAsia" w:ascii="宋体" w:hAnsi="宋体"/>
                <w:color w:val="auto"/>
                <w:szCs w:val="21"/>
                <w:highlight w:val="none"/>
              </w:rPr>
              <w:t>须提交证书扫描件或电子证照</w:t>
            </w:r>
          </w:p>
        </w:tc>
      </w:tr>
      <w:tr w14:paraId="13E4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14:paraId="00260602">
            <w:pPr>
              <w:jc w:val="center"/>
              <w:rPr>
                <w:rFonts w:ascii="宋体" w:hAnsi="宋体"/>
                <w:color w:val="auto"/>
                <w:szCs w:val="21"/>
                <w:highlight w:val="none"/>
              </w:rPr>
            </w:pPr>
            <w:r>
              <w:rPr>
                <w:rFonts w:hint="eastAsia" w:ascii="宋体" w:hAnsi="宋体"/>
                <w:color w:val="auto"/>
                <w:szCs w:val="21"/>
                <w:highlight w:val="none"/>
              </w:rPr>
              <w:t>7</w:t>
            </w:r>
          </w:p>
        </w:tc>
        <w:tc>
          <w:tcPr>
            <w:tcW w:w="4536" w:type="dxa"/>
            <w:tcBorders>
              <w:top w:val="single" w:color="auto" w:sz="4" w:space="0"/>
              <w:left w:val="single" w:color="auto" w:sz="4" w:space="0"/>
              <w:bottom w:val="single" w:color="auto" w:sz="4" w:space="0"/>
              <w:right w:val="single" w:color="auto" w:sz="4" w:space="0"/>
            </w:tcBorders>
            <w:vAlign w:val="center"/>
          </w:tcPr>
          <w:p w14:paraId="0A4F8AB7">
            <w:pPr>
              <w:rPr>
                <w:rFonts w:ascii="宋体" w:hAnsi="宋体"/>
                <w:color w:val="auto"/>
                <w:szCs w:val="21"/>
                <w:highlight w:val="none"/>
              </w:rPr>
            </w:pPr>
            <w:r>
              <w:rPr>
                <w:rFonts w:hint="eastAsia" w:ascii="宋体" w:hAnsi="宋体"/>
                <w:color w:val="auto"/>
                <w:szCs w:val="21"/>
                <w:highlight w:val="none"/>
              </w:rPr>
              <w:t>拟委托技术负责人的相关证书、资料</w:t>
            </w:r>
          </w:p>
        </w:tc>
        <w:tc>
          <w:tcPr>
            <w:tcW w:w="3686" w:type="dxa"/>
            <w:tcBorders>
              <w:top w:val="single" w:color="auto" w:sz="4" w:space="0"/>
              <w:left w:val="single" w:color="auto" w:sz="4" w:space="0"/>
              <w:bottom w:val="single" w:color="auto" w:sz="4" w:space="0"/>
              <w:right w:val="double" w:color="auto" w:sz="4" w:space="0"/>
            </w:tcBorders>
            <w:vAlign w:val="center"/>
          </w:tcPr>
          <w:p w14:paraId="11CC145A">
            <w:pPr>
              <w:rPr>
                <w:rFonts w:ascii="宋体" w:hAnsi="宋体"/>
                <w:color w:val="auto"/>
                <w:szCs w:val="21"/>
                <w:highlight w:val="none"/>
              </w:rPr>
            </w:pPr>
            <w:r>
              <w:rPr>
                <w:rFonts w:hint="eastAsia" w:ascii="宋体" w:hAnsi="宋体"/>
                <w:color w:val="auto"/>
                <w:szCs w:val="21"/>
                <w:highlight w:val="none"/>
                <w:lang w:val="en-US" w:eastAsia="zh-CN"/>
              </w:rPr>
              <w:t>需提供</w:t>
            </w:r>
            <w:r>
              <w:rPr>
                <w:rFonts w:hint="eastAsia" w:ascii="宋体" w:hAnsi="宋体"/>
                <w:color w:val="auto"/>
                <w:szCs w:val="21"/>
                <w:highlight w:val="none"/>
              </w:rPr>
              <w:t>职称证书原件扫描件或电子证照</w:t>
            </w:r>
          </w:p>
        </w:tc>
      </w:tr>
      <w:tr w14:paraId="54A0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14:paraId="0FDD903A">
            <w:pPr>
              <w:jc w:val="center"/>
              <w:rPr>
                <w:rFonts w:ascii="宋体" w:hAnsi="宋体"/>
                <w:color w:val="auto"/>
                <w:szCs w:val="21"/>
                <w:highlight w:val="none"/>
              </w:rPr>
            </w:pPr>
            <w:r>
              <w:rPr>
                <w:rFonts w:hint="eastAsia" w:ascii="宋体" w:hAnsi="宋体"/>
                <w:color w:val="auto"/>
                <w:szCs w:val="21"/>
                <w:highlight w:val="none"/>
              </w:rPr>
              <w:t>8</w:t>
            </w:r>
          </w:p>
        </w:tc>
        <w:tc>
          <w:tcPr>
            <w:tcW w:w="4536" w:type="dxa"/>
            <w:tcBorders>
              <w:top w:val="single" w:color="auto" w:sz="4" w:space="0"/>
              <w:left w:val="single" w:color="auto" w:sz="4" w:space="0"/>
              <w:bottom w:val="single" w:color="auto" w:sz="4" w:space="0"/>
              <w:right w:val="single" w:color="auto" w:sz="4" w:space="0"/>
            </w:tcBorders>
            <w:vAlign w:val="center"/>
          </w:tcPr>
          <w:p w14:paraId="281EE1CF">
            <w:pP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686" w:type="dxa"/>
            <w:tcBorders>
              <w:top w:val="single" w:color="auto" w:sz="4" w:space="0"/>
              <w:left w:val="single" w:color="auto" w:sz="4" w:space="0"/>
              <w:bottom w:val="single" w:color="auto" w:sz="4" w:space="0"/>
              <w:right w:val="double" w:color="auto" w:sz="4" w:space="0"/>
            </w:tcBorders>
            <w:vAlign w:val="center"/>
          </w:tcPr>
          <w:p w14:paraId="4D6B430A">
            <w:pP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项目负责人安全生产考核合格证（B类）或建筑施工企业项目负责人安全生产考核合格证扫描件或电子证书（项目负责人按编制资格预审申请文件时选择拟投标的项目负责人）</w:t>
            </w:r>
          </w:p>
        </w:tc>
      </w:tr>
      <w:tr w14:paraId="08F6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14:paraId="52F936D3">
            <w:pPr>
              <w:jc w:val="center"/>
              <w:rPr>
                <w:rFonts w:ascii="宋体" w:hAnsi="宋体"/>
                <w:color w:val="auto"/>
                <w:szCs w:val="21"/>
                <w:highlight w:val="none"/>
              </w:rPr>
            </w:pPr>
            <w:r>
              <w:rPr>
                <w:rFonts w:hint="eastAsia" w:ascii="宋体" w:hAnsi="宋体"/>
                <w:color w:val="auto"/>
                <w:szCs w:val="21"/>
                <w:highlight w:val="none"/>
              </w:rPr>
              <w:t>9</w:t>
            </w:r>
          </w:p>
        </w:tc>
        <w:tc>
          <w:tcPr>
            <w:tcW w:w="4536" w:type="dxa"/>
            <w:tcBorders>
              <w:top w:val="single" w:color="auto" w:sz="4" w:space="0"/>
              <w:left w:val="single" w:color="auto" w:sz="4" w:space="0"/>
              <w:bottom w:val="single" w:color="auto" w:sz="4" w:space="0"/>
              <w:right w:val="single" w:color="auto" w:sz="4" w:space="0"/>
            </w:tcBorders>
            <w:vAlign w:val="center"/>
          </w:tcPr>
          <w:p w14:paraId="4D32F5C0">
            <w:pPr>
              <w:rPr>
                <w:rFonts w:hint="default" w:ascii="宋体" w:hAnsi="宋体" w:eastAsia="宋体"/>
                <w:color w:val="auto"/>
                <w:szCs w:val="21"/>
                <w:highlight w:val="none"/>
                <w:lang w:val="en-US" w:eastAsia="zh-CN"/>
              </w:rPr>
            </w:pPr>
            <w:r>
              <w:rPr>
                <w:rFonts w:hint="eastAsia" w:ascii="宋体" w:hAnsi="宋体"/>
                <w:color w:val="auto"/>
                <w:szCs w:val="21"/>
                <w:highlight w:val="none"/>
              </w:rPr>
              <w:t>专职安全员的安全生产考核合格证（C类）或建筑施工企</w:t>
            </w:r>
            <w:r>
              <w:rPr>
                <w:rFonts w:hint="eastAsia" w:ascii="宋体" w:hAnsi="宋体" w:cs="Times New Roman"/>
                <w:color w:val="auto"/>
                <w:szCs w:val="21"/>
                <w:highlight w:val="none"/>
              </w:rPr>
              <w:t>业专职安全生产管理人员安全生产考核合格证书</w:t>
            </w:r>
          </w:p>
        </w:tc>
        <w:tc>
          <w:tcPr>
            <w:tcW w:w="3686" w:type="dxa"/>
            <w:tcBorders>
              <w:top w:val="single" w:color="auto" w:sz="4" w:space="0"/>
              <w:left w:val="single" w:color="auto" w:sz="4" w:space="0"/>
              <w:bottom w:val="single" w:color="auto" w:sz="4" w:space="0"/>
              <w:right w:val="double" w:color="auto" w:sz="4" w:space="0"/>
            </w:tcBorders>
            <w:vAlign w:val="center"/>
          </w:tcPr>
          <w:p w14:paraId="1E1AA02B">
            <w:pPr>
              <w:rPr>
                <w:rFonts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专职安全员的安全生产考核合格证（C类）或建筑施工企业专职安全生产管理人员安全生产考核合格证扫描件或电子证书（专职安全员按编制资格预审申请文件时选择拟投标的专职安全员）</w:t>
            </w:r>
          </w:p>
        </w:tc>
      </w:tr>
      <w:tr w14:paraId="00A0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shd w:val="clear" w:color="auto" w:fill="auto"/>
            <w:vAlign w:val="center"/>
          </w:tcPr>
          <w:p w14:paraId="040BDD05">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58F516D4">
            <w:pP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类似工程业绩</w:t>
            </w:r>
          </w:p>
        </w:tc>
        <w:tc>
          <w:tcPr>
            <w:tcW w:w="3686" w:type="dxa"/>
            <w:tcBorders>
              <w:top w:val="single" w:color="auto" w:sz="4" w:space="0"/>
              <w:left w:val="single" w:color="auto" w:sz="4" w:space="0"/>
              <w:bottom w:val="single" w:color="auto" w:sz="4" w:space="0"/>
              <w:right w:val="double" w:color="auto" w:sz="4" w:space="0"/>
            </w:tcBorders>
            <w:shd w:val="clear" w:color="auto" w:fill="auto"/>
            <w:vAlign w:val="center"/>
          </w:tcPr>
          <w:p w14:paraId="14A5CF02">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取自广州市住建行业信用管理平台。</w:t>
            </w:r>
          </w:p>
        </w:tc>
      </w:tr>
      <w:tr w14:paraId="26DB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14:paraId="144AAF98">
            <w:pPr>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1</w:t>
            </w:r>
          </w:p>
        </w:tc>
        <w:tc>
          <w:tcPr>
            <w:tcW w:w="4536" w:type="dxa"/>
            <w:tcBorders>
              <w:top w:val="single" w:color="auto" w:sz="4" w:space="0"/>
              <w:left w:val="single" w:color="auto" w:sz="4" w:space="0"/>
              <w:bottom w:val="single" w:color="auto" w:sz="4" w:space="0"/>
              <w:right w:val="single" w:color="auto" w:sz="4" w:space="0"/>
            </w:tcBorders>
            <w:vAlign w:val="center"/>
          </w:tcPr>
          <w:p w14:paraId="10AE6805">
            <w:pPr>
              <w:rPr>
                <w:rFonts w:ascii="宋体" w:hAnsi="宋体"/>
                <w:color w:val="auto"/>
                <w:szCs w:val="21"/>
                <w:highlight w:val="none"/>
              </w:rPr>
            </w:pPr>
            <w:r>
              <w:rPr>
                <w:rFonts w:hint="eastAsia" w:ascii="宋体" w:hAnsi="宋体"/>
                <w:color w:val="auto"/>
                <w:szCs w:val="21"/>
                <w:highlight w:val="none"/>
              </w:rPr>
              <w:t>投标人按照附件</w:t>
            </w:r>
            <w:r>
              <w:rPr>
                <w:rFonts w:hint="eastAsia" w:ascii="宋体" w:hAnsi="宋体"/>
                <w:color w:val="auto"/>
                <w:szCs w:val="21"/>
                <w:highlight w:val="none"/>
                <w:lang w:val="en-US" w:eastAsia="zh-CN"/>
              </w:rPr>
              <w:t>五</w:t>
            </w:r>
            <w:r>
              <w:rPr>
                <w:rFonts w:hint="eastAsia" w:ascii="宋体" w:hAnsi="宋体"/>
                <w:color w:val="auto"/>
                <w:szCs w:val="21"/>
                <w:highlight w:val="none"/>
              </w:rPr>
              <w:t>的内容签署盖章的投标申请人声明</w:t>
            </w:r>
          </w:p>
        </w:tc>
        <w:tc>
          <w:tcPr>
            <w:tcW w:w="3686" w:type="dxa"/>
            <w:tcBorders>
              <w:top w:val="single" w:color="auto" w:sz="4" w:space="0"/>
              <w:left w:val="single" w:color="auto" w:sz="4" w:space="0"/>
              <w:bottom w:val="single" w:color="auto" w:sz="4" w:space="0"/>
              <w:right w:val="double" w:color="auto" w:sz="4" w:space="0"/>
            </w:tcBorders>
            <w:vAlign w:val="center"/>
          </w:tcPr>
          <w:p w14:paraId="008949F7">
            <w:pPr>
              <w:rPr>
                <w:rFonts w:ascii="宋体" w:hAnsi="宋体"/>
                <w:color w:val="auto"/>
                <w:szCs w:val="21"/>
                <w:highlight w:val="none"/>
              </w:rPr>
            </w:pPr>
            <w:r>
              <w:rPr>
                <w:rFonts w:hint="eastAsia" w:ascii="宋体" w:hAnsi="宋体"/>
                <w:color w:val="auto"/>
                <w:szCs w:val="21"/>
                <w:highlight w:val="none"/>
              </w:rPr>
              <w:t>须提交原件扫描件</w:t>
            </w:r>
          </w:p>
        </w:tc>
      </w:tr>
    </w:tbl>
    <w:p w14:paraId="06D5AAA1">
      <w:pPr>
        <w:widowControl/>
        <w:tabs>
          <w:tab w:val="left" w:pos="180"/>
        </w:tabs>
        <w:ind w:left="540" w:hanging="540" w:hangingChars="300"/>
        <w:jc w:val="left"/>
        <w:rPr>
          <w:rFonts w:ascii="宋体" w:hAnsi="宋体" w:cs="宋体"/>
          <w:bCs/>
          <w:color w:val="auto"/>
          <w:kern w:val="0"/>
          <w:sz w:val="24"/>
          <w:szCs w:val="24"/>
          <w:highlight w:val="none"/>
        </w:rPr>
      </w:pPr>
      <w:r>
        <w:rPr>
          <w:rFonts w:ascii="宋体" w:hAnsi="宋体" w:cs="宋体"/>
          <w:bCs/>
          <w:color w:val="auto"/>
          <w:kern w:val="0"/>
          <w:sz w:val="18"/>
          <w:szCs w:val="18"/>
          <w:highlight w:val="none"/>
        </w:rPr>
        <w:br w:type="textWrapping" w:clear="all"/>
      </w:r>
      <w:r>
        <w:rPr>
          <w:rFonts w:hint="eastAsia" w:ascii="宋体" w:hAnsi="宋体" w:cs="宋体"/>
          <w:bCs/>
          <w:color w:val="auto"/>
          <w:kern w:val="0"/>
          <w:sz w:val="24"/>
          <w:szCs w:val="24"/>
          <w:highlight w:val="none"/>
        </w:rPr>
        <w:t>注：本表中没有要求提交的资料，不作为资审不合格的依据。</w:t>
      </w:r>
    </w:p>
    <w:p w14:paraId="574F217A">
      <w:pPr>
        <w:spacing w:line="360" w:lineRule="auto"/>
        <w:rPr>
          <w:rFonts w:hint="eastAsia" w:ascii="宋体" w:hAnsi="宋体" w:eastAsia="宋体" w:cs="宋体"/>
          <w:color w:val="auto"/>
          <w:sz w:val="24"/>
          <w:highlight w:val="none"/>
        </w:rPr>
      </w:pPr>
      <w:r>
        <w:rPr>
          <w:color w:val="auto"/>
          <w:kern w:val="0"/>
          <w:highlight w:val="none"/>
        </w:rPr>
        <w:br w:type="page"/>
      </w:r>
      <w:r>
        <w:rPr>
          <w:rFonts w:hint="eastAsia" w:ascii="宋体" w:hAnsi="宋体"/>
          <w:color w:val="auto"/>
          <w:sz w:val="24"/>
          <w:highlight w:val="none"/>
        </w:rPr>
        <w:t>附件</w:t>
      </w:r>
      <w:r>
        <w:rPr>
          <w:rFonts w:hint="eastAsia" w:ascii="宋体" w:hAnsi="宋体"/>
          <w:color w:val="auto"/>
          <w:sz w:val="24"/>
          <w:highlight w:val="none"/>
          <w:lang w:eastAsia="zh-CN"/>
        </w:rPr>
        <w:t>四</w:t>
      </w:r>
      <w:r>
        <w:rPr>
          <w:rFonts w:hint="eastAsia" w:ascii="宋体" w:hAnsi="宋体"/>
          <w:color w:val="auto"/>
          <w:sz w:val="24"/>
          <w:highlight w:val="none"/>
        </w:rPr>
        <w:t>：</w:t>
      </w:r>
    </w:p>
    <w:p w14:paraId="2B05FB3F">
      <w:pPr>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资格预审择优提交资料一览表</w:t>
      </w:r>
    </w:p>
    <w:tbl>
      <w:tblPr>
        <w:tblStyle w:val="13"/>
        <w:tblpPr w:leftFromText="180" w:rightFromText="180" w:vertAnchor="text" w:tblpY="1"/>
        <w:tblOverlap w:val="never"/>
        <w:tblW w:w="903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279"/>
        <w:gridCol w:w="4943"/>
      </w:tblGrid>
      <w:tr w14:paraId="680D9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9" w:hRule="atLeast"/>
          <w:tblHeader/>
        </w:trPr>
        <w:tc>
          <w:tcPr>
            <w:tcW w:w="817" w:type="dxa"/>
            <w:noWrap w:val="0"/>
            <w:vAlign w:val="center"/>
          </w:tcPr>
          <w:p w14:paraId="322E34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79" w:type="dxa"/>
            <w:noWrap w:val="0"/>
            <w:vAlign w:val="center"/>
          </w:tcPr>
          <w:p w14:paraId="7A947E49">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w:t>
            </w:r>
          </w:p>
        </w:tc>
        <w:tc>
          <w:tcPr>
            <w:tcW w:w="4943" w:type="dxa"/>
            <w:noWrap w:val="0"/>
            <w:vAlign w:val="center"/>
          </w:tcPr>
          <w:p w14:paraId="37CBECD7">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提交资料要求</w:t>
            </w:r>
          </w:p>
        </w:tc>
      </w:tr>
      <w:tr w14:paraId="54175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80" w:hRule="atLeast"/>
        </w:trPr>
        <w:tc>
          <w:tcPr>
            <w:tcW w:w="817" w:type="dxa"/>
            <w:noWrap w:val="0"/>
            <w:vAlign w:val="center"/>
          </w:tcPr>
          <w:p w14:paraId="14514E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79" w:type="dxa"/>
            <w:noWrap w:val="0"/>
            <w:vAlign w:val="center"/>
          </w:tcPr>
          <w:p w14:paraId="3772993C">
            <w:pPr>
              <w:snapToGrid w:val="0"/>
              <w:spacing w:line="70" w:lineRule="atLeast"/>
              <w:rPr>
                <w:rFonts w:hint="eastAsia" w:ascii="宋体" w:hAnsi="宋体" w:eastAsia="宋体" w:cs="宋体"/>
                <w:color w:val="auto"/>
                <w:szCs w:val="21"/>
                <w:highlight w:val="none"/>
              </w:rPr>
            </w:pPr>
            <w:r>
              <w:rPr>
                <w:rFonts w:hint="eastAsia" w:ascii="宋体" w:hAnsi="宋体"/>
                <w:color w:val="auto"/>
                <w:kern w:val="0"/>
                <w:szCs w:val="21"/>
                <w:highlight w:val="none"/>
                <w:lang w:val="zh-CN"/>
              </w:rPr>
              <w:t>类似业绩</w:t>
            </w:r>
          </w:p>
        </w:tc>
        <w:tc>
          <w:tcPr>
            <w:tcW w:w="4943" w:type="dxa"/>
            <w:noWrap w:val="0"/>
            <w:vAlign w:val="center"/>
          </w:tcPr>
          <w:p w14:paraId="131B274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取自广州市住建行业信用管理平台。</w:t>
            </w:r>
          </w:p>
        </w:tc>
      </w:tr>
      <w:tr w14:paraId="7774D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48" w:hRule="atLeast"/>
        </w:trPr>
        <w:tc>
          <w:tcPr>
            <w:tcW w:w="817" w:type="dxa"/>
            <w:noWrap w:val="0"/>
            <w:vAlign w:val="center"/>
          </w:tcPr>
          <w:p w14:paraId="5F1F53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79" w:type="dxa"/>
            <w:noWrap w:val="0"/>
            <w:vAlign w:val="center"/>
          </w:tcPr>
          <w:p w14:paraId="37160082">
            <w:pPr>
              <w:snapToGrid w:val="0"/>
              <w:spacing w:line="70" w:lineRule="atLeast"/>
              <w:rPr>
                <w:rFonts w:hint="eastAsia" w:ascii="宋体" w:hAnsi="宋体" w:eastAsia="宋体" w:cs="宋体"/>
                <w:color w:val="auto"/>
                <w:szCs w:val="21"/>
                <w:highlight w:val="none"/>
              </w:rPr>
            </w:pPr>
            <w:r>
              <w:rPr>
                <w:rFonts w:hint="eastAsia" w:ascii="宋体" w:hAnsi="宋体"/>
                <w:color w:val="auto"/>
                <w:kern w:val="0"/>
                <w:szCs w:val="21"/>
                <w:highlight w:val="none"/>
                <w:lang w:val="zh-CN"/>
              </w:rPr>
              <w:t>工程奖项</w:t>
            </w:r>
          </w:p>
        </w:tc>
        <w:tc>
          <w:tcPr>
            <w:tcW w:w="4943" w:type="dxa"/>
            <w:noWrap w:val="0"/>
            <w:vAlign w:val="center"/>
          </w:tcPr>
          <w:p w14:paraId="4C33ABE3">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获奖信息可取自广州市住建行业信用管理平台或以投标人所提供的获奖证书原件扫描件为准。①取自平台的，投标人须提供在广州市住建行业信用管理平台的网页信息截图（网页信息截图须能清晰显示带有“住建行业信用管理平台”名称，并至少包含“项目基本信息”、“奖项信息”等信息），不提供网页信息截图的业绩不予评审。评标委员会的评审以投标截止时间在平台内业绩上传件为依据（投标文件中不需重复提交上传件）。②取自获奖证书原件扫描件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人企业电子印章。不符合上述条件或上述资料相关信息不一致或提供的资料不齐全的获奖业绩不予评审。评标委员会对获奖业绩的评审以投标人提供的完整的证明资料为依据。</w:t>
            </w:r>
          </w:p>
          <w:p w14:paraId="088DD88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（2）获奖时间以发证时间为准。</w:t>
            </w:r>
          </w:p>
          <w:p w14:paraId="1B8A090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国家级质量奖项包括：中国建设工程鲁班奖、中国土木工程詹天佑奖、国家优质工程金质奖、国家优质工程奖、中国（全国）建筑工程装饰奖（不含设计、幕墙获奖）；省市级质量奖项指省、市级行政主管部门或行业协会颁发的工程质量方面的奖项（行业协会须在民政部门备案）。只计算建筑装修装饰工程获奖得分，非建筑装修装饰类工程项目获奖不得分。不符合上述条件不得分。</w:t>
            </w:r>
          </w:p>
          <w:p w14:paraId="1D0E13F4">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（4）同一工程项目同时获得多个奖项的，只计算一次最高级别的奖项得分。</w:t>
            </w:r>
          </w:p>
          <w:p w14:paraId="13E63565">
            <w:pPr>
              <w:rPr>
                <w:rFonts w:hint="eastAsia" w:ascii="宋体" w:hAnsi="宋体" w:eastAsia="宋体" w:cs="宋体"/>
                <w:color w:val="auto"/>
                <w:szCs w:val="21"/>
                <w:highlight w:val="none"/>
              </w:rPr>
            </w:pPr>
          </w:p>
        </w:tc>
      </w:tr>
      <w:tr w14:paraId="4A38F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14" w:hRule="atLeast"/>
        </w:trPr>
        <w:tc>
          <w:tcPr>
            <w:tcW w:w="817" w:type="dxa"/>
            <w:noWrap w:val="0"/>
            <w:vAlign w:val="center"/>
          </w:tcPr>
          <w:p w14:paraId="58E185A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79" w:type="dxa"/>
            <w:noWrap w:val="0"/>
            <w:vAlign w:val="center"/>
          </w:tcPr>
          <w:p w14:paraId="228269CE">
            <w:pPr>
              <w:snapToGrid w:val="0"/>
              <w:spacing w:line="312" w:lineRule="auto"/>
              <w:rPr>
                <w:rFonts w:hint="eastAsia" w:ascii="宋体" w:hAnsi="宋体" w:eastAsia="宋体" w:cs="宋体"/>
                <w:color w:val="auto"/>
                <w:szCs w:val="21"/>
                <w:highlight w:val="none"/>
              </w:rPr>
            </w:pPr>
            <w:r>
              <w:rPr>
                <w:rFonts w:hint="eastAsia" w:ascii="宋体" w:hAnsi="宋体" w:cs="宋体"/>
                <w:color w:val="auto"/>
                <w:szCs w:val="21"/>
                <w:highlight w:val="none"/>
              </w:rPr>
              <w:t>工程研发能力</w:t>
            </w:r>
          </w:p>
        </w:tc>
        <w:tc>
          <w:tcPr>
            <w:tcW w:w="4943" w:type="dxa"/>
            <w:noWrap w:val="0"/>
            <w:vAlign w:val="center"/>
          </w:tcPr>
          <w:p w14:paraId="237FFD4E">
            <w:pPr>
              <w:rPr>
                <w:rFonts w:hint="eastAsia" w:ascii="宋体" w:hAnsi="宋体" w:eastAsia="宋体" w:cs="宋体"/>
                <w:color w:val="auto"/>
                <w:szCs w:val="21"/>
                <w:highlight w:val="none"/>
              </w:rPr>
            </w:pPr>
            <w:r>
              <w:rPr>
                <w:rFonts w:hint="eastAsia" w:ascii="宋体" w:hAnsi="宋体" w:cs="宋体"/>
                <w:color w:val="auto"/>
                <w:kern w:val="0"/>
                <w:szCs w:val="21"/>
                <w:highlight w:val="none"/>
              </w:rPr>
              <w:t>科学技术类奖项是指各级人民政府或建设行政主管部门或行业协会或学会颁发的“科学技术进步奖”、“科学技术奖”。获奖时间以获奖证书颁发时间为准。若颁发单位是建设行业协会或学会，须同时提供获奖证书扫描件、并同时提交科学技术成果鉴定证书或其他能证明应用于投标人的证明材料扫描件、以及该颁发单位在“中国社会组织公共服务平台”网站(https://chinanpo.mca.gov.cn)登记的查询结果截图，否则该获奖证书不予认定。不满足上述要求的或未提供相关证明材料的不予计分。</w:t>
            </w:r>
          </w:p>
        </w:tc>
      </w:tr>
      <w:tr w14:paraId="179905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4" w:hRule="atLeast"/>
        </w:trPr>
        <w:tc>
          <w:tcPr>
            <w:tcW w:w="817" w:type="dxa"/>
            <w:noWrap w:val="0"/>
            <w:vAlign w:val="center"/>
          </w:tcPr>
          <w:p w14:paraId="6A723D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79" w:type="dxa"/>
            <w:noWrap w:val="0"/>
            <w:vAlign w:val="center"/>
          </w:tcPr>
          <w:p w14:paraId="570D9068">
            <w:pPr>
              <w:snapToGrid w:val="0"/>
              <w:spacing w:line="312" w:lineRule="auto"/>
              <w:rPr>
                <w:rFonts w:hint="eastAsia" w:ascii="宋体" w:hAnsi="宋体" w:eastAsia="宋体" w:cs="宋体"/>
                <w:color w:val="auto"/>
                <w:szCs w:val="21"/>
                <w:highlight w:val="none"/>
              </w:rPr>
            </w:pPr>
            <w:r>
              <w:rPr>
                <w:rFonts w:hint="eastAsia" w:ascii="宋体" w:hAnsi="宋体" w:cs="宋体"/>
                <w:color w:val="auto"/>
                <w:szCs w:val="21"/>
                <w:highlight w:val="none"/>
              </w:rPr>
              <w:t>第三方评价</w:t>
            </w:r>
          </w:p>
        </w:tc>
        <w:tc>
          <w:tcPr>
            <w:tcW w:w="4943" w:type="dxa"/>
            <w:noWrap w:val="0"/>
            <w:vAlign w:val="center"/>
          </w:tcPr>
          <w:p w14:paraId="17F0300F">
            <w:pPr>
              <w:pStyle w:val="7"/>
              <w:snapToGrid w:val="0"/>
              <w:spacing w:line="240" w:lineRule="auto"/>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（1）</w:t>
            </w:r>
            <w:r>
              <w:rPr>
                <w:rFonts w:hint="eastAsia" w:hAnsi="宋体" w:cs="宋体"/>
                <w:color w:val="auto"/>
                <w:szCs w:val="21"/>
                <w:highlight w:val="none"/>
              </w:rPr>
              <w:t>体系认证证书须是本项目招标公告发布时间之前获得且在有效期内的才可计分</w:t>
            </w:r>
            <w:r>
              <w:rPr>
                <w:rFonts w:hint="eastAsia" w:hAnsi="宋体" w:cs="宋体"/>
                <w:color w:val="auto"/>
                <w:kern w:val="0"/>
                <w:szCs w:val="21"/>
                <w:highlight w:val="none"/>
              </w:rPr>
              <w:t>，须同时提供在有效期内的证书扫描件和国家认证认可监督管理委员会官方网站（www.cnca.gov.cn）查询页的截图，未提上述资料或不满足要求的不计分。只计算投标人自身，不计算投标人的子公司、分公司及分支机构。</w:t>
            </w:r>
          </w:p>
          <w:p w14:paraId="201DD2EC">
            <w:pPr>
              <w:spacing w:line="240" w:lineRule="auto"/>
              <w:rPr>
                <w:rFonts w:hint="eastAsia" w:ascii="宋体" w:hAnsi="宋体" w:eastAsia="宋体" w:cs="宋体"/>
                <w:color w:val="auto"/>
                <w:szCs w:val="21"/>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2</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连续获得税务机关评定为“纳税信用A级纳税人”的时间需包含最新评审年度（2023年度）。投标人须提供税务机关颁发的证明文件原件扫描件和在“国家税务总局”官网（http://www.chinatax.gov.cn/index.html）（或省级税务局网站）纳税信用信息查询结果网页截图。“纳税信用 A 级纳税人”称号的只计算投标人自身称号（不包括子公司、分公司）。不符合条件或无提供查询结果网页截图或无提供证书彩色扫描件或无加盖投标人企业电子印章的不计分。</w:t>
            </w:r>
          </w:p>
        </w:tc>
      </w:tr>
    </w:tbl>
    <w:p w14:paraId="162C43BF">
      <w:pPr>
        <w:rPr>
          <w:rFonts w:hint="eastAsia" w:ascii="宋体" w:hAnsi="宋体" w:eastAsia="宋体" w:cs="宋体"/>
          <w:color w:val="auto"/>
          <w:sz w:val="20"/>
          <w:szCs w:val="20"/>
          <w:highlight w:val="none"/>
        </w:rPr>
      </w:pPr>
      <w:r>
        <w:rPr>
          <w:rFonts w:hint="eastAsia" w:ascii="宋体" w:hAnsi="宋体" w:eastAsia="宋体" w:cs="宋体"/>
          <w:bCs/>
          <w:color w:val="auto"/>
          <w:kern w:val="0"/>
          <w:sz w:val="18"/>
          <w:szCs w:val="18"/>
          <w:highlight w:val="none"/>
        </w:rPr>
        <w:br w:type="textWrapping" w:clear="all"/>
      </w:r>
      <w:r>
        <w:rPr>
          <w:rFonts w:hint="eastAsia" w:ascii="宋体" w:hAnsi="宋体" w:eastAsia="宋体" w:cs="宋体"/>
          <w:color w:val="auto"/>
          <w:sz w:val="20"/>
          <w:szCs w:val="20"/>
          <w:highlight w:val="none"/>
        </w:rPr>
        <w:t>注：投标申请人如不提交择优资料，不被认定为资审不合格，但将影响投标申请人的择优结果。</w:t>
      </w:r>
    </w:p>
    <w:p w14:paraId="14F96592">
      <w:pPr>
        <w:rPr>
          <w:color w:val="auto"/>
          <w:kern w:val="0"/>
          <w:highlight w:val="none"/>
        </w:rPr>
      </w:pPr>
    </w:p>
    <w:p w14:paraId="08ECA805">
      <w:pPr>
        <w:rPr>
          <w:rFonts w:hint="eastAsia" w:ascii="宋体" w:hAnsi="宋体"/>
          <w:color w:val="auto"/>
          <w:sz w:val="24"/>
          <w:highlight w:val="none"/>
        </w:rPr>
      </w:pPr>
      <w:r>
        <w:rPr>
          <w:rFonts w:hint="eastAsia" w:ascii="宋体" w:hAnsi="宋体"/>
          <w:color w:val="auto"/>
          <w:sz w:val="24"/>
          <w:highlight w:val="none"/>
        </w:rPr>
        <w:br w:type="page"/>
      </w:r>
    </w:p>
    <w:p w14:paraId="3E94E028">
      <w:pPr>
        <w:rPr>
          <w:rFonts w:asci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五</w:t>
      </w:r>
      <w:r>
        <w:rPr>
          <w:rFonts w:hint="eastAsia" w:ascii="宋体" w:hAnsi="宋体"/>
          <w:color w:val="auto"/>
          <w:sz w:val="24"/>
          <w:highlight w:val="none"/>
        </w:rPr>
        <w:t>：</w:t>
      </w:r>
    </w:p>
    <w:p w14:paraId="07481260">
      <w:pPr>
        <w:jc w:val="center"/>
        <w:rPr>
          <w:b/>
          <w:color w:val="auto"/>
          <w:sz w:val="44"/>
          <w:szCs w:val="44"/>
          <w:highlight w:val="none"/>
        </w:rPr>
      </w:pPr>
      <w:bookmarkStart w:id="36" w:name="_Toc249846232"/>
      <w:bookmarkStart w:id="37" w:name="_Toc416358163"/>
      <w:bookmarkStart w:id="38" w:name="_Toc253143224"/>
      <w:bookmarkStart w:id="39" w:name="_Toc416357992"/>
      <w:bookmarkStart w:id="40" w:name="_Toc249845977"/>
      <w:bookmarkStart w:id="41" w:name="_Toc245024005"/>
      <w:bookmarkStart w:id="42" w:name="_Toc266881405"/>
      <w:bookmarkStart w:id="43" w:name="_Toc266093553"/>
      <w:r>
        <w:rPr>
          <w:rFonts w:hint="eastAsia"/>
          <w:b/>
          <w:color w:val="auto"/>
          <w:kern w:val="0"/>
          <w:sz w:val="44"/>
          <w:szCs w:val="44"/>
          <w:highlight w:val="none"/>
        </w:rPr>
        <w:t>投标申请人</w:t>
      </w:r>
      <w:r>
        <w:rPr>
          <w:rFonts w:hint="eastAsia"/>
          <w:b/>
          <w:color w:val="auto"/>
          <w:sz w:val="44"/>
          <w:szCs w:val="44"/>
          <w:highlight w:val="none"/>
        </w:rPr>
        <w:t>声明</w:t>
      </w:r>
      <w:bookmarkEnd w:id="36"/>
      <w:bookmarkEnd w:id="37"/>
      <w:bookmarkEnd w:id="38"/>
      <w:bookmarkEnd w:id="39"/>
      <w:bookmarkEnd w:id="40"/>
      <w:bookmarkEnd w:id="41"/>
      <w:bookmarkEnd w:id="42"/>
      <w:bookmarkEnd w:id="43"/>
    </w:p>
    <w:p w14:paraId="0611D798">
      <w:pPr>
        <w:jc w:val="center"/>
        <w:rPr>
          <w:b/>
          <w:color w:val="auto"/>
          <w:sz w:val="44"/>
          <w:szCs w:val="44"/>
          <w:highlight w:val="none"/>
        </w:rPr>
      </w:pPr>
    </w:p>
    <w:p w14:paraId="31217C8B">
      <w:pPr>
        <w:pStyle w:val="15"/>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本招标项目招标人及招标监管机构：</w:t>
      </w:r>
    </w:p>
    <w:p w14:paraId="162C610E">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7D040FCD">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一、本公司保证资格预审申请文件及其后提供的一切材料都是真实的。如我司成为本项目中标候选人，我司同意并授权招标人将我司投标文件商务部分文件的人员、业绩、奖项等资料进行公开。</w:t>
      </w:r>
    </w:p>
    <w:p w14:paraId="5BDB4169">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FC72914">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4D57D38F">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25760FFF">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3F14E7A8">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201BDF90">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05B56FB5">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054DF2F2">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5A782FE4">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5F58950C">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08DB60F7">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206E580D">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28479200">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740E3391">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5BC9D96B">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43CB455A">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B2AF3F2">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（十五）法律法规规定的其他情形。本公司保证：本项目拟派的项目负责人没有在其他在建项目中任施工单位项目负责人，本项目拟派的专职安全员没有在其他在建项目中任职。</w:t>
      </w:r>
    </w:p>
    <w:p w14:paraId="06DBA157">
      <w:pPr>
        <w:pStyle w:val="15"/>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四、</w:t>
      </w: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861F289">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五</w:t>
      </w:r>
      <w:r>
        <w:rPr>
          <w:rFonts w:hint="eastAsia" w:ascii="宋体" w:hAnsi="宋体" w:eastAsia="宋体"/>
          <w:color w:val="auto"/>
          <w:sz w:val="21"/>
          <w:szCs w:val="21"/>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FBD4AF0">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六</w:t>
      </w:r>
      <w:r>
        <w:rPr>
          <w:rFonts w:hint="eastAsia" w:ascii="宋体" w:hAnsi="宋体" w:eastAsia="宋体"/>
          <w:color w:val="auto"/>
          <w:sz w:val="21"/>
          <w:szCs w:val="21"/>
          <w:highlight w:val="none"/>
        </w:rPr>
        <w:t>、本公司承诺，切实落实《住房城乡建设部</w:t>
      </w:r>
      <w:r>
        <w:rPr>
          <w:rFonts w:ascii="宋体" w:hAnsi="宋体" w:eastAsia="宋体"/>
          <w:color w:val="auto"/>
          <w:sz w:val="21"/>
          <w:szCs w:val="21"/>
          <w:highlight w:val="none"/>
        </w:rPr>
        <w:t xml:space="preserve"> 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1"/>
          <w:szCs w:val="21"/>
          <w:highlight w:val="none"/>
        </w:rPr>
        <w:t>《广州市住房和城乡建设局关于印发</w:t>
      </w:r>
      <w:r>
        <w:rPr>
          <w:rFonts w:ascii="宋体" w:hAnsi="宋体" w:eastAsia="宋体"/>
          <w:color w:val="auto"/>
          <w:sz w:val="21"/>
          <w:szCs w:val="21"/>
          <w:highlight w:val="none"/>
        </w:rPr>
        <w:t>&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w:t>
      </w:r>
      <w:r>
        <w:rPr>
          <w:rFonts w:hint="eastAsia" w:ascii="宋体" w:hAnsi="宋体" w:eastAsia="宋体"/>
          <w:color w:val="auto"/>
          <w:sz w:val="21"/>
          <w:szCs w:val="21"/>
          <w:highlight w:val="none"/>
        </w:rPr>
        <w:t>8</w:t>
      </w:r>
      <w:r>
        <w:rPr>
          <w:rFonts w:ascii="宋体" w:hAnsi="宋体" w:eastAsia="宋体"/>
          <w:color w:val="auto"/>
          <w:sz w:val="21"/>
          <w:szCs w:val="21"/>
          <w:highlight w:val="none"/>
        </w:rPr>
        <w:t>〕183号）、《广州市住房和城乡建设委员会关于转发&lt;广东省住房和城乡建设厅关</w:t>
      </w:r>
      <w:r>
        <w:rPr>
          <w:rFonts w:hint="eastAsia" w:ascii="宋体" w:hAnsi="宋体" w:eastAsia="宋体"/>
          <w:color w:val="auto"/>
          <w:sz w:val="21"/>
          <w:szCs w:val="21"/>
          <w:highlight w:val="none"/>
        </w:rPr>
        <w:t>于房屋建筑和市政基础设施工程用工实名管理暂行办法</w:t>
      </w:r>
      <w:r>
        <w:rPr>
          <w:rFonts w:ascii="宋体" w:hAnsi="宋体" w:eastAsia="宋体"/>
          <w:color w:val="auto"/>
          <w:sz w:val="21"/>
          <w:szCs w:val="21"/>
          <w:highlight w:val="none"/>
        </w:rPr>
        <w:t>&gt;的通知》（穗建筑〔2018〕981号）等关于用工实名制和工人工资支付分账管理的各项规定。</w:t>
      </w:r>
      <w:r>
        <w:rPr>
          <w:rFonts w:hint="eastAsia" w:ascii="宋体" w:hAnsi="宋体" w:eastAsia="宋体"/>
          <w:color w:val="auto"/>
          <w:sz w:val="21"/>
          <w:szCs w:val="21"/>
          <w:highlight w:val="none"/>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08B670B7">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七</w:t>
      </w:r>
      <w:r>
        <w:rPr>
          <w:rFonts w:hint="eastAsia" w:ascii="宋体" w:hAnsi="宋体" w:eastAsia="宋体"/>
          <w:color w:val="auto"/>
          <w:sz w:val="21"/>
          <w:szCs w:val="21"/>
          <w:highlight w:val="none"/>
        </w:rPr>
        <w:t>、与本公司单位负责人为同一人或者与本公司存在控股、管理关系的其他单位包括：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。（注：本条由投标申请人如实填写，如有，应列出全部满足资格预审公告资质要求的相关单位的名称；如无，则填写“无”。）</w:t>
      </w:r>
    </w:p>
    <w:p w14:paraId="500BB65D">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八</w:t>
      </w: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3CA47B7B">
      <w:pPr>
        <w:pStyle w:val="15"/>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九</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F3868D0">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十、本公司承诺，中标后将按招标人要求，积极响应广州市关于投身“百千万工程”的号召，主动参与建筑业结对帮扶。</w:t>
      </w:r>
    </w:p>
    <w:p w14:paraId="4B342F9C">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6099763">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F92AB5D">
      <w:pPr>
        <w:pStyle w:val="15"/>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33BE3FD2">
      <w:pPr>
        <w:keepNext w:val="0"/>
        <w:keepLines w:val="0"/>
        <w:pageBreakBefore w:val="0"/>
        <w:widowControl/>
        <w:kinsoku/>
        <w:wordWrap/>
        <w:overflowPunct/>
        <w:topLinePunct w:val="0"/>
        <w:autoSpaceDE/>
        <w:autoSpaceDN/>
        <w:bidi w:val="0"/>
        <w:adjustRightInd/>
        <w:snapToGrid w:val="0"/>
        <w:spacing w:line="360" w:lineRule="auto"/>
        <w:ind w:right="102"/>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声明企业：</w:t>
      </w:r>
    </w:p>
    <w:p w14:paraId="7058CB65">
      <w:pPr>
        <w:keepNext w:val="0"/>
        <w:keepLines w:val="0"/>
        <w:pageBreakBefore w:val="0"/>
        <w:widowControl/>
        <w:kinsoku/>
        <w:wordWrap/>
        <w:overflowPunct/>
        <w:topLinePunct w:val="0"/>
        <w:autoSpaceDE/>
        <w:autoSpaceDN/>
        <w:bidi w:val="0"/>
        <w:adjustRightInd/>
        <w:snapToGrid w:val="0"/>
        <w:spacing w:line="360" w:lineRule="auto"/>
        <w:ind w:right="102"/>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项目负责人签字:</w:t>
      </w:r>
    </w:p>
    <w:p w14:paraId="5A3F8AA8">
      <w:pPr>
        <w:keepNext w:val="0"/>
        <w:keepLines w:val="0"/>
        <w:pageBreakBefore w:val="0"/>
        <w:widowControl/>
        <w:kinsoku/>
        <w:wordWrap/>
        <w:overflowPunct/>
        <w:topLinePunct w:val="0"/>
        <w:autoSpaceDE/>
        <w:autoSpaceDN/>
        <w:bidi w:val="0"/>
        <w:adjustRightInd/>
        <w:snapToGrid w:val="0"/>
        <w:spacing w:line="360" w:lineRule="auto"/>
        <w:ind w:right="102"/>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技术负责人签字：</w:t>
      </w:r>
    </w:p>
    <w:p w14:paraId="362CC2A0">
      <w:pPr>
        <w:keepNext w:val="0"/>
        <w:keepLines w:val="0"/>
        <w:pageBreakBefore w:val="0"/>
        <w:widowControl/>
        <w:kinsoku/>
        <w:wordWrap/>
        <w:overflowPunct/>
        <w:topLinePunct w:val="0"/>
        <w:autoSpaceDE/>
        <w:autoSpaceDN/>
        <w:bidi w:val="0"/>
        <w:adjustRightInd/>
        <w:snapToGrid w:val="0"/>
        <w:spacing w:line="360" w:lineRule="auto"/>
        <w:ind w:right="102"/>
        <w:jc w:val="righ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14:paraId="167DABF2">
      <w:pPr>
        <w:keepNext w:val="0"/>
        <w:keepLines w:val="0"/>
        <w:pageBreakBefore w:val="0"/>
        <w:widowControl/>
        <w:kinsoku/>
        <w:wordWrap/>
        <w:overflowPunct/>
        <w:topLinePunct w:val="0"/>
        <w:autoSpaceDE/>
        <w:autoSpaceDN/>
        <w:bidi w:val="0"/>
        <w:adjustRightInd/>
        <w:snapToGrid w:val="0"/>
        <w:spacing w:line="360" w:lineRule="auto"/>
        <w:ind w:right="102"/>
        <w:jc w:val="right"/>
        <w:textAlignment w:val="auto"/>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注：招标人应当要求投标人的项目负责人和技术负责人签字。</w:t>
      </w:r>
    </w:p>
    <w:p w14:paraId="6ACC8A55">
      <w:pPr>
        <w:rPr>
          <w:color w:val="auto"/>
          <w:highlight w:val="none"/>
        </w:rPr>
      </w:pPr>
      <w:r>
        <w:rPr>
          <w:color w:val="auto"/>
          <w:highlight w:val="none"/>
        </w:rPr>
        <w:br w:type="page"/>
      </w:r>
    </w:p>
    <w:p w14:paraId="024501D1">
      <w:pPr>
        <w:widowControl/>
        <w:snapToGrid w:val="0"/>
        <w:spacing w:line="360" w:lineRule="auto"/>
        <w:ind w:right="102"/>
        <w:jc w:val="left"/>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六</w:t>
      </w:r>
      <w:r>
        <w:rPr>
          <w:rFonts w:hint="eastAsia" w:ascii="宋体" w:hAnsi="宋体"/>
          <w:color w:val="auto"/>
          <w:sz w:val="24"/>
          <w:highlight w:val="none"/>
        </w:rPr>
        <w:t>：</w:t>
      </w:r>
    </w:p>
    <w:p w14:paraId="46DE505C">
      <w:pPr>
        <w:jc w:val="center"/>
        <w:rPr>
          <w:b/>
          <w:color w:val="auto"/>
          <w:sz w:val="24"/>
          <w:szCs w:val="24"/>
          <w:highlight w:val="none"/>
        </w:rPr>
      </w:pPr>
    </w:p>
    <w:p w14:paraId="065BC255">
      <w:pPr>
        <w:jc w:val="center"/>
        <w:rPr>
          <w:b/>
          <w:color w:val="auto"/>
          <w:sz w:val="24"/>
          <w:szCs w:val="24"/>
          <w:highlight w:val="none"/>
        </w:rPr>
      </w:pPr>
      <w:r>
        <w:rPr>
          <w:rFonts w:hint="eastAsia"/>
          <w:b/>
          <w:color w:val="auto"/>
          <w:sz w:val="24"/>
          <w:szCs w:val="24"/>
          <w:highlight w:val="none"/>
        </w:rPr>
        <w:t>企业类似工程业绩信息表</w:t>
      </w:r>
    </w:p>
    <w:p w14:paraId="72BEE5BE">
      <w:pPr>
        <w:jc w:val="center"/>
        <w:rPr>
          <w:b/>
          <w:color w:val="auto"/>
          <w:sz w:val="24"/>
          <w:szCs w:val="24"/>
          <w:highlight w:val="none"/>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F9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30" w:type="dxa"/>
            <w:vAlign w:val="center"/>
          </w:tcPr>
          <w:p w14:paraId="1920BCA3">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项目名称</w:t>
            </w:r>
          </w:p>
        </w:tc>
        <w:tc>
          <w:tcPr>
            <w:tcW w:w="4530" w:type="dxa"/>
            <w:vAlign w:val="center"/>
          </w:tcPr>
          <w:p w14:paraId="63622597">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项目编号</w:t>
            </w:r>
          </w:p>
        </w:tc>
      </w:tr>
      <w:tr w14:paraId="273D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30" w:type="dxa"/>
          </w:tcPr>
          <w:p w14:paraId="5CFE87E9">
            <w:pPr>
              <w:jc w:val="center"/>
              <w:rPr>
                <w:rFonts w:ascii="Times New Roman" w:hAnsi="Times New Roman"/>
                <w:b/>
                <w:color w:val="auto"/>
                <w:sz w:val="24"/>
                <w:szCs w:val="24"/>
                <w:highlight w:val="none"/>
              </w:rPr>
            </w:pPr>
          </w:p>
        </w:tc>
        <w:tc>
          <w:tcPr>
            <w:tcW w:w="4530" w:type="dxa"/>
          </w:tcPr>
          <w:p w14:paraId="4A4318E8">
            <w:pPr>
              <w:jc w:val="center"/>
              <w:rPr>
                <w:rFonts w:ascii="Times New Roman" w:hAnsi="Times New Roman"/>
                <w:b/>
                <w:color w:val="auto"/>
                <w:sz w:val="24"/>
                <w:szCs w:val="24"/>
                <w:highlight w:val="none"/>
              </w:rPr>
            </w:pPr>
          </w:p>
        </w:tc>
      </w:tr>
      <w:tr w14:paraId="760B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30" w:type="dxa"/>
          </w:tcPr>
          <w:p w14:paraId="2E32B2A8">
            <w:pPr>
              <w:jc w:val="center"/>
              <w:rPr>
                <w:rFonts w:ascii="Times New Roman" w:hAnsi="Times New Roman"/>
                <w:b/>
                <w:color w:val="auto"/>
                <w:sz w:val="24"/>
                <w:szCs w:val="24"/>
                <w:highlight w:val="none"/>
              </w:rPr>
            </w:pPr>
          </w:p>
        </w:tc>
        <w:tc>
          <w:tcPr>
            <w:tcW w:w="4530" w:type="dxa"/>
          </w:tcPr>
          <w:p w14:paraId="29A8BC66">
            <w:pPr>
              <w:jc w:val="center"/>
              <w:rPr>
                <w:rFonts w:ascii="Times New Roman" w:hAnsi="Times New Roman"/>
                <w:b/>
                <w:color w:val="auto"/>
                <w:sz w:val="24"/>
                <w:szCs w:val="24"/>
                <w:highlight w:val="none"/>
              </w:rPr>
            </w:pPr>
          </w:p>
        </w:tc>
      </w:tr>
    </w:tbl>
    <w:p w14:paraId="2BE72E58">
      <w:pPr>
        <w:spacing w:line="276" w:lineRule="auto"/>
        <w:rPr>
          <w:rFonts w:hint="eastAsia" w:ascii="宋体" w:hAnsi="宋体"/>
          <w:b/>
          <w:bCs w:val="0"/>
          <w:color w:val="auto"/>
          <w:kern w:val="0"/>
          <w:szCs w:val="21"/>
          <w:highlight w:val="none"/>
          <w:lang w:val="zh-CN"/>
        </w:rPr>
      </w:pPr>
      <w:bookmarkStart w:id="44" w:name="_Toc416357993"/>
      <w:bookmarkStart w:id="45" w:name="_Toc266093554"/>
      <w:bookmarkStart w:id="46" w:name="_Toc266881406"/>
      <w:bookmarkStart w:id="47" w:name="_Toc253143225"/>
      <w:bookmarkStart w:id="48" w:name="_Toc245024006"/>
      <w:bookmarkStart w:id="49" w:name="_Toc416358164"/>
    </w:p>
    <w:p w14:paraId="365D756D">
      <w:pPr>
        <w:pStyle w:val="15"/>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val="0"/>
          <w:color w:val="auto"/>
          <w:kern w:val="0"/>
          <w:sz w:val="24"/>
          <w:szCs w:val="24"/>
          <w:highlight w:val="none"/>
          <w:lang w:val="zh-CN"/>
        </w:rPr>
        <w:t>注：类似业绩：</w:t>
      </w:r>
      <w:r>
        <w:rPr>
          <w:rFonts w:hint="eastAsia" w:ascii="宋体" w:hAnsi="宋体" w:eastAsia="宋体" w:cs="宋体"/>
          <w:color w:val="auto"/>
          <w:kern w:val="2"/>
          <w:sz w:val="24"/>
          <w:szCs w:val="24"/>
          <w:highlight w:val="none"/>
          <w:lang w:val="zh-CN" w:eastAsia="zh-CN" w:bidi="ar-SA"/>
        </w:rPr>
        <w:t>取自广州市住建行业信用管理平台。投标人须提供工程业绩的项目名称及业绩在广州市住建行业信用管理平台中业绩编号、相应业绩在广州市住建行业信用管理平台的网页信息截图（截图应至少显示有“住建行业信用管理平台”的“项目基本信息”、“验收材料”等信息）。不提供项目名称及业绩编号、网页信息截图的业绩不予评审。若投标人提供的项目名称与业绩编号不一致：①项目名称和业绩编号在平台内分别对应不同业绩的，以项目名称对应的业绩为准；②项目名称存在对应业绩的，业绩编号在平台内不存在对应业绩，以项目名称对应的业绩为准；③项目名称在平台内不存在对应业绩，业绩编号存在对应业绩的，以业绩编号对应的业绩为准。评标委员会对业绩的评审以投标截止时间在平台内业绩上传件为依据（投标文件中不需重复提交相关业绩上传件）。</w:t>
      </w:r>
    </w:p>
    <w:p w14:paraId="77D93ACB">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en-US" w:eastAsia="zh-CN" w:bidi="ar-SA"/>
        </w:rPr>
        <w:t>业绩金额以【建筑工程施工总承包项目金额大于或等于850万元】金额以中标通知书为准，中标通知书上没有金额或免招标的，以施工合同（不含补充合同）为准。</w:t>
      </w:r>
      <w:r>
        <w:rPr>
          <w:rFonts w:hint="eastAsia" w:ascii="宋体" w:hAnsi="宋体" w:eastAsia="宋体" w:cs="宋体"/>
          <w:color w:val="auto"/>
          <w:kern w:val="2"/>
          <w:sz w:val="24"/>
          <w:szCs w:val="24"/>
          <w:highlight w:val="none"/>
          <w:lang w:val="zh-CN" w:eastAsia="zh-CN" w:bidi="ar-SA"/>
        </w:rPr>
        <w:t>（2）技术指标需在广州市住建行业信用管理平台内业绩上传件中反映。</w:t>
      </w:r>
    </w:p>
    <w:p w14:paraId="30A35D68">
      <w:pPr>
        <w:pStyle w:val="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（3）完成时间以子分部工程质量验收记录时间为准。未提供子分部工程质量验收记录的，完成时间以验收文件记录时间为准。</w:t>
      </w:r>
    </w:p>
    <w:p w14:paraId="4629C9A1">
      <w:pPr>
        <w:spacing w:line="276" w:lineRule="auto"/>
        <w:ind w:firstLine="480" w:firstLineChars="200"/>
        <w:rPr>
          <w:rFonts w:hint="eastAsia" w:ascii="宋体" w:hAnsi="宋体"/>
          <w:bCs/>
          <w:color w:val="auto"/>
          <w:highlight w:val="none"/>
          <w:lang w:val="en-US" w:eastAsia="zh-CN"/>
        </w:rPr>
      </w:pPr>
      <w:r>
        <w:rPr>
          <w:rFonts w:hint="eastAsia" w:ascii="宋体" w:hAnsi="宋体" w:eastAsia="宋体" w:cs="宋体"/>
          <w:color w:val="auto"/>
          <w:kern w:val="2"/>
          <w:sz w:val="24"/>
          <w:szCs w:val="24"/>
          <w:highlight w:val="none"/>
          <w:lang w:val="zh-CN" w:eastAsia="zh-CN" w:bidi="ar-SA"/>
        </w:rPr>
        <w:t>（4）平台内业绩上传件不符合上述要求的或登记的工程资质内容与施工合同等业绩证明资料不相符的，该项业绩不予认定。</w:t>
      </w:r>
    </w:p>
    <w:bookmarkEnd w:id="44"/>
    <w:bookmarkEnd w:id="45"/>
    <w:bookmarkEnd w:id="46"/>
    <w:bookmarkEnd w:id="47"/>
    <w:bookmarkEnd w:id="48"/>
    <w:bookmarkEnd w:id="49"/>
    <w:p w14:paraId="65F176C6">
      <w:pPr>
        <w:jc w:val="center"/>
        <w:rPr>
          <w:b/>
          <w:color w:val="auto"/>
          <w:sz w:val="24"/>
          <w:szCs w:val="24"/>
          <w:highlight w:val="none"/>
        </w:rPr>
      </w:pPr>
    </w:p>
    <w:p w14:paraId="21EFF57E">
      <w:pPr>
        <w:jc w:val="center"/>
        <w:rPr>
          <w:b/>
          <w:color w:val="auto"/>
          <w:sz w:val="24"/>
          <w:szCs w:val="24"/>
          <w:highlight w:val="none"/>
        </w:rPr>
      </w:pPr>
    </w:p>
    <w:p w14:paraId="02E621F4">
      <w:pPr>
        <w:rPr>
          <w:rFonts w:hint="eastAsia" w:ascii="宋体" w:hAnsi="宋体" w:eastAsia="宋体" w:cs="宋体"/>
          <w:b/>
          <w:color w:val="auto"/>
          <w:kern w:val="0"/>
          <w:sz w:val="32"/>
          <w:szCs w:val="21"/>
          <w:highlight w:val="none"/>
        </w:rPr>
      </w:pPr>
      <w:r>
        <w:rPr>
          <w:rFonts w:hint="eastAsia" w:ascii="宋体" w:hAnsi="宋体" w:eastAsia="宋体" w:cs="宋体"/>
          <w:b/>
          <w:color w:val="auto"/>
          <w:kern w:val="0"/>
          <w:sz w:val="32"/>
          <w:szCs w:val="21"/>
          <w:highlight w:val="none"/>
        </w:rPr>
        <w:br w:type="page"/>
      </w:r>
    </w:p>
    <w:p w14:paraId="211C1D44">
      <w:pPr>
        <w:rPr>
          <w:b/>
          <w:color w:val="auto"/>
          <w:sz w:val="32"/>
          <w:szCs w:val="32"/>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七</w:t>
      </w:r>
      <w:r>
        <w:rPr>
          <w:rFonts w:hint="eastAsia" w:ascii="宋体" w:hAnsi="宋体"/>
          <w:color w:val="auto"/>
          <w:sz w:val="24"/>
          <w:highlight w:val="none"/>
        </w:rPr>
        <w:t>：</w:t>
      </w:r>
    </w:p>
    <w:p w14:paraId="76F70CE2">
      <w:pPr>
        <w:widowControl/>
        <w:spacing w:line="420" w:lineRule="atLeast"/>
        <w:jc w:val="center"/>
        <w:rPr>
          <w:rFonts w:hint="eastAsia" w:ascii="宋体" w:hAnsi="宋体" w:eastAsia="宋体" w:cs="宋体"/>
          <w:b/>
          <w:color w:val="auto"/>
          <w:kern w:val="0"/>
          <w:sz w:val="32"/>
          <w:szCs w:val="21"/>
          <w:highlight w:val="none"/>
        </w:rPr>
      </w:pPr>
      <w:r>
        <w:rPr>
          <w:rFonts w:hint="eastAsia" w:ascii="宋体" w:hAnsi="宋体" w:eastAsia="宋体" w:cs="宋体"/>
          <w:b/>
          <w:color w:val="auto"/>
          <w:kern w:val="0"/>
          <w:sz w:val="32"/>
          <w:szCs w:val="21"/>
          <w:highlight w:val="none"/>
        </w:rPr>
        <w:t>择优表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310"/>
        <w:gridCol w:w="1305"/>
        <w:gridCol w:w="622"/>
        <w:gridCol w:w="3357"/>
        <w:gridCol w:w="1923"/>
      </w:tblGrid>
      <w:tr w14:paraId="53760BB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86" w:hRule="atLeast"/>
          <w:jc w:val="center"/>
        </w:trPr>
        <w:tc>
          <w:tcPr>
            <w:tcW w:w="769" w:type="pct"/>
            <w:tcBorders>
              <w:top w:val="single" w:color="auto" w:sz="4" w:space="0"/>
              <w:left w:val="single" w:color="auto" w:sz="4" w:space="0"/>
              <w:bottom w:val="single" w:color="auto" w:sz="4" w:space="0"/>
              <w:right w:val="single" w:color="auto" w:sz="4" w:space="0"/>
            </w:tcBorders>
            <w:noWrap w:val="0"/>
            <w:vAlign w:val="center"/>
          </w:tcPr>
          <w:p w14:paraId="1198474A">
            <w:pPr>
              <w:spacing w:line="0" w:lineRule="atLeast"/>
              <w:jc w:val="center"/>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w:t>环节</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357C0D18">
            <w:pPr>
              <w:spacing w:line="0" w:lineRule="atLeast"/>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0"/>
                <w:highlight w:val="none"/>
              </w:rPr>
              <w:t>环节</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6B66C7B1">
            <w:pPr>
              <w:spacing w:line="0" w:lineRule="atLeast"/>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0"/>
                <w:highlight w:val="none"/>
              </w:rPr>
              <w:t>序号</w:t>
            </w:r>
          </w:p>
        </w:tc>
        <w:tc>
          <w:tcPr>
            <w:tcW w:w="1970" w:type="pct"/>
            <w:tcBorders>
              <w:top w:val="single" w:color="auto" w:sz="4" w:space="0"/>
              <w:left w:val="single" w:color="auto" w:sz="4" w:space="0"/>
              <w:bottom w:val="single" w:color="auto" w:sz="4" w:space="0"/>
              <w:right w:val="single" w:color="auto" w:sz="4" w:space="0"/>
            </w:tcBorders>
            <w:noWrap w:val="0"/>
            <w:vAlign w:val="center"/>
          </w:tcPr>
          <w:p w14:paraId="1180F128">
            <w:pPr>
              <w:spacing w:line="0" w:lineRule="atLeast"/>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0"/>
                <w:highlight w:val="none"/>
              </w:rPr>
              <w:t>子项</w:t>
            </w:r>
          </w:p>
        </w:tc>
        <w:tc>
          <w:tcPr>
            <w:tcW w:w="1128" w:type="pct"/>
            <w:tcBorders>
              <w:top w:val="single" w:color="auto" w:sz="4" w:space="0"/>
              <w:left w:val="single" w:color="auto" w:sz="4" w:space="0"/>
              <w:bottom w:val="single" w:color="auto" w:sz="4" w:space="0"/>
              <w:right w:val="single" w:color="auto" w:sz="4" w:space="0"/>
            </w:tcBorders>
            <w:noWrap w:val="0"/>
            <w:vAlign w:val="center"/>
          </w:tcPr>
          <w:p w14:paraId="0F2B429C">
            <w:pPr>
              <w:spacing w:line="0" w:lineRule="atLeast"/>
              <w:jc w:val="center"/>
              <w:rPr>
                <w:rFonts w:hint="eastAsia" w:ascii="宋体" w:hAnsi="宋体" w:eastAsia="宋体" w:cs="宋体"/>
                <w:color w:val="auto"/>
                <w:sz w:val="18"/>
                <w:szCs w:val="24"/>
                <w:highlight w:val="none"/>
              </w:rPr>
            </w:pPr>
            <w:r>
              <w:rPr>
                <w:rFonts w:hint="eastAsia" w:ascii="宋体" w:hAnsi="宋体" w:cs="宋体"/>
                <w:color w:val="auto"/>
                <w:sz w:val="18"/>
                <w:szCs w:val="20"/>
                <w:highlight w:val="none"/>
                <w:lang w:eastAsia="zh-CN"/>
              </w:rPr>
              <w:t>得</w:t>
            </w:r>
            <w:r>
              <w:rPr>
                <w:rFonts w:hint="eastAsia" w:ascii="宋体" w:hAnsi="宋体" w:eastAsia="宋体" w:cs="宋体"/>
                <w:color w:val="auto"/>
                <w:sz w:val="18"/>
                <w:szCs w:val="20"/>
                <w:highlight w:val="none"/>
              </w:rPr>
              <w:t>分</w:t>
            </w:r>
          </w:p>
        </w:tc>
      </w:tr>
      <w:tr w14:paraId="50DFB5E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769" w:type="pct"/>
            <w:vMerge w:val="restart"/>
            <w:tcBorders>
              <w:top w:val="single" w:color="auto" w:sz="4" w:space="0"/>
              <w:left w:val="single" w:color="auto" w:sz="4" w:space="0"/>
              <w:right w:val="single" w:color="auto" w:sz="4" w:space="0"/>
            </w:tcBorders>
            <w:noWrap w:val="0"/>
            <w:vAlign w:val="center"/>
          </w:tcPr>
          <w:p w14:paraId="4F268076">
            <w:pPr>
              <w:spacing w:line="0" w:lineRule="atLeast"/>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0"/>
                <w:highlight w:val="none"/>
              </w:rPr>
              <w:t>招标人综合评价</w:t>
            </w:r>
          </w:p>
          <w:p w14:paraId="6E2DB703">
            <w:pPr>
              <w:spacing w:line="0" w:lineRule="atLeast"/>
              <w:jc w:val="center"/>
              <w:rPr>
                <w:rFonts w:hint="eastAsia" w:ascii="宋体" w:hAnsi="宋体" w:eastAsia="宋体" w:cs="宋体"/>
                <w:color w:val="auto"/>
                <w:sz w:val="18"/>
                <w:szCs w:val="20"/>
                <w:highlight w:val="none"/>
              </w:rPr>
            </w:pPr>
          </w:p>
        </w:tc>
        <w:tc>
          <w:tcPr>
            <w:tcW w:w="766" w:type="pct"/>
            <w:vMerge w:val="restart"/>
            <w:tcBorders>
              <w:top w:val="single" w:color="auto" w:sz="4" w:space="0"/>
              <w:left w:val="single" w:color="auto" w:sz="4" w:space="0"/>
              <w:right w:val="single" w:color="auto" w:sz="4" w:space="0"/>
            </w:tcBorders>
            <w:noWrap w:val="0"/>
            <w:vAlign w:val="center"/>
          </w:tcPr>
          <w:p w14:paraId="141C36F8">
            <w:pPr>
              <w:spacing w:line="0" w:lineRule="atLeast"/>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0"/>
                <w:highlight w:val="none"/>
              </w:rPr>
              <w:t>招标人综合评价（权重</w:t>
            </w:r>
            <w:r>
              <w:rPr>
                <w:rFonts w:hint="eastAsia" w:ascii="宋体" w:hAnsi="宋体" w:cs="宋体"/>
                <w:color w:val="auto"/>
                <w:sz w:val="18"/>
                <w:szCs w:val="20"/>
                <w:highlight w:val="none"/>
                <w:lang w:val="en-US" w:eastAsia="zh-CN"/>
              </w:rPr>
              <w:t>10</w:t>
            </w:r>
            <w:r>
              <w:rPr>
                <w:rFonts w:hint="eastAsia" w:ascii="宋体" w:hAnsi="宋体" w:eastAsia="宋体" w:cs="宋体"/>
                <w:color w:val="auto"/>
                <w:sz w:val="18"/>
                <w:szCs w:val="20"/>
                <w:highlight w:val="none"/>
              </w:rPr>
              <w:t>0分）</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1C324D8B">
            <w:pPr>
              <w:spacing w:line="7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970" w:type="pct"/>
            <w:tcBorders>
              <w:top w:val="single" w:color="auto" w:sz="4" w:space="0"/>
              <w:left w:val="single" w:color="auto" w:sz="4" w:space="0"/>
              <w:bottom w:val="single" w:color="auto" w:sz="4" w:space="0"/>
              <w:right w:val="single" w:color="auto" w:sz="4" w:space="0"/>
            </w:tcBorders>
            <w:noWrap w:val="0"/>
            <w:vAlign w:val="center"/>
          </w:tcPr>
          <w:p w14:paraId="697BDC9E">
            <w:pPr>
              <w:snapToGrid w:val="0"/>
              <w:spacing w:line="70" w:lineRule="atLeast"/>
              <w:rPr>
                <w:rFonts w:hint="eastAsia" w:ascii="宋体" w:hAnsi="宋体" w:eastAsia="宋体" w:cs="宋体"/>
                <w:color w:val="auto"/>
                <w:sz w:val="18"/>
                <w:szCs w:val="24"/>
                <w:highlight w:val="none"/>
              </w:rPr>
            </w:pPr>
            <w:r>
              <w:rPr>
                <w:rFonts w:hint="eastAsia" w:ascii="宋体" w:hAnsi="宋体"/>
                <w:color w:val="auto"/>
                <w:kern w:val="0"/>
                <w:szCs w:val="21"/>
                <w:highlight w:val="none"/>
                <w:lang w:val="zh-CN"/>
              </w:rPr>
              <w:t>类似业绩</w:t>
            </w:r>
          </w:p>
        </w:tc>
        <w:tc>
          <w:tcPr>
            <w:tcW w:w="1128" w:type="pct"/>
            <w:tcBorders>
              <w:top w:val="single" w:color="auto" w:sz="4" w:space="0"/>
              <w:left w:val="single" w:color="auto" w:sz="4" w:space="0"/>
              <w:bottom w:val="single" w:color="auto" w:sz="4" w:space="0"/>
              <w:right w:val="single" w:color="auto" w:sz="4" w:space="0"/>
            </w:tcBorders>
            <w:noWrap w:val="0"/>
            <w:vAlign w:val="center"/>
          </w:tcPr>
          <w:p w14:paraId="14F2C245">
            <w:pPr>
              <w:spacing w:line="70" w:lineRule="atLeast"/>
              <w:jc w:val="center"/>
              <w:rPr>
                <w:rFonts w:hint="default" w:ascii="宋体" w:hAnsi="宋体" w:eastAsia="宋体" w:cs="宋体"/>
                <w:color w:val="auto"/>
                <w:sz w:val="18"/>
                <w:szCs w:val="24"/>
                <w:highlight w:val="none"/>
                <w:lang w:val="en-US" w:eastAsia="zh-CN"/>
              </w:rPr>
            </w:pPr>
            <w:r>
              <w:rPr>
                <w:rFonts w:hint="eastAsia" w:ascii="宋体" w:hAnsi="宋体" w:cs="宋体"/>
                <w:color w:val="auto"/>
                <w:sz w:val="18"/>
                <w:szCs w:val="24"/>
                <w:highlight w:val="none"/>
                <w:lang w:val="en-US" w:eastAsia="zh-CN"/>
              </w:rPr>
              <w:t>20</w:t>
            </w:r>
          </w:p>
        </w:tc>
      </w:tr>
      <w:tr w14:paraId="45374D0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7" w:hRule="atLeast"/>
          <w:jc w:val="center"/>
        </w:trPr>
        <w:tc>
          <w:tcPr>
            <w:tcW w:w="769" w:type="pct"/>
            <w:vMerge w:val="continue"/>
            <w:tcBorders>
              <w:left w:val="single" w:color="auto" w:sz="4" w:space="0"/>
              <w:right w:val="single" w:color="auto" w:sz="4" w:space="0"/>
            </w:tcBorders>
            <w:noWrap w:val="0"/>
            <w:vAlign w:val="center"/>
          </w:tcPr>
          <w:p w14:paraId="2F854793">
            <w:pPr>
              <w:widowControl/>
              <w:jc w:val="left"/>
              <w:rPr>
                <w:rFonts w:hint="eastAsia" w:ascii="宋体" w:hAnsi="宋体" w:eastAsia="宋体" w:cs="宋体"/>
                <w:color w:val="auto"/>
                <w:sz w:val="18"/>
                <w:szCs w:val="20"/>
                <w:highlight w:val="none"/>
              </w:rPr>
            </w:pPr>
          </w:p>
        </w:tc>
        <w:tc>
          <w:tcPr>
            <w:tcW w:w="766" w:type="pct"/>
            <w:vMerge w:val="continue"/>
            <w:tcBorders>
              <w:left w:val="single" w:color="auto" w:sz="4" w:space="0"/>
              <w:right w:val="single" w:color="auto" w:sz="4" w:space="0"/>
            </w:tcBorders>
            <w:noWrap w:val="0"/>
            <w:vAlign w:val="center"/>
          </w:tcPr>
          <w:p w14:paraId="64F73D27">
            <w:pPr>
              <w:widowControl/>
              <w:jc w:val="left"/>
              <w:rPr>
                <w:rFonts w:hint="eastAsia" w:ascii="宋体" w:hAnsi="宋体" w:eastAsia="宋体" w:cs="宋体"/>
                <w:color w:val="auto"/>
                <w:sz w:val="18"/>
                <w:szCs w:val="24"/>
                <w:highlight w:val="none"/>
              </w:rPr>
            </w:pPr>
          </w:p>
        </w:tc>
        <w:tc>
          <w:tcPr>
            <w:tcW w:w="365" w:type="pct"/>
            <w:tcBorders>
              <w:top w:val="single" w:color="auto" w:sz="4" w:space="0"/>
              <w:left w:val="single" w:color="auto" w:sz="4" w:space="0"/>
              <w:bottom w:val="single" w:color="auto" w:sz="4" w:space="0"/>
              <w:right w:val="single" w:color="auto" w:sz="4" w:space="0"/>
            </w:tcBorders>
            <w:noWrap w:val="0"/>
            <w:vAlign w:val="center"/>
          </w:tcPr>
          <w:p w14:paraId="30D71B0D">
            <w:pPr>
              <w:spacing w:line="7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970" w:type="pct"/>
            <w:tcBorders>
              <w:top w:val="single" w:color="auto" w:sz="4" w:space="0"/>
              <w:left w:val="single" w:color="auto" w:sz="4" w:space="0"/>
              <w:bottom w:val="single" w:color="auto" w:sz="4" w:space="0"/>
              <w:right w:val="single" w:color="auto" w:sz="4" w:space="0"/>
            </w:tcBorders>
            <w:noWrap w:val="0"/>
            <w:vAlign w:val="center"/>
          </w:tcPr>
          <w:p w14:paraId="1BD512DD">
            <w:pPr>
              <w:snapToGrid w:val="0"/>
              <w:spacing w:line="70" w:lineRule="atLeast"/>
              <w:rPr>
                <w:rFonts w:hint="eastAsia" w:ascii="宋体" w:hAnsi="宋体" w:eastAsia="宋体" w:cs="宋体"/>
                <w:color w:val="auto"/>
                <w:sz w:val="18"/>
                <w:szCs w:val="24"/>
                <w:highlight w:val="none"/>
              </w:rPr>
            </w:pPr>
            <w:r>
              <w:rPr>
                <w:rFonts w:hint="eastAsia" w:ascii="宋体" w:hAnsi="宋体"/>
                <w:color w:val="auto"/>
                <w:kern w:val="0"/>
                <w:szCs w:val="21"/>
                <w:highlight w:val="none"/>
                <w:lang w:val="zh-CN"/>
              </w:rPr>
              <w:t>工程奖项</w:t>
            </w:r>
          </w:p>
        </w:tc>
        <w:tc>
          <w:tcPr>
            <w:tcW w:w="1128" w:type="pct"/>
            <w:tcBorders>
              <w:top w:val="single" w:color="auto" w:sz="4" w:space="0"/>
              <w:left w:val="single" w:color="auto" w:sz="4" w:space="0"/>
              <w:bottom w:val="single" w:color="auto" w:sz="4" w:space="0"/>
              <w:right w:val="single" w:color="auto" w:sz="4" w:space="0"/>
            </w:tcBorders>
            <w:noWrap w:val="0"/>
            <w:vAlign w:val="center"/>
          </w:tcPr>
          <w:p w14:paraId="182A1609">
            <w:pPr>
              <w:spacing w:line="70" w:lineRule="atLeast"/>
              <w:jc w:val="center"/>
              <w:rPr>
                <w:rFonts w:hint="default" w:ascii="宋体" w:hAnsi="宋体" w:eastAsia="宋体" w:cs="宋体"/>
                <w:color w:val="auto"/>
                <w:sz w:val="18"/>
                <w:szCs w:val="24"/>
                <w:highlight w:val="none"/>
                <w:lang w:val="en-US" w:eastAsia="zh-CN"/>
              </w:rPr>
            </w:pPr>
            <w:r>
              <w:rPr>
                <w:rFonts w:hint="eastAsia" w:ascii="宋体" w:hAnsi="宋体" w:cs="宋体"/>
                <w:color w:val="auto"/>
                <w:sz w:val="18"/>
                <w:szCs w:val="24"/>
                <w:highlight w:val="none"/>
                <w:lang w:val="en-US" w:eastAsia="zh-CN"/>
              </w:rPr>
              <w:t>40</w:t>
            </w:r>
          </w:p>
        </w:tc>
      </w:tr>
      <w:tr w14:paraId="0A7D8B4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60" w:hRule="atLeast"/>
          <w:jc w:val="center"/>
        </w:trPr>
        <w:tc>
          <w:tcPr>
            <w:tcW w:w="769" w:type="pct"/>
            <w:vMerge w:val="continue"/>
            <w:tcBorders>
              <w:left w:val="single" w:color="auto" w:sz="4" w:space="0"/>
              <w:right w:val="single" w:color="auto" w:sz="4" w:space="0"/>
            </w:tcBorders>
            <w:noWrap w:val="0"/>
            <w:vAlign w:val="center"/>
          </w:tcPr>
          <w:p w14:paraId="242D9640">
            <w:pPr>
              <w:widowControl/>
              <w:jc w:val="left"/>
              <w:rPr>
                <w:rFonts w:hint="eastAsia" w:ascii="宋体" w:hAnsi="宋体" w:eastAsia="宋体" w:cs="宋体"/>
                <w:color w:val="auto"/>
                <w:sz w:val="18"/>
                <w:szCs w:val="20"/>
                <w:highlight w:val="none"/>
              </w:rPr>
            </w:pPr>
          </w:p>
        </w:tc>
        <w:tc>
          <w:tcPr>
            <w:tcW w:w="766" w:type="pct"/>
            <w:vMerge w:val="continue"/>
            <w:tcBorders>
              <w:left w:val="single" w:color="auto" w:sz="4" w:space="0"/>
              <w:right w:val="single" w:color="auto" w:sz="4" w:space="0"/>
            </w:tcBorders>
            <w:noWrap w:val="0"/>
            <w:vAlign w:val="center"/>
          </w:tcPr>
          <w:p w14:paraId="02BD408E">
            <w:pPr>
              <w:widowControl/>
              <w:jc w:val="left"/>
              <w:rPr>
                <w:rFonts w:hint="eastAsia" w:ascii="宋体" w:hAnsi="宋体" w:eastAsia="宋体" w:cs="宋体"/>
                <w:color w:val="auto"/>
                <w:sz w:val="18"/>
                <w:szCs w:val="24"/>
                <w:highlight w:val="none"/>
              </w:rPr>
            </w:pPr>
          </w:p>
        </w:tc>
        <w:tc>
          <w:tcPr>
            <w:tcW w:w="365" w:type="pct"/>
            <w:tcBorders>
              <w:top w:val="single" w:color="auto" w:sz="4" w:space="0"/>
              <w:left w:val="single" w:color="auto" w:sz="4" w:space="0"/>
              <w:bottom w:val="single" w:color="auto" w:sz="4" w:space="0"/>
              <w:right w:val="single" w:color="auto" w:sz="4" w:space="0"/>
            </w:tcBorders>
            <w:noWrap w:val="0"/>
            <w:vAlign w:val="center"/>
          </w:tcPr>
          <w:p w14:paraId="2D2A257D">
            <w:pPr>
              <w:jc w:val="center"/>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3</w:t>
            </w:r>
          </w:p>
        </w:tc>
        <w:tc>
          <w:tcPr>
            <w:tcW w:w="1970" w:type="pct"/>
            <w:tcBorders>
              <w:top w:val="single" w:color="auto" w:sz="4" w:space="0"/>
              <w:left w:val="single" w:color="auto" w:sz="4" w:space="0"/>
              <w:bottom w:val="single" w:color="auto" w:sz="4" w:space="0"/>
              <w:right w:val="single" w:color="auto" w:sz="4" w:space="0"/>
            </w:tcBorders>
            <w:noWrap w:val="0"/>
            <w:vAlign w:val="center"/>
          </w:tcPr>
          <w:p w14:paraId="5C8707F1">
            <w:pPr>
              <w:snapToGrid w:val="0"/>
              <w:spacing w:line="312" w:lineRule="auto"/>
              <w:rPr>
                <w:rFonts w:hint="eastAsia" w:ascii="宋体" w:hAnsi="宋体" w:eastAsia="宋体" w:cs="宋体"/>
                <w:color w:val="auto"/>
                <w:sz w:val="18"/>
                <w:szCs w:val="20"/>
                <w:highlight w:val="none"/>
              </w:rPr>
            </w:pPr>
            <w:r>
              <w:rPr>
                <w:rFonts w:hint="eastAsia" w:ascii="宋体" w:hAnsi="宋体" w:cs="宋体"/>
                <w:color w:val="auto"/>
                <w:szCs w:val="21"/>
                <w:highlight w:val="none"/>
              </w:rPr>
              <w:t>工程研发能力</w:t>
            </w:r>
          </w:p>
        </w:tc>
        <w:tc>
          <w:tcPr>
            <w:tcW w:w="1128" w:type="pct"/>
            <w:tcBorders>
              <w:top w:val="single" w:color="auto" w:sz="4" w:space="0"/>
              <w:left w:val="single" w:color="auto" w:sz="4" w:space="0"/>
              <w:bottom w:val="single" w:color="auto" w:sz="4" w:space="0"/>
              <w:right w:val="single" w:color="auto" w:sz="4" w:space="0"/>
            </w:tcBorders>
            <w:noWrap w:val="0"/>
            <w:vAlign w:val="center"/>
          </w:tcPr>
          <w:p w14:paraId="2C01F493">
            <w:pPr>
              <w:jc w:val="center"/>
              <w:rPr>
                <w:rFonts w:hint="default" w:ascii="宋体" w:hAnsi="宋体" w:eastAsia="宋体" w:cs="宋体"/>
                <w:color w:val="auto"/>
                <w:sz w:val="18"/>
                <w:szCs w:val="24"/>
                <w:highlight w:val="none"/>
                <w:lang w:val="en-US" w:eastAsia="zh-CN"/>
              </w:rPr>
            </w:pPr>
            <w:r>
              <w:rPr>
                <w:rFonts w:hint="eastAsia" w:ascii="宋体" w:hAnsi="宋体" w:cs="宋体"/>
                <w:color w:val="auto"/>
                <w:sz w:val="18"/>
                <w:szCs w:val="24"/>
                <w:highlight w:val="none"/>
                <w:lang w:val="en-US" w:eastAsia="zh-CN"/>
              </w:rPr>
              <w:t>20</w:t>
            </w:r>
          </w:p>
        </w:tc>
      </w:tr>
      <w:tr w14:paraId="4B5C432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5" w:hRule="atLeast"/>
          <w:jc w:val="center"/>
        </w:trPr>
        <w:tc>
          <w:tcPr>
            <w:tcW w:w="769" w:type="pct"/>
            <w:vMerge w:val="continue"/>
            <w:tcBorders>
              <w:left w:val="single" w:color="auto" w:sz="4" w:space="0"/>
              <w:bottom w:val="single" w:color="auto" w:sz="4" w:space="0"/>
              <w:right w:val="single" w:color="auto" w:sz="4" w:space="0"/>
            </w:tcBorders>
            <w:noWrap w:val="0"/>
            <w:vAlign w:val="center"/>
          </w:tcPr>
          <w:p w14:paraId="6011314E">
            <w:pPr>
              <w:widowControl/>
              <w:jc w:val="left"/>
              <w:rPr>
                <w:rFonts w:hint="eastAsia" w:ascii="宋体" w:hAnsi="宋体" w:eastAsia="宋体" w:cs="宋体"/>
                <w:color w:val="auto"/>
                <w:sz w:val="18"/>
                <w:szCs w:val="20"/>
                <w:highlight w:val="none"/>
              </w:rPr>
            </w:pPr>
          </w:p>
        </w:tc>
        <w:tc>
          <w:tcPr>
            <w:tcW w:w="766" w:type="pct"/>
            <w:vMerge w:val="continue"/>
            <w:tcBorders>
              <w:left w:val="single" w:color="auto" w:sz="4" w:space="0"/>
              <w:bottom w:val="single" w:color="auto" w:sz="4" w:space="0"/>
              <w:right w:val="single" w:color="auto" w:sz="4" w:space="0"/>
            </w:tcBorders>
            <w:noWrap w:val="0"/>
            <w:vAlign w:val="center"/>
          </w:tcPr>
          <w:p w14:paraId="2935D839">
            <w:pPr>
              <w:widowControl/>
              <w:jc w:val="left"/>
              <w:rPr>
                <w:rFonts w:hint="eastAsia" w:ascii="宋体" w:hAnsi="宋体" w:eastAsia="宋体" w:cs="宋体"/>
                <w:color w:val="auto"/>
                <w:sz w:val="18"/>
                <w:szCs w:val="24"/>
                <w:highlight w:val="none"/>
              </w:rPr>
            </w:pPr>
          </w:p>
        </w:tc>
        <w:tc>
          <w:tcPr>
            <w:tcW w:w="365" w:type="pct"/>
            <w:tcBorders>
              <w:top w:val="single" w:color="auto" w:sz="4" w:space="0"/>
              <w:left w:val="single" w:color="auto" w:sz="4" w:space="0"/>
              <w:bottom w:val="single" w:color="auto" w:sz="4" w:space="0"/>
              <w:right w:val="single" w:color="auto" w:sz="4" w:space="0"/>
            </w:tcBorders>
            <w:noWrap w:val="0"/>
            <w:vAlign w:val="center"/>
          </w:tcPr>
          <w:p w14:paraId="2618AF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970" w:type="pct"/>
            <w:tcBorders>
              <w:top w:val="single" w:color="auto" w:sz="4" w:space="0"/>
              <w:left w:val="single" w:color="auto" w:sz="4" w:space="0"/>
              <w:bottom w:val="single" w:color="auto" w:sz="4" w:space="0"/>
              <w:right w:val="single" w:color="auto" w:sz="4" w:space="0"/>
            </w:tcBorders>
            <w:noWrap w:val="0"/>
            <w:vAlign w:val="center"/>
          </w:tcPr>
          <w:p w14:paraId="699C4A59">
            <w:pPr>
              <w:snapToGrid w:val="0"/>
              <w:spacing w:line="312" w:lineRule="auto"/>
              <w:rPr>
                <w:rFonts w:hint="eastAsia" w:ascii="宋体" w:hAnsi="宋体" w:eastAsia="宋体" w:cs="宋体"/>
                <w:color w:val="auto"/>
                <w:sz w:val="18"/>
                <w:szCs w:val="20"/>
                <w:highlight w:val="none"/>
              </w:rPr>
            </w:pPr>
            <w:r>
              <w:rPr>
                <w:rFonts w:hint="eastAsia" w:ascii="宋体" w:hAnsi="宋体" w:cs="宋体"/>
                <w:color w:val="auto"/>
                <w:szCs w:val="21"/>
                <w:highlight w:val="none"/>
              </w:rPr>
              <w:t>第三方评价</w:t>
            </w:r>
          </w:p>
        </w:tc>
        <w:tc>
          <w:tcPr>
            <w:tcW w:w="1128" w:type="pct"/>
            <w:tcBorders>
              <w:top w:val="single" w:color="auto" w:sz="4" w:space="0"/>
              <w:left w:val="single" w:color="auto" w:sz="4" w:space="0"/>
              <w:bottom w:val="single" w:color="auto" w:sz="4" w:space="0"/>
              <w:right w:val="single" w:color="auto" w:sz="4" w:space="0"/>
            </w:tcBorders>
            <w:noWrap w:val="0"/>
            <w:vAlign w:val="center"/>
          </w:tcPr>
          <w:p w14:paraId="7A700C08">
            <w:pPr>
              <w:jc w:val="center"/>
              <w:rPr>
                <w:rFonts w:hint="default" w:ascii="宋体" w:hAnsi="宋体" w:eastAsia="宋体" w:cs="宋体"/>
                <w:color w:val="auto"/>
                <w:sz w:val="18"/>
                <w:szCs w:val="20"/>
                <w:highlight w:val="none"/>
                <w:lang w:val="en-US" w:eastAsia="zh-CN"/>
              </w:rPr>
            </w:pPr>
            <w:r>
              <w:rPr>
                <w:rFonts w:hint="eastAsia" w:ascii="宋体" w:hAnsi="宋体" w:cs="宋体"/>
                <w:color w:val="auto"/>
                <w:sz w:val="18"/>
                <w:szCs w:val="20"/>
                <w:highlight w:val="none"/>
                <w:lang w:val="en-US" w:eastAsia="zh-CN"/>
              </w:rPr>
              <w:t>20</w:t>
            </w:r>
          </w:p>
        </w:tc>
      </w:tr>
    </w:tbl>
    <w:p w14:paraId="1C7318DD">
      <w:pPr>
        <w:keepNext/>
        <w:keepLines/>
        <w:spacing w:before="156" w:after="156" w:line="416" w:lineRule="auto"/>
        <w:jc w:val="center"/>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招标人综合评价评分标准</w:t>
      </w:r>
    </w:p>
    <w:tbl>
      <w:tblPr>
        <w:tblStyle w:val="1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137"/>
        <w:gridCol w:w="7346"/>
      </w:tblGrid>
      <w:tr w14:paraId="529B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5" w:type="dxa"/>
            <w:tcBorders>
              <w:top w:val="single" w:color="auto" w:sz="4" w:space="0"/>
              <w:left w:val="single" w:color="auto" w:sz="4" w:space="0"/>
              <w:bottom w:val="single" w:color="auto" w:sz="4" w:space="0"/>
              <w:right w:val="single" w:color="auto" w:sz="4" w:space="0"/>
            </w:tcBorders>
            <w:noWrap w:val="0"/>
            <w:vAlign w:val="center"/>
          </w:tcPr>
          <w:p w14:paraId="736349AF">
            <w:pPr>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45382">
            <w:pPr>
              <w:snapToGrid w:val="0"/>
              <w:spacing w:line="70" w:lineRule="atLeast"/>
              <w:rPr>
                <w:rFonts w:hint="eastAsia" w:ascii="宋体" w:hAnsi="宋体" w:eastAsia="宋体" w:cs="宋体"/>
                <w:color w:val="auto"/>
                <w:kern w:val="2"/>
                <w:sz w:val="18"/>
                <w:szCs w:val="24"/>
                <w:highlight w:val="none"/>
                <w:lang w:val="en-US" w:eastAsia="zh-CN" w:bidi="ar-SA"/>
              </w:rPr>
            </w:pPr>
            <w:r>
              <w:rPr>
                <w:rFonts w:hint="eastAsia" w:ascii="宋体" w:hAnsi="宋体"/>
                <w:color w:val="auto"/>
                <w:kern w:val="0"/>
                <w:szCs w:val="21"/>
                <w:highlight w:val="none"/>
                <w:lang w:val="zh-CN"/>
              </w:rPr>
              <w:t>类似业绩</w:t>
            </w:r>
          </w:p>
        </w:tc>
        <w:tc>
          <w:tcPr>
            <w:tcW w:w="7346" w:type="dxa"/>
            <w:tcBorders>
              <w:top w:val="single" w:color="auto" w:sz="4" w:space="0"/>
              <w:left w:val="single" w:color="auto" w:sz="4" w:space="0"/>
              <w:bottom w:val="single" w:color="auto" w:sz="4" w:space="0"/>
              <w:right w:val="single" w:color="auto" w:sz="4" w:space="0"/>
            </w:tcBorders>
            <w:noWrap w:val="0"/>
            <w:vAlign w:val="center"/>
          </w:tcPr>
          <w:p w14:paraId="1AD891FE">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投标人自2019年1月1日至今（以竣工验收证明材料载明的时间为准），完成过质量合格且工程造价金额大于或等于</w:t>
            </w:r>
            <w:r>
              <w:rPr>
                <w:rFonts w:hint="eastAsia" w:ascii="宋体" w:hAnsi="宋体" w:cs="宋体"/>
                <w:color w:val="auto"/>
                <w:szCs w:val="21"/>
                <w:highlight w:val="none"/>
                <w:lang w:val="en-US" w:eastAsia="zh-CN"/>
              </w:rPr>
              <w:t>850</w:t>
            </w:r>
            <w:r>
              <w:rPr>
                <w:rFonts w:hint="eastAsia" w:ascii="宋体" w:hAnsi="宋体" w:cs="宋体"/>
                <w:color w:val="auto"/>
                <w:szCs w:val="21"/>
                <w:highlight w:val="none"/>
              </w:rPr>
              <w:t>万元的建筑工程施工总承包业绩或工程总承包项目的建筑工程施工部分业绩的，每项得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0CFE6A3A">
            <w:pPr>
              <w:spacing w:line="360" w:lineRule="exact"/>
              <w:jc w:val="left"/>
              <w:rPr>
                <w:rFonts w:hint="eastAsia" w:ascii="宋体" w:hAnsi="宋体" w:eastAsia="宋体" w:cs="宋体"/>
                <w:color w:val="auto"/>
                <w:sz w:val="18"/>
                <w:szCs w:val="18"/>
                <w:highlight w:val="none"/>
              </w:rPr>
            </w:pPr>
            <w:r>
              <w:rPr>
                <w:rFonts w:hint="eastAsia" w:ascii="宋体" w:hAnsi="宋体" w:cs="宋体"/>
                <w:color w:val="auto"/>
                <w:szCs w:val="21"/>
                <w:highlight w:val="none"/>
              </w:rPr>
              <w:t>本项最多得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分，不满足上述要求的不得分。</w:t>
            </w:r>
          </w:p>
        </w:tc>
      </w:tr>
      <w:tr w14:paraId="4EA5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5" w:type="dxa"/>
            <w:tcBorders>
              <w:top w:val="single" w:color="auto" w:sz="4" w:space="0"/>
              <w:left w:val="single" w:color="auto" w:sz="4" w:space="0"/>
              <w:bottom w:val="single" w:color="auto" w:sz="4" w:space="0"/>
              <w:right w:val="single" w:color="auto" w:sz="4" w:space="0"/>
            </w:tcBorders>
            <w:noWrap w:val="0"/>
            <w:vAlign w:val="center"/>
          </w:tcPr>
          <w:p w14:paraId="3CFFB22A">
            <w:pPr>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FD953B2">
            <w:pPr>
              <w:spacing w:line="360" w:lineRule="exact"/>
              <w:jc w:val="both"/>
              <w:rPr>
                <w:rFonts w:hint="eastAsia" w:ascii="宋体" w:hAnsi="宋体" w:eastAsia="宋体" w:cs="宋体"/>
                <w:color w:val="auto"/>
                <w:sz w:val="18"/>
                <w:szCs w:val="18"/>
                <w:highlight w:val="none"/>
              </w:rPr>
            </w:pPr>
            <w:r>
              <w:rPr>
                <w:rFonts w:hint="eastAsia" w:ascii="宋体" w:hAnsi="宋体"/>
                <w:color w:val="auto"/>
                <w:kern w:val="0"/>
                <w:szCs w:val="21"/>
                <w:highlight w:val="none"/>
                <w:lang w:val="zh-CN"/>
              </w:rPr>
              <w:t>工程奖项</w:t>
            </w:r>
          </w:p>
        </w:tc>
        <w:tc>
          <w:tcPr>
            <w:tcW w:w="7346" w:type="dxa"/>
            <w:tcBorders>
              <w:top w:val="single" w:color="auto" w:sz="4" w:space="0"/>
              <w:left w:val="single" w:color="auto" w:sz="4" w:space="0"/>
              <w:bottom w:val="single" w:color="auto" w:sz="4" w:space="0"/>
              <w:right w:val="single" w:color="auto" w:sz="4" w:space="0"/>
            </w:tcBorders>
            <w:noWrap w:val="0"/>
            <w:vAlign w:val="center"/>
          </w:tcPr>
          <w:p w14:paraId="2734AA75">
            <w:pPr>
              <w:spacing w:line="360" w:lineRule="exact"/>
              <w:jc w:val="left"/>
              <w:rPr>
                <w:rFonts w:hint="eastAsia"/>
                <w:color w:val="auto"/>
                <w:highlight w:val="none"/>
              </w:rPr>
            </w:pPr>
            <w:r>
              <w:rPr>
                <w:rFonts w:hint="eastAsia"/>
                <w:color w:val="auto"/>
                <w:highlight w:val="none"/>
              </w:rPr>
              <w:t>2019年1月1日至今，投标人完成的项目金额</w:t>
            </w:r>
            <w:r>
              <w:rPr>
                <w:rFonts w:hint="eastAsia"/>
                <w:color w:val="auto"/>
                <w:highlight w:val="none"/>
                <w:lang w:eastAsia="zh-CN"/>
              </w:rPr>
              <w:t>8</w:t>
            </w:r>
            <w:r>
              <w:rPr>
                <w:rFonts w:hint="eastAsia"/>
                <w:color w:val="auto"/>
                <w:highlight w:val="none"/>
                <w:lang w:val="en-US" w:eastAsia="zh-CN"/>
              </w:rPr>
              <w:t>50</w:t>
            </w:r>
            <w:r>
              <w:rPr>
                <w:rFonts w:hint="eastAsia"/>
                <w:color w:val="auto"/>
                <w:highlight w:val="none"/>
              </w:rPr>
              <w:t>万元或以上且质量合格的建筑装修装饰施工业绩获得过市级或以上的质量奖项：1项得</w:t>
            </w:r>
            <w:r>
              <w:rPr>
                <w:rFonts w:hint="eastAsia"/>
                <w:color w:val="auto"/>
                <w:highlight w:val="none"/>
                <w:lang w:val="en-US" w:eastAsia="zh-CN"/>
              </w:rPr>
              <w:t>4</w:t>
            </w:r>
            <w:r>
              <w:rPr>
                <w:rFonts w:hint="eastAsia"/>
                <w:color w:val="auto"/>
                <w:highlight w:val="none"/>
              </w:rPr>
              <w:t>分，最高得</w:t>
            </w:r>
            <w:r>
              <w:rPr>
                <w:rFonts w:hint="eastAsia"/>
                <w:color w:val="auto"/>
                <w:highlight w:val="none"/>
                <w:lang w:eastAsia="zh-CN"/>
              </w:rPr>
              <w:t>4</w:t>
            </w:r>
            <w:r>
              <w:rPr>
                <w:rFonts w:hint="eastAsia"/>
                <w:color w:val="auto"/>
                <w:highlight w:val="none"/>
                <w:lang w:val="en-US" w:eastAsia="zh-CN"/>
              </w:rPr>
              <w:t>0</w:t>
            </w:r>
            <w:r>
              <w:rPr>
                <w:rFonts w:hint="eastAsia"/>
                <w:color w:val="auto"/>
                <w:highlight w:val="none"/>
              </w:rPr>
              <w:t>分，不满足上述要求的不得分。</w:t>
            </w:r>
          </w:p>
          <w:p w14:paraId="43C2F1A0">
            <w:pPr>
              <w:spacing w:line="360" w:lineRule="exact"/>
              <w:rPr>
                <w:rFonts w:hint="eastAsia"/>
                <w:color w:val="auto"/>
                <w:highlight w:val="none"/>
              </w:rPr>
            </w:pPr>
            <w:r>
              <w:rPr>
                <w:rFonts w:hint="eastAsia"/>
                <w:color w:val="auto"/>
                <w:highlight w:val="none"/>
              </w:rPr>
              <w:t>注：同一工程获奖只计算一次得分，不重复计算。</w:t>
            </w:r>
          </w:p>
        </w:tc>
      </w:tr>
      <w:tr w14:paraId="2B60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55" w:type="dxa"/>
            <w:tcBorders>
              <w:top w:val="single" w:color="auto" w:sz="4" w:space="0"/>
              <w:left w:val="single" w:color="auto" w:sz="4" w:space="0"/>
              <w:bottom w:val="single" w:color="auto" w:sz="4" w:space="0"/>
              <w:right w:val="single" w:color="auto" w:sz="4" w:space="0"/>
            </w:tcBorders>
            <w:noWrap w:val="0"/>
            <w:vAlign w:val="center"/>
          </w:tcPr>
          <w:p w14:paraId="76A8CE18">
            <w:pPr>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14F1AEF2">
            <w:pPr>
              <w:snapToGrid w:val="0"/>
              <w:spacing w:line="312" w:lineRule="auto"/>
              <w:jc w:val="center"/>
              <w:rPr>
                <w:rFonts w:hint="eastAsia" w:ascii="宋体" w:hAnsi="宋体" w:eastAsia="宋体" w:cs="宋体"/>
                <w:color w:val="auto"/>
                <w:sz w:val="18"/>
                <w:szCs w:val="18"/>
                <w:highlight w:val="none"/>
              </w:rPr>
            </w:pPr>
            <w:r>
              <w:rPr>
                <w:rFonts w:hint="eastAsia" w:ascii="宋体" w:hAnsi="宋体" w:cs="宋体"/>
                <w:color w:val="auto"/>
                <w:szCs w:val="21"/>
                <w:highlight w:val="none"/>
              </w:rPr>
              <w:t>工程研发能力</w:t>
            </w:r>
          </w:p>
        </w:tc>
        <w:tc>
          <w:tcPr>
            <w:tcW w:w="73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855C0F">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投标人自2019年1月1日至今（以证书颁发时间为准），获得</w:t>
            </w:r>
            <w:r>
              <w:rPr>
                <w:rFonts w:hint="eastAsia" w:ascii="宋体" w:hAnsi="宋体" w:cs="宋体"/>
                <w:color w:val="auto"/>
                <w:kern w:val="0"/>
                <w:szCs w:val="21"/>
                <w:highlight w:val="none"/>
              </w:rPr>
              <w:t>市级或以上的</w:t>
            </w:r>
            <w:r>
              <w:rPr>
                <w:rFonts w:hint="eastAsia" w:ascii="宋体" w:hAnsi="宋体" w:cs="宋体"/>
                <w:color w:val="auto"/>
                <w:szCs w:val="21"/>
                <w:highlight w:val="none"/>
              </w:rPr>
              <w:t>工程科学技术奖</w:t>
            </w:r>
            <w:r>
              <w:rPr>
                <w:rFonts w:hint="eastAsia" w:ascii="宋体" w:hAnsi="宋体" w:cs="宋体"/>
                <w:color w:val="auto"/>
                <w:szCs w:val="21"/>
                <w:highlight w:val="none"/>
                <w:lang w:eastAsia="zh-CN"/>
              </w:rPr>
              <w:t>的</w:t>
            </w:r>
            <w:r>
              <w:rPr>
                <w:rFonts w:hint="eastAsia" w:ascii="宋体" w:hAnsi="宋体" w:cs="宋体"/>
                <w:color w:val="auto"/>
                <w:szCs w:val="21"/>
                <w:highlight w:val="none"/>
              </w:rPr>
              <w:t>：</w:t>
            </w:r>
          </w:p>
          <w:p w14:paraId="113E0B66">
            <w:pPr>
              <w:jc w:val="left"/>
              <w:rPr>
                <w:rFonts w:hint="default" w:eastAsia="宋体"/>
                <w:color w:val="auto"/>
                <w:highlight w:val="none"/>
                <w:lang w:val="en-US" w:eastAsia="zh-CN"/>
              </w:rPr>
            </w:pPr>
            <w:r>
              <w:rPr>
                <w:rFonts w:hint="eastAsia"/>
                <w:color w:val="auto"/>
                <w:highlight w:val="none"/>
                <w:lang w:eastAsia="zh-CN"/>
              </w:rPr>
              <w:t>每提供</w:t>
            </w:r>
            <w:r>
              <w:rPr>
                <w:rFonts w:hint="eastAsia"/>
                <w:color w:val="auto"/>
                <w:highlight w:val="none"/>
                <w:lang w:val="en-US" w:eastAsia="zh-CN"/>
              </w:rPr>
              <w:t>1项得5分。</w:t>
            </w:r>
          </w:p>
          <w:p w14:paraId="7AB98E94">
            <w:pPr>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0"/>
                <w:szCs w:val="21"/>
                <w:highlight w:val="none"/>
              </w:rPr>
              <w:t>同一工程项目只计算一次得分</w:t>
            </w:r>
            <w:r>
              <w:rPr>
                <w:rFonts w:hint="eastAsia" w:ascii="宋体" w:hAnsi="宋体" w:cs="宋体"/>
                <w:color w:val="auto"/>
                <w:szCs w:val="21"/>
                <w:highlight w:val="none"/>
              </w:rPr>
              <w:t>，本小项最多得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分，不满足上述要求的不得分。</w:t>
            </w:r>
          </w:p>
        </w:tc>
      </w:tr>
      <w:tr w14:paraId="04D3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55" w:type="dxa"/>
            <w:tcBorders>
              <w:top w:val="single" w:color="auto" w:sz="4" w:space="0"/>
              <w:left w:val="single" w:color="auto" w:sz="4" w:space="0"/>
              <w:bottom w:val="single" w:color="auto" w:sz="4" w:space="0"/>
              <w:right w:val="single" w:color="auto" w:sz="4" w:space="0"/>
            </w:tcBorders>
            <w:noWrap w:val="0"/>
            <w:vAlign w:val="center"/>
          </w:tcPr>
          <w:p w14:paraId="144725FA">
            <w:pPr>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B1709FB">
            <w:pPr>
              <w:snapToGrid w:val="0"/>
              <w:spacing w:line="312"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Cs w:val="21"/>
                <w:highlight w:val="none"/>
              </w:rPr>
              <w:t>第三方评价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tc>
        <w:tc>
          <w:tcPr>
            <w:tcW w:w="73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D8246">
            <w:pPr>
              <w:snapToGrid w:val="0"/>
              <w:spacing w:line="336" w:lineRule="auto"/>
              <w:rPr>
                <w:rStyle w:val="17"/>
                <w:rFonts w:hint="eastAsia" w:ascii="宋体" w:hAnsi="宋体" w:cs="宋体"/>
                <w:color w:val="auto"/>
                <w:kern w:val="0"/>
                <w:szCs w:val="21"/>
                <w:highlight w:val="none"/>
              </w:rPr>
            </w:pPr>
            <w:r>
              <w:rPr>
                <w:rStyle w:val="17"/>
                <w:rFonts w:hint="eastAsia" w:ascii="宋体" w:hAnsi="宋体" w:cs="宋体"/>
                <w:color w:val="auto"/>
                <w:kern w:val="0"/>
                <w:szCs w:val="21"/>
                <w:highlight w:val="none"/>
              </w:rPr>
              <w:t>投标人自2019年1月1日至今</w:t>
            </w:r>
            <w:r>
              <w:rPr>
                <w:rFonts w:hint="eastAsia" w:ascii="宋体" w:hAnsi="宋体" w:cs="宋体"/>
                <w:color w:val="auto"/>
                <w:szCs w:val="21"/>
                <w:highlight w:val="none"/>
              </w:rPr>
              <w:t>（以证书颁发时间为准）</w:t>
            </w:r>
            <w:r>
              <w:rPr>
                <w:rStyle w:val="17"/>
                <w:rFonts w:hint="eastAsia" w:ascii="宋体" w:hAnsi="宋体" w:cs="宋体"/>
                <w:color w:val="auto"/>
                <w:kern w:val="0"/>
                <w:szCs w:val="21"/>
                <w:highlight w:val="none"/>
              </w:rPr>
              <w:t>，获得的体系认证证书（体系认证证书指：质量管理体系认证证书、职业健康安全管理体系认证证书、环境管理体系认证证书、工程质量评价体系认证证书、服务质量评价体系认证证书、工程项目管理规范认证证书、工程绿色施工企业评价体系认证证书）情况：</w:t>
            </w:r>
          </w:p>
          <w:p w14:paraId="1F625EB8">
            <w:pPr>
              <w:snapToGrid w:val="0"/>
              <w:spacing w:line="336" w:lineRule="auto"/>
              <w:rPr>
                <w:rStyle w:val="17"/>
                <w:rFonts w:hint="eastAsia" w:ascii="宋体" w:hAnsi="宋体" w:cs="宋体"/>
                <w:color w:val="auto"/>
                <w:kern w:val="0"/>
                <w:szCs w:val="21"/>
                <w:highlight w:val="none"/>
              </w:rPr>
            </w:pPr>
            <w:r>
              <w:rPr>
                <w:rStyle w:val="17"/>
                <w:rFonts w:hint="eastAsia" w:ascii="宋体" w:hAnsi="宋体" w:cs="宋体"/>
                <w:color w:val="auto"/>
                <w:kern w:val="0"/>
                <w:szCs w:val="21"/>
                <w:highlight w:val="none"/>
              </w:rPr>
              <w:t>（1）同时获得以上7项（含）体系认证证书且在有效期内的，得</w:t>
            </w:r>
            <w:r>
              <w:rPr>
                <w:rStyle w:val="17"/>
                <w:rFonts w:hint="eastAsia" w:ascii="宋体" w:hAnsi="宋体" w:cs="宋体"/>
                <w:color w:val="auto"/>
                <w:kern w:val="0"/>
                <w:szCs w:val="21"/>
                <w:highlight w:val="none"/>
                <w:lang w:val="en-US"/>
              </w:rPr>
              <w:t>10</w:t>
            </w:r>
            <w:r>
              <w:rPr>
                <w:rStyle w:val="17"/>
                <w:rFonts w:hint="eastAsia" w:ascii="宋体" w:hAnsi="宋体" w:cs="宋体"/>
                <w:color w:val="auto"/>
                <w:kern w:val="0"/>
                <w:szCs w:val="21"/>
                <w:highlight w:val="none"/>
              </w:rPr>
              <w:t>分；</w:t>
            </w:r>
          </w:p>
          <w:p w14:paraId="2DF4DB11">
            <w:pPr>
              <w:snapToGrid w:val="0"/>
              <w:spacing w:line="336" w:lineRule="auto"/>
              <w:rPr>
                <w:rStyle w:val="17"/>
                <w:rFonts w:hint="eastAsia" w:ascii="宋体" w:hAnsi="宋体" w:cs="宋体"/>
                <w:color w:val="auto"/>
                <w:kern w:val="0"/>
                <w:szCs w:val="21"/>
                <w:highlight w:val="none"/>
              </w:rPr>
            </w:pPr>
            <w:r>
              <w:rPr>
                <w:rStyle w:val="17"/>
                <w:rFonts w:hint="eastAsia" w:ascii="宋体" w:hAnsi="宋体" w:cs="宋体"/>
                <w:color w:val="auto"/>
                <w:kern w:val="0"/>
                <w:szCs w:val="21"/>
                <w:highlight w:val="none"/>
              </w:rPr>
              <w:t>（2）同时获得以上任意5项（含）-7项（不含）体系认证证书且在有效期内的，得</w:t>
            </w:r>
            <w:r>
              <w:rPr>
                <w:rStyle w:val="17"/>
                <w:rFonts w:hint="eastAsia" w:ascii="宋体" w:hAnsi="宋体" w:cs="宋体"/>
                <w:color w:val="auto"/>
                <w:kern w:val="0"/>
                <w:szCs w:val="21"/>
                <w:highlight w:val="none"/>
                <w:lang w:val="en-US"/>
              </w:rPr>
              <w:t>8</w:t>
            </w:r>
            <w:r>
              <w:rPr>
                <w:rStyle w:val="17"/>
                <w:rFonts w:hint="eastAsia" w:ascii="宋体" w:hAnsi="宋体" w:cs="宋体"/>
                <w:color w:val="auto"/>
                <w:kern w:val="0"/>
                <w:szCs w:val="21"/>
                <w:highlight w:val="none"/>
              </w:rPr>
              <w:t>分；</w:t>
            </w:r>
          </w:p>
          <w:p w14:paraId="3225538C">
            <w:pPr>
              <w:snapToGrid w:val="0"/>
              <w:spacing w:line="336" w:lineRule="auto"/>
              <w:rPr>
                <w:rStyle w:val="17"/>
                <w:rFonts w:hint="eastAsia" w:ascii="宋体" w:hAnsi="宋体" w:cs="宋体"/>
                <w:color w:val="auto"/>
                <w:kern w:val="0"/>
                <w:szCs w:val="21"/>
                <w:highlight w:val="none"/>
              </w:rPr>
            </w:pPr>
            <w:r>
              <w:rPr>
                <w:rStyle w:val="17"/>
                <w:rFonts w:hint="eastAsia" w:ascii="宋体" w:hAnsi="宋体" w:cs="宋体"/>
                <w:color w:val="auto"/>
                <w:kern w:val="0"/>
                <w:szCs w:val="21"/>
                <w:highlight w:val="none"/>
              </w:rPr>
              <w:t>（3）同时获得以上任意3项（含）-5项（不含）体系认证证书且在有效期内的，得</w:t>
            </w:r>
            <w:r>
              <w:rPr>
                <w:rStyle w:val="17"/>
                <w:rFonts w:hint="eastAsia" w:ascii="宋体" w:hAnsi="宋体" w:cs="宋体"/>
                <w:color w:val="auto"/>
                <w:kern w:val="0"/>
                <w:szCs w:val="21"/>
                <w:highlight w:val="none"/>
                <w:lang w:val="en-US"/>
              </w:rPr>
              <w:t>6</w:t>
            </w:r>
            <w:r>
              <w:rPr>
                <w:rStyle w:val="17"/>
                <w:rFonts w:hint="eastAsia" w:ascii="宋体" w:hAnsi="宋体" w:cs="宋体"/>
                <w:color w:val="auto"/>
                <w:kern w:val="0"/>
                <w:szCs w:val="21"/>
                <w:highlight w:val="none"/>
              </w:rPr>
              <w:t>；</w:t>
            </w:r>
          </w:p>
          <w:p w14:paraId="3E6356A2">
            <w:pPr>
              <w:snapToGrid w:val="0"/>
              <w:spacing w:line="336" w:lineRule="auto"/>
              <w:rPr>
                <w:rStyle w:val="17"/>
                <w:rFonts w:hint="eastAsia" w:ascii="宋体" w:hAnsi="宋体" w:cs="宋体"/>
                <w:color w:val="auto"/>
                <w:kern w:val="0"/>
                <w:szCs w:val="21"/>
                <w:highlight w:val="none"/>
              </w:rPr>
            </w:pPr>
            <w:r>
              <w:rPr>
                <w:rStyle w:val="17"/>
                <w:rFonts w:hint="eastAsia" w:ascii="宋体" w:hAnsi="宋体" w:cs="宋体"/>
                <w:color w:val="auto"/>
                <w:kern w:val="0"/>
                <w:szCs w:val="21"/>
                <w:highlight w:val="none"/>
              </w:rPr>
              <w:t>（4）同时获得以上任意1项（含）-3项（不含）体系认证证书且在有效期内的，得</w:t>
            </w:r>
            <w:r>
              <w:rPr>
                <w:rStyle w:val="17"/>
                <w:rFonts w:hint="eastAsia" w:ascii="宋体" w:hAnsi="宋体" w:cs="宋体"/>
                <w:color w:val="auto"/>
                <w:kern w:val="0"/>
                <w:szCs w:val="21"/>
                <w:highlight w:val="none"/>
                <w:lang w:val="en-US"/>
              </w:rPr>
              <w:t>5</w:t>
            </w:r>
            <w:r>
              <w:rPr>
                <w:rStyle w:val="17"/>
                <w:rFonts w:hint="eastAsia" w:ascii="宋体" w:hAnsi="宋体" w:cs="宋体"/>
                <w:color w:val="auto"/>
                <w:kern w:val="0"/>
                <w:szCs w:val="21"/>
                <w:highlight w:val="none"/>
              </w:rPr>
              <w:t>分；</w:t>
            </w:r>
          </w:p>
          <w:p w14:paraId="52F34471">
            <w:pPr>
              <w:snapToGrid w:val="0"/>
              <w:spacing w:line="336"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按最高得分计算一次，</w:t>
            </w:r>
            <w:r>
              <w:rPr>
                <w:rStyle w:val="17"/>
                <w:rFonts w:hint="eastAsia" w:ascii="宋体" w:hAnsi="宋体" w:cs="宋体"/>
                <w:color w:val="auto"/>
                <w:kern w:val="0"/>
                <w:szCs w:val="21"/>
                <w:highlight w:val="none"/>
              </w:rPr>
              <w:t>本小项最多得</w:t>
            </w:r>
            <w:r>
              <w:rPr>
                <w:rStyle w:val="17"/>
                <w:rFonts w:hint="eastAsia" w:ascii="宋体" w:hAnsi="宋体" w:cs="宋体"/>
                <w:color w:val="auto"/>
                <w:kern w:val="0"/>
                <w:szCs w:val="21"/>
                <w:highlight w:val="none"/>
                <w:lang w:val="en-US"/>
              </w:rPr>
              <w:t>10</w:t>
            </w:r>
            <w:r>
              <w:rPr>
                <w:rStyle w:val="17"/>
                <w:rFonts w:hint="eastAsia" w:ascii="宋体" w:hAnsi="宋体" w:cs="宋体"/>
                <w:color w:val="auto"/>
                <w:kern w:val="0"/>
                <w:szCs w:val="21"/>
                <w:highlight w:val="none"/>
              </w:rPr>
              <w:t>分，不满足上述要求的不得分。</w:t>
            </w:r>
          </w:p>
        </w:tc>
      </w:tr>
      <w:tr w14:paraId="500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55" w:type="dxa"/>
            <w:tcBorders>
              <w:top w:val="single" w:color="auto" w:sz="4" w:space="0"/>
              <w:left w:val="single" w:color="auto" w:sz="4" w:space="0"/>
              <w:bottom w:val="single" w:color="auto" w:sz="4" w:space="0"/>
              <w:right w:val="single" w:color="auto" w:sz="4" w:space="0"/>
            </w:tcBorders>
            <w:noWrap w:val="0"/>
            <w:vAlign w:val="center"/>
          </w:tcPr>
          <w:p w14:paraId="0996A11D">
            <w:pPr>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1B44910C">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p>
        </w:tc>
        <w:tc>
          <w:tcPr>
            <w:tcW w:w="73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6EDA6">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hAnsi="宋体" w:cs="宋体"/>
                <w:color w:val="auto"/>
                <w:kern w:val="2"/>
                <w:sz w:val="21"/>
                <w:szCs w:val="21"/>
                <w:highlight w:val="none"/>
                <w:lang w:eastAsia="zh-CN"/>
              </w:rPr>
            </w:pPr>
            <w:r>
              <w:rPr>
                <w:rFonts w:hint="eastAsia" w:ascii="宋体" w:hAnsi="宋体" w:cs="宋体"/>
                <w:color w:val="auto"/>
                <w:szCs w:val="21"/>
                <w:highlight w:val="none"/>
              </w:rPr>
              <w:t>投标人截止至202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年度（须包含202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年度），</w:t>
            </w:r>
            <w:r>
              <w:rPr>
                <w:rFonts w:hint="eastAsia" w:hAnsi="宋体" w:cs="宋体"/>
                <w:color w:val="auto"/>
                <w:kern w:val="2"/>
                <w:sz w:val="21"/>
                <w:szCs w:val="21"/>
                <w:highlight w:val="none"/>
              </w:rPr>
              <w:t>获税务部门的纳税信用评价情况</w:t>
            </w:r>
            <w:r>
              <w:rPr>
                <w:rFonts w:hint="eastAsia" w:hAnsi="宋体" w:cs="宋体"/>
                <w:color w:val="auto"/>
                <w:kern w:val="2"/>
                <w:sz w:val="21"/>
                <w:szCs w:val="21"/>
                <w:highlight w:val="none"/>
                <w:lang w:eastAsia="zh-CN"/>
              </w:rPr>
              <w:t>：</w:t>
            </w:r>
          </w:p>
          <w:p w14:paraId="383F8FF4">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val="zh-CN" w:eastAsia="zh-CN"/>
              </w:rPr>
              <w:t>）</w:t>
            </w:r>
            <w:r>
              <w:rPr>
                <w:rFonts w:hint="eastAsia" w:ascii="宋体" w:hAnsi="宋体" w:cs="宋体"/>
                <w:color w:val="auto"/>
                <w:szCs w:val="21"/>
                <w:highlight w:val="none"/>
              </w:rPr>
              <w:t>连续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个年</w:t>
            </w:r>
            <w:r>
              <w:rPr>
                <w:rFonts w:hint="eastAsia" w:ascii="宋体" w:hAnsi="宋体" w:eastAsia="宋体" w:cs="宋体"/>
                <w:color w:val="auto"/>
                <w:szCs w:val="21"/>
                <w:highlight w:val="none"/>
              </w:rPr>
              <w:t>度</w:t>
            </w:r>
            <w:r>
              <w:rPr>
                <w:rFonts w:hint="eastAsia" w:ascii="宋体" w:hAnsi="宋体" w:eastAsia="宋体" w:cs="宋体"/>
                <w:color w:val="auto"/>
                <w:szCs w:val="21"/>
                <w:highlight w:val="none"/>
                <w:lang w:eastAsia="zh-CN"/>
              </w:rPr>
              <w:t>或以上</w:t>
            </w:r>
            <w:r>
              <w:rPr>
                <w:rFonts w:hint="eastAsia" w:ascii="宋体" w:hAnsi="宋体" w:eastAsia="宋体" w:cs="宋体"/>
                <w:color w:val="auto"/>
                <w:szCs w:val="21"/>
                <w:highlight w:val="none"/>
              </w:rPr>
              <w:t>获得“</w:t>
            </w:r>
            <w:r>
              <w:rPr>
                <w:rFonts w:hint="eastAsia" w:ascii="宋体" w:hAnsi="宋体" w:eastAsia="宋体" w:cs="Times New Roman"/>
                <w:color w:val="auto"/>
                <w:highlight w:val="none"/>
              </w:rPr>
              <w:t>纳税信用A级纳税人</w:t>
            </w:r>
            <w:r>
              <w:rPr>
                <w:rFonts w:hint="eastAsia" w:ascii="宋体" w:hAnsi="宋体" w:eastAsia="宋体" w:cs="宋体"/>
                <w:color w:val="auto"/>
                <w:szCs w:val="21"/>
                <w:highlight w:val="none"/>
              </w:rPr>
              <w:t>”称号的，得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3DC6488A">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eastAsia="zh-CN"/>
              </w:rPr>
              <w:t>）</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个年度获得“</w:t>
            </w:r>
            <w:r>
              <w:rPr>
                <w:rFonts w:hint="eastAsia" w:ascii="宋体" w:hAnsi="宋体" w:eastAsia="宋体" w:cs="Times New Roman"/>
                <w:color w:val="auto"/>
                <w:highlight w:val="none"/>
              </w:rPr>
              <w:t>纳税信用A级纳税人</w:t>
            </w:r>
            <w:r>
              <w:rPr>
                <w:rFonts w:hint="eastAsia" w:ascii="宋体" w:hAnsi="宋体" w:eastAsia="宋体" w:cs="宋体"/>
                <w:color w:val="auto"/>
                <w:szCs w:val="21"/>
                <w:highlight w:val="none"/>
              </w:rPr>
              <w:t>”称号的，得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2B2D8082">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Cs w:val="21"/>
                <w:highlight w:val="none"/>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lang w:val="zh-CN" w:eastAsia="zh-CN"/>
              </w:rPr>
              <w:t>）</w:t>
            </w:r>
            <w:r>
              <w:rPr>
                <w:rFonts w:hint="eastAsia" w:ascii="宋体" w:hAnsi="宋体" w:eastAsia="宋体" w:cs="宋体"/>
                <w:color w:val="auto"/>
                <w:szCs w:val="21"/>
                <w:highlight w:val="none"/>
                <w:lang w:eastAsia="zh-CN"/>
              </w:rPr>
              <w:t>连续</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个年度“</w:t>
            </w:r>
            <w:r>
              <w:rPr>
                <w:rFonts w:hint="eastAsia" w:ascii="宋体" w:hAnsi="宋体" w:eastAsia="宋体" w:cs="Times New Roman"/>
                <w:color w:val="auto"/>
                <w:highlight w:val="none"/>
              </w:rPr>
              <w:t>纳税信用A级纳税人</w:t>
            </w:r>
            <w:r>
              <w:rPr>
                <w:rFonts w:hint="eastAsia" w:ascii="宋体" w:hAnsi="宋体" w:cs="宋体"/>
                <w:color w:val="auto"/>
                <w:szCs w:val="21"/>
                <w:highlight w:val="none"/>
              </w:rPr>
              <w:t>”称号的，得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5260819F">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Style w:val="17"/>
                <w:rFonts w:hint="eastAsia" w:ascii="宋体" w:hAnsi="宋体" w:cs="宋体"/>
                <w:color w:val="auto"/>
                <w:kern w:val="0"/>
                <w:szCs w:val="21"/>
                <w:highlight w:val="none"/>
              </w:rPr>
              <w:t>本小项最多得</w:t>
            </w:r>
            <w:r>
              <w:rPr>
                <w:rStyle w:val="17"/>
                <w:rFonts w:hint="eastAsia" w:ascii="宋体" w:hAnsi="宋体" w:cs="宋体"/>
                <w:color w:val="auto"/>
                <w:kern w:val="0"/>
                <w:szCs w:val="21"/>
                <w:highlight w:val="none"/>
                <w:lang w:val="en-US"/>
              </w:rPr>
              <w:t>10</w:t>
            </w:r>
            <w:r>
              <w:rPr>
                <w:rStyle w:val="17"/>
                <w:rFonts w:hint="eastAsia" w:ascii="宋体" w:hAnsi="宋体" w:cs="宋体"/>
                <w:color w:val="auto"/>
                <w:kern w:val="0"/>
                <w:szCs w:val="21"/>
                <w:highlight w:val="none"/>
              </w:rPr>
              <w:t>分，</w:t>
            </w:r>
            <w:r>
              <w:rPr>
                <w:rFonts w:hint="eastAsia" w:ascii="宋体" w:hAnsi="宋体" w:cs="宋体"/>
                <w:color w:val="auto"/>
                <w:szCs w:val="21"/>
                <w:highlight w:val="none"/>
              </w:rPr>
              <w:t>没有或不满足上述情况的不得分</w:t>
            </w:r>
            <w:r>
              <w:rPr>
                <w:rFonts w:hint="eastAsia" w:ascii="宋体" w:hAnsi="宋体" w:cs="宋体"/>
                <w:color w:val="auto"/>
                <w:szCs w:val="21"/>
                <w:highlight w:val="none"/>
                <w:lang w:eastAsia="zh-CN"/>
              </w:rPr>
              <w:t>。</w:t>
            </w:r>
          </w:p>
        </w:tc>
      </w:tr>
    </w:tbl>
    <w:p w14:paraId="1829EE6D">
      <w:pPr>
        <w:pStyle w:val="1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b w:val="0"/>
          <w:color w:val="auto"/>
          <w:sz w:val="21"/>
          <w:szCs w:val="21"/>
          <w:highlight w:val="none"/>
          <w:lang w:eastAsia="zh-CN"/>
        </w:rPr>
        <w:t>注：</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kern w:val="0"/>
          <w:sz w:val="21"/>
          <w:szCs w:val="21"/>
          <w:highlight w:val="none"/>
          <w:lang w:val="zh-CN"/>
        </w:rPr>
        <w:t>类似业绩：</w:t>
      </w:r>
      <w:r>
        <w:rPr>
          <w:rFonts w:hint="eastAsia" w:ascii="宋体" w:hAnsi="宋体" w:eastAsia="宋体" w:cs="宋体"/>
          <w:color w:val="auto"/>
          <w:kern w:val="2"/>
          <w:sz w:val="21"/>
          <w:szCs w:val="21"/>
          <w:highlight w:val="none"/>
          <w:lang w:val="zh-CN" w:eastAsia="zh-CN" w:bidi="ar-SA"/>
        </w:rPr>
        <w:t>取自广州市住建行业信用管理平台。投标人须提供工程业绩的项目名称及业绩在广州市住建行业信用管理平台中业绩编号、相应业绩在广州市住建行业信用管理平台的网页信息截图（截图应至少显示有“住建行业信用管理平台”的“项目基本信息”、“验收材料”等信息）。不提供项目名称及业绩编号、网页信息截图的业绩不予评审。若投标人提供的项目名称与业绩编号不一致：①项目名称和业绩编号在平台内分别对应不同业绩的，以项目名称对应的业绩为准；②项目名称存在对应业绩的，业绩编号在平台内不存在对应业绩，以项目名称对应的业绩为准；③项目名称在平台内不存在对应业绩，业绩编号存在对应业绩的，以业绩编号对应的业绩为准。评标委员会对业绩的评审以投标截止时间在平台内业绩上传件为依据（投标文件中不需重复提交相关业绩上传件）。</w:t>
      </w:r>
    </w:p>
    <w:p w14:paraId="01DA519C">
      <w:pPr>
        <w:pStyle w:val="1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w:t>
      </w:r>
      <w:r>
        <w:rPr>
          <w:rFonts w:hint="eastAsia" w:ascii="宋体" w:hAnsi="宋体" w:eastAsia="宋体" w:cs="宋体"/>
          <w:color w:val="auto"/>
          <w:kern w:val="2"/>
          <w:sz w:val="21"/>
          <w:szCs w:val="21"/>
          <w:highlight w:val="none"/>
          <w:lang w:val="en-US" w:eastAsia="zh-CN" w:bidi="ar-SA"/>
        </w:rPr>
        <w:t>业绩金额以【建筑工程施工总承包业绩或工程总承包项目的建筑工程施工部分业绩的金额大于或等于850万元】需在广州市住建行业信用管理平台中项目业绩页面的“工程规模”栏中所记录“建筑工程”的工程造价为准</w:t>
      </w:r>
      <w:r>
        <w:rPr>
          <w:rFonts w:hint="eastAsia" w:ascii="宋体" w:hAnsi="宋体" w:eastAsia="宋体" w:cs="宋体"/>
          <w:color w:val="auto"/>
          <w:kern w:val="2"/>
          <w:sz w:val="21"/>
          <w:szCs w:val="21"/>
          <w:highlight w:val="none"/>
          <w:lang w:val="zh-CN" w:eastAsia="zh-CN" w:bidi="ar-SA"/>
        </w:rPr>
        <w:t>。用于本项目投标的类似业绩，在平台中“工程对应的企业资质”栏中须登记有与本项目要求相对应的资质（具体资质要求：工程业绩须为建筑工程施工总承包业绩）。</w:t>
      </w:r>
    </w:p>
    <w:p w14:paraId="5AFDBD87">
      <w:pPr>
        <w:pStyle w:val="1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（2）技术指标需在广州市住建行业信用管理平台内业绩上传件中反映。</w:t>
      </w:r>
    </w:p>
    <w:p w14:paraId="765EACCD">
      <w:pPr>
        <w:pStyle w:val="1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（3）完成时间以子分部工程质量验收记录时间为准。未提供子分部工程质量验收记录的，完成时间以验收文件记录时间为准。</w:t>
      </w:r>
    </w:p>
    <w:p w14:paraId="023489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bCs/>
          <w:color w:val="auto"/>
          <w:highlight w:val="none"/>
          <w:lang w:val="en-US" w:eastAsia="zh-CN"/>
        </w:rPr>
      </w:pPr>
      <w:r>
        <w:rPr>
          <w:rFonts w:hint="eastAsia" w:ascii="宋体" w:hAnsi="宋体" w:eastAsia="宋体" w:cs="宋体"/>
          <w:color w:val="auto"/>
          <w:kern w:val="2"/>
          <w:sz w:val="21"/>
          <w:szCs w:val="21"/>
          <w:highlight w:val="none"/>
          <w:lang w:val="zh-CN" w:eastAsia="zh-CN" w:bidi="ar-SA"/>
        </w:rPr>
        <w:t>（4）平台内业绩上传件不符合上述要求的或登记的工程资质内容与施工合同等业绩证明资料不相符的，该项业绩不予认定。</w:t>
      </w:r>
    </w:p>
    <w:p w14:paraId="530BAF84">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val="zh-CN"/>
        </w:rPr>
        <w:t>工程奖项：</w:t>
      </w:r>
      <w:r>
        <w:rPr>
          <w:rFonts w:hint="eastAsia" w:ascii="宋体" w:hAnsi="宋体" w:cs="宋体"/>
          <w:color w:val="auto"/>
          <w:kern w:val="0"/>
          <w:szCs w:val="21"/>
          <w:highlight w:val="none"/>
        </w:rPr>
        <w:t>（1）获奖信息可取自广州市住建行业信用管理平台或以投标人所提供的获奖证书原件扫描件为准。①取自平台的，投标人须提供在广州市住建行业信用管理平台的网页信息截图（网页信息截图须能清晰显示带有“住建行业信用管理平台”名称，并至少包含“项目基本信息”、“奖项信息”等信息），不提供网页信息截图的业绩不予评审。评标委员会的评审以投标截止时间在平台内业绩上传件为依据（投标文件中不需重复提交上传件）。②取自获奖证书原件扫描件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人企业电子印章。不符合上述条件或上述资料相关信息不一致或提供的资料不齐全的获奖业绩不予评审。评标委员会对获奖业绩的评审以投标人提供的完整的证明资料为依据。</w:t>
      </w:r>
    </w:p>
    <w:p w14:paraId="3EC492A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（2）获奖时间以发证时间为准。</w:t>
      </w:r>
    </w:p>
    <w:p w14:paraId="661073C9">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国家级质量奖项包括：中国建设工程鲁班奖、中国土木工程詹天佑奖、国家优质工程金质奖、国家优质工程奖、中国（全国）建筑工程装饰奖（不含设计、幕墙获奖）；省市级质量奖项指省、市级行政主管部门或行业协会颁发的工程质量方面的奖项（行业协会须在民政部门备案）。只计算建筑装修装饰工程获奖得分，非建筑装修装饰类工程项目获奖不得分。不符合上述条件不得分。</w:t>
      </w:r>
    </w:p>
    <w:p w14:paraId="3A307AF6">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（4）同一工程项目同时获得多个奖项的，只计算一次最高级别的奖项得分。</w:t>
      </w:r>
    </w:p>
    <w:p w14:paraId="0CB726B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en-US" w:eastAsia="zh-CN"/>
        </w:rPr>
      </w:pPr>
    </w:p>
    <w:p w14:paraId="7973FFD9">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cs="宋体"/>
          <w:color w:val="auto"/>
          <w:kern w:val="0"/>
          <w:szCs w:val="21"/>
          <w:highlight w:val="none"/>
        </w:rPr>
      </w:pPr>
      <w:r>
        <w:rPr>
          <w:rFonts w:hint="eastAsia" w:ascii="宋体" w:hAnsi="宋体" w:cs="Times New Roman"/>
          <w:b/>
          <w:bCs w:val="0"/>
          <w:color w:val="auto"/>
          <w:kern w:val="0"/>
          <w:szCs w:val="21"/>
          <w:highlight w:val="none"/>
          <w:lang w:val="en-US" w:eastAsia="zh-CN"/>
        </w:rPr>
        <w:t>3</w:t>
      </w:r>
      <w:r>
        <w:rPr>
          <w:rFonts w:hint="eastAsia" w:ascii="宋体" w:hAnsi="宋体" w:eastAsia="宋体" w:cs="Times New Roman"/>
          <w:b/>
          <w:bCs w:val="0"/>
          <w:color w:val="auto"/>
          <w:kern w:val="0"/>
          <w:szCs w:val="21"/>
          <w:highlight w:val="none"/>
          <w:lang w:val="en-US" w:eastAsia="zh-CN"/>
        </w:rPr>
        <w:t>、</w:t>
      </w:r>
      <w:r>
        <w:rPr>
          <w:rFonts w:hint="eastAsia" w:ascii="宋体" w:hAnsi="宋体" w:eastAsia="宋体" w:cs="Times New Roman"/>
          <w:b/>
          <w:bCs w:val="0"/>
          <w:color w:val="auto"/>
          <w:kern w:val="0"/>
          <w:szCs w:val="21"/>
          <w:highlight w:val="none"/>
          <w:lang w:val="zh-CN"/>
        </w:rPr>
        <w:t>工程研发能力：</w:t>
      </w:r>
      <w:r>
        <w:rPr>
          <w:rFonts w:hint="eastAsia" w:ascii="宋体" w:hAnsi="宋体" w:cs="宋体"/>
          <w:color w:val="auto"/>
          <w:kern w:val="0"/>
          <w:szCs w:val="21"/>
          <w:highlight w:val="none"/>
        </w:rPr>
        <w:t>科学技术类奖项是指各级人民政府或建设行政主管部门或行业协会或学会颁发的“科学技术进步奖”、“科学技术奖”。获奖时间以获奖证书颁发时间为准。若颁发单位是建设行业协会或学会，须同时提供获奖证书扫描件、并同时提交科学技术成果鉴定证书或其他能证明应用于投标人的证明材料扫描件、以及该颁发单位在“中国社会组织公共服务平台”网站(https://chinanpo.mca.gov.cn)登记的查询结果截图，否则该获奖证书不予认定。不满足上述要求的或未提供相关证明材料的不予计分。</w:t>
      </w:r>
    </w:p>
    <w:p w14:paraId="0C0909CA">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eastAsia="宋体" w:cs="Times New Roman"/>
          <w:b/>
          <w:bCs w:val="0"/>
          <w:color w:val="auto"/>
          <w:kern w:val="0"/>
          <w:szCs w:val="21"/>
          <w:highlight w:val="none"/>
          <w:lang w:val="en-US" w:eastAsia="zh-CN"/>
        </w:rPr>
      </w:pPr>
      <w:r>
        <w:rPr>
          <w:rFonts w:hint="eastAsia" w:ascii="宋体" w:hAnsi="宋体" w:cs="Times New Roman"/>
          <w:b/>
          <w:bCs w:val="0"/>
          <w:color w:val="auto"/>
          <w:kern w:val="0"/>
          <w:szCs w:val="21"/>
          <w:highlight w:val="none"/>
          <w:lang w:val="en-US" w:eastAsia="zh-CN"/>
        </w:rPr>
        <w:t>4</w:t>
      </w:r>
      <w:r>
        <w:rPr>
          <w:rFonts w:hint="eastAsia" w:ascii="宋体" w:hAnsi="宋体" w:eastAsia="宋体" w:cs="Times New Roman"/>
          <w:b/>
          <w:bCs w:val="0"/>
          <w:color w:val="auto"/>
          <w:kern w:val="0"/>
          <w:szCs w:val="21"/>
          <w:highlight w:val="none"/>
          <w:lang w:val="en-US" w:eastAsia="zh-CN"/>
        </w:rPr>
        <w:t>、第三方评价：</w:t>
      </w:r>
    </w:p>
    <w:p w14:paraId="70C6BF8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体系认证证书须是本项目招标公告发布时间之前获得且在有效期内的才可计分，须同时提供在有效期内的证书扫描件和国家认证认可监督管理委员会官方网站（www.cnca.gov.cn）查询页的截图，未提上述资料或不满足要求的不计分。只计算投标人自身，不计算投标人的子公司、分公司及分支机构。</w:t>
      </w:r>
    </w:p>
    <w:p w14:paraId="4CE6E8B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color w:val="auto"/>
          <w:kern w:val="0"/>
          <w:szCs w:val="21"/>
          <w:highlight w:val="none"/>
          <w:lang w:val="zh-CN" w:eastAsia="zh-CN"/>
        </w:rPr>
      </w:pPr>
      <w:r>
        <w:rPr>
          <w:rFonts w:hint="eastAsia" w:ascii="宋体" w:hAnsi="宋体" w:cs="宋体"/>
          <w:color w:val="auto"/>
          <w:kern w:val="0"/>
          <w:szCs w:val="21"/>
          <w:highlight w:val="none"/>
          <w:lang w:val="en-US" w:eastAsia="zh-CN"/>
        </w:rPr>
        <w:t>（2）连续获得税务机关评定为“纳税信用A级纳税人”的时间需包含最新评审年度（2023年度）。投标人须提供税务机关颁发的证明文件原件扫描件和在“国家税务总局”官网（http://www.chinatax.gov.cn/index.html）（或省级税务局网站）纳税信用信息查询结果网页截图。“纳税信用 A 级纳税人”称号的只计算投标人自身称号（不包括子公司、分公司）。不符合条件或无提供查询结果网页截图或无提供证书彩色扫描件或无加盖投标人企业电子印章的不计分。</w:t>
      </w:r>
    </w:p>
    <w:p w14:paraId="4367D3A8">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cs="Times New Roman"/>
          <w:b/>
          <w:color w:val="auto"/>
          <w:kern w:val="0"/>
          <w:szCs w:val="21"/>
          <w:highlight w:val="none"/>
          <w:lang w:val="en-US" w:eastAsia="zh-CN"/>
        </w:rPr>
      </w:pPr>
      <w:r>
        <w:rPr>
          <w:rFonts w:hint="eastAsia" w:ascii="宋体" w:hAnsi="宋体" w:cs="Times New Roman"/>
          <w:b/>
          <w:color w:val="auto"/>
          <w:kern w:val="0"/>
          <w:szCs w:val="21"/>
          <w:highlight w:val="none"/>
          <w:lang w:val="en-US" w:eastAsia="zh-CN"/>
        </w:rPr>
        <w:t>5、本表按百分制评分，所有评委的总分汇总后的算术平均值为投标人的最终得分。分数出现小数点，保留小数点后二位小数，第三位小数四舍五入。</w:t>
      </w:r>
    </w:p>
    <w:p w14:paraId="5D3F7AF0">
      <w:pPr>
        <w:widowControl/>
        <w:adjustRightInd w:val="0"/>
        <w:snapToGrid w:val="0"/>
        <w:spacing w:line="300" w:lineRule="exact"/>
        <w:jc w:val="left"/>
        <w:rPr>
          <w:rFonts w:hint="eastAsia" w:ascii="宋体" w:hAnsi="宋体" w:eastAsia="宋体" w:cs="宋体"/>
          <w:b w:val="0"/>
          <w:color w:val="auto"/>
          <w:sz w:val="21"/>
          <w:szCs w:val="21"/>
          <w:highlight w:val="none"/>
          <w:lang w:eastAsia="zh-CN"/>
        </w:rPr>
      </w:pPr>
    </w:p>
    <w:p w14:paraId="60325544">
      <w:pPr>
        <w:jc w:val="both"/>
        <w:rPr>
          <w:b/>
          <w:color w:val="auto"/>
          <w:sz w:val="32"/>
          <w:szCs w:val="32"/>
          <w:highlight w:val="none"/>
        </w:rPr>
      </w:pPr>
    </w:p>
    <w:p w14:paraId="55BC7168">
      <w:pPr>
        <w:rPr>
          <w:rFonts w:hint="eastAsia" w:ascii="宋体" w:hAnsi="宋体"/>
          <w:color w:val="auto"/>
          <w:sz w:val="24"/>
          <w:highlight w:val="none"/>
        </w:rPr>
      </w:pPr>
      <w:r>
        <w:rPr>
          <w:rFonts w:hint="eastAsia" w:ascii="宋体" w:hAnsi="宋体"/>
          <w:color w:val="auto"/>
          <w:sz w:val="24"/>
          <w:highlight w:val="none"/>
        </w:rPr>
        <w:br w:type="page"/>
      </w:r>
    </w:p>
    <w:p w14:paraId="355AC89E">
      <w:pPr>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八</w:t>
      </w:r>
      <w:r>
        <w:rPr>
          <w:rFonts w:hint="eastAsia" w:ascii="宋体" w:hAnsi="宋体"/>
          <w:color w:val="auto"/>
          <w:sz w:val="24"/>
          <w:highlight w:val="none"/>
        </w:rPr>
        <w:t>：</w:t>
      </w:r>
    </w:p>
    <w:p w14:paraId="2C2501AB">
      <w:pPr>
        <w:jc w:val="center"/>
        <w:rPr>
          <w:b/>
          <w:color w:val="auto"/>
          <w:sz w:val="32"/>
          <w:szCs w:val="32"/>
          <w:highlight w:val="none"/>
        </w:rPr>
      </w:pPr>
      <w:r>
        <w:rPr>
          <w:rFonts w:hint="eastAsia"/>
          <w:b/>
          <w:color w:val="auto"/>
          <w:sz w:val="32"/>
          <w:szCs w:val="32"/>
          <w:highlight w:val="none"/>
        </w:rPr>
        <w:t>资格审查表</w:t>
      </w:r>
    </w:p>
    <w:p w14:paraId="13FAC9AB">
      <w:pPr>
        <w:spacing w:line="480" w:lineRule="auto"/>
        <w:rPr>
          <w:color w:val="auto"/>
          <w:highlight w:val="none"/>
        </w:rPr>
      </w:pPr>
      <w:r>
        <w:rPr>
          <w:rFonts w:hint="eastAsia"/>
          <w:color w:val="auto"/>
          <w:highlight w:val="none"/>
        </w:rPr>
        <w:t>工程名称：</w:t>
      </w:r>
    </w:p>
    <w:p w14:paraId="32B300AF">
      <w:pPr>
        <w:spacing w:line="480" w:lineRule="auto"/>
        <w:rPr>
          <w:color w:val="auto"/>
          <w:highlight w:val="none"/>
        </w:rPr>
      </w:pPr>
      <w:r>
        <w:rPr>
          <w:rFonts w:hint="eastAsia"/>
          <w:color w:val="auto"/>
          <w:highlight w:val="none"/>
        </w:rPr>
        <w:t>投标人名称：</w:t>
      </w:r>
    </w:p>
    <w:tbl>
      <w:tblPr>
        <w:tblStyle w:val="1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524E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42402D8">
            <w:pPr>
              <w:spacing w:before="120" w:after="60"/>
              <w:jc w:val="center"/>
              <w:rPr>
                <w:rFonts w:ascii="宋体" w:hAnsi="宋体"/>
                <w:color w:val="auto"/>
                <w:szCs w:val="21"/>
                <w:highlight w:val="none"/>
              </w:rPr>
            </w:pPr>
            <w:r>
              <w:rPr>
                <w:rFonts w:hint="eastAsia" w:ascii="宋体" w:hAnsi="宋体"/>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154E08AA">
            <w:pPr>
              <w:spacing w:before="120" w:after="60"/>
              <w:jc w:val="center"/>
              <w:rPr>
                <w:rFonts w:ascii="宋体" w:hAnsi="宋体"/>
                <w:color w:val="auto"/>
                <w:szCs w:val="21"/>
                <w:highlight w:val="none"/>
              </w:rPr>
            </w:pPr>
            <w:r>
              <w:rPr>
                <w:rFonts w:hint="eastAsia" w:ascii="宋体" w:hAnsi="宋体"/>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6DA62276">
            <w:pPr>
              <w:spacing w:before="120" w:after="60"/>
              <w:jc w:val="center"/>
              <w:rPr>
                <w:rFonts w:ascii="宋体" w:hAnsi="宋体"/>
                <w:color w:val="auto"/>
                <w:szCs w:val="21"/>
                <w:highlight w:val="none"/>
              </w:rPr>
            </w:pPr>
            <w:r>
              <w:rPr>
                <w:rFonts w:hint="eastAsia" w:ascii="宋体" w:hAnsi="宋体"/>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73F8B700">
            <w:pPr>
              <w:spacing w:before="120" w:after="60"/>
              <w:jc w:val="center"/>
              <w:rPr>
                <w:rFonts w:ascii="宋体" w:hAnsi="宋体"/>
                <w:color w:val="auto"/>
                <w:szCs w:val="21"/>
                <w:highlight w:val="none"/>
              </w:rPr>
            </w:pPr>
            <w:r>
              <w:rPr>
                <w:rFonts w:hint="eastAsia" w:ascii="宋体" w:hAnsi="宋体"/>
                <w:color w:val="auto"/>
                <w:szCs w:val="21"/>
                <w:highlight w:val="none"/>
              </w:rPr>
              <w:t>审查结果</w:t>
            </w:r>
          </w:p>
        </w:tc>
      </w:tr>
      <w:tr w14:paraId="1FCA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6193762">
            <w:pPr>
              <w:spacing w:before="120" w:after="60"/>
              <w:jc w:val="center"/>
              <w:rPr>
                <w:rFonts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5F3AB0E5">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27CBE85C">
            <w:pPr>
              <w:spacing w:before="120" w:after="60"/>
              <w:jc w:val="center"/>
              <w:rPr>
                <w:rFonts w:ascii="宋体" w:hAnsi="宋体"/>
                <w:color w:val="auto"/>
                <w:szCs w:val="21"/>
                <w:highlight w:val="none"/>
              </w:rPr>
            </w:pPr>
            <w:r>
              <w:rPr>
                <w:rFonts w:hint="eastAsia" w:ascii="宋体" w:hAnsi="宋体"/>
                <w:color w:val="auto"/>
                <w:sz w:val="21"/>
                <w:szCs w:val="21"/>
                <w:highlight w:val="none"/>
              </w:rPr>
              <w:t>投标申请人声明</w:t>
            </w:r>
            <w:r>
              <w:rPr>
                <w:rFonts w:hint="eastAsia" w:ascii="宋体" w:hAnsi="宋体"/>
                <w:color w:val="auto"/>
                <w:szCs w:val="21"/>
                <w:highlight w:val="none"/>
              </w:rPr>
              <w:t>、法定代表人证明书；委托投标的还应提供法人授权委托证明书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52EDE3CE">
            <w:pPr>
              <w:spacing w:before="120" w:after="60"/>
              <w:jc w:val="center"/>
              <w:rPr>
                <w:rFonts w:ascii="宋体" w:hAnsi="宋体"/>
                <w:color w:val="auto"/>
                <w:szCs w:val="21"/>
                <w:highlight w:val="none"/>
              </w:rPr>
            </w:pPr>
          </w:p>
        </w:tc>
      </w:tr>
      <w:tr w14:paraId="6BB1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66C27E2">
            <w:pPr>
              <w:spacing w:before="120" w:after="60"/>
              <w:jc w:val="center"/>
              <w:rPr>
                <w:rFonts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2504DAB6">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20540C70">
            <w:pPr>
              <w:spacing w:before="120" w:after="60"/>
              <w:jc w:val="center"/>
              <w:rPr>
                <w:rFonts w:hint="eastAsia"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16930504">
            <w:pPr>
              <w:spacing w:before="120" w:after="60"/>
              <w:jc w:val="center"/>
              <w:rPr>
                <w:rFonts w:ascii="宋体" w:hAnsi="宋体"/>
                <w:color w:val="auto"/>
                <w:szCs w:val="21"/>
                <w:highlight w:val="none"/>
              </w:rPr>
            </w:pPr>
          </w:p>
        </w:tc>
      </w:tr>
      <w:tr w14:paraId="1BE0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468" w:type="dxa"/>
            <w:tcBorders>
              <w:top w:val="single" w:color="auto" w:sz="4" w:space="0"/>
              <w:left w:val="single" w:color="auto" w:sz="4" w:space="0"/>
              <w:bottom w:val="single" w:color="auto" w:sz="4" w:space="0"/>
              <w:right w:val="single" w:color="auto" w:sz="4" w:space="0"/>
            </w:tcBorders>
            <w:vAlign w:val="center"/>
          </w:tcPr>
          <w:p w14:paraId="790FC90F">
            <w:pPr>
              <w:spacing w:before="120" w:after="60"/>
              <w:jc w:val="center"/>
              <w:rPr>
                <w:rFonts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36583DA0">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12AC5AA0">
            <w:pPr>
              <w:spacing w:before="120" w:after="60"/>
              <w:jc w:val="center"/>
              <w:rPr>
                <w:rFonts w:hint="eastAsia" w:ascii="宋体" w:hAnsi="宋体"/>
                <w:color w:val="auto"/>
                <w:szCs w:val="21"/>
                <w:highlight w:val="none"/>
              </w:rPr>
            </w:pPr>
            <w:r>
              <w:rPr>
                <w:rFonts w:hint="eastAsia" w:ascii="宋体" w:hAnsi="宋体"/>
                <w:color w:val="auto"/>
                <w:szCs w:val="21"/>
                <w:highlight w:val="none"/>
              </w:rPr>
              <w:t>资质证书及安全生产许可证扫描件或电子证照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726BE7F4">
            <w:pPr>
              <w:spacing w:before="120" w:after="60"/>
              <w:jc w:val="center"/>
              <w:rPr>
                <w:rFonts w:ascii="宋体" w:hAnsi="宋体"/>
                <w:color w:val="auto"/>
                <w:szCs w:val="21"/>
                <w:highlight w:val="none"/>
              </w:rPr>
            </w:pPr>
          </w:p>
        </w:tc>
      </w:tr>
      <w:tr w14:paraId="7F17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0093025">
            <w:pPr>
              <w:spacing w:before="120" w:after="60"/>
              <w:jc w:val="center"/>
              <w:rPr>
                <w:rFonts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1D87248F">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34540EF">
            <w:pPr>
              <w:spacing w:before="120" w:after="60"/>
              <w:jc w:val="center"/>
              <w:rPr>
                <w:rFonts w:hint="eastAsia" w:ascii="宋体" w:hAnsi="宋体"/>
                <w:color w:val="auto"/>
                <w:szCs w:val="21"/>
                <w:highlight w:val="none"/>
              </w:rPr>
            </w:pPr>
            <w:r>
              <w:rPr>
                <w:rFonts w:hint="eastAsia" w:ascii="宋体" w:hAnsi="宋体"/>
                <w:color w:val="auto"/>
                <w:szCs w:val="21"/>
                <w:highlight w:val="none"/>
              </w:rPr>
              <w:t>有效期内的建造师注册证书扫描件或电子证书</w:t>
            </w:r>
          </w:p>
          <w:p w14:paraId="5F837CAE">
            <w:pPr>
              <w:spacing w:before="120" w:after="60"/>
              <w:jc w:val="center"/>
              <w:rPr>
                <w:rFonts w:hint="eastAsia" w:ascii="宋体" w:hAnsi="宋体"/>
                <w:color w:val="auto"/>
                <w:szCs w:val="21"/>
                <w:highlight w:val="none"/>
              </w:rPr>
            </w:pPr>
            <w:r>
              <w:rPr>
                <w:rFonts w:hint="eastAsia" w:ascii="宋体" w:hAnsi="宋体"/>
                <w:color w:val="auto"/>
                <w:szCs w:val="21"/>
                <w:highlight w:val="none"/>
              </w:rPr>
              <w:t>（注：打印建造师电子证书后，在个人签名处手写本人签名再扫描提交。）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4CB28319">
            <w:pPr>
              <w:spacing w:before="120" w:after="60"/>
              <w:jc w:val="center"/>
              <w:rPr>
                <w:rFonts w:ascii="宋体" w:hAnsi="宋体"/>
                <w:color w:val="auto"/>
                <w:szCs w:val="21"/>
                <w:highlight w:val="none"/>
              </w:rPr>
            </w:pPr>
          </w:p>
        </w:tc>
      </w:tr>
      <w:tr w14:paraId="6695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1551870">
            <w:pPr>
              <w:spacing w:before="120" w:after="60"/>
              <w:jc w:val="center"/>
              <w:rPr>
                <w:rFonts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367A6389">
            <w:pPr>
              <w:spacing w:before="120" w:after="60"/>
              <w:jc w:val="center"/>
              <w:rPr>
                <w:rFonts w:ascii="宋体" w:hAnsi="宋体"/>
                <w:color w:val="auto"/>
                <w:szCs w:val="21"/>
                <w:highlight w:val="none"/>
              </w:rPr>
            </w:pPr>
            <w:r>
              <w:rPr>
                <w:rFonts w:hint="eastAsia"/>
                <w:color w:val="auto"/>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4692E1E5">
            <w:pPr>
              <w:spacing w:before="120" w:after="60"/>
              <w:jc w:val="center"/>
              <w:rPr>
                <w:rFonts w:hint="eastAsia"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项目负责人安全生产考核合格证（B类）或建筑施工企业项目负责人安全生产考核合格证扫描件或电子证书（项目负责人按编制资格预审申请文件时选择拟投标的项目负责人）</w:t>
            </w:r>
          </w:p>
        </w:tc>
        <w:tc>
          <w:tcPr>
            <w:tcW w:w="720" w:type="dxa"/>
            <w:tcBorders>
              <w:top w:val="single" w:color="auto" w:sz="4" w:space="0"/>
              <w:left w:val="single" w:color="auto" w:sz="4" w:space="0"/>
              <w:bottom w:val="single" w:color="auto" w:sz="4" w:space="0"/>
              <w:right w:val="single" w:color="auto" w:sz="4" w:space="0"/>
            </w:tcBorders>
            <w:vAlign w:val="center"/>
          </w:tcPr>
          <w:p w14:paraId="5E6C7C46">
            <w:pPr>
              <w:spacing w:before="120" w:after="60"/>
              <w:jc w:val="center"/>
              <w:rPr>
                <w:rFonts w:ascii="宋体" w:hAnsi="宋体"/>
                <w:color w:val="auto"/>
                <w:szCs w:val="21"/>
                <w:highlight w:val="none"/>
              </w:rPr>
            </w:pPr>
          </w:p>
        </w:tc>
      </w:tr>
      <w:tr w14:paraId="741A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AE9D47A">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14:paraId="56634A01">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6AA09DFF">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拟委托技术负责人的职称证书原件扫描件或电子证照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3DA1B324">
            <w:pPr>
              <w:spacing w:before="120" w:after="60"/>
              <w:jc w:val="center"/>
              <w:rPr>
                <w:rFonts w:ascii="宋体" w:hAnsi="宋体"/>
                <w:color w:val="auto"/>
                <w:szCs w:val="21"/>
                <w:highlight w:val="none"/>
              </w:rPr>
            </w:pPr>
          </w:p>
        </w:tc>
      </w:tr>
      <w:tr w14:paraId="7D32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EAC9A36">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14:paraId="6EB8A0B4">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专职安全员须具有安全生产考核合格证（</w:t>
            </w:r>
            <w:r>
              <w:rPr>
                <w:rFonts w:ascii="宋体" w:hAnsi="宋体"/>
                <w:color w:val="auto"/>
                <w:szCs w:val="21"/>
                <w:highlight w:val="none"/>
              </w:rPr>
              <w:t>C类</w:t>
            </w:r>
            <w:r>
              <w:rPr>
                <w:rFonts w:hint="eastAsia" w:ascii="宋体" w:hAnsi="宋体"/>
                <w:color w:val="auto"/>
                <w:szCs w:val="21"/>
                <w:highlight w:val="none"/>
              </w:rPr>
              <w:t>）或建筑施工企业专职安全生产管理人员安全生产考核合格证书</w:t>
            </w:r>
          </w:p>
        </w:tc>
        <w:tc>
          <w:tcPr>
            <w:tcW w:w="3420" w:type="dxa"/>
            <w:tcBorders>
              <w:top w:val="single" w:color="auto" w:sz="4" w:space="0"/>
              <w:left w:val="single" w:color="auto" w:sz="4" w:space="0"/>
              <w:bottom w:val="single" w:color="auto" w:sz="4" w:space="0"/>
              <w:right w:val="single" w:color="auto" w:sz="4" w:space="0"/>
            </w:tcBorders>
            <w:vAlign w:val="center"/>
          </w:tcPr>
          <w:p w14:paraId="5DC51017">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专职安全员的安全生产考核合格证（C类）或建筑施工企业专职安全生产管理人员安全生产考核合格证扫描件或电子证书（专职安全员按编制资格预审申请文件时选择拟投标的专职安全员）</w:t>
            </w:r>
          </w:p>
        </w:tc>
        <w:tc>
          <w:tcPr>
            <w:tcW w:w="720" w:type="dxa"/>
            <w:tcBorders>
              <w:top w:val="single" w:color="auto" w:sz="4" w:space="0"/>
              <w:left w:val="single" w:color="auto" w:sz="4" w:space="0"/>
              <w:bottom w:val="single" w:color="auto" w:sz="4" w:space="0"/>
              <w:right w:val="single" w:color="auto" w:sz="4" w:space="0"/>
            </w:tcBorders>
            <w:vAlign w:val="center"/>
          </w:tcPr>
          <w:p w14:paraId="316DB95E">
            <w:pPr>
              <w:spacing w:before="120" w:after="60"/>
              <w:jc w:val="center"/>
              <w:rPr>
                <w:rFonts w:ascii="宋体" w:hAnsi="宋体"/>
                <w:color w:val="auto"/>
                <w:szCs w:val="21"/>
                <w:highlight w:val="none"/>
              </w:rPr>
            </w:pPr>
          </w:p>
        </w:tc>
      </w:tr>
      <w:tr w14:paraId="1BC4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2C256F8A">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06A70312">
            <w:pPr>
              <w:jc w:val="center"/>
              <w:rPr>
                <w:rFonts w:hint="eastAsia" w:ascii="宋体" w:hAnsi="宋体" w:eastAsia="宋体" w:cs="Times New Roman"/>
                <w:color w:val="auto"/>
                <w:kern w:val="2"/>
                <w:sz w:val="21"/>
                <w:szCs w:val="21"/>
                <w:highlight w:val="none"/>
                <w:lang w:val="en-US" w:eastAsia="zh-CN" w:bidi="ar-SA"/>
              </w:rPr>
            </w:pPr>
            <w:r>
              <w:rPr>
                <w:rFonts w:hint="eastAsia" w:cs="宋体"/>
                <w:color w:val="auto"/>
                <w:sz w:val="24"/>
                <w:szCs w:val="24"/>
                <w:highlight w:val="none"/>
                <w:lang w:val="en-US" w:eastAsia="zh-CN"/>
              </w:rPr>
              <w:t>类似工程业绩</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569301FC">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取自广州市住建行业信用管理平台。</w:t>
            </w:r>
          </w:p>
        </w:tc>
        <w:tc>
          <w:tcPr>
            <w:tcW w:w="720" w:type="dxa"/>
            <w:tcBorders>
              <w:top w:val="single" w:color="auto" w:sz="4" w:space="0"/>
              <w:left w:val="single" w:color="auto" w:sz="4" w:space="0"/>
              <w:bottom w:val="single" w:color="auto" w:sz="4" w:space="0"/>
              <w:right w:val="single" w:color="auto" w:sz="4" w:space="0"/>
            </w:tcBorders>
            <w:vAlign w:val="center"/>
          </w:tcPr>
          <w:p w14:paraId="150954F0">
            <w:pPr>
              <w:spacing w:before="120" w:after="60"/>
              <w:jc w:val="center"/>
              <w:rPr>
                <w:rFonts w:ascii="宋体" w:hAnsi="宋体"/>
                <w:color w:val="auto"/>
                <w:szCs w:val="21"/>
                <w:highlight w:val="none"/>
              </w:rPr>
            </w:pPr>
          </w:p>
        </w:tc>
      </w:tr>
      <w:tr w14:paraId="4DB6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7C4A0B09">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14:paraId="1D8E270F">
            <w:pPr>
              <w:spacing w:before="120" w:after="60"/>
              <w:jc w:val="center"/>
              <w:rPr>
                <w:rFonts w:ascii="宋体" w:hAnsi="宋体"/>
                <w:color w:val="auto"/>
                <w:szCs w:val="21"/>
                <w:highlight w:val="none"/>
              </w:rPr>
            </w:pPr>
            <w:r>
              <w:rPr>
                <w:rFonts w:hint="eastAsia" w:ascii="宋体" w:hAnsi="宋体"/>
                <w:color w:val="auto"/>
                <w:sz w:val="22"/>
                <w:highlight w:val="none"/>
              </w:rPr>
              <w:t>投标人提供的投标申请人声明符合公告要求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7EC7E7F8">
            <w:pPr>
              <w:spacing w:before="120" w:after="60"/>
              <w:jc w:val="center"/>
              <w:rPr>
                <w:rFonts w:ascii="宋体" w:hAnsi="宋体"/>
                <w:color w:val="auto"/>
                <w:szCs w:val="21"/>
                <w:highlight w:val="none"/>
              </w:rPr>
            </w:pPr>
            <w:r>
              <w:rPr>
                <w:rFonts w:hint="eastAsia" w:ascii="宋体" w:hAnsi="宋体"/>
                <w:color w:val="auto"/>
                <w:sz w:val="22"/>
                <w:highlight w:val="none"/>
              </w:rPr>
              <w:t>投标申请人声明</w:t>
            </w:r>
          </w:p>
        </w:tc>
        <w:tc>
          <w:tcPr>
            <w:tcW w:w="720" w:type="dxa"/>
            <w:tcBorders>
              <w:top w:val="single" w:color="auto" w:sz="4" w:space="0"/>
              <w:left w:val="single" w:color="auto" w:sz="4" w:space="0"/>
              <w:bottom w:val="single" w:color="auto" w:sz="4" w:space="0"/>
              <w:right w:val="single" w:color="auto" w:sz="4" w:space="0"/>
            </w:tcBorders>
            <w:vAlign w:val="center"/>
          </w:tcPr>
          <w:p w14:paraId="7B3D23C7">
            <w:pPr>
              <w:spacing w:before="120" w:after="60"/>
              <w:jc w:val="center"/>
              <w:rPr>
                <w:rFonts w:ascii="宋体" w:hAnsi="宋体"/>
                <w:color w:val="auto"/>
                <w:szCs w:val="21"/>
                <w:highlight w:val="none"/>
              </w:rPr>
            </w:pPr>
          </w:p>
        </w:tc>
      </w:tr>
      <w:tr w14:paraId="3CE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4763DADD">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14:paraId="775966CA">
            <w:pPr>
              <w:spacing w:before="120" w:after="60"/>
              <w:jc w:val="center"/>
              <w:rPr>
                <w:rFonts w:ascii="宋体" w:hAnsi="宋体"/>
                <w:color w:val="auto"/>
                <w:szCs w:val="21"/>
                <w:highlight w:val="none"/>
              </w:rPr>
            </w:pPr>
            <w:r>
              <w:rPr>
                <w:rFonts w:hint="eastAsia" w:ascii="宋体" w:hAnsi="宋体"/>
                <w:color w:val="auto"/>
                <w:sz w:val="22"/>
                <w:highlight w:val="none"/>
              </w:rPr>
              <w:t>投标申请人声明中签字的项目负责人和技术负责人与本项目拟派的项目负责人和技术负责人一致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038087F3">
            <w:pPr>
              <w:spacing w:before="120" w:after="60"/>
              <w:jc w:val="center"/>
              <w:rPr>
                <w:rFonts w:ascii="宋体" w:hAnsi="宋体"/>
                <w:color w:val="auto"/>
                <w:szCs w:val="21"/>
                <w:highlight w:val="none"/>
              </w:rPr>
            </w:pPr>
            <w:r>
              <w:rPr>
                <w:rFonts w:hint="eastAsia" w:ascii="宋体" w:hAnsi="宋体"/>
                <w:color w:val="auto"/>
                <w:szCs w:val="21"/>
                <w:highlight w:val="none"/>
              </w:rPr>
              <w:t>编制资格预审申请文件时选择拟投标的项目负责人、资格审查文件中拟委派的技术负责人及投标申请人声明</w:t>
            </w:r>
          </w:p>
        </w:tc>
        <w:tc>
          <w:tcPr>
            <w:tcW w:w="720" w:type="dxa"/>
            <w:tcBorders>
              <w:top w:val="single" w:color="auto" w:sz="4" w:space="0"/>
              <w:left w:val="single" w:color="auto" w:sz="4" w:space="0"/>
              <w:bottom w:val="single" w:color="auto" w:sz="4" w:space="0"/>
              <w:right w:val="single" w:color="auto" w:sz="4" w:space="0"/>
            </w:tcBorders>
            <w:vAlign w:val="center"/>
          </w:tcPr>
          <w:p w14:paraId="21997A34">
            <w:pPr>
              <w:spacing w:before="120" w:after="60"/>
              <w:jc w:val="center"/>
              <w:rPr>
                <w:rFonts w:ascii="宋体" w:hAnsi="宋体"/>
                <w:color w:val="auto"/>
                <w:szCs w:val="21"/>
                <w:highlight w:val="none"/>
              </w:rPr>
            </w:pPr>
          </w:p>
        </w:tc>
      </w:tr>
      <w:tr w14:paraId="346E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23747602">
            <w:pPr>
              <w:spacing w:before="120" w:after="6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14:paraId="7BB140A3">
            <w:pPr>
              <w:spacing w:before="120" w:after="60"/>
              <w:jc w:val="center"/>
              <w:rPr>
                <w:rFonts w:ascii="宋体" w:hAnsi="宋体"/>
                <w:color w:val="auto"/>
                <w:sz w:val="22"/>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417B6963">
            <w:pPr>
              <w:spacing w:before="120" w:after="60"/>
              <w:jc w:val="center"/>
              <w:rPr>
                <w:rFonts w:ascii="宋体" w:hAnsi="宋体"/>
                <w:color w:val="auto"/>
                <w:sz w:val="22"/>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1ADFA99D">
            <w:pPr>
              <w:spacing w:before="120" w:after="60"/>
              <w:jc w:val="center"/>
              <w:rPr>
                <w:rFonts w:ascii="宋体" w:hAnsi="宋体"/>
                <w:color w:val="auto"/>
                <w:szCs w:val="21"/>
                <w:highlight w:val="none"/>
              </w:rPr>
            </w:pPr>
          </w:p>
        </w:tc>
      </w:tr>
      <w:tr w14:paraId="7595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DABF392">
            <w:pPr>
              <w:spacing w:before="120" w:after="60"/>
              <w:jc w:val="cente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1</w:t>
            </w:r>
            <w:r>
              <w:rPr>
                <w:rFonts w:hint="eastAsia"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1788F533">
            <w:pPr>
              <w:spacing w:before="120" w:after="60"/>
              <w:jc w:val="center"/>
              <w:rPr>
                <w:rFonts w:ascii="宋体" w:hAnsi="宋体"/>
                <w:color w:val="auto"/>
                <w:szCs w:val="21"/>
                <w:highlight w:val="none"/>
              </w:rPr>
            </w:pPr>
            <w:r>
              <w:rPr>
                <w:rFonts w:hint="eastAsia" w:ascii="宋体" w:hAnsi="宋体"/>
                <w:color w:val="auto"/>
                <w:szCs w:val="21"/>
                <w:highlight w:val="none"/>
              </w:rPr>
              <w:t>投标人与其他投标人加密打包资格预审申请文件电脑机器特征码一致的(以</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交易平台评标系统的检索信息为准)</w:t>
            </w:r>
          </w:p>
        </w:tc>
        <w:tc>
          <w:tcPr>
            <w:tcW w:w="3420" w:type="dxa"/>
            <w:tcBorders>
              <w:top w:val="single" w:color="auto" w:sz="4" w:space="0"/>
              <w:left w:val="single" w:color="auto" w:sz="4" w:space="0"/>
              <w:bottom w:val="single" w:color="auto" w:sz="4" w:space="0"/>
              <w:right w:val="single" w:color="auto" w:sz="4" w:space="0"/>
            </w:tcBorders>
            <w:vAlign w:val="center"/>
          </w:tcPr>
          <w:p w14:paraId="23CAFD7A">
            <w:pPr>
              <w:spacing w:before="120" w:after="60"/>
              <w:jc w:val="center"/>
              <w:rPr>
                <w:rFonts w:ascii="宋体" w:hAnsi="宋体"/>
                <w:color w:val="auto"/>
                <w:szCs w:val="21"/>
                <w:highlight w:val="none"/>
              </w:rPr>
            </w:pPr>
            <w:r>
              <w:rPr>
                <w:rFonts w:hint="eastAsia" w:ascii="宋体" w:hAnsi="宋体"/>
                <w:color w:val="auto"/>
                <w:szCs w:val="21"/>
                <w:highlight w:val="none"/>
              </w:rPr>
              <w:t>交易平台评标系统的检索信息</w:t>
            </w:r>
          </w:p>
        </w:tc>
        <w:tc>
          <w:tcPr>
            <w:tcW w:w="720" w:type="dxa"/>
            <w:tcBorders>
              <w:top w:val="single" w:color="auto" w:sz="4" w:space="0"/>
              <w:left w:val="single" w:color="auto" w:sz="4" w:space="0"/>
              <w:bottom w:val="single" w:color="auto" w:sz="4" w:space="0"/>
              <w:right w:val="single" w:color="auto" w:sz="4" w:space="0"/>
            </w:tcBorders>
            <w:vAlign w:val="center"/>
          </w:tcPr>
          <w:p w14:paraId="7179C1D0">
            <w:pPr>
              <w:spacing w:before="120" w:after="60"/>
              <w:jc w:val="center"/>
              <w:rPr>
                <w:rFonts w:ascii="宋体" w:hAnsi="宋体"/>
                <w:color w:val="auto"/>
                <w:szCs w:val="21"/>
                <w:highlight w:val="none"/>
              </w:rPr>
            </w:pPr>
          </w:p>
        </w:tc>
      </w:tr>
      <w:tr w14:paraId="55CD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01DD4EA">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3780" w:type="dxa"/>
            <w:tcBorders>
              <w:top w:val="single" w:color="auto" w:sz="4" w:space="0"/>
              <w:left w:val="single" w:color="auto" w:sz="4" w:space="0"/>
              <w:bottom w:val="single" w:color="auto" w:sz="4" w:space="0"/>
              <w:right w:val="single" w:color="auto" w:sz="4" w:space="0"/>
            </w:tcBorders>
            <w:vAlign w:val="center"/>
          </w:tcPr>
          <w:p w14:paraId="550E4967">
            <w:pPr>
              <w:spacing w:before="120" w:after="60"/>
              <w:jc w:val="center"/>
              <w:rPr>
                <w:rFonts w:ascii="宋体" w:hAnsi="宋体"/>
                <w:color w:val="auto"/>
                <w:szCs w:val="21"/>
                <w:highlight w:val="none"/>
              </w:rPr>
            </w:pPr>
            <w:r>
              <w:rPr>
                <w:rFonts w:ascii="宋体" w:hAnsi="宋体" w:cs="宋体"/>
                <w:color w:val="auto"/>
                <w:kern w:val="0"/>
                <w:szCs w:val="21"/>
                <w:highlight w:val="none"/>
              </w:rPr>
              <w:t>未被纳入</w:t>
            </w:r>
            <w:r>
              <w:rPr>
                <w:rFonts w:hint="eastAsia" w:ascii="宋体" w:hAnsi="宋体" w:cs="宋体"/>
                <w:color w:val="auto"/>
                <w:kern w:val="0"/>
                <w:szCs w:val="21"/>
                <w:highlight w:val="none"/>
              </w:rPr>
              <w:t>失信</w:t>
            </w:r>
            <w:r>
              <w:rPr>
                <w:rFonts w:ascii="宋体" w:hAnsi="宋体" w:cs="宋体"/>
                <w:color w:val="auto"/>
                <w:kern w:val="0"/>
                <w:szCs w:val="21"/>
                <w:highlight w:val="none"/>
              </w:rPr>
              <w:t>联合惩戒名单</w:t>
            </w:r>
            <w:r>
              <w:rPr>
                <w:rFonts w:hint="eastAsia" w:ascii="宋体" w:hAnsi="宋体" w:cs="宋体"/>
                <w:color w:val="auto"/>
                <w:kern w:val="0"/>
                <w:szCs w:val="21"/>
                <w:highlight w:val="none"/>
              </w:rPr>
              <w:t>且</w:t>
            </w:r>
            <w:r>
              <w:rPr>
                <w:rFonts w:ascii="宋体" w:hAnsi="宋体" w:cs="宋体"/>
                <w:color w:val="auto"/>
                <w:kern w:val="0"/>
                <w:szCs w:val="21"/>
                <w:highlight w:val="none"/>
              </w:rPr>
              <w:t>被限制参与相关项目投标的</w:t>
            </w:r>
          </w:p>
        </w:tc>
        <w:tc>
          <w:tcPr>
            <w:tcW w:w="3420" w:type="dxa"/>
            <w:tcBorders>
              <w:top w:val="single" w:color="auto" w:sz="4" w:space="0"/>
              <w:left w:val="single" w:color="auto" w:sz="4" w:space="0"/>
              <w:bottom w:val="single" w:color="auto" w:sz="4" w:space="0"/>
              <w:right w:val="single" w:color="auto" w:sz="4" w:space="0"/>
            </w:tcBorders>
            <w:vAlign w:val="center"/>
          </w:tcPr>
          <w:p w14:paraId="12ED3351">
            <w:pPr>
              <w:spacing w:before="120" w:after="60"/>
              <w:jc w:val="center"/>
              <w:rPr>
                <w:rFonts w:ascii="宋体" w:hAnsi="宋体"/>
                <w:color w:val="auto"/>
                <w:szCs w:val="21"/>
                <w:highlight w:val="none"/>
              </w:rPr>
            </w:pPr>
            <w:r>
              <w:rPr>
                <w:rFonts w:hint="eastAsia" w:ascii="宋体" w:hAnsi="宋体"/>
                <w:color w:val="auto"/>
                <w:sz w:val="22"/>
                <w:highlight w:val="none"/>
              </w:rPr>
              <w:t>投标人无需提供资料，</w:t>
            </w:r>
            <w:r>
              <w:rPr>
                <w:rFonts w:hint="eastAsia" w:ascii="宋体" w:hAnsi="宋体"/>
                <w:color w:val="auto"/>
                <w:sz w:val="22"/>
                <w:highlight w:val="none"/>
                <w:lang w:val="zh-CN"/>
              </w:rPr>
              <w:t>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5534858E">
            <w:pPr>
              <w:spacing w:before="120" w:after="60"/>
              <w:jc w:val="center"/>
              <w:rPr>
                <w:rFonts w:ascii="宋体" w:hAnsi="宋体"/>
                <w:color w:val="auto"/>
                <w:szCs w:val="21"/>
                <w:highlight w:val="none"/>
              </w:rPr>
            </w:pPr>
          </w:p>
        </w:tc>
      </w:tr>
    </w:tbl>
    <w:p w14:paraId="41077072">
      <w:pPr>
        <w:widowControl/>
        <w:jc w:val="left"/>
        <w:rPr>
          <w:rFonts w:hint="eastAsia" w:ascii="宋体" w:hAnsi="宋体"/>
          <w:color w:val="auto"/>
          <w:sz w:val="24"/>
          <w:highlight w:val="none"/>
        </w:rPr>
      </w:pPr>
      <w:r>
        <w:rPr>
          <w:rFonts w:hint="eastAsia" w:ascii="宋体" w:hAnsi="宋体"/>
          <w:color w:val="auto"/>
          <w:sz w:val="24"/>
          <w:highlight w:val="none"/>
        </w:rPr>
        <w:t>备注：</w:t>
      </w:r>
    </w:p>
    <w:p w14:paraId="68826944">
      <w:pPr>
        <w:widowControl/>
        <w:jc w:val="left"/>
        <w:rPr>
          <w:rFonts w:hint="eastAsia" w:ascii="宋体" w:hAnsi="宋体"/>
          <w:color w:val="auto"/>
          <w:sz w:val="24"/>
          <w:highlight w:val="none"/>
        </w:rPr>
      </w:pPr>
      <w:r>
        <w:rPr>
          <w:rFonts w:hint="eastAsia" w:ascii="宋体" w:hAnsi="宋体"/>
          <w:color w:val="auto"/>
          <w:sz w:val="24"/>
          <w:highlight w:val="none"/>
        </w:rPr>
        <w:t xml:space="preserve">1、每一项目符合的打“○”，不符合的打“×”； </w:t>
      </w:r>
    </w:p>
    <w:p w14:paraId="09E84AB0">
      <w:pPr>
        <w:widowControl/>
        <w:jc w:val="left"/>
        <w:rPr>
          <w:rFonts w:hint="eastAsia" w:ascii="宋体" w:hAnsi="宋体"/>
          <w:color w:val="auto"/>
          <w:sz w:val="24"/>
          <w:highlight w:val="none"/>
        </w:rPr>
      </w:pPr>
      <w:r>
        <w:rPr>
          <w:rFonts w:hint="eastAsia" w:ascii="宋体" w:hAnsi="宋体"/>
          <w:color w:val="auto"/>
          <w:sz w:val="24"/>
          <w:highlight w:val="none"/>
        </w:rPr>
        <w:t>2、若评委意见不一致时，则按少数服从多数的原则，作出评审结论。汇总后，出现一个“×”的结论为“不通过”。</w:t>
      </w:r>
    </w:p>
    <w:p w14:paraId="552A039C">
      <w:pPr>
        <w:widowControl/>
        <w:jc w:val="left"/>
        <w:rPr>
          <w:rFonts w:ascii="宋体" w:hAnsi="宋体"/>
          <w:color w:val="auto"/>
          <w:sz w:val="24"/>
          <w:highlight w:val="none"/>
        </w:rPr>
      </w:pPr>
      <w:r>
        <w:rPr>
          <w:rFonts w:hint="eastAsia" w:ascii="宋体" w:hAnsi="宋体"/>
          <w:color w:val="auto"/>
          <w:sz w:val="24"/>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r>
        <w:rPr>
          <w:rFonts w:ascii="宋体" w:hAnsi="宋体"/>
          <w:color w:val="auto"/>
          <w:sz w:val="24"/>
          <w:highlight w:val="none"/>
        </w:rPr>
        <w:br w:type="page"/>
      </w:r>
    </w:p>
    <w:p w14:paraId="1F06E25E">
      <w:pPr>
        <w:spacing w:line="480" w:lineRule="auto"/>
        <w:rPr>
          <w:rFonts w:hint="eastAsia" w:ascii="宋体" w:hAnsi="宋体" w:eastAsia="宋体"/>
          <w:color w:val="auto"/>
          <w:sz w:val="24"/>
          <w:highlight w:val="none"/>
          <w:lang w:eastAsia="zh-CN"/>
        </w:rPr>
      </w:pPr>
      <w:r>
        <w:rPr>
          <w:rFonts w:hint="eastAsia" w:ascii="宋体" w:hAnsi="宋体"/>
          <w:color w:val="auto"/>
          <w:sz w:val="24"/>
          <w:highlight w:val="none"/>
        </w:rPr>
        <w:t>附件</w:t>
      </w:r>
      <w:r>
        <w:rPr>
          <w:rFonts w:hint="eastAsia" w:ascii="宋体" w:hAnsi="宋体"/>
          <w:color w:val="auto"/>
          <w:sz w:val="24"/>
          <w:highlight w:val="none"/>
          <w:lang w:eastAsia="zh-CN"/>
        </w:rPr>
        <w:t>九：</w:t>
      </w:r>
    </w:p>
    <w:p w14:paraId="2AFE8DBB">
      <w:pPr>
        <w:jc w:val="center"/>
        <w:rPr>
          <w:b/>
          <w:color w:val="auto"/>
          <w:sz w:val="30"/>
          <w:szCs w:val="30"/>
          <w:highlight w:val="none"/>
        </w:rPr>
      </w:pPr>
      <w:r>
        <w:rPr>
          <w:rFonts w:hint="eastAsia"/>
          <w:b/>
          <w:color w:val="auto"/>
          <w:sz w:val="30"/>
          <w:szCs w:val="30"/>
          <w:highlight w:val="none"/>
        </w:rPr>
        <w:t>资格审查结果通知书</w:t>
      </w:r>
    </w:p>
    <w:p w14:paraId="6B96D214">
      <w:pPr>
        <w:spacing w:line="360" w:lineRule="auto"/>
        <w:ind w:firstLine="2730" w:firstLineChars="1300"/>
        <w:rPr>
          <w:color w:val="auto"/>
          <w:highlight w:val="none"/>
          <w:u w:val="single"/>
        </w:rPr>
      </w:pPr>
    </w:p>
    <w:p w14:paraId="3AB1DE41">
      <w:pPr>
        <w:spacing w:line="360" w:lineRule="auto"/>
        <w:rPr>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u w:val="single"/>
        </w:rPr>
        <w:t>投标人名称</w:t>
      </w:r>
      <w:r>
        <w:rPr>
          <w:color w:val="auto"/>
          <w:sz w:val="24"/>
          <w:szCs w:val="24"/>
          <w:highlight w:val="none"/>
          <w:u w:val="single"/>
        </w:rPr>
        <w:t xml:space="preserve">]  </w:t>
      </w:r>
    </w:p>
    <w:p w14:paraId="6CC0A086">
      <w:pPr>
        <w:spacing w:line="360" w:lineRule="auto"/>
        <w:ind w:firstLine="600"/>
        <w:rPr>
          <w:rFonts w:ascii="宋体" w:hAnsi="宋体"/>
          <w:color w:val="auto"/>
          <w:sz w:val="24"/>
          <w:szCs w:val="24"/>
          <w:highlight w:val="none"/>
        </w:rPr>
      </w:pPr>
      <w:r>
        <w:rPr>
          <w:rFonts w:hint="eastAsia" w:ascii="宋体" w:hAnsi="宋体"/>
          <w:color w:val="auto"/>
          <w:sz w:val="24"/>
          <w:szCs w:val="24"/>
          <w:highlight w:val="none"/>
        </w:rPr>
        <w:t>贵公司已参加我单位</w:t>
      </w:r>
      <w:r>
        <w:rPr>
          <w:rFonts w:hint="eastAsia" w:ascii="宋体" w:hAnsi="宋体"/>
          <w:color w:val="auto"/>
          <w:sz w:val="24"/>
          <w:szCs w:val="24"/>
          <w:highlight w:val="none"/>
          <w:u w:val="single"/>
          <w:lang w:eastAsia="zh-CN"/>
        </w:rPr>
        <w:t>广垦天河1号装修改造工程项目</w:t>
      </w:r>
      <w:r>
        <w:rPr>
          <w:rFonts w:ascii="宋体" w:hAnsi="宋体"/>
          <w:color w:val="auto"/>
          <w:sz w:val="24"/>
          <w:szCs w:val="24"/>
          <w:highlight w:val="none"/>
          <w:u w:val="single"/>
        </w:rPr>
        <w:t xml:space="preserve"> </w:t>
      </w:r>
      <w:r>
        <w:rPr>
          <w:rFonts w:hint="eastAsia" w:ascii="宋体" w:hAnsi="宋体"/>
          <w:color w:val="auto"/>
          <w:sz w:val="24"/>
          <w:szCs w:val="24"/>
          <w:highlight w:val="none"/>
        </w:rPr>
        <w:t>公开招标，</w:t>
      </w:r>
      <w:r>
        <w:rPr>
          <w:rFonts w:hint="eastAsia" w:ascii="楷体_GB2312"/>
          <w:color w:val="auto"/>
          <w:sz w:val="24"/>
          <w:szCs w:val="24"/>
          <w:highlight w:val="none"/>
        </w:rPr>
        <w:t>经资</w:t>
      </w:r>
      <w:r>
        <w:rPr>
          <w:rFonts w:hint="eastAsia" w:ascii="宋体" w:hAnsi="宋体"/>
          <w:color w:val="auto"/>
          <w:sz w:val="24"/>
          <w:szCs w:val="24"/>
          <w:highlight w:val="none"/>
        </w:rPr>
        <w:t>格审查后（获得/未获得）投标资格。感谢贵公司对我们工作的支持。</w:t>
      </w:r>
    </w:p>
    <w:p w14:paraId="013A5259">
      <w:pPr>
        <w:spacing w:line="360" w:lineRule="auto"/>
        <w:ind w:firstLine="600"/>
        <w:rPr>
          <w:rFonts w:ascii="宋体" w:hAnsi="宋体"/>
          <w:color w:val="auto"/>
          <w:sz w:val="24"/>
          <w:szCs w:val="24"/>
          <w:highlight w:val="none"/>
        </w:rPr>
      </w:pPr>
    </w:p>
    <w:p w14:paraId="22449662">
      <w:pPr>
        <w:spacing w:line="360" w:lineRule="auto"/>
        <w:ind w:firstLine="600"/>
        <w:rPr>
          <w:color w:val="auto"/>
          <w:sz w:val="24"/>
          <w:szCs w:val="24"/>
          <w:highlight w:val="none"/>
        </w:rPr>
      </w:pPr>
    </w:p>
    <w:p w14:paraId="563074A4">
      <w:pPr>
        <w:spacing w:line="360" w:lineRule="auto"/>
        <w:ind w:firstLine="600"/>
        <w:rPr>
          <w:color w:val="auto"/>
          <w:sz w:val="24"/>
          <w:szCs w:val="24"/>
          <w:highlight w:val="none"/>
        </w:rPr>
      </w:pPr>
    </w:p>
    <w:p w14:paraId="036B2B7A">
      <w:pPr>
        <w:pStyle w:val="11"/>
        <w:spacing w:line="360" w:lineRule="auto"/>
        <w:ind w:firstLine="0"/>
        <w:rPr>
          <w:color w:val="auto"/>
          <w:sz w:val="24"/>
          <w:szCs w:val="24"/>
          <w:highlight w:val="none"/>
        </w:rPr>
      </w:pPr>
      <w:r>
        <w:rPr>
          <w:rFonts w:hint="eastAsia"/>
          <w:color w:val="auto"/>
          <w:sz w:val="24"/>
          <w:szCs w:val="24"/>
          <w:highlight w:val="none"/>
        </w:rPr>
        <w:t>招标单位：</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p>
    <w:p w14:paraId="2BC61694">
      <w:pPr>
        <w:pStyle w:val="8"/>
        <w:spacing w:line="360" w:lineRule="auto"/>
        <w:rPr>
          <w:color w:val="auto"/>
          <w:sz w:val="24"/>
          <w:szCs w:val="24"/>
          <w:highlight w:val="none"/>
          <w:u w:val="single"/>
        </w:rPr>
      </w:pPr>
      <w:r>
        <w:rPr>
          <w:rFonts w:hint="eastAsia"/>
          <w:color w:val="auto"/>
          <w:sz w:val="24"/>
          <w:szCs w:val="24"/>
          <w:highlight w:val="none"/>
        </w:rPr>
        <w:t>招标代理：</w:t>
      </w:r>
      <w:r>
        <w:rPr>
          <w:color w:val="auto"/>
          <w:sz w:val="24"/>
          <w:szCs w:val="24"/>
          <w:highlight w:val="none"/>
          <w:u w:val="single"/>
        </w:rPr>
        <w:t xml:space="preserve">                              </w:t>
      </w:r>
    </w:p>
    <w:p w14:paraId="19E5B646">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7CB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45AA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345AA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DQwNWI5YzcxZmVjN2Q5MTUxYWY0ZTlkZTJlYmIifQ=="/>
  </w:docVars>
  <w:rsids>
    <w:rsidRoot w:val="76040C7B"/>
    <w:rsid w:val="028E44DA"/>
    <w:rsid w:val="029A22D5"/>
    <w:rsid w:val="033C03E9"/>
    <w:rsid w:val="043138A6"/>
    <w:rsid w:val="05B70EED"/>
    <w:rsid w:val="06AC1E40"/>
    <w:rsid w:val="0AE9455B"/>
    <w:rsid w:val="0C105FE1"/>
    <w:rsid w:val="0F155B34"/>
    <w:rsid w:val="194B373A"/>
    <w:rsid w:val="1C057BD0"/>
    <w:rsid w:val="1E933BB9"/>
    <w:rsid w:val="222A359C"/>
    <w:rsid w:val="24341D04"/>
    <w:rsid w:val="24B5572B"/>
    <w:rsid w:val="297B189A"/>
    <w:rsid w:val="2AA64C74"/>
    <w:rsid w:val="2B6E554D"/>
    <w:rsid w:val="2C7C1102"/>
    <w:rsid w:val="2CED46B0"/>
    <w:rsid w:val="2DEC5317"/>
    <w:rsid w:val="30F027A5"/>
    <w:rsid w:val="313D17BE"/>
    <w:rsid w:val="320A7B7E"/>
    <w:rsid w:val="32732DBC"/>
    <w:rsid w:val="32EC51EE"/>
    <w:rsid w:val="33FE167D"/>
    <w:rsid w:val="352D221A"/>
    <w:rsid w:val="35531555"/>
    <w:rsid w:val="35650E7F"/>
    <w:rsid w:val="373B602E"/>
    <w:rsid w:val="38231C1B"/>
    <w:rsid w:val="383513E6"/>
    <w:rsid w:val="3A1625DD"/>
    <w:rsid w:val="3AA6615A"/>
    <w:rsid w:val="3BDA29D0"/>
    <w:rsid w:val="407C5E04"/>
    <w:rsid w:val="45607FF0"/>
    <w:rsid w:val="47C82F86"/>
    <w:rsid w:val="48FB0348"/>
    <w:rsid w:val="52E33AC0"/>
    <w:rsid w:val="558620CA"/>
    <w:rsid w:val="59284BD5"/>
    <w:rsid w:val="5C1375EB"/>
    <w:rsid w:val="5C40312B"/>
    <w:rsid w:val="5DA44C28"/>
    <w:rsid w:val="5E42298B"/>
    <w:rsid w:val="5FCF5AF8"/>
    <w:rsid w:val="60771CEC"/>
    <w:rsid w:val="6081562F"/>
    <w:rsid w:val="61F45CEA"/>
    <w:rsid w:val="644B199A"/>
    <w:rsid w:val="67FD7567"/>
    <w:rsid w:val="694C142D"/>
    <w:rsid w:val="6DA24B6A"/>
    <w:rsid w:val="6F8E5619"/>
    <w:rsid w:val="752F3CC8"/>
    <w:rsid w:val="75C55694"/>
    <w:rsid w:val="76040C7B"/>
    <w:rsid w:val="763F656D"/>
    <w:rsid w:val="781D7F14"/>
    <w:rsid w:val="79AE5130"/>
    <w:rsid w:val="79FC7902"/>
    <w:rsid w:val="7C5F1F5F"/>
    <w:rsid w:val="7EDB7BBE"/>
    <w:rsid w:val="7FD8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Body Text"/>
    <w:basedOn w:val="1"/>
    <w:qFormat/>
    <w:uiPriority w:val="0"/>
    <w:pPr>
      <w:spacing w:after="120"/>
    </w:pPr>
    <w:rPr>
      <w:rFonts w:ascii="Times New Roman" w:hAnsi="Times New Roman"/>
      <w:szCs w:val="20"/>
    </w:rPr>
  </w:style>
  <w:style w:type="paragraph" w:styleId="5">
    <w:name w:val="Body Text Indent"/>
    <w:basedOn w:val="1"/>
    <w:next w:val="6"/>
    <w:qFormat/>
    <w:uiPriority w:val="0"/>
    <w:pPr>
      <w:ind w:firstLine="570"/>
    </w:pPr>
    <w:rPr>
      <w:rFonts w:ascii="Times New Roman" w:hAnsi="Times New Roman"/>
      <w:kern w:val="0"/>
      <w:sz w:val="28"/>
      <w:szCs w:val="20"/>
    </w:r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szCs w:val="20"/>
    </w:rPr>
  </w:style>
  <w:style w:type="paragraph" w:styleId="8">
    <w:name w:val="Date"/>
    <w:basedOn w:val="1"/>
    <w:next w:val="1"/>
    <w:qFormat/>
    <w:uiPriority w:val="0"/>
    <w:rPr>
      <w:rFonts w:ascii="Times New Roman" w:hAnsi="Times New Roman"/>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4"/>
    <w:qFormat/>
    <w:uiPriority w:val="0"/>
    <w:pPr>
      <w:ind w:firstLine="420"/>
    </w:pPr>
  </w:style>
  <w:style w:type="paragraph" w:styleId="12">
    <w:name w:val="Body Text First Indent 2"/>
    <w:basedOn w:val="5"/>
    <w:qFormat/>
    <w:uiPriority w:val="99"/>
    <w:pPr>
      <w:spacing w:after="120" w:line="240" w:lineRule="auto"/>
      <w:ind w:left="200" w:leftChars="200" w:firstLine="200" w:firstLineChars="200"/>
    </w:pPr>
    <w:rPr>
      <w:rFonts w:ascii="Calibri" w:hAnsi="Calibri"/>
      <w:color w:val="0D0D0D"/>
      <w:kern w:val="2"/>
      <w:sz w:val="21"/>
      <w:szCs w:val="24"/>
      <w:lang w:eastAsia="en-US"/>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qFormat/>
    <w:uiPriority w:val="0"/>
    <w:pPr>
      <w:ind w:left="4094" w:right="607" w:firstLine="0"/>
      <w:jc w:val="center"/>
    </w:pPr>
  </w:style>
  <w:style w:type="character" w:customStyle="1" w:styleId="17">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12186</Words>
  <Characters>12709</Characters>
  <Lines>0</Lines>
  <Paragraphs>0</Paragraphs>
  <TotalTime>2</TotalTime>
  <ScaleCrop>false</ScaleCrop>
  <LinksUpToDate>false</LinksUpToDate>
  <CharactersWithSpaces>12944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2024-11-11T08:07:00Z</dcterms:created>
  <dc:creator>市政监理招标代理</dc:creator>
  <cp:lastModifiedBy>市政监理招标代理</cp:lastModifiedBy>
  <cp:lastPrinted>2024-11-27T11:01:20Z</cp:lastPrinted>
  <dcterms:modified xsi:type="dcterms:W3CDTF">2024-11-27T11:02:22Z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890A2FDD581D4BC1925B444904E5DA1D_13</vt:lpwstr>
  </property>
</Properties>
</file>