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CA4A0">
      <w:pPr>
        <w:keepNext w:val="0"/>
        <w:keepLines w:val="0"/>
        <w:pageBreakBefore w:val="0"/>
        <w:kinsoku/>
        <w:overflowPunct/>
        <w:topLinePunct w:val="0"/>
        <w:autoSpaceDE/>
        <w:autoSpaceDN/>
        <w:bidi w:val="0"/>
        <w:adjustRightInd/>
        <w:snapToGrid/>
        <w:spacing w:line="360" w:lineRule="auto"/>
        <w:jc w:val="center"/>
        <w:textAlignment w:val="auto"/>
        <w:rPr>
          <w:rFonts w:hint="eastAsia"/>
          <w:b w:val="0"/>
          <w:bCs/>
          <w:color w:val="auto"/>
          <w:sz w:val="72"/>
          <w:szCs w:val="72"/>
        </w:rPr>
      </w:pPr>
      <w:r>
        <w:rPr>
          <w:rFonts w:hint="eastAsia"/>
          <w:b w:val="0"/>
          <w:bCs/>
          <w:color w:val="auto"/>
          <w:sz w:val="60"/>
          <w:szCs w:val="60"/>
        </w:rPr>
        <w:t>广垦天河1号装修改造工程项目</w:t>
      </w:r>
    </w:p>
    <w:p w14:paraId="3FD8FC6F">
      <w:pPr>
        <w:keepNext w:val="0"/>
        <w:keepLines w:val="0"/>
        <w:pageBreakBefore w:val="0"/>
        <w:kinsoku/>
        <w:overflowPunct/>
        <w:topLinePunct w:val="0"/>
        <w:autoSpaceDE/>
        <w:autoSpaceDN/>
        <w:bidi w:val="0"/>
        <w:adjustRightInd/>
        <w:snapToGrid/>
        <w:spacing w:line="360" w:lineRule="auto"/>
        <w:jc w:val="center"/>
        <w:textAlignment w:val="auto"/>
        <w:rPr>
          <w:b/>
          <w:color w:val="auto"/>
          <w:sz w:val="44"/>
        </w:rPr>
      </w:pPr>
    </w:p>
    <w:p w14:paraId="36036C80">
      <w:pPr>
        <w:keepNext w:val="0"/>
        <w:keepLines w:val="0"/>
        <w:pageBreakBefore w:val="0"/>
        <w:kinsoku/>
        <w:overflowPunct/>
        <w:topLinePunct w:val="0"/>
        <w:autoSpaceDE/>
        <w:autoSpaceDN/>
        <w:bidi w:val="0"/>
        <w:adjustRightInd/>
        <w:snapToGrid/>
        <w:spacing w:line="360" w:lineRule="auto"/>
        <w:jc w:val="center"/>
        <w:textAlignment w:val="auto"/>
        <w:rPr>
          <w:rFonts w:hint="eastAsia"/>
          <w:b/>
          <w:color w:val="auto"/>
          <w:sz w:val="72"/>
          <w:szCs w:val="72"/>
        </w:rPr>
      </w:pPr>
    </w:p>
    <w:p w14:paraId="5903413F">
      <w:pPr>
        <w:keepNext w:val="0"/>
        <w:keepLines w:val="0"/>
        <w:pageBreakBefore w:val="0"/>
        <w:kinsoku/>
        <w:overflowPunct/>
        <w:topLinePunct w:val="0"/>
        <w:autoSpaceDE/>
        <w:autoSpaceDN/>
        <w:bidi w:val="0"/>
        <w:adjustRightInd/>
        <w:snapToGrid/>
        <w:spacing w:line="360" w:lineRule="auto"/>
        <w:jc w:val="center"/>
        <w:textAlignment w:val="auto"/>
        <w:rPr>
          <w:rFonts w:hint="eastAsia"/>
          <w:b/>
          <w:color w:val="auto"/>
          <w:sz w:val="72"/>
          <w:szCs w:val="72"/>
        </w:rPr>
      </w:pPr>
    </w:p>
    <w:p w14:paraId="74FC361B">
      <w:pPr>
        <w:keepNext w:val="0"/>
        <w:keepLines w:val="0"/>
        <w:pageBreakBefore w:val="0"/>
        <w:kinsoku/>
        <w:overflowPunct/>
        <w:topLinePunct w:val="0"/>
        <w:autoSpaceDE/>
        <w:autoSpaceDN/>
        <w:bidi w:val="0"/>
        <w:adjustRightInd/>
        <w:snapToGrid/>
        <w:spacing w:line="360" w:lineRule="auto"/>
        <w:jc w:val="center"/>
        <w:textAlignment w:val="auto"/>
        <w:rPr>
          <w:rFonts w:hint="eastAsia"/>
          <w:b/>
          <w:color w:val="auto"/>
          <w:sz w:val="72"/>
          <w:szCs w:val="72"/>
        </w:rPr>
      </w:pPr>
    </w:p>
    <w:p w14:paraId="78F229C8">
      <w:pPr>
        <w:keepNext w:val="0"/>
        <w:keepLines w:val="0"/>
        <w:pageBreakBefore w:val="0"/>
        <w:kinsoku/>
        <w:overflowPunct/>
        <w:topLinePunct w:val="0"/>
        <w:autoSpaceDE/>
        <w:autoSpaceDN/>
        <w:bidi w:val="0"/>
        <w:adjustRightInd/>
        <w:snapToGrid/>
        <w:spacing w:line="360" w:lineRule="auto"/>
        <w:jc w:val="center"/>
        <w:textAlignment w:val="auto"/>
        <w:rPr>
          <w:rFonts w:hint="eastAsia" w:eastAsia="宋体"/>
          <w:b/>
          <w:color w:val="auto"/>
          <w:sz w:val="72"/>
          <w:szCs w:val="72"/>
          <w:lang w:eastAsia="zh-CN"/>
        </w:rPr>
      </w:pPr>
      <w:r>
        <w:rPr>
          <w:rFonts w:hint="eastAsia"/>
          <w:b/>
          <w:color w:val="auto"/>
          <w:sz w:val="72"/>
          <w:szCs w:val="72"/>
        </w:rPr>
        <w:t>资格预审</w:t>
      </w:r>
      <w:r>
        <w:rPr>
          <w:rFonts w:hint="eastAsia"/>
          <w:b/>
          <w:color w:val="auto"/>
          <w:sz w:val="72"/>
          <w:szCs w:val="72"/>
          <w:lang w:eastAsia="zh-CN"/>
        </w:rPr>
        <w:t>公告</w:t>
      </w:r>
    </w:p>
    <w:p w14:paraId="2399114B">
      <w:pPr>
        <w:keepNext w:val="0"/>
        <w:keepLines w:val="0"/>
        <w:pageBreakBefore w:val="0"/>
        <w:kinsoku/>
        <w:overflowPunct/>
        <w:topLinePunct w:val="0"/>
        <w:autoSpaceDE/>
        <w:autoSpaceDN/>
        <w:bidi w:val="0"/>
        <w:adjustRightInd/>
        <w:snapToGrid/>
        <w:spacing w:line="360" w:lineRule="auto"/>
        <w:jc w:val="center"/>
        <w:textAlignment w:val="auto"/>
        <w:rPr>
          <w:rFonts w:eastAsia="隶书"/>
          <w:color w:val="auto"/>
          <w:sz w:val="44"/>
        </w:rPr>
      </w:pPr>
    </w:p>
    <w:p w14:paraId="463CCEFA">
      <w:pPr>
        <w:keepNext w:val="0"/>
        <w:keepLines w:val="0"/>
        <w:pageBreakBefore w:val="0"/>
        <w:kinsoku/>
        <w:overflowPunct/>
        <w:topLinePunct w:val="0"/>
        <w:autoSpaceDE/>
        <w:autoSpaceDN/>
        <w:bidi w:val="0"/>
        <w:adjustRightInd/>
        <w:snapToGrid/>
        <w:spacing w:line="360" w:lineRule="auto"/>
        <w:jc w:val="center"/>
        <w:textAlignment w:val="auto"/>
        <w:rPr>
          <w:rFonts w:eastAsia="隶书"/>
          <w:color w:val="auto"/>
          <w:sz w:val="44"/>
        </w:rPr>
      </w:pPr>
    </w:p>
    <w:p w14:paraId="01FDE595">
      <w:pPr>
        <w:keepNext w:val="0"/>
        <w:keepLines w:val="0"/>
        <w:pageBreakBefore w:val="0"/>
        <w:kinsoku/>
        <w:overflowPunct/>
        <w:topLinePunct w:val="0"/>
        <w:autoSpaceDE/>
        <w:autoSpaceDN/>
        <w:bidi w:val="0"/>
        <w:adjustRightInd/>
        <w:snapToGrid/>
        <w:spacing w:line="360" w:lineRule="auto"/>
        <w:jc w:val="center"/>
        <w:textAlignment w:val="auto"/>
        <w:rPr>
          <w:rFonts w:eastAsia="隶书"/>
          <w:color w:val="auto"/>
          <w:sz w:val="44"/>
        </w:rPr>
      </w:pPr>
    </w:p>
    <w:p w14:paraId="72DCC050">
      <w:pPr>
        <w:keepNext w:val="0"/>
        <w:keepLines w:val="0"/>
        <w:pageBreakBefore w:val="0"/>
        <w:kinsoku/>
        <w:overflowPunct/>
        <w:topLinePunct w:val="0"/>
        <w:autoSpaceDE/>
        <w:autoSpaceDN/>
        <w:bidi w:val="0"/>
        <w:adjustRightInd/>
        <w:snapToGrid/>
        <w:spacing w:line="360" w:lineRule="auto"/>
        <w:jc w:val="center"/>
        <w:textAlignment w:val="auto"/>
        <w:rPr>
          <w:rFonts w:eastAsia="隶书"/>
          <w:color w:val="auto"/>
          <w:sz w:val="44"/>
        </w:rPr>
      </w:pPr>
    </w:p>
    <w:p w14:paraId="2FA649B9">
      <w:pPr>
        <w:keepNext w:val="0"/>
        <w:keepLines w:val="0"/>
        <w:pageBreakBefore w:val="0"/>
        <w:kinsoku/>
        <w:overflowPunct/>
        <w:topLinePunct w:val="0"/>
        <w:autoSpaceDE/>
        <w:autoSpaceDN/>
        <w:bidi w:val="0"/>
        <w:adjustRightInd/>
        <w:snapToGrid/>
        <w:spacing w:line="360" w:lineRule="auto"/>
        <w:textAlignment w:val="auto"/>
        <w:rPr>
          <w:rFonts w:ascii="宋体"/>
          <w:b/>
          <w:bCs/>
          <w:color w:val="auto"/>
          <w:sz w:val="32"/>
        </w:rPr>
      </w:pPr>
    </w:p>
    <w:p w14:paraId="520D16AE">
      <w:pPr>
        <w:keepNext w:val="0"/>
        <w:keepLines w:val="0"/>
        <w:pageBreakBefore w:val="0"/>
        <w:kinsoku/>
        <w:overflowPunct/>
        <w:topLinePunct w:val="0"/>
        <w:autoSpaceDE/>
        <w:autoSpaceDN/>
        <w:bidi w:val="0"/>
        <w:adjustRightInd/>
        <w:snapToGrid/>
        <w:spacing w:line="360" w:lineRule="auto"/>
        <w:ind w:firstLine="611" w:firstLineChars="203"/>
        <w:textAlignment w:val="auto"/>
        <w:rPr>
          <w:rFonts w:hint="eastAsia" w:ascii="宋体" w:hAnsi="宋体"/>
          <w:b/>
          <w:bCs/>
          <w:color w:val="auto"/>
          <w:sz w:val="30"/>
          <w:szCs w:val="30"/>
        </w:rPr>
      </w:pPr>
    </w:p>
    <w:p w14:paraId="35DB4D8A">
      <w:pPr>
        <w:keepNext w:val="0"/>
        <w:keepLines w:val="0"/>
        <w:pageBreakBefore w:val="0"/>
        <w:kinsoku/>
        <w:overflowPunct/>
        <w:topLinePunct w:val="0"/>
        <w:autoSpaceDE/>
        <w:autoSpaceDN/>
        <w:bidi w:val="0"/>
        <w:adjustRightInd/>
        <w:snapToGrid/>
        <w:spacing w:line="360" w:lineRule="auto"/>
        <w:ind w:firstLine="611" w:firstLineChars="203"/>
        <w:textAlignment w:val="auto"/>
        <w:rPr>
          <w:rFonts w:hint="eastAsia" w:ascii="宋体" w:hAnsi="宋体"/>
          <w:b/>
          <w:bCs/>
          <w:color w:val="auto"/>
          <w:sz w:val="30"/>
          <w:szCs w:val="30"/>
        </w:rPr>
      </w:pPr>
    </w:p>
    <w:p w14:paraId="6DEDF351">
      <w:pPr>
        <w:keepNext w:val="0"/>
        <w:keepLines w:val="0"/>
        <w:pageBreakBefore w:val="0"/>
        <w:kinsoku/>
        <w:overflowPunct/>
        <w:topLinePunct w:val="0"/>
        <w:autoSpaceDE/>
        <w:autoSpaceDN/>
        <w:bidi w:val="0"/>
        <w:adjustRightInd/>
        <w:snapToGrid/>
        <w:spacing w:line="360" w:lineRule="auto"/>
        <w:ind w:firstLine="611" w:firstLineChars="203"/>
        <w:textAlignment w:val="auto"/>
        <w:rPr>
          <w:rFonts w:hint="eastAsia" w:ascii="宋体" w:hAnsi="宋体"/>
          <w:b/>
          <w:bCs/>
          <w:color w:val="auto"/>
          <w:sz w:val="30"/>
          <w:szCs w:val="30"/>
        </w:rPr>
      </w:pPr>
    </w:p>
    <w:p w14:paraId="4061036C">
      <w:pPr>
        <w:keepNext w:val="0"/>
        <w:keepLines w:val="0"/>
        <w:pageBreakBefore w:val="0"/>
        <w:kinsoku/>
        <w:overflowPunct/>
        <w:topLinePunct w:val="0"/>
        <w:autoSpaceDE/>
        <w:autoSpaceDN/>
        <w:bidi w:val="0"/>
        <w:adjustRightInd/>
        <w:snapToGrid/>
        <w:spacing w:line="360" w:lineRule="auto"/>
        <w:ind w:firstLine="611" w:firstLineChars="203"/>
        <w:textAlignment w:val="auto"/>
        <w:rPr>
          <w:rFonts w:hint="eastAsia" w:ascii="宋体" w:hAnsi="宋体"/>
          <w:b/>
          <w:bCs/>
          <w:color w:val="auto"/>
          <w:sz w:val="30"/>
          <w:szCs w:val="30"/>
        </w:rPr>
      </w:pPr>
    </w:p>
    <w:p w14:paraId="42F78C07">
      <w:pPr>
        <w:keepNext w:val="0"/>
        <w:keepLines w:val="0"/>
        <w:pageBreakBefore w:val="0"/>
        <w:kinsoku/>
        <w:overflowPunct/>
        <w:topLinePunct w:val="0"/>
        <w:autoSpaceDE/>
        <w:autoSpaceDN/>
        <w:bidi w:val="0"/>
        <w:adjustRightInd/>
        <w:snapToGrid/>
        <w:spacing w:line="360" w:lineRule="auto"/>
        <w:ind w:firstLine="611" w:firstLineChars="203"/>
        <w:jc w:val="center"/>
        <w:textAlignment w:val="auto"/>
        <w:rPr>
          <w:rFonts w:ascii="宋体"/>
          <w:b/>
          <w:bCs/>
          <w:color w:val="auto"/>
          <w:sz w:val="30"/>
          <w:szCs w:val="30"/>
        </w:rPr>
      </w:pPr>
      <w:r>
        <w:rPr>
          <w:rFonts w:hint="eastAsia" w:ascii="宋体" w:hAnsi="宋体"/>
          <w:b/>
          <w:bCs/>
          <w:color w:val="auto"/>
          <w:sz w:val="30"/>
          <w:szCs w:val="30"/>
        </w:rPr>
        <w:t>招</w:t>
      </w:r>
      <w:r>
        <w:rPr>
          <w:rFonts w:ascii="宋体" w:hAnsi="宋体"/>
          <w:b/>
          <w:bCs/>
          <w:color w:val="auto"/>
          <w:sz w:val="30"/>
          <w:szCs w:val="30"/>
        </w:rPr>
        <w:t xml:space="preserve">   </w:t>
      </w:r>
      <w:r>
        <w:rPr>
          <w:rFonts w:hint="eastAsia" w:ascii="宋体" w:hAnsi="宋体"/>
          <w:b/>
          <w:bCs/>
          <w:color w:val="auto"/>
          <w:sz w:val="30"/>
          <w:szCs w:val="30"/>
        </w:rPr>
        <w:t>标</w:t>
      </w:r>
      <w:r>
        <w:rPr>
          <w:rFonts w:ascii="宋体" w:hAnsi="宋体"/>
          <w:b/>
          <w:bCs/>
          <w:color w:val="auto"/>
          <w:sz w:val="30"/>
          <w:szCs w:val="30"/>
        </w:rPr>
        <w:t xml:space="preserve">   </w:t>
      </w:r>
      <w:r>
        <w:rPr>
          <w:rFonts w:hint="eastAsia" w:ascii="宋体" w:hAnsi="宋体"/>
          <w:b/>
          <w:bCs/>
          <w:color w:val="auto"/>
          <w:sz w:val="30"/>
          <w:szCs w:val="30"/>
        </w:rPr>
        <w:t>人</w:t>
      </w:r>
      <w:r>
        <w:rPr>
          <w:rFonts w:ascii="宋体" w:hAnsi="宋体"/>
          <w:b/>
          <w:bCs/>
          <w:color w:val="auto"/>
          <w:sz w:val="30"/>
          <w:szCs w:val="30"/>
        </w:rPr>
        <w:t>:</w:t>
      </w:r>
      <w:r>
        <w:rPr>
          <w:rFonts w:hint="eastAsia" w:ascii="宋体" w:hAnsi="宋体"/>
          <w:b/>
          <w:bCs/>
          <w:color w:val="auto"/>
          <w:sz w:val="30"/>
          <w:szCs w:val="30"/>
          <w:u w:val="single"/>
        </w:rPr>
        <w:t>广东省信息技术应用研究所</w:t>
      </w:r>
    </w:p>
    <w:p w14:paraId="79FFAE87">
      <w:pPr>
        <w:keepNext w:val="0"/>
        <w:keepLines w:val="0"/>
        <w:pageBreakBefore w:val="0"/>
        <w:kinsoku/>
        <w:overflowPunct/>
        <w:topLinePunct w:val="0"/>
        <w:autoSpaceDE/>
        <w:autoSpaceDN/>
        <w:bidi w:val="0"/>
        <w:adjustRightInd/>
        <w:snapToGrid/>
        <w:spacing w:line="360" w:lineRule="auto"/>
        <w:ind w:firstLine="596" w:firstLineChars="198"/>
        <w:jc w:val="center"/>
        <w:textAlignment w:val="auto"/>
        <w:rPr>
          <w:rFonts w:ascii="宋体"/>
          <w:b/>
          <w:bCs/>
          <w:color w:val="auto"/>
          <w:sz w:val="30"/>
          <w:szCs w:val="30"/>
          <w:u w:val="single"/>
        </w:rPr>
      </w:pPr>
      <w:r>
        <w:rPr>
          <w:rFonts w:hint="eastAsia" w:ascii="宋体" w:hAnsi="宋体"/>
          <w:b/>
          <w:bCs/>
          <w:color w:val="auto"/>
          <w:sz w:val="30"/>
          <w:szCs w:val="30"/>
        </w:rPr>
        <w:t>招标代理机构：</w:t>
      </w:r>
      <w:r>
        <w:rPr>
          <w:rFonts w:hint="eastAsia" w:ascii="宋体" w:hAnsi="宋体"/>
          <w:b/>
          <w:bCs/>
          <w:color w:val="auto"/>
          <w:sz w:val="30"/>
          <w:szCs w:val="30"/>
          <w:u w:val="single"/>
        </w:rPr>
        <w:t>广州市市政工程监理有限公司</w:t>
      </w:r>
    </w:p>
    <w:p w14:paraId="45B5D4E2">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b/>
          <w:bCs/>
          <w:color w:val="auto"/>
          <w:sz w:val="32"/>
          <w:szCs w:val="32"/>
        </w:rPr>
      </w:pPr>
      <w:r>
        <w:rPr>
          <w:rFonts w:hint="eastAsia" w:ascii="宋体" w:hAnsi="宋体"/>
          <w:b/>
          <w:bCs/>
          <w:color w:val="auto"/>
          <w:sz w:val="32"/>
          <w:szCs w:val="32"/>
          <w:lang w:val="en-US" w:eastAsia="zh-CN"/>
        </w:rPr>
        <w:t>2024</w:t>
      </w:r>
      <w:r>
        <w:rPr>
          <w:rFonts w:hint="eastAsia" w:ascii="宋体" w:hAnsi="宋体"/>
          <w:b/>
          <w:bCs/>
          <w:color w:val="auto"/>
          <w:sz w:val="32"/>
          <w:szCs w:val="32"/>
        </w:rPr>
        <w:t>年</w:t>
      </w:r>
      <w:r>
        <w:rPr>
          <w:rFonts w:hint="eastAsia" w:ascii="宋体" w:hAnsi="宋体"/>
          <w:b/>
          <w:bCs/>
          <w:color w:val="auto"/>
          <w:sz w:val="32"/>
          <w:szCs w:val="32"/>
          <w:lang w:val="en-US" w:eastAsia="zh-CN"/>
        </w:rPr>
        <w:t>11</w:t>
      </w:r>
      <w:r>
        <w:rPr>
          <w:rFonts w:hint="eastAsia" w:ascii="宋体" w:hAnsi="宋体"/>
          <w:b/>
          <w:bCs/>
          <w:color w:val="auto"/>
          <w:sz w:val="32"/>
          <w:szCs w:val="32"/>
        </w:rPr>
        <w:t>月</w:t>
      </w:r>
    </w:p>
    <w:p w14:paraId="7FA83FB0">
      <w:pPr>
        <w:pStyle w:val="10"/>
        <w:keepNext w:val="0"/>
        <w:keepLines w:val="0"/>
        <w:pageBreakBefore w:val="0"/>
        <w:kinsoku/>
        <w:overflowPunct/>
        <w:topLinePunct w:val="0"/>
        <w:autoSpaceDE/>
        <w:autoSpaceDN/>
        <w:bidi w:val="0"/>
        <w:adjustRightInd/>
        <w:snapToGrid/>
        <w:spacing w:line="360" w:lineRule="auto"/>
        <w:jc w:val="center"/>
        <w:textAlignment w:val="auto"/>
        <w:rPr>
          <w:rFonts w:hint="eastAsia"/>
          <w:color w:val="auto"/>
          <w:sz w:val="32"/>
          <w:szCs w:val="32"/>
          <w:u w:val="none"/>
          <w:lang w:eastAsia="zh-CN"/>
        </w:rPr>
        <w:sectPr>
          <w:pgSz w:w="11906" w:h="16838"/>
          <w:pgMar w:top="1440" w:right="1800" w:bottom="1440" w:left="1800" w:header="851" w:footer="992" w:gutter="0"/>
          <w:cols w:space="425" w:num="1"/>
          <w:docGrid w:type="lines" w:linePitch="312" w:charSpace="0"/>
        </w:sectPr>
      </w:pPr>
    </w:p>
    <w:p w14:paraId="4B336C11">
      <w:pPr>
        <w:pStyle w:val="10"/>
        <w:keepNext w:val="0"/>
        <w:keepLines w:val="0"/>
        <w:pageBreakBefore w:val="0"/>
        <w:kinsoku/>
        <w:overflowPunct/>
        <w:topLinePunct w:val="0"/>
        <w:autoSpaceDE/>
        <w:autoSpaceDN/>
        <w:bidi w:val="0"/>
        <w:adjustRightInd/>
        <w:snapToGrid/>
        <w:spacing w:line="360" w:lineRule="auto"/>
        <w:jc w:val="center"/>
        <w:textAlignment w:val="auto"/>
        <w:rPr>
          <w:rFonts w:hint="eastAsia" w:eastAsia="宋体"/>
          <w:color w:val="auto"/>
          <w:sz w:val="32"/>
          <w:szCs w:val="32"/>
          <w:u w:val="none"/>
          <w:lang w:eastAsia="zh-CN"/>
        </w:rPr>
      </w:pPr>
      <w:r>
        <w:rPr>
          <w:rFonts w:hint="eastAsia"/>
          <w:color w:val="auto"/>
          <w:sz w:val="32"/>
          <w:szCs w:val="32"/>
          <w:u w:val="none"/>
          <w:lang w:eastAsia="zh-CN"/>
        </w:rPr>
        <w:t>广垦天河1号装修改造工程项目</w:t>
      </w:r>
    </w:p>
    <w:p w14:paraId="40855221">
      <w:pPr>
        <w:pStyle w:val="10"/>
        <w:keepNext w:val="0"/>
        <w:keepLines w:val="0"/>
        <w:pageBreakBefore w:val="0"/>
        <w:kinsoku/>
        <w:overflowPunct/>
        <w:topLinePunct w:val="0"/>
        <w:autoSpaceDE/>
        <w:autoSpaceDN/>
        <w:bidi w:val="0"/>
        <w:adjustRightInd/>
        <w:snapToGrid/>
        <w:spacing w:line="360" w:lineRule="auto"/>
        <w:jc w:val="center"/>
        <w:textAlignment w:val="auto"/>
        <w:rPr>
          <w:color w:val="auto"/>
          <w:sz w:val="32"/>
          <w:szCs w:val="32"/>
          <w:u w:val="none"/>
        </w:rPr>
      </w:pPr>
      <w:r>
        <w:rPr>
          <w:rFonts w:hint="eastAsia"/>
          <w:color w:val="auto"/>
          <w:sz w:val="32"/>
          <w:szCs w:val="32"/>
          <w:u w:val="none"/>
        </w:rPr>
        <w:t>资格预审公告</w:t>
      </w:r>
    </w:p>
    <w:p w14:paraId="4113888D">
      <w:pPr>
        <w:keepNext w:val="0"/>
        <w:keepLines w:val="0"/>
        <w:pageBreakBefore w:val="0"/>
        <w:kinsoku/>
        <w:overflowPunct/>
        <w:topLinePunct w:val="0"/>
        <w:autoSpaceDE/>
        <w:autoSpaceDN/>
        <w:bidi w:val="0"/>
        <w:adjustRightInd/>
        <w:snapToGrid/>
        <w:spacing w:line="360" w:lineRule="auto"/>
        <w:ind w:left="120" w:leftChars="57" w:firstLine="417" w:firstLineChars="174"/>
        <w:textAlignment w:val="auto"/>
        <w:rPr>
          <w:color w:val="auto"/>
          <w:sz w:val="24"/>
        </w:rPr>
      </w:pPr>
      <w:r>
        <w:rPr>
          <w:color w:val="auto"/>
          <w:sz w:val="24"/>
        </w:rPr>
        <w:t xml:space="preserve">  </w:t>
      </w:r>
    </w:p>
    <w:p w14:paraId="540762CF">
      <w:pPr>
        <w:keepNext w:val="0"/>
        <w:keepLines w:val="0"/>
        <w:pageBreakBefore w:val="0"/>
        <w:kinsoku/>
        <w:overflowPunct/>
        <w:topLinePunct w:val="0"/>
        <w:autoSpaceDE/>
        <w:autoSpaceDN/>
        <w:bidi w:val="0"/>
        <w:adjustRightInd/>
        <w:snapToGrid/>
        <w:spacing w:line="360" w:lineRule="auto"/>
        <w:ind w:left="120" w:leftChars="57" w:firstLine="417" w:firstLineChars="174"/>
        <w:textAlignment w:val="auto"/>
        <w:rPr>
          <w:rFonts w:ascii="宋体" w:hAnsi="宋体"/>
          <w:color w:val="auto"/>
          <w:sz w:val="24"/>
        </w:rPr>
      </w:pPr>
      <w:r>
        <w:rPr>
          <w:rFonts w:hint="eastAsia" w:ascii="宋体" w:hAnsi="宋体"/>
          <w:color w:val="auto"/>
          <w:sz w:val="24"/>
        </w:rPr>
        <w:t>根据</w:t>
      </w:r>
      <w:r>
        <w:rPr>
          <w:rFonts w:hint="eastAsia" w:ascii="宋体" w:hAnsi="宋体"/>
          <w:color w:val="auto"/>
          <w:sz w:val="24"/>
          <w:u w:val="single"/>
        </w:rPr>
        <w:t>相关文件</w:t>
      </w:r>
      <w:r>
        <w:rPr>
          <w:rFonts w:hint="eastAsia" w:ascii="宋体" w:hAnsi="宋体"/>
          <w:color w:val="auto"/>
          <w:sz w:val="24"/>
        </w:rPr>
        <w:t>批准，并且图纸和技术资料满足施工需要，</w:t>
      </w:r>
      <w:r>
        <w:rPr>
          <w:rFonts w:hint="eastAsia" w:ascii="宋体" w:hAnsi="宋体"/>
          <w:color w:val="auto"/>
          <w:sz w:val="24"/>
          <w:u w:val="single"/>
          <w:lang w:eastAsia="zh-CN"/>
        </w:rPr>
        <w:t>广东省信息技术应用研究所</w:t>
      </w:r>
      <w:r>
        <w:rPr>
          <w:rFonts w:hint="eastAsia" w:ascii="宋体" w:hAnsi="宋体"/>
          <w:color w:val="auto"/>
          <w:sz w:val="24"/>
        </w:rPr>
        <w:t>现对</w:t>
      </w:r>
      <w:r>
        <w:rPr>
          <w:rFonts w:hint="eastAsia"/>
          <w:color w:val="auto"/>
          <w:sz w:val="24"/>
          <w:u w:val="single"/>
          <w:lang w:eastAsia="zh-CN"/>
        </w:rPr>
        <w:t>广垦天河1号装修改造工程项目</w:t>
      </w:r>
      <w:r>
        <w:rPr>
          <w:rFonts w:hint="eastAsia" w:ascii="宋体" w:hAnsi="宋体"/>
          <w:color w:val="auto"/>
          <w:sz w:val="24"/>
        </w:rPr>
        <w:t>工程进行施工</w:t>
      </w:r>
      <w:r>
        <w:rPr>
          <w:rFonts w:hint="eastAsia"/>
          <w:color w:val="auto"/>
          <w:sz w:val="24"/>
          <w:lang w:eastAsia="zh-CN"/>
        </w:rPr>
        <w:t>总承包</w:t>
      </w:r>
      <w:r>
        <w:rPr>
          <w:rFonts w:hint="eastAsia" w:ascii="宋体" w:hAnsi="宋体"/>
          <w:color w:val="auto"/>
          <w:sz w:val="24"/>
        </w:rPr>
        <w:t>公开招标，选定承包人。</w:t>
      </w:r>
    </w:p>
    <w:p w14:paraId="61B62E26">
      <w:pPr>
        <w:keepNext w:val="0"/>
        <w:keepLines w:val="0"/>
        <w:pageBreakBefore w:val="0"/>
        <w:tabs>
          <w:tab w:val="center" w:pos="4415"/>
        </w:tabs>
        <w:kinsoku/>
        <w:overflowPunct/>
        <w:topLinePunct w:val="0"/>
        <w:autoSpaceDE/>
        <w:autoSpaceDN/>
        <w:bidi w:val="0"/>
        <w:adjustRightInd/>
        <w:snapToGrid/>
        <w:spacing w:line="360" w:lineRule="auto"/>
        <w:ind w:firstLine="537" w:firstLineChars="224"/>
        <w:textAlignment w:val="auto"/>
        <w:rPr>
          <w:rFonts w:hint="eastAsia" w:ascii="宋体" w:hAnsi="宋体" w:eastAsia="宋体"/>
          <w:color w:val="auto"/>
          <w:sz w:val="24"/>
          <w:u w:val="single"/>
          <w:lang w:eastAsia="zh-CN"/>
        </w:rPr>
      </w:pPr>
      <w:r>
        <w:rPr>
          <w:rFonts w:hint="eastAsia" w:ascii="宋体" w:hAnsi="宋体"/>
          <w:color w:val="auto"/>
          <w:sz w:val="24"/>
        </w:rPr>
        <w:t>一、工程名称：</w:t>
      </w:r>
      <w:r>
        <w:rPr>
          <w:rFonts w:hint="eastAsia" w:ascii="宋体" w:hAnsi="宋体"/>
          <w:color w:val="auto"/>
          <w:sz w:val="24"/>
          <w:u w:val="single"/>
          <w:lang w:eastAsia="zh-CN"/>
        </w:rPr>
        <w:t>广垦天河1号装修改造工程项目</w:t>
      </w:r>
    </w:p>
    <w:p w14:paraId="2C59D142">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ascii="宋体" w:hAnsi="宋体"/>
          <w:color w:val="auto"/>
          <w:sz w:val="24"/>
        </w:rPr>
      </w:pPr>
      <w:r>
        <w:rPr>
          <w:rFonts w:hint="eastAsia" w:ascii="宋体" w:hAnsi="宋体"/>
          <w:color w:val="auto"/>
          <w:sz w:val="24"/>
        </w:rPr>
        <w:t>二、招标单位：</w:t>
      </w:r>
      <w:r>
        <w:rPr>
          <w:rFonts w:hint="eastAsia" w:ascii="宋体" w:hAnsi="宋体"/>
          <w:color w:val="auto"/>
          <w:sz w:val="24"/>
          <w:u w:val="single"/>
        </w:rPr>
        <w:t>广东省信息技术应用研究所</w:t>
      </w:r>
    </w:p>
    <w:p w14:paraId="48C21200">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ascii="宋体" w:hAnsi="宋体"/>
          <w:color w:val="auto"/>
          <w:sz w:val="24"/>
          <w:u w:val="single"/>
        </w:rPr>
      </w:pPr>
      <w:r>
        <w:rPr>
          <w:rFonts w:ascii="宋体" w:hAnsi="宋体"/>
          <w:color w:val="auto"/>
          <w:sz w:val="24"/>
        </w:rPr>
        <w:t xml:space="preserve">    </w:t>
      </w:r>
      <w:r>
        <w:rPr>
          <w:rFonts w:hint="eastAsia" w:ascii="宋体" w:hAnsi="宋体"/>
          <w:color w:val="auto"/>
          <w:sz w:val="24"/>
        </w:rPr>
        <w:t>联系人：</w:t>
      </w:r>
      <w:r>
        <w:rPr>
          <w:rFonts w:hint="eastAsia" w:ascii="宋体" w:hAnsi="宋体"/>
          <w:color w:val="auto"/>
          <w:sz w:val="24"/>
          <w:u w:val="single"/>
        </w:rPr>
        <w:t xml:space="preserve">霍工 </w:t>
      </w:r>
      <w:r>
        <w:rPr>
          <w:rFonts w:hint="eastAsia" w:ascii="宋体" w:hAnsi="宋体"/>
          <w:color w:val="auto"/>
          <w:sz w:val="24"/>
          <w:u w:val="none"/>
        </w:rPr>
        <w:t xml:space="preserve">    联系电话：</w:t>
      </w:r>
      <w:r>
        <w:rPr>
          <w:rFonts w:hint="eastAsia" w:ascii="宋体" w:hAnsi="宋体"/>
          <w:color w:val="auto"/>
          <w:sz w:val="24"/>
          <w:u w:val="single"/>
        </w:rPr>
        <w:t>02037282786</w:t>
      </w:r>
      <w:r>
        <w:rPr>
          <w:rFonts w:ascii="宋体" w:hAnsi="宋体"/>
          <w:color w:val="auto"/>
          <w:sz w:val="24"/>
          <w:u w:val="single"/>
        </w:rPr>
        <w:t xml:space="preserve"> </w:t>
      </w:r>
    </w:p>
    <w:p w14:paraId="7A712A41">
      <w:pPr>
        <w:keepNext w:val="0"/>
        <w:keepLines w:val="0"/>
        <w:pageBreakBefore w:val="0"/>
        <w:kinsoku/>
        <w:overflowPunct/>
        <w:topLinePunct w:val="0"/>
        <w:autoSpaceDE/>
        <w:autoSpaceDN/>
        <w:bidi w:val="0"/>
        <w:adjustRightInd/>
        <w:snapToGrid/>
        <w:spacing w:line="360" w:lineRule="auto"/>
        <w:ind w:firstLine="960" w:firstLineChars="400"/>
        <w:textAlignment w:val="auto"/>
        <w:rPr>
          <w:rFonts w:ascii="宋体" w:hAnsi="宋体"/>
          <w:color w:val="auto"/>
          <w:sz w:val="24"/>
          <w:u w:val="single"/>
        </w:rPr>
      </w:pPr>
      <w:r>
        <w:rPr>
          <w:rFonts w:hint="eastAsia" w:ascii="宋体" w:hAnsi="宋体"/>
          <w:color w:val="auto"/>
          <w:sz w:val="24"/>
          <w:u w:val="none"/>
        </w:rPr>
        <w:t>联系地址：</w:t>
      </w:r>
      <w:r>
        <w:rPr>
          <w:rFonts w:hint="eastAsia" w:ascii="宋体" w:hAnsi="宋体"/>
          <w:color w:val="auto"/>
          <w:sz w:val="24"/>
          <w:u w:val="single"/>
        </w:rPr>
        <w:t>广州市黄埔大道君紫花园14号603房</w:t>
      </w:r>
    </w:p>
    <w:p w14:paraId="373C04B0">
      <w:pPr>
        <w:keepNext w:val="0"/>
        <w:keepLines w:val="0"/>
        <w:pageBreakBefore w:val="0"/>
        <w:kinsoku/>
        <w:overflowPunct/>
        <w:topLinePunct w:val="0"/>
        <w:autoSpaceDE/>
        <w:autoSpaceDN/>
        <w:bidi w:val="0"/>
        <w:adjustRightInd/>
        <w:snapToGrid/>
        <w:spacing w:line="360" w:lineRule="auto"/>
        <w:ind w:firstLine="1015" w:firstLineChars="423"/>
        <w:textAlignment w:val="auto"/>
        <w:rPr>
          <w:rFonts w:hint="eastAsia" w:ascii="宋体" w:hAnsi="宋体"/>
          <w:color w:val="auto"/>
          <w:sz w:val="24"/>
          <w:u w:val="single"/>
        </w:rPr>
      </w:pPr>
      <w:r>
        <w:rPr>
          <w:rFonts w:hint="eastAsia" w:ascii="宋体" w:hAnsi="宋体"/>
          <w:color w:val="auto"/>
          <w:sz w:val="24"/>
        </w:rPr>
        <w:t>招标代理机构：</w:t>
      </w:r>
      <w:r>
        <w:rPr>
          <w:rFonts w:hint="eastAsia" w:ascii="宋体" w:hAnsi="宋体"/>
          <w:color w:val="auto"/>
          <w:sz w:val="24"/>
          <w:u w:val="single"/>
        </w:rPr>
        <w:t>广州市市政工程监理有限公司</w:t>
      </w:r>
    </w:p>
    <w:p w14:paraId="64078B93">
      <w:pPr>
        <w:keepNext w:val="0"/>
        <w:keepLines w:val="0"/>
        <w:pageBreakBefore w:val="0"/>
        <w:kinsoku/>
        <w:overflowPunct/>
        <w:topLinePunct w:val="0"/>
        <w:autoSpaceDE/>
        <w:autoSpaceDN/>
        <w:bidi w:val="0"/>
        <w:adjustRightInd/>
        <w:snapToGrid/>
        <w:spacing w:line="360" w:lineRule="auto"/>
        <w:ind w:firstLine="1015" w:firstLineChars="423"/>
        <w:textAlignment w:val="auto"/>
        <w:rPr>
          <w:rFonts w:hint="eastAsia" w:ascii="宋体" w:hAnsi="宋体"/>
          <w:color w:val="auto"/>
          <w:sz w:val="24"/>
        </w:rPr>
      </w:pPr>
      <w:r>
        <w:rPr>
          <w:rFonts w:hint="eastAsia" w:ascii="宋体" w:hAnsi="宋体"/>
          <w:color w:val="auto"/>
          <w:sz w:val="24"/>
        </w:rPr>
        <w:t>联系人：</w:t>
      </w:r>
      <w:r>
        <w:rPr>
          <w:rFonts w:hint="eastAsia" w:ascii="宋体" w:hAnsi="宋体"/>
          <w:color w:val="auto"/>
          <w:sz w:val="24"/>
          <w:u w:val="single"/>
        </w:rPr>
        <w:t xml:space="preserve"> 王工</w:t>
      </w:r>
      <w:r>
        <w:rPr>
          <w:rFonts w:hint="eastAsia" w:ascii="宋体" w:hAnsi="宋体"/>
          <w:color w:val="auto"/>
          <w:sz w:val="24"/>
        </w:rPr>
        <w:t xml:space="preserve">       联系电话：</w:t>
      </w:r>
      <w:r>
        <w:rPr>
          <w:rFonts w:hint="eastAsia" w:ascii="宋体" w:hAnsi="宋体"/>
          <w:color w:val="auto"/>
          <w:sz w:val="24"/>
          <w:u w:val="single"/>
        </w:rPr>
        <w:t>020-83313605/15999972824</w:t>
      </w:r>
    </w:p>
    <w:p w14:paraId="21DC84D1">
      <w:pPr>
        <w:keepNext w:val="0"/>
        <w:keepLines w:val="0"/>
        <w:pageBreakBefore w:val="0"/>
        <w:kinsoku/>
        <w:overflowPunct/>
        <w:topLinePunct w:val="0"/>
        <w:autoSpaceDE/>
        <w:autoSpaceDN/>
        <w:bidi w:val="0"/>
        <w:adjustRightInd/>
        <w:snapToGrid/>
        <w:spacing w:line="360" w:lineRule="auto"/>
        <w:ind w:firstLine="1015" w:firstLineChars="423"/>
        <w:textAlignment w:val="auto"/>
        <w:rPr>
          <w:rFonts w:ascii="宋体" w:hAnsi="宋体"/>
          <w:color w:val="auto"/>
          <w:sz w:val="24"/>
        </w:rPr>
      </w:pPr>
      <w:r>
        <w:rPr>
          <w:rFonts w:hint="eastAsia" w:ascii="宋体" w:hAnsi="宋体"/>
          <w:color w:val="auto"/>
          <w:sz w:val="24"/>
        </w:rPr>
        <w:t>联系地址：</w:t>
      </w:r>
      <w:r>
        <w:rPr>
          <w:rFonts w:hint="eastAsia" w:ascii="宋体" w:hAnsi="宋体"/>
          <w:color w:val="auto"/>
          <w:sz w:val="24"/>
          <w:u w:val="single"/>
        </w:rPr>
        <w:t>广州市越秀区东风中路437号越秀城市广场南塔38楼</w:t>
      </w:r>
      <w:r>
        <w:rPr>
          <w:rFonts w:hint="eastAsia" w:ascii="宋体" w:hAnsi="宋体"/>
          <w:color w:val="auto"/>
          <w:sz w:val="24"/>
        </w:rPr>
        <w:t xml:space="preserve">  </w:t>
      </w:r>
      <w:r>
        <w:rPr>
          <w:rFonts w:ascii="宋体" w:hAnsi="宋体"/>
          <w:color w:val="auto"/>
          <w:sz w:val="24"/>
        </w:rPr>
        <w:t xml:space="preserve">  </w:t>
      </w:r>
    </w:p>
    <w:p w14:paraId="2B7744B0">
      <w:pPr>
        <w:keepNext w:val="0"/>
        <w:keepLines w:val="0"/>
        <w:pageBreakBefore w:val="0"/>
        <w:kinsoku/>
        <w:overflowPunct/>
        <w:topLinePunct w:val="0"/>
        <w:autoSpaceDE/>
        <w:autoSpaceDN/>
        <w:bidi w:val="0"/>
        <w:adjustRightInd/>
        <w:snapToGrid/>
        <w:spacing w:line="360" w:lineRule="auto"/>
        <w:ind w:firstLine="1015" w:firstLineChars="423"/>
        <w:textAlignment w:val="auto"/>
        <w:rPr>
          <w:rFonts w:ascii="宋体" w:hAnsi="宋体"/>
          <w:color w:val="auto"/>
          <w:sz w:val="24"/>
          <w:u w:val="single"/>
        </w:rPr>
      </w:pPr>
      <w:r>
        <w:rPr>
          <w:rFonts w:hint="eastAsia" w:ascii="宋体" w:hAnsi="宋体"/>
          <w:color w:val="auto"/>
          <w:sz w:val="24"/>
        </w:rPr>
        <w:t>招标监督机构：</w:t>
      </w:r>
      <w:r>
        <w:rPr>
          <w:rFonts w:hint="eastAsia" w:ascii="宋体" w:hAnsi="宋体"/>
          <w:color w:val="auto"/>
          <w:sz w:val="24"/>
          <w:u w:val="single"/>
        </w:rPr>
        <w:t>广东省信息技术应用研究所</w:t>
      </w:r>
    </w:p>
    <w:p w14:paraId="35FC278E">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ascii="宋体" w:hAnsi="宋体"/>
          <w:color w:val="auto"/>
          <w:sz w:val="24"/>
          <w:u w:val="single"/>
        </w:rPr>
      </w:pPr>
      <w:r>
        <w:rPr>
          <w:rFonts w:ascii="宋体" w:hAnsi="宋体"/>
          <w:color w:val="auto"/>
          <w:sz w:val="24"/>
        </w:rPr>
        <w:t xml:space="preserve">    </w:t>
      </w:r>
      <w:r>
        <w:rPr>
          <w:rFonts w:hint="eastAsia" w:ascii="宋体" w:hAnsi="宋体"/>
          <w:color w:val="auto"/>
          <w:sz w:val="24"/>
        </w:rPr>
        <w:t>监督电话：</w:t>
      </w:r>
      <w:r>
        <w:rPr>
          <w:rFonts w:hint="eastAsia" w:ascii="宋体" w:hAnsi="宋体"/>
          <w:color w:val="auto"/>
          <w:sz w:val="24"/>
          <w:u w:val="single"/>
        </w:rPr>
        <w:t>02037282786</w:t>
      </w:r>
    </w:p>
    <w:p w14:paraId="37E969F2">
      <w:pPr>
        <w:keepNext w:val="0"/>
        <w:keepLines w:val="0"/>
        <w:pageBreakBefore w:val="0"/>
        <w:kinsoku/>
        <w:overflowPunct/>
        <w:topLinePunct w:val="0"/>
        <w:autoSpaceDE/>
        <w:autoSpaceDN/>
        <w:bidi w:val="0"/>
        <w:adjustRightInd/>
        <w:snapToGrid/>
        <w:spacing w:line="360" w:lineRule="auto"/>
        <w:ind w:firstLine="960" w:firstLineChars="400"/>
        <w:textAlignment w:val="auto"/>
        <w:rPr>
          <w:rFonts w:hint="eastAsia" w:ascii="宋体" w:hAnsi="宋体"/>
          <w:color w:val="auto"/>
          <w:sz w:val="24"/>
          <w:u w:val="single"/>
        </w:rPr>
      </w:pPr>
      <w:r>
        <w:rPr>
          <w:rFonts w:hint="eastAsia" w:ascii="宋体" w:hAnsi="宋体"/>
          <w:color w:val="auto"/>
          <w:sz w:val="24"/>
          <w:u w:val="none"/>
        </w:rPr>
        <w:t>联系地址：</w:t>
      </w:r>
      <w:r>
        <w:rPr>
          <w:rFonts w:hint="eastAsia" w:ascii="宋体" w:hAnsi="宋体"/>
          <w:color w:val="auto"/>
          <w:sz w:val="24"/>
          <w:u w:val="single"/>
        </w:rPr>
        <w:t>广州市黄埔大道君紫花园14号603房</w:t>
      </w:r>
    </w:p>
    <w:p w14:paraId="02F7ECF6">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ascii="宋体"/>
          <w:color w:val="auto"/>
          <w:sz w:val="24"/>
          <w:u w:val="single"/>
        </w:rPr>
      </w:pPr>
      <w:r>
        <w:rPr>
          <w:rFonts w:hint="eastAsia" w:ascii="宋体" w:hAnsi="宋体"/>
          <w:color w:val="auto"/>
          <w:sz w:val="24"/>
        </w:rPr>
        <w:t>三、建设地点：</w:t>
      </w:r>
      <w:r>
        <w:rPr>
          <w:rFonts w:hint="eastAsia" w:ascii="宋体" w:hAnsi="宋体"/>
          <w:color w:val="auto"/>
          <w:sz w:val="24"/>
          <w:u w:val="single"/>
        </w:rPr>
        <w:t>广州市天河区燕园路36号观云大厦17-22层</w:t>
      </w:r>
    </w:p>
    <w:p w14:paraId="65E1F69F">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hint="eastAsia" w:ascii="宋体" w:eastAsia="宋体"/>
          <w:color w:val="auto"/>
          <w:sz w:val="24"/>
          <w:lang w:eastAsia="zh-CN"/>
        </w:rPr>
      </w:pPr>
      <w:r>
        <w:rPr>
          <w:rFonts w:hint="eastAsia" w:ascii="宋体" w:hAnsi="宋体"/>
          <w:color w:val="auto"/>
          <w:sz w:val="24"/>
        </w:rPr>
        <w:t>四、项目概况</w:t>
      </w:r>
      <w:r>
        <w:rPr>
          <w:rFonts w:hint="eastAsia" w:ascii="宋体" w:hAnsi="宋体"/>
          <w:color w:val="auto"/>
          <w:sz w:val="24"/>
          <w:lang w:eastAsia="zh-CN"/>
        </w:rPr>
        <w:t>：本项目位于广州市天河区燕园路36号观云大厦17-22层，共172套公寓房室内装修，建筑面积：6233㎡（含公摊）。（详见图纸和工程清单）</w:t>
      </w:r>
    </w:p>
    <w:p w14:paraId="3AA36DAA">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hint="eastAsia" w:ascii="宋体" w:hAnsi="宋体"/>
          <w:color w:val="auto"/>
          <w:sz w:val="24"/>
        </w:rPr>
      </w:pPr>
      <w:r>
        <w:rPr>
          <w:rFonts w:hint="eastAsia" w:ascii="宋体" w:hAnsi="宋体"/>
          <w:color w:val="auto"/>
          <w:sz w:val="24"/>
        </w:rPr>
        <w:t>五、标段划分及各标段招标内容、规模和最高投标限价：</w:t>
      </w:r>
    </w:p>
    <w:p w14:paraId="22012CC1">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hint="eastAsia" w:ascii="宋体" w:hAnsi="宋体"/>
          <w:color w:val="auto"/>
          <w:sz w:val="24"/>
          <w:u w:val="none"/>
        </w:rPr>
      </w:pPr>
      <w:r>
        <w:rPr>
          <w:rFonts w:hint="eastAsia" w:ascii="宋体" w:hAnsi="宋体"/>
          <w:color w:val="auto"/>
          <w:sz w:val="24"/>
          <w:u w:val="none"/>
        </w:rPr>
        <w:t>1、本工程划分为</w:t>
      </w:r>
      <w:r>
        <w:rPr>
          <w:rFonts w:hint="eastAsia" w:ascii="宋体" w:hAnsi="宋体"/>
          <w:color w:val="auto"/>
          <w:sz w:val="24"/>
          <w:u w:val="single"/>
        </w:rPr>
        <w:t xml:space="preserve"> 1 </w:t>
      </w:r>
      <w:r>
        <w:rPr>
          <w:rFonts w:hint="eastAsia" w:ascii="宋体" w:hAnsi="宋体"/>
          <w:color w:val="auto"/>
          <w:sz w:val="24"/>
          <w:u w:val="none"/>
        </w:rPr>
        <w:t>个标段。</w:t>
      </w:r>
    </w:p>
    <w:p w14:paraId="1AA54A4B">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hint="eastAsia" w:ascii="宋体" w:hAnsi="宋体"/>
          <w:color w:val="auto"/>
          <w:sz w:val="24"/>
          <w:u w:val="single"/>
        </w:rPr>
      </w:pPr>
      <w:r>
        <w:rPr>
          <w:rFonts w:hint="eastAsia" w:ascii="宋体" w:hAnsi="宋体"/>
          <w:color w:val="auto"/>
          <w:sz w:val="24"/>
          <w:u w:val="none"/>
        </w:rPr>
        <w:t>2、本次招标规模：</w:t>
      </w:r>
      <w:r>
        <w:rPr>
          <w:rFonts w:hint="eastAsia" w:ascii="宋体" w:hAnsi="宋体"/>
          <w:color w:val="auto"/>
          <w:sz w:val="24"/>
          <w:u w:val="single"/>
        </w:rPr>
        <w:t>本项目位于广州市天河区燕园路36号观云大厦17-22层，共172套公寓房室内装修，建筑面积：6233㎡（含公摊）。（详见图纸和工程清单）</w:t>
      </w:r>
    </w:p>
    <w:p w14:paraId="4C2BA00B">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hint="eastAsia" w:ascii="宋体" w:hAnsi="宋体"/>
          <w:color w:val="auto"/>
          <w:sz w:val="24"/>
          <w:u w:val="single"/>
        </w:rPr>
      </w:pPr>
      <w:r>
        <w:rPr>
          <w:rFonts w:hint="eastAsia" w:ascii="宋体" w:hAnsi="宋体"/>
          <w:color w:val="auto"/>
          <w:sz w:val="24"/>
          <w:u w:val="none"/>
        </w:rPr>
        <w:t>3、招标内容</w:t>
      </w:r>
      <w:r>
        <w:rPr>
          <w:rFonts w:hint="eastAsia" w:ascii="宋体" w:hAnsi="宋体"/>
          <w:color w:val="auto"/>
          <w:sz w:val="24"/>
          <w:u w:val="single"/>
        </w:rPr>
        <w:t>：负责本项目的现状摸查、施工及工程竣工验收（招标人原因除外）等工作，包括但不限于以下内容：</w:t>
      </w:r>
      <w:bookmarkStart w:id="16" w:name="_GoBack"/>
      <w:bookmarkEnd w:id="16"/>
    </w:p>
    <w:p w14:paraId="1EBAF216">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hint="eastAsia" w:ascii="宋体" w:hAnsi="宋体"/>
          <w:color w:val="auto"/>
          <w:sz w:val="24"/>
          <w:u w:val="single"/>
        </w:rPr>
      </w:pPr>
      <w:r>
        <w:rPr>
          <w:rFonts w:hint="eastAsia" w:ascii="宋体" w:hAnsi="宋体"/>
          <w:color w:val="auto"/>
          <w:sz w:val="24"/>
          <w:u w:val="none"/>
          <w:lang w:val="en-US" w:eastAsia="zh-CN"/>
        </w:rPr>
        <w:t>1</w:t>
      </w:r>
      <w:r>
        <w:rPr>
          <w:rFonts w:hint="eastAsia" w:ascii="宋体" w:hAnsi="宋体"/>
          <w:color w:val="auto"/>
          <w:sz w:val="24"/>
          <w:u w:val="none"/>
          <w:lang w:eastAsia="zh-CN"/>
        </w:rPr>
        <w:t>）</w:t>
      </w:r>
      <w:r>
        <w:rPr>
          <w:rFonts w:hint="eastAsia" w:ascii="宋体" w:hAnsi="宋体"/>
          <w:color w:val="auto"/>
          <w:sz w:val="24"/>
          <w:u w:val="none"/>
        </w:rPr>
        <w:t>按照合同约定的范围和经施工图审查合格后的施工图进行施工总承包，范围主要包括</w:t>
      </w:r>
      <w:r>
        <w:rPr>
          <w:rFonts w:hint="eastAsia" w:ascii="宋体" w:hAnsi="宋体"/>
          <w:color w:val="auto"/>
          <w:sz w:val="24"/>
          <w:u w:val="single"/>
        </w:rPr>
        <w:t>：</w:t>
      </w:r>
    </w:p>
    <w:p w14:paraId="725AF676">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hint="eastAsia" w:ascii="宋体" w:hAnsi="宋体"/>
          <w:color w:val="auto"/>
          <w:sz w:val="24"/>
          <w:u w:val="single"/>
        </w:rPr>
      </w:pPr>
      <w:r>
        <w:rPr>
          <w:rFonts w:hint="eastAsia" w:ascii="宋体" w:hAnsi="宋体"/>
          <w:color w:val="auto"/>
          <w:sz w:val="24"/>
          <w:u w:val="none"/>
        </w:rPr>
        <w:t>（1）</w:t>
      </w:r>
      <w:r>
        <w:rPr>
          <w:rFonts w:hint="eastAsia" w:ascii="宋体" w:hAnsi="宋体"/>
          <w:color w:val="auto"/>
          <w:sz w:val="24"/>
          <w:u w:val="single"/>
        </w:rPr>
        <w:t>负责本项目拆除、临时围蔽、防护等工程的施工工作。</w:t>
      </w:r>
    </w:p>
    <w:p w14:paraId="7CBEE033">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hint="eastAsia" w:ascii="宋体" w:hAnsi="宋体"/>
          <w:color w:val="auto"/>
          <w:sz w:val="24"/>
          <w:u w:val="single"/>
        </w:rPr>
      </w:pPr>
      <w:r>
        <w:rPr>
          <w:rFonts w:hint="eastAsia" w:ascii="宋体" w:hAnsi="宋体"/>
          <w:color w:val="auto"/>
          <w:sz w:val="24"/>
          <w:u w:val="none"/>
        </w:rPr>
        <w:t>（2）</w:t>
      </w:r>
      <w:r>
        <w:rPr>
          <w:rFonts w:hint="eastAsia" w:ascii="宋体" w:hAnsi="宋体"/>
          <w:color w:val="auto"/>
          <w:sz w:val="24"/>
          <w:u w:val="single"/>
        </w:rPr>
        <w:t>负责的建设内容，包括以下工作：室内装饰装修工程、给排水工程、电气工程、场地准备及临时设施工程等。</w:t>
      </w:r>
    </w:p>
    <w:p w14:paraId="6645970A">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hint="eastAsia" w:ascii="宋体" w:hAnsi="宋体"/>
          <w:color w:val="auto"/>
          <w:sz w:val="24"/>
          <w:u w:val="single"/>
        </w:rPr>
      </w:pPr>
      <w:r>
        <w:rPr>
          <w:rFonts w:hint="eastAsia" w:ascii="宋体" w:hAnsi="宋体"/>
          <w:color w:val="auto"/>
          <w:sz w:val="24"/>
          <w:u w:val="none"/>
        </w:rPr>
        <w:t>（3）</w:t>
      </w:r>
      <w:r>
        <w:rPr>
          <w:rFonts w:hint="eastAsia" w:ascii="宋体" w:hAnsi="宋体"/>
          <w:color w:val="auto"/>
          <w:sz w:val="24"/>
          <w:u w:val="single"/>
        </w:rPr>
        <w:t>负责设计变更（含造价分析）及现场技术</w:t>
      </w:r>
      <w:r>
        <w:rPr>
          <w:rFonts w:hint="eastAsia" w:ascii="宋体" w:hAnsi="宋体"/>
          <w:color w:val="auto"/>
          <w:sz w:val="24"/>
          <w:u w:val="single"/>
          <w:lang w:val="en-US" w:eastAsia="zh-CN"/>
        </w:rPr>
        <w:t>支持</w:t>
      </w:r>
      <w:r>
        <w:rPr>
          <w:rFonts w:hint="eastAsia" w:ascii="宋体" w:hAnsi="宋体"/>
          <w:color w:val="auto"/>
          <w:sz w:val="24"/>
          <w:u w:val="single"/>
        </w:rPr>
        <w:t>。</w:t>
      </w:r>
    </w:p>
    <w:p w14:paraId="44EC898C">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hint="eastAsia" w:ascii="宋体" w:hAnsi="宋体"/>
          <w:color w:val="auto"/>
          <w:sz w:val="24"/>
          <w:u w:val="single"/>
        </w:rPr>
      </w:pPr>
      <w:r>
        <w:rPr>
          <w:rFonts w:hint="eastAsia" w:ascii="宋体" w:hAnsi="宋体"/>
          <w:color w:val="auto"/>
          <w:sz w:val="24"/>
          <w:u w:val="none"/>
        </w:rPr>
        <w:t>（4）</w:t>
      </w:r>
      <w:r>
        <w:rPr>
          <w:rFonts w:hint="eastAsia" w:ascii="宋体" w:hAnsi="宋体"/>
          <w:color w:val="auto"/>
          <w:sz w:val="24"/>
          <w:u w:val="single"/>
        </w:rPr>
        <w:t>负责协助招标人办理工程开工及验收所需的各项手续，包括但不限于协助招标人分项分部工程验收、环保验收、消防验收、质量验收等工作。</w:t>
      </w:r>
    </w:p>
    <w:p w14:paraId="6E84B56E">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hint="eastAsia" w:ascii="宋体" w:hAnsi="宋体"/>
          <w:color w:val="auto"/>
          <w:sz w:val="24"/>
          <w:u w:val="single"/>
        </w:rPr>
      </w:pPr>
      <w:r>
        <w:rPr>
          <w:rFonts w:hint="eastAsia" w:ascii="宋体" w:hAnsi="宋体"/>
          <w:color w:val="auto"/>
          <w:sz w:val="24"/>
          <w:u w:val="none"/>
        </w:rPr>
        <w:t>（5）</w:t>
      </w:r>
      <w:r>
        <w:rPr>
          <w:rFonts w:hint="eastAsia" w:ascii="宋体" w:hAnsi="宋体"/>
          <w:color w:val="auto"/>
          <w:sz w:val="24"/>
          <w:u w:val="single"/>
        </w:rPr>
        <w:t>完成按有关规定应由中标人负责的检验监测工作及配合招标人委托的第三方检测工作（第三方的检测费用由招标人负责）。</w:t>
      </w:r>
    </w:p>
    <w:p w14:paraId="31387DD9">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hint="eastAsia" w:ascii="宋体" w:hAnsi="宋体"/>
          <w:color w:val="auto"/>
          <w:sz w:val="24"/>
          <w:u w:val="single"/>
        </w:rPr>
      </w:pPr>
      <w:r>
        <w:rPr>
          <w:rFonts w:hint="eastAsia" w:ascii="宋体" w:hAnsi="宋体"/>
          <w:color w:val="auto"/>
          <w:sz w:val="24"/>
          <w:u w:val="none"/>
        </w:rPr>
        <w:t>（6）</w:t>
      </w:r>
      <w:r>
        <w:rPr>
          <w:rFonts w:hint="eastAsia" w:ascii="宋体" w:hAnsi="宋体"/>
          <w:color w:val="auto"/>
          <w:sz w:val="24"/>
          <w:u w:val="single"/>
        </w:rPr>
        <w:t>负责施工期间至移交前的场地管理、保安、保洁、防噪音、防扬尘等管理工作；负责建筑垃圾外运工作；保证污水排放不得影响周边环境；配合招标人做好各项迎检工作，对场地进行清扫和布置。</w:t>
      </w:r>
    </w:p>
    <w:p w14:paraId="1A1EFCDF">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hint="eastAsia" w:ascii="宋体" w:hAnsi="宋体"/>
          <w:color w:val="auto"/>
          <w:sz w:val="24"/>
          <w:u w:val="single"/>
        </w:rPr>
      </w:pPr>
      <w:r>
        <w:rPr>
          <w:rFonts w:hint="eastAsia" w:ascii="宋体" w:hAnsi="宋体"/>
          <w:color w:val="auto"/>
          <w:sz w:val="24"/>
          <w:u w:val="none"/>
        </w:rPr>
        <w:t>（7）</w:t>
      </w:r>
      <w:r>
        <w:rPr>
          <w:rFonts w:hint="eastAsia" w:ascii="宋体" w:hAnsi="宋体"/>
          <w:color w:val="auto"/>
          <w:sz w:val="24"/>
          <w:u w:val="single"/>
        </w:rPr>
        <w:t>组织本项目的整体竣工验收及备案和整体工程资料汇总及整理归档工作，包括结算资料整理汇总；在本工程范围内工程资料正式移交给招标人及相关建设主管部门之前所产生的费用均包括在本合同价款中。（详见图纸和工程清单）</w:t>
      </w:r>
    </w:p>
    <w:p w14:paraId="15398359">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ascii="宋体" w:hAnsi="宋体"/>
          <w:color w:val="auto"/>
          <w:sz w:val="24"/>
          <w:highlight w:val="none"/>
          <w:u w:val="none"/>
        </w:rPr>
      </w:pPr>
      <w:r>
        <w:rPr>
          <w:rFonts w:hint="eastAsia" w:ascii="宋体" w:hAnsi="宋体"/>
          <w:color w:val="auto"/>
          <w:sz w:val="24"/>
          <w:highlight w:val="none"/>
          <w:u w:val="none"/>
        </w:rPr>
        <w:t>4、最高投标限价：</w:t>
      </w:r>
      <w:r>
        <w:rPr>
          <w:rFonts w:hint="eastAsia" w:ascii="宋体" w:hAnsi="宋体"/>
          <w:color w:val="auto"/>
          <w:sz w:val="24"/>
          <w:highlight w:val="none"/>
          <w:u w:val="single"/>
          <w:lang w:val="en-US" w:eastAsia="zh-CN"/>
        </w:rPr>
        <w:t>13484619.46</w:t>
      </w:r>
      <w:r>
        <w:rPr>
          <w:rFonts w:hint="eastAsia" w:ascii="宋体" w:hAnsi="宋体"/>
          <w:color w:val="auto"/>
          <w:sz w:val="24"/>
          <w:highlight w:val="none"/>
          <w:u w:val="none"/>
        </w:rPr>
        <w:t>元。</w:t>
      </w:r>
    </w:p>
    <w:p w14:paraId="488B452E">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ascii="宋体"/>
          <w:color w:val="auto"/>
          <w:sz w:val="24"/>
        </w:rPr>
      </w:pPr>
      <w:r>
        <w:rPr>
          <w:rFonts w:hint="eastAsia" w:ascii="宋体" w:hAnsi="宋体"/>
          <w:color w:val="auto"/>
          <w:sz w:val="24"/>
        </w:rPr>
        <w:t>注：两个或两个以上标段的，应明确允许兼中或不兼中时，明确对项目负责人的数量要求。对于包含两个或两个以上专业的招标项目，应分别明确各专业对应的招标内容、规模和最高投标限价的专业组成费用。</w:t>
      </w:r>
    </w:p>
    <w:p w14:paraId="50DBF969">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hint="eastAsia" w:ascii="宋体" w:hAnsi="宋体" w:eastAsia="宋体"/>
          <w:color w:val="auto"/>
          <w:sz w:val="24"/>
          <w:u w:val="none"/>
          <w:lang w:eastAsia="zh-CN"/>
        </w:rPr>
      </w:pPr>
      <w:r>
        <w:rPr>
          <w:rFonts w:hint="eastAsia" w:ascii="宋体" w:hAnsi="宋体"/>
          <w:color w:val="auto"/>
          <w:sz w:val="24"/>
        </w:rPr>
        <w:t>六、资金来源：</w:t>
      </w:r>
      <w:r>
        <w:rPr>
          <w:rFonts w:hint="eastAsia" w:ascii="宋体" w:hAnsi="宋体"/>
          <w:color w:val="auto"/>
          <w:sz w:val="24"/>
          <w:u w:val="single"/>
        </w:rPr>
        <w:t>自筹资金</w:t>
      </w:r>
      <w:r>
        <w:rPr>
          <w:rFonts w:hint="eastAsia" w:ascii="宋体" w:hAnsi="宋体"/>
          <w:color w:val="auto"/>
          <w:sz w:val="24"/>
          <w:u w:val="none"/>
          <w:lang w:eastAsia="zh-CN"/>
        </w:rPr>
        <w:t>。</w:t>
      </w:r>
    </w:p>
    <w:p w14:paraId="528E193E">
      <w:pPr>
        <w:keepNext w:val="0"/>
        <w:keepLines w:val="0"/>
        <w:pageBreakBefore w:val="0"/>
        <w:kinsoku/>
        <w:overflowPunct/>
        <w:topLinePunct w:val="0"/>
        <w:autoSpaceDE/>
        <w:autoSpaceDN/>
        <w:bidi w:val="0"/>
        <w:adjustRightInd/>
        <w:snapToGrid/>
        <w:spacing w:line="360" w:lineRule="auto"/>
        <w:ind w:left="120" w:leftChars="57" w:firstLine="417" w:firstLineChars="174"/>
        <w:textAlignment w:val="auto"/>
        <w:rPr>
          <w:rFonts w:ascii="宋体"/>
          <w:color w:val="auto"/>
          <w:sz w:val="24"/>
        </w:rPr>
      </w:pPr>
      <w:r>
        <w:rPr>
          <w:rFonts w:hint="eastAsia" w:ascii="宋体" w:hAnsi="宋体"/>
          <w:color w:val="auto"/>
          <w:sz w:val="24"/>
        </w:rPr>
        <w:t>注：政府投资项目一律不得以建筑业企业带资承包的方式进行建设。</w:t>
      </w:r>
    </w:p>
    <w:p w14:paraId="688B55FF">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ascii="宋体"/>
          <w:color w:val="auto"/>
          <w:sz w:val="24"/>
        </w:rPr>
      </w:pPr>
      <w:r>
        <w:rPr>
          <w:rFonts w:hint="eastAsia" w:ascii="宋体" w:hAnsi="宋体"/>
          <w:color w:val="auto"/>
          <w:sz w:val="24"/>
        </w:rPr>
        <w:t>七、公告发布及递交资格预审申请文件时间：</w:t>
      </w:r>
    </w:p>
    <w:p w14:paraId="5015E724">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ascii="宋体" w:hAnsi="宋体"/>
          <w:color w:val="auto"/>
          <w:sz w:val="24"/>
        </w:rPr>
      </w:pPr>
      <w:r>
        <w:rPr>
          <w:rFonts w:hint="eastAsia" w:ascii="宋体" w:hAnsi="宋体"/>
          <w:color w:val="auto"/>
          <w:sz w:val="24"/>
        </w:rPr>
        <w:t>公告发布日期（含本日）：</w:t>
      </w:r>
      <w:r>
        <w:rPr>
          <w:rFonts w:hint="eastAsia" w:ascii="宋体" w:hAnsi="宋体"/>
          <w:color w:val="auto"/>
          <w:sz w:val="24"/>
          <w:u w:val="single"/>
          <w:lang w:val="en-US" w:eastAsia="zh-CN"/>
        </w:rPr>
        <w:t>2024</w:t>
      </w:r>
      <w:r>
        <w:rPr>
          <w:rFonts w:hint="eastAsia" w:ascii="宋体" w:hAnsi="宋体"/>
          <w:color w:val="auto"/>
          <w:sz w:val="24"/>
        </w:rPr>
        <w:t>年</w:t>
      </w:r>
      <w:r>
        <w:rPr>
          <w:rFonts w:hint="eastAsia" w:ascii="宋体" w:hAnsi="宋体"/>
          <w:color w:val="auto"/>
          <w:sz w:val="24"/>
          <w:u w:val="single"/>
          <w:lang w:val="en-US" w:eastAsia="zh-CN"/>
        </w:rPr>
        <w:t>11</w:t>
      </w:r>
      <w:r>
        <w:rPr>
          <w:rFonts w:hint="eastAsia" w:ascii="宋体" w:hAnsi="宋体"/>
          <w:color w:val="auto"/>
          <w:sz w:val="24"/>
        </w:rPr>
        <w:t>月</w:t>
      </w:r>
      <w:r>
        <w:rPr>
          <w:rFonts w:hint="eastAsia" w:ascii="宋体" w:hAnsi="宋体"/>
          <w:color w:val="auto"/>
          <w:sz w:val="24"/>
          <w:u w:val="single"/>
          <w:lang w:val="en-US" w:eastAsia="zh-CN"/>
        </w:rPr>
        <w:t>29</w:t>
      </w:r>
      <w:r>
        <w:rPr>
          <w:rFonts w:hint="eastAsia" w:ascii="宋体" w:hAnsi="宋体"/>
          <w:color w:val="auto"/>
          <w:sz w:val="24"/>
        </w:rPr>
        <w:t>日至</w:t>
      </w:r>
      <w:r>
        <w:rPr>
          <w:rFonts w:hint="eastAsia" w:ascii="宋体" w:hAnsi="宋体"/>
          <w:color w:val="auto"/>
          <w:sz w:val="24"/>
          <w:u w:val="single"/>
          <w:lang w:val="en-US" w:eastAsia="zh-CN"/>
        </w:rPr>
        <w:t>2024</w:t>
      </w:r>
      <w:r>
        <w:rPr>
          <w:rFonts w:hint="eastAsia" w:ascii="宋体" w:hAnsi="宋体"/>
          <w:color w:val="auto"/>
          <w:sz w:val="24"/>
        </w:rPr>
        <w:t>年</w:t>
      </w:r>
      <w:r>
        <w:rPr>
          <w:rFonts w:hint="eastAsia" w:ascii="宋体" w:hAnsi="宋体"/>
          <w:color w:val="auto"/>
          <w:sz w:val="24"/>
          <w:u w:val="single"/>
          <w:lang w:val="en-US" w:eastAsia="zh-CN"/>
        </w:rPr>
        <w:t>12</w:t>
      </w:r>
      <w:r>
        <w:rPr>
          <w:rFonts w:hint="eastAsia" w:ascii="宋体" w:hAnsi="宋体"/>
          <w:color w:val="auto"/>
          <w:sz w:val="24"/>
        </w:rPr>
        <w:t>月</w:t>
      </w:r>
      <w:r>
        <w:rPr>
          <w:rFonts w:hint="eastAsia" w:ascii="宋体" w:hAnsi="宋体"/>
          <w:color w:val="auto"/>
          <w:sz w:val="24"/>
          <w:u w:val="single"/>
          <w:lang w:val="en-US" w:eastAsia="zh-CN"/>
        </w:rPr>
        <w:t>3</w:t>
      </w:r>
      <w:r>
        <w:rPr>
          <w:rFonts w:hint="eastAsia" w:ascii="宋体" w:hAnsi="宋体"/>
          <w:color w:val="auto"/>
          <w:sz w:val="24"/>
        </w:rPr>
        <w:t>日</w:t>
      </w:r>
    </w:p>
    <w:p w14:paraId="32242EE8">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ascii="宋体"/>
          <w:color w:val="auto"/>
          <w:sz w:val="24"/>
        </w:rPr>
      </w:pPr>
      <w:r>
        <w:rPr>
          <w:rFonts w:hint="eastAsia" w:ascii="宋体" w:hAnsi="宋体"/>
          <w:color w:val="auto"/>
          <w:sz w:val="24"/>
        </w:rPr>
        <w:t>凡有意参加投标者，请登录</w:t>
      </w:r>
      <w:r>
        <w:rPr>
          <w:rFonts w:hint="eastAsia" w:ascii="宋体" w:hAnsi="宋体"/>
          <w:color w:val="auto"/>
          <w:sz w:val="24"/>
          <w:u w:val="single"/>
        </w:rPr>
        <w:t>广州交易集团有限公司（广州公共资源交易中心）</w:t>
      </w:r>
      <w:r>
        <w:rPr>
          <w:rFonts w:hint="eastAsia" w:ascii="宋体" w:hAnsi="宋体"/>
          <w:color w:val="auto"/>
          <w:sz w:val="24"/>
        </w:rPr>
        <w:t>交易平台网站下载电子招标文件。</w:t>
      </w:r>
    </w:p>
    <w:p w14:paraId="7A09C828">
      <w:pPr>
        <w:keepNext w:val="0"/>
        <w:keepLines w:val="0"/>
        <w:pageBreakBefore w:val="0"/>
        <w:kinsoku/>
        <w:overflowPunct/>
        <w:topLinePunct w:val="0"/>
        <w:autoSpaceDE/>
        <w:autoSpaceDN/>
        <w:bidi w:val="0"/>
        <w:adjustRightInd/>
        <w:snapToGrid/>
        <w:spacing w:line="360" w:lineRule="auto"/>
        <w:ind w:firstLine="655" w:firstLineChars="273"/>
        <w:textAlignment w:val="auto"/>
        <w:rPr>
          <w:rFonts w:ascii="宋体"/>
          <w:color w:val="auto"/>
          <w:sz w:val="24"/>
        </w:rPr>
      </w:pPr>
      <w:r>
        <w:rPr>
          <w:rFonts w:hint="eastAsia" w:ascii="宋体" w:hAnsi="宋体"/>
          <w:color w:val="auto"/>
          <w:sz w:val="24"/>
        </w:rPr>
        <w:t>注：资格预审公告发布时间不得少于</w:t>
      </w:r>
      <w:r>
        <w:rPr>
          <w:rFonts w:ascii="宋体" w:hAnsi="宋体"/>
          <w:color w:val="auto"/>
          <w:sz w:val="24"/>
        </w:rPr>
        <w:t>5</w:t>
      </w:r>
      <w:r>
        <w:rPr>
          <w:rFonts w:hint="eastAsia" w:ascii="宋体" w:hAnsi="宋体"/>
          <w:color w:val="auto"/>
          <w:sz w:val="24"/>
        </w:rPr>
        <w:t>日。</w:t>
      </w:r>
    </w:p>
    <w:p w14:paraId="050F22DC">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ascii="宋体"/>
          <w:color w:val="auto"/>
          <w:sz w:val="24"/>
        </w:rPr>
      </w:pPr>
      <w:r>
        <w:rPr>
          <w:rFonts w:hint="eastAsia" w:ascii="宋体" w:hAnsi="宋体"/>
          <w:color w:val="auto"/>
          <w:sz w:val="24"/>
        </w:rPr>
        <w:t>递交资格预审申请文件开始日期（含本日）：</w:t>
      </w:r>
      <w:r>
        <w:rPr>
          <w:rFonts w:hint="eastAsia" w:ascii="宋体" w:hAnsi="宋体"/>
          <w:color w:val="auto"/>
          <w:sz w:val="24"/>
          <w:u w:val="single"/>
          <w:lang w:val="en-US" w:eastAsia="zh-CN"/>
        </w:rPr>
        <w:t>2024</w:t>
      </w:r>
      <w:r>
        <w:rPr>
          <w:rFonts w:hint="eastAsia" w:ascii="宋体" w:hAnsi="宋体"/>
          <w:color w:val="auto"/>
          <w:sz w:val="24"/>
        </w:rPr>
        <w:t>年</w:t>
      </w:r>
      <w:r>
        <w:rPr>
          <w:rFonts w:hint="eastAsia" w:ascii="宋体" w:hAnsi="宋体"/>
          <w:color w:val="auto"/>
          <w:sz w:val="24"/>
          <w:u w:val="single"/>
          <w:lang w:val="en-US" w:eastAsia="zh-CN"/>
        </w:rPr>
        <w:t>12</w:t>
      </w:r>
      <w:r>
        <w:rPr>
          <w:rFonts w:hint="eastAsia" w:ascii="宋体" w:hAnsi="宋体"/>
          <w:color w:val="auto"/>
          <w:sz w:val="24"/>
        </w:rPr>
        <w:t>月</w:t>
      </w:r>
      <w:r>
        <w:rPr>
          <w:rFonts w:hint="eastAsia" w:ascii="宋体" w:hAnsi="宋体"/>
          <w:color w:val="auto"/>
          <w:sz w:val="24"/>
          <w:u w:val="single"/>
          <w:lang w:val="en-US" w:eastAsia="zh-CN"/>
        </w:rPr>
        <w:t>4</w:t>
      </w:r>
      <w:r>
        <w:rPr>
          <w:rFonts w:hint="eastAsia" w:ascii="宋体" w:hAnsi="宋体"/>
          <w:color w:val="auto"/>
          <w:sz w:val="24"/>
        </w:rPr>
        <w:t>日</w:t>
      </w:r>
      <w:r>
        <w:rPr>
          <w:rFonts w:hint="eastAsia" w:ascii="宋体" w:hAnsi="宋体"/>
          <w:color w:val="auto"/>
          <w:sz w:val="24"/>
          <w:u w:val="single"/>
          <w:lang w:val="en-US" w:eastAsia="zh-CN"/>
        </w:rPr>
        <w:t>00</w:t>
      </w:r>
      <w:r>
        <w:rPr>
          <w:rFonts w:hint="eastAsia" w:ascii="宋体" w:hAnsi="宋体"/>
          <w:color w:val="auto"/>
          <w:sz w:val="24"/>
          <w:u w:val="single"/>
        </w:rPr>
        <w:t xml:space="preserve"> </w:t>
      </w:r>
      <w:r>
        <w:rPr>
          <w:rFonts w:hint="eastAsia" w:ascii="宋体" w:hAnsi="宋体"/>
          <w:color w:val="auto"/>
          <w:sz w:val="24"/>
        </w:rPr>
        <w:t>时</w:t>
      </w:r>
      <w:r>
        <w:rPr>
          <w:rFonts w:hint="eastAsia" w:ascii="宋体" w:hAnsi="宋体"/>
          <w:color w:val="auto"/>
          <w:sz w:val="24"/>
          <w:u w:val="single"/>
          <w:lang w:val="en-US" w:eastAsia="zh-CN"/>
        </w:rPr>
        <w:t>00</w:t>
      </w:r>
      <w:r>
        <w:rPr>
          <w:rFonts w:hint="eastAsia" w:ascii="宋体" w:hAnsi="宋体"/>
          <w:color w:val="auto"/>
          <w:sz w:val="24"/>
        </w:rPr>
        <w:t>分。</w:t>
      </w:r>
    </w:p>
    <w:p w14:paraId="01ED57EE">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ascii="宋体"/>
          <w:color w:val="auto"/>
          <w:sz w:val="24"/>
        </w:rPr>
      </w:pPr>
      <w:r>
        <w:rPr>
          <w:rFonts w:hint="eastAsia" w:ascii="宋体" w:hAnsi="宋体"/>
          <w:color w:val="auto"/>
          <w:sz w:val="24"/>
        </w:rPr>
        <w:t>递交资格预审申请文件截止时间（含本日）：</w:t>
      </w:r>
      <w:r>
        <w:rPr>
          <w:rFonts w:hint="eastAsia" w:ascii="宋体" w:hAnsi="宋体"/>
          <w:color w:val="auto"/>
          <w:sz w:val="24"/>
          <w:u w:val="single"/>
          <w:lang w:val="en-US" w:eastAsia="zh-CN"/>
        </w:rPr>
        <w:t>2024</w:t>
      </w:r>
      <w:r>
        <w:rPr>
          <w:rFonts w:hint="eastAsia" w:ascii="宋体" w:hAnsi="宋体"/>
          <w:color w:val="auto"/>
          <w:sz w:val="24"/>
        </w:rPr>
        <w:t>年</w:t>
      </w:r>
      <w:r>
        <w:rPr>
          <w:rFonts w:hint="eastAsia" w:ascii="宋体" w:hAnsi="宋体"/>
          <w:color w:val="auto"/>
          <w:sz w:val="24"/>
          <w:u w:val="single"/>
          <w:lang w:val="en-US" w:eastAsia="zh-CN"/>
        </w:rPr>
        <w:t>12</w:t>
      </w:r>
      <w:r>
        <w:rPr>
          <w:rFonts w:hint="eastAsia" w:ascii="宋体" w:hAnsi="宋体"/>
          <w:color w:val="auto"/>
          <w:sz w:val="24"/>
        </w:rPr>
        <w:t>月</w:t>
      </w:r>
      <w:r>
        <w:rPr>
          <w:rFonts w:hint="eastAsia" w:ascii="宋体" w:hAnsi="宋体"/>
          <w:color w:val="auto"/>
          <w:sz w:val="24"/>
          <w:u w:val="single"/>
          <w:lang w:val="en-US" w:eastAsia="zh-CN"/>
        </w:rPr>
        <w:t>9</w:t>
      </w:r>
      <w:r>
        <w:rPr>
          <w:rFonts w:hint="eastAsia" w:ascii="宋体" w:hAnsi="宋体"/>
          <w:color w:val="auto"/>
          <w:sz w:val="24"/>
        </w:rPr>
        <w:t>日</w:t>
      </w:r>
      <w:r>
        <w:rPr>
          <w:rFonts w:hint="eastAsia" w:ascii="宋体" w:hAnsi="宋体"/>
          <w:color w:val="auto"/>
          <w:sz w:val="24"/>
          <w:u w:val="single"/>
          <w:lang w:val="en-US" w:eastAsia="zh-CN"/>
        </w:rPr>
        <w:t>10</w:t>
      </w:r>
      <w:r>
        <w:rPr>
          <w:rFonts w:hint="eastAsia" w:ascii="宋体" w:hAnsi="宋体"/>
          <w:color w:val="auto"/>
          <w:sz w:val="24"/>
        </w:rPr>
        <w:t>时</w:t>
      </w:r>
      <w:r>
        <w:rPr>
          <w:rFonts w:hint="eastAsia" w:ascii="宋体" w:hAnsi="宋体"/>
          <w:color w:val="auto"/>
          <w:sz w:val="24"/>
          <w:u w:val="single"/>
          <w:lang w:val="en-US" w:eastAsia="zh-CN"/>
        </w:rPr>
        <w:t>00</w:t>
      </w:r>
      <w:r>
        <w:rPr>
          <w:rFonts w:hint="eastAsia" w:ascii="宋体" w:hAnsi="宋体"/>
          <w:color w:val="auto"/>
          <w:sz w:val="24"/>
        </w:rPr>
        <w:t>分。</w:t>
      </w:r>
    </w:p>
    <w:p w14:paraId="565FDC6A">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ascii="宋体"/>
          <w:color w:val="auto"/>
          <w:sz w:val="24"/>
        </w:rPr>
      </w:pPr>
      <w:r>
        <w:rPr>
          <w:rFonts w:hint="eastAsia" w:ascii="宋体" w:hAnsi="宋体"/>
          <w:color w:val="auto"/>
          <w:sz w:val="24"/>
        </w:rPr>
        <w:t>注：递交资格预审申请文件时间自资格预审公告截止发布之日起不得少于</w:t>
      </w:r>
      <w:r>
        <w:rPr>
          <w:rFonts w:ascii="宋体" w:hAnsi="宋体"/>
          <w:color w:val="auto"/>
          <w:sz w:val="24"/>
        </w:rPr>
        <w:t>5</w:t>
      </w:r>
      <w:r>
        <w:rPr>
          <w:rFonts w:hint="eastAsia" w:ascii="宋体" w:hAnsi="宋体"/>
          <w:color w:val="auto"/>
          <w:sz w:val="24"/>
        </w:rPr>
        <w:t>日。</w:t>
      </w:r>
      <w:r>
        <w:rPr>
          <w:rFonts w:hint="eastAsia" w:ascii="宋体" w:hAnsi="宋体" w:eastAsia="宋体" w:cs="宋体"/>
          <w:b/>
          <w:color w:val="auto"/>
          <w:kern w:val="0"/>
          <w:sz w:val="24"/>
          <w:szCs w:val="24"/>
        </w:rPr>
        <w:t>招标人应综合考虑节假日因素，合理确定投标人编制资格预审申请文件所需要的时间，如遇春节、五一、十一等长假，建议招标人结合项目特点和实际需要适当延长备标期。</w:t>
      </w:r>
    </w:p>
    <w:p w14:paraId="6FB6CD1A">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ascii="宋体"/>
          <w:color w:val="auto"/>
          <w:sz w:val="24"/>
        </w:rPr>
      </w:pPr>
      <w:r>
        <w:rPr>
          <w:rFonts w:hint="eastAsia" w:ascii="宋体" w:hAnsi="宋体"/>
          <w:color w:val="auto"/>
          <w:sz w:val="24"/>
        </w:rPr>
        <w:t>如参加投标的申请人数量过少不足以形成充分竞争时，招标人在确认正式投标人之前，可以发出补充公告，适当延长递交资格预审申请文件时间。</w:t>
      </w:r>
      <w:r>
        <w:rPr>
          <w:rFonts w:ascii="宋体" w:hAnsi="宋体"/>
          <w:color w:val="auto"/>
          <w:sz w:val="24"/>
        </w:rPr>
        <w:t xml:space="preserve">   </w:t>
      </w:r>
    </w:p>
    <w:p w14:paraId="71E1AA68">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ascii="宋体"/>
          <w:color w:val="auto"/>
          <w:sz w:val="24"/>
        </w:rPr>
      </w:pPr>
      <w:r>
        <w:rPr>
          <w:rFonts w:hint="eastAsia" w:ascii="宋体" w:hAnsi="宋体"/>
          <w:color w:val="auto"/>
          <w:sz w:val="24"/>
        </w:rPr>
        <w:t>八、递交资格预审申请文件方式：</w:t>
      </w:r>
    </w:p>
    <w:p w14:paraId="2DF0AB75">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ascii="宋体"/>
          <w:color w:val="auto"/>
          <w:sz w:val="24"/>
        </w:rPr>
      </w:pPr>
      <w:r>
        <w:rPr>
          <w:rFonts w:hint="eastAsia" w:ascii="宋体" w:hAnsi="宋体"/>
          <w:color w:val="auto"/>
          <w:sz w:val="24"/>
        </w:rPr>
        <w:t>递交资格预审申请文件采用网上递交的方式，投标申请人应在截止时间前通过</w:t>
      </w:r>
      <w:r>
        <w:rPr>
          <w:rFonts w:ascii="宋体" w:hAnsi="宋体"/>
          <w:color w:val="auto"/>
          <w:sz w:val="24"/>
          <w:u w:val="single"/>
        </w:rPr>
        <w:t xml:space="preserve"> </w:t>
      </w:r>
      <w:r>
        <w:rPr>
          <w:rFonts w:hint="eastAsia"/>
          <w:color w:val="auto"/>
          <w:sz w:val="22"/>
          <w:highlight w:val="none"/>
          <w:u w:val="single"/>
        </w:rPr>
        <w:t>广州交易集团有限公司（广州公共资源交易中心）</w:t>
      </w:r>
      <w:r>
        <w:rPr>
          <w:rFonts w:hint="eastAsia" w:ascii="宋体" w:hAnsi="宋体"/>
          <w:color w:val="auto"/>
          <w:sz w:val="24"/>
        </w:rPr>
        <w:t>交易平台递交资格预审申请文件。逾期送达的资格预审申请文件，</w:t>
      </w:r>
      <w:r>
        <w:rPr>
          <w:rFonts w:hint="eastAsia"/>
          <w:color w:val="auto"/>
          <w:sz w:val="22"/>
          <w:highlight w:val="none"/>
          <w:u w:val="single"/>
        </w:rPr>
        <w:t>广州交易集团有限公司（广州公共资源交易中心）</w:t>
      </w:r>
      <w:r>
        <w:rPr>
          <w:rFonts w:hint="eastAsia" w:ascii="宋体" w:hAnsi="宋体"/>
          <w:color w:val="auto"/>
          <w:sz w:val="24"/>
        </w:rPr>
        <w:t>交易平台将予以拒收。</w:t>
      </w:r>
    </w:p>
    <w:p w14:paraId="6968FD9D">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ascii="宋体"/>
          <w:color w:val="auto"/>
          <w:sz w:val="24"/>
        </w:rPr>
      </w:pPr>
      <w:r>
        <w:rPr>
          <w:rFonts w:hint="eastAsia" w:ascii="宋体" w:hAnsi="宋体"/>
          <w:color w:val="auto"/>
          <w:sz w:val="24"/>
        </w:rPr>
        <w:t>九、投标人合格条件：</w:t>
      </w:r>
    </w:p>
    <w:p w14:paraId="265191AD">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ascii="宋体"/>
          <w:color w:val="auto"/>
          <w:sz w:val="24"/>
        </w:rPr>
      </w:pPr>
      <w:r>
        <w:rPr>
          <w:rFonts w:ascii="宋体" w:hAnsi="宋体"/>
          <w:color w:val="auto"/>
          <w:sz w:val="24"/>
        </w:rPr>
        <w:t>1</w:t>
      </w:r>
      <w:r>
        <w:rPr>
          <w:rFonts w:hint="eastAsia" w:ascii="宋体" w:hAnsi="宋体"/>
          <w:color w:val="auto"/>
          <w:sz w:val="24"/>
        </w:rPr>
        <w:t>、投标人参加投标的意思表达清楚，投标人代表被授权有效。</w:t>
      </w:r>
    </w:p>
    <w:p w14:paraId="7A303AB0">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ascii="宋体"/>
          <w:color w:val="auto"/>
          <w:sz w:val="24"/>
        </w:rPr>
      </w:pPr>
      <w:r>
        <w:rPr>
          <w:rFonts w:ascii="宋体" w:hAnsi="宋体"/>
          <w:color w:val="auto"/>
          <w:sz w:val="24"/>
        </w:rPr>
        <w:t>2</w:t>
      </w:r>
      <w:r>
        <w:rPr>
          <w:rFonts w:hint="eastAsia" w:ascii="宋体" w:hAnsi="宋体"/>
          <w:color w:val="auto"/>
          <w:sz w:val="24"/>
        </w:rPr>
        <w:t>、投标人均具有独立法人资格，按国家法律经营。</w:t>
      </w:r>
    </w:p>
    <w:p w14:paraId="68A23A2E">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ascii="宋体"/>
          <w:color w:val="auto"/>
          <w:sz w:val="24"/>
        </w:rPr>
      </w:pPr>
      <w:r>
        <w:rPr>
          <w:rFonts w:ascii="宋体" w:hAnsi="宋体"/>
          <w:color w:val="auto"/>
          <w:sz w:val="24"/>
        </w:rPr>
        <w:t>3</w:t>
      </w:r>
      <w:r>
        <w:rPr>
          <w:rFonts w:hint="eastAsia" w:ascii="宋体" w:hAnsi="宋体"/>
          <w:color w:val="auto"/>
          <w:sz w:val="24"/>
        </w:rPr>
        <w:t>、投标人均持有建设行政主管部门颁发的企业资质证书及安全生产许可证；</w:t>
      </w:r>
    </w:p>
    <w:p w14:paraId="75903A7A">
      <w:pPr>
        <w:pStyle w:val="15"/>
        <w:keepNext w:val="0"/>
        <w:keepLines w:val="0"/>
        <w:pageBreakBefore w:val="0"/>
        <w:kinsoku/>
        <w:overflowPunct/>
        <w:topLinePunct w:val="0"/>
        <w:autoSpaceDE/>
        <w:autoSpaceDN/>
        <w:bidi w:val="0"/>
        <w:adjustRightInd/>
        <w:snapToGrid/>
        <w:spacing w:line="360" w:lineRule="auto"/>
        <w:ind w:firstLine="539"/>
        <w:textAlignment w:val="auto"/>
        <w:rPr>
          <w:rFonts w:ascii="宋体" w:hAnsi="宋体" w:eastAsia="宋体"/>
          <w:color w:val="auto"/>
          <w:sz w:val="24"/>
          <w:szCs w:val="24"/>
        </w:rPr>
      </w:pPr>
      <w:r>
        <w:rPr>
          <w:rFonts w:ascii="宋体" w:hAnsi="宋体" w:eastAsia="宋体"/>
          <w:color w:val="auto"/>
          <w:sz w:val="24"/>
          <w:szCs w:val="24"/>
        </w:rPr>
        <w:t>4</w:t>
      </w:r>
      <w:r>
        <w:rPr>
          <w:rFonts w:hint="eastAsia" w:ascii="宋体" w:hAnsi="宋体" w:eastAsia="宋体"/>
          <w:color w:val="auto"/>
          <w:sz w:val="24"/>
          <w:szCs w:val="24"/>
        </w:rPr>
        <w:t>、投标人应具备以下资质：</w:t>
      </w:r>
    </w:p>
    <w:p w14:paraId="28854954">
      <w:pPr>
        <w:pStyle w:val="15"/>
        <w:keepNext w:val="0"/>
        <w:keepLines w:val="0"/>
        <w:pageBreakBefore w:val="0"/>
        <w:kinsoku/>
        <w:overflowPunct/>
        <w:topLinePunct w:val="0"/>
        <w:autoSpaceDE/>
        <w:autoSpaceDN/>
        <w:bidi w:val="0"/>
        <w:adjustRightInd/>
        <w:snapToGrid/>
        <w:spacing w:line="360" w:lineRule="auto"/>
        <w:ind w:firstLine="539"/>
        <w:textAlignment w:val="auto"/>
        <w:rPr>
          <w:rFonts w:hint="eastAsia" w:ascii="宋体" w:hAnsi="宋体" w:eastAsia="宋体"/>
          <w:i/>
          <w:color w:val="auto"/>
          <w:sz w:val="24"/>
          <w:szCs w:val="24"/>
          <w:u w:val="none"/>
          <w:lang w:eastAsia="zh-CN"/>
        </w:rPr>
      </w:pPr>
      <w:r>
        <w:rPr>
          <w:rFonts w:hint="eastAsia" w:ascii="宋体" w:hAnsi="宋体" w:eastAsia="宋体"/>
          <w:color w:val="auto"/>
          <w:sz w:val="24"/>
          <w:szCs w:val="24"/>
        </w:rPr>
        <w:t>投标人具有承接本工程所需的</w:t>
      </w:r>
      <w:r>
        <w:rPr>
          <w:rFonts w:hint="eastAsia" w:ascii="宋体" w:hAnsi="宋体" w:eastAsia="宋体"/>
          <w:color w:val="auto"/>
          <w:kern w:val="2"/>
          <w:sz w:val="24"/>
          <w:szCs w:val="24"/>
          <w:highlight w:val="none"/>
          <w:u w:val="single"/>
        </w:rPr>
        <w:t xml:space="preserve"> 建筑工程施工总承包三级或以上级别施工总承包资质</w:t>
      </w:r>
      <w:r>
        <w:rPr>
          <w:rFonts w:hint="eastAsia" w:ascii="宋体" w:hAnsi="宋体" w:eastAsia="宋体"/>
          <w:color w:val="auto"/>
          <w:sz w:val="24"/>
          <w:szCs w:val="24"/>
        </w:rPr>
        <w:t>。投标人拟担任本工程项目负责人的人员为</w:t>
      </w:r>
      <w:r>
        <w:rPr>
          <w:rFonts w:hint="eastAsia" w:ascii="宋体" w:hAnsi="宋体"/>
          <w:color w:val="auto"/>
          <w:sz w:val="24"/>
          <w:szCs w:val="24"/>
        </w:rPr>
        <w:t>：</w:t>
      </w:r>
      <w:r>
        <w:rPr>
          <w:rFonts w:hint="eastAsia" w:ascii="宋体" w:hAnsi="宋体" w:eastAsia="宋体"/>
          <w:color w:val="auto"/>
          <w:sz w:val="24"/>
          <w:szCs w:val="24"/>
        </w:rPr>
        <w:t>①</w:t>
      </w:r>
      <w:r>
        <w:rPr>
          <w:rFonts w:hint="eastAsia" w:ascii="宋体" w:hAnsi="宋体" w:eastAsia="宋体"/>
          <w:color w:val="auto"/>
          <w:sz w:val="24"/>
          <w:szCs w:val="24"/>
          <w:u w:val="single"/>
        </w:rPr>
        <w:t xml:space="preserve"> 建筑工程</w:t>
      </w:r>
      <w:r>
        <w:rPr>
          <w:rFonts w:hint="eastAsia" w:ascii="宋体" w:hAnsi="宋体" w:eastAsia="宋体"/>
          <w:color w:val="auto"/>
          <w:sz w:val="24"/>
          <w:szCs w:val="24"/>
          <w:u w:val="none"/>
        </w:rPr>
        <w:t>专业</w:t>
      </w:r>
      <w:r>
        <w:rPr>
          <w:rFonts w:hint="eastAsia" w:ascii="宋体" w:hAnsi="宋体" w:eastAsia="宋体"/>
          <w:color w:val="auto"/>
          <w:sz w:val="24"/>
          <w:szCs w:val="24"/>
          <w:u w:val="single"/>
        </w:rPr>
        <w:t>贰级或以上注册建造师</w:t>
      </w:r>
      <w:r>
        <w:rPr>
          <w:rFonts w:hint="eastAsia" w:ascii="宋体" w:hAnsi="宋体" w:eastAsia="宋体"/>
          <w:color w:val="auto"/>
          <w:sz w:val="24"/>
          <w:szCs w:val="24"/>
          <w:u w:val="none"/>
          <w:lang w:eastAsia="zh-CN"/>
        </w:rPr>
        <w:t>。</w:t>
      </w:r>
    </w:p>
    <w:p w14:paraId="2BE95271">
      <w:pPr>
        <w:pStyle w:val="15"/>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广东省住房和城乡建设厅关于做好有关建设工程企业资质证书换领工作的通知》（粤建许函〔2024〕124号）等相关规定。根据上述文件的要求，投标人需办理企业资质有效期延续的，应当按照相关规定及时办理。</w:t>
      </w:r>
    </w:p>
    <w:p w14:paraId="4DA03214">
      <w:pPr>
        <w:pStyle w:val="15"/>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397261B6">
      <w:pPr>
        <w:pStyle w:val="15"/>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5EE39DCE">
      <w:pPr>
        <w:pStyle w:val="15"/>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7DA893FB">
      <w:pPr>
        <w:pStyle w:val="15"/>
        <w:keepNext w:val="0"/>
        <w:keepLines w:val="0"/>
        <w:pageBreakBefore w:val="0"/>
        <w:kinsoku/>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5</w:t>
      </w:r>
      <w:r>
        <w:rPr>
          <w:rFonts w:hint="eastAsia" w:ascii="宋体" w:hAnsi="宋体" w:eastAsia="宋体"/>
          <w:color w:val="auto"/>
          <w:sz w:val="24"/>
          <w:szCs w:val="24"/>
        </w:rPr>
        <w:t>、项目负责人持有安全生产考核合格证（B类）或建筑施工企业项目负责人安全生产考核合格证书；</w:t>
      </w:r>
      <w:r>
        <w:rPr>
          <w:rFonts w:ascii="宋体" w:hAnsi="宋体" w:eastAsia="宋体"/>
          <w:color w:val="auto"/>
          <w:sz w:val="24"/>
          <w:szCs w:val="24"/>
        </w:rPr>
        <w:t xml:space="preserve"> </w:t>
      </w:r>
    </w:p>
    <w:p w14:paraId="63EBA29B">
      <w:pPr>
        <w:pStyle w:val="15"/>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u w:val="single"/>
        </w:rPr>
      </w:pPr>
      <w:r>
        <w:rPr>
          <w:rFonts w:hint="eastAsia" w:ascii="宋体" w:hAnsi="宋体" w:eastAsia="宋体"/>
          <w:color w:val="auto"/>
          <w:sz w:val="24"/>
          <w:szCs w:val="24"/>
        </w:rPr>
        <w:t>6、投标人拟担任本工程技术负责人的资格要求为：</w:t>
      </w:r>
      <w:r>
        <w:rPr>
          <w:rFonts w:hint="eastAsia" w:ascii="宋体" w:hAnsi="宋体" w:eastAsia="宋体"/>
          <w:color w:val="auto"/>
          <w:sz w:val="24"/>
          <w:szCs w:val="24"/>
          <w:u w:val="single"/>
        </w:rPr>
        <w:t>具备建筑工程类中级或以上技术职称，且技术负责人在本项目不得兼任其他岗位。</w:t>
      </w:r>
    </w:p>
    <w:p w14:paraId="66C6339A">
      <w:pPr>
        <w:pStyle w:val="15"/>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hint="eastAsia" w:ascii="宋体" w:hAnsi="宋体"/>
          <w:color w:val="auto"/>
          <w:sz w:val="24"/>
        </w:rPr>
        <w:t>7、</w:t>
      </w:r>
      <w:r>
        <w:rPr>
          <w:rFonts w:hint="eastAsia" w:ascii="宋体" w:hAnsi="宋体" w:eastAsia="宋体"/>
          <w:color w:val="auto"/>
          <w:sz w:val="24"/>
          <w:szCs w:val="24"/>
        </w:rPr>
        <w:t>专职安全员须具有</w:t>
      </w:r>
      <w:r>
        <w:rPr>
          <w:rFonts w:hint="eastAsia" w:ascii="宋体" w:hAnsi="宋体" w:eastAsia="宋体"/>
          <w:color w:val="auto"/>
          <w:sz w:val="24"/>
          <w:szCs w:val="24"/>
          <w:u w:val="single"/>
        </w:rPr>
        <w:t>安全生产考核合格证（C类）或建筑施工企业专职安全生产管理人员安全生产考核合格证书</w:t>
      </w:r>
      <w:r>
        <w:rPr>
          <w:rFonts w:hint="eastAsia" w:ascii="宋体" w:hAnsi="宋体" w:eastAsia="宋体"/>
          <w:color w:val="auto"/>
          <w:sz w:val="24"/>
          <w:szCs w:val="24"/>
        </w:rPr>
        <w:t>。</w:t>
      </w:r>
    </w:p>
    <w:p w14:paraId="7DACF33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0"/>
          <w:highlight w:val="none"/>
          <w:lang w:val="en-US" w:eastAsia="zh-CN" w:bidi="ar-SA"/>
        </w:rPr>
        <w:t>8、</w:t>
      </w:r>
      <w:r>
        <w:rPr>
          <w:rFonts w:hint="eastAsia" w:ascii="宋体" w:hAnsi="宋体" w:eastAsia="宋体" w:cs="宋体"/>
          <w:color w:val="auto"/>
          <w:sz w:val="24"/>
          <w:szCs w:val="24"/>
          <w:highlight w:val="none"/>
          <w:lang w:val="en-US" w:eastAsia="zh-CN"/>
        </w:rPr>
        <w:t>投标人自2021年1月1日至今完成过质量合格的类似工程业绩（类似工程是指金额大于或等于</w:t>
      </w:r>
      <w:r>
        <w:rPr>
          <w:rFonts w:hint="eastAsia" w:ascii="宋体" w:hAnsi="宋体" w:cs="宋体"/>
          <w:color w:val="auto"/>
          <w:sz w:val="24"/>
          <w:szCs w:val="24"/>
          <w:highlight w:val="none"/>
          <w:lang w:val="en-US" w:eastAsia="zh-CN"/>
        </w:rPr>
        <w:t>850</w:t>
      </w:r>
      <w:r>
        <w:rPr>
          <w:rFonts w:hint="eastAsia" w:ascii="宋体" w:hAnsi="宋体" w:eastAsia="宋体" w:cs="宋体"/>
          <w:color w:val="auto"/>
          <w:sz w:val="24"/>
          <w:szCs w:val="24"/>
          <w:highlight w:val="none"/>
          <w:lang w:val="en-US" w:eastAsia="zh-CN"/>
        </w:rPr>
        <w:t>万元的建筑工程施工总承包项目）。</w:t>
      </w:r>
    </w:p>
    <w:p w14:paraId="2CE6DA34">
      <w:pPr>
        <w:pStyle w:val="15"/>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kern w:val="2"/>
          <w:sz w:val="24"/>
          <w:szCs w:val="24"/>
          <w:highlight w:val="none"/>
          <w:lang w:val="zh-CN" w:eastAsia="zh-CN" w:bidi="ar-SA"/>
        </w:rPr>
        <w:t>取自广州市住建行业信用管理平台。投标人须提供工程业绩的项目名称及业绩在广州市住建行业信用管理平台中业绩编号、相应业绩在广州市住建行业信用管理平台的网页信息截图（截图应至少显示有“住建行业信用管理平台”的“项目基本信息”、“验收材料”等信息）。不提供项目名称及业绩编号、网页信息截图的业绩不予评审。若投标人提供的项目名称与业绩编号不一致：①项目名称和业绩编号在平台内分别对应不同业绩的，以项目名称对应的业绩为准；②项目名称存在对应业绩的，业绩编号在平台内不存在对应业绩，以项目名称对应的业绩为准；③项目名称在平台内不存在对应业绩，业绩编号存在对应业绩的，以业绩编号对应的业绩为准。评标委员会对业绩的评审以投标截止时间在平台内业绩上传件为依据（</w:t>
      </w:r>
      <w:r>
        <w:rPr>
          <w:rFonts w:hint="eastAsia" w:ascii="宋体" w:hAnsi="宋体" w:eastAsia="宋体" w:cs="宋体"/>
          <w:b/>
          <w:bCs/>
          <w:color w:val="auto"/>
          <w:kern w:val="2"/>
          <w:sz w:val="24"/>
          <w:szCs w:val="24"/>
          <w:highlight w:val="none"/>
          <w:lang w:val="zh-CN" w:eastAsia="zh-CN" w:bidi="ar-SA"/>
        </w:rPr>
        <w:t>投标文件中不需重复提交相关业绩上传件</w:t>
      </w:r>
      <w:r>
        <w:rPr>
          <w:rFonts w:hint="eastAsia" w:ascii="宋体" w:hAnsi="宋体" w:eastAsia="宋体" w:cs="宋体"/>
          <w:color w:val="auto"/>
          <w:kern w:val="2"/>
          <w:sz w:val="24"/>
          <w:szCs w:val="24"/>
          <w:highlight w:val="none"/>
          <w:lang w:val="zh-CN" w:eastAsia="zh-CN" w:bidi="ar-SA"/>
        </w:rPr>
        <w:t>）。</w:t>
      </w:r>
    </w:p>
    <w:p w14:paraId="1B017DD4">
      <w:pPr>
        <w:pStyle w:val="15"/>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w:t>
      </w:r>
      <w:r>
        <w:rPr>
          <w:rFonts w:hint="eastAsia" w:ascii="宋体" w:hAnsi="宋体" w:eastAsia="宋体" w:cs="宋体"/>
          <w:color w:val="auto"/>
          <w:kern w:val="2"/>
          <w:sz w:val="24"/>
          <w:szCs w:val="24"/>
          <w:highlight w:val="none"/>
          <w:lang w:val="en-US" w:eastAsia="zh-CN" w:bidi="ar-SA"/>
        </w:rPr>
        <w:t>业绩金额以【建筑工程施工总承包项目金额大于或等于850万元】金额以中标通知书为准，中标通知书上没有金额或免招标的，以施工合同（不含补充合同）为准。</w:t>
      </w:r>
    </w:p>
    <w:p w14:paraId="03B4B205">
      <w:pPr>
        <w:pStyle w:val="15"/>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（2）技术指标需在广州市住建行业信用管理平台内业绩上传件中反映。</w:t>
      </w:r>
    </w:p>
    <w:p w14:paraId="3313C965">
      <w:pPr>
        <w:pStyle w:val="15"/>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（3）完成时间以子分部工程质量验收记录时间为准。未提供子分部工程质量验收记录的，完成时间以验收文件记录时间为准。</w:t>
      </w:r>
    </w:p>
    <w:p w14:paraId="556C7EA9">
      <w:pPr>
        <w:pStyle w:val="15"/>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s="宋体"/>
          <w:color w:val="auto"/>
          <w:kern w:val="2"/>
          <w:sz w:val="24"/>
          <w:szCs w:val="24"/>
          <w:highlight w:val="none"/>
          <w:lang w:val="zh-CN" w:eastAsia="zh-CN" w:bidi="ar-SA"/>
        </w:rPr>
        <w:t>（4）平台内业绩上传件不符合上述要求的或登记的工程资质内容与施工合同等业绩证明资料不相符的，该项业绩不予认定。</w:t>
      </w:r>
    </w:p>
    <w:p w14:paraId="42270999">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ascii="宋体"/>
          <w:color w:val="auto"/>
          <w:sz w:val="24"/>
        </w:rPr>
      </w:pPr>
      <w:r>
        <w:rPr>
          <w:rFonts w:hint="eastAsia" w:ascii="宋体" w:hAnsi="宋体"/>
          <w:color w:val="auto"/>
          <w:sz w:val="24"/>
          <w:lang w:val="en-US" w:eastAsia="zh-CN"/>
        </w:rPr>
        <w:t>9</w:t>
      </w:r>
      <w:r>
        <w:rPr>
          <w:rFonts w:hint="eastAsia" w:ascii="宋体" w:hAnsi="宋体"/>
          <w:color w:val="auto"/>
          <w:sz w:val="24"/>
        </w:rPr>
        <w:t>、投标人已按照附件</w:t>
      </w:r>
      <w:r>
        <w:rPr>
          <w:rFonts w:hint="eastAsia" w:ascii="宋体" w:hAnsi="宋体"/>
          <w:color w:val="auto"/>
          <w:sz w:val="24"/>
          <w:lang w:val="en-US" w:eastAsia="zh-CN"/>
        </w:rPr>
        <w:t>五</w:t>
      </w:r>
      <w:r>
        <w:rPr>
          <w:rFonts w:hint="eastAsia" w:ascii="宋体" w:hAnsi="宋体"/>
          <w:color w:val="auto"/>
          <w:sz w:val="24"/>
        </w:rPr>
        <w:t>的内容签署盖章的投标申请人声明。</w:t>
      </w:r>
      <w:bookmarkStart w:id="0" w:name="_Toc416357984"/>
      <w:bookmarkStart w:id="1" w:name="_Toc245023997"/>
      <w:bookmarkStart w:id="2" w:name="_Toc266093545"/>
      <w:bookmarkStart w:id="3" w:name="_Toc253143216"/>
      <w:bookmarkStart w:id="4" w:name="_Toc249845968"/>
      <w:bookmarkStart w:id="5" w:name="_Toc266881397"/>
      <w:bookmarkStart w:id="6" w:name="_Toc249846223"/>
      <w:bookmarkStart w:id="7" w:name="_Toc416358155"/>
    </w:p>
    <w:p w14:paraId="7B6A2F9E">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hint="eastAsia" w:ascii="宋体" w:eastAsia="宋体"/>
          <w:color w:val="auto"/>
          <w:sz w:val="24"/>
          <w:u w:val="none"/>
          <w:lang w:eastAsia="zh-CN"/>
        </w:rPr>
      </w:pPr>
      <w:r>
        <w:rPr>
          <w:rFonts w:hint="eastAsia" w:ascii="宋体" w:hAnsi="宋体"/>
          <w:color w:val="auto"/>
          <w:sz w:val="24"/>
          <w:szCs w:val="24"/>
          <w:lang w:val="en-US" w:eastAsia="zh-CN"/>
        </w:rPr>
        <w:t>10</w:t>
      </w:r>
      <w:r>
        <w:rPr>
          <w:rFonts w:hint="eastAsia" w:ascii="宋体" w:hAnsi="宋体"/>
          <w:color w:val="auto"/>
          <w:sz w:val="24"/>
          <w:szCs w:val="24"/>
        </w:rPr>
        <w:t>、关于联合体投标：</w:t>
      </w:r>
      <w:bookmarkEnd w:id="0"/>
      <w:bookmarkEnd w:id="1"/>
      <w:bookmarkEnd w:id="2"/>
      <w:bookmarkEnd w:id="3"/>
      <w:bookmarkEnd w:id="4"/>
      <w:bookmarkEnd w:id="5"/>
      <w:bookmarkEnd w:id="6"/>
      <w:bookmarkEnd w:id="7"/>
      <w:r>
        <w:rPr>
          <w:rFonts w:hint="eastAsia" w:ascii="宋体" w:hAnsi="宋体"/>
          <w:color w:val="auto"/>
          <w:sz w:val="24"/>
          <w:szCs w:val="24"/>
          <w:u w:val="single"/>
        </w:rPr>
        <w:t>本项目不接受联合体投标</w:t>
      </w:r>
      <w:r>
        <w:rPr>
          <w:rFonts w:hint="eastAsia" w:ascii="宋体" w:hAnsi="宋体"/>
          <w:color w:val="auto"/>
          <w:sz w:val="24"/>
          <w:szCs w:val="24"/>
          <w:u w:val="none"/>
          <w:lang w:eastAsia="zh-CN"/>
        </w:rPr>
        <w:t>。</w:t>
      </w:r>
    </w:p>
    <w:p w14:paraId="3D81D815">
      <w:pPr>
        <w:keepNext w:val="0"/>
        <w:keepLines w:val="0"/>
        <w:pageBreakBefore w:val="0"/>
        <w:widowControl w:val="0"/>
        <w:kinsoku/>
        <w:wordWrap w:val="0"/>
        <w:overflowPunct/>
        <w:topLinePunct w:val="0"/>
        <w:autoSpaceDE/>
        <w:autoSpaceDN/>
        <w:bidi w:val="0"/>
        <w:adjustRightInd/>
        <w:snapToGrid/>
        <w:spacing w:line="360" w:lineRule="auto"/>
        <w:ind w:firstLine="537" w:firstLineChars="224"/>
        <w:textAlignment w:val="auto"/>
        <w:rPr>
          <w:rFonts w:hint="eastAsia" w:ascii="宋体" w:hAnsi="宋体"/>
          <w:color w:val="auto"/>
          <w:sz w:val="24"/>
        </w:rPr>
      </w:pPr>
      <w:r>
        <w:rPr>
          <w:rFonts w:ascii="宋体" w:hAnsi="宋体"/>
          <w:color w:val="auto"/>
          <w:sz w:val="24"/>
        </w:rPr>
        <w:t>1</w:t>
      </w:r>
      <w:r>
        <w:rPr>
          <w:rFonts w:hint="eastAsia" w:ascii="宋体" w:hAnsi="宋体"/>
          <w:color w:val="auto"/>
          <w:sz w:val="24"/>
          <w:lang w:val="en-US" w:eastAsia="zh-CN"/>
        </w:rPr>
        <w:t>1</w:t>
      </w:r>
      <w:r>
        <w:rPr>
          <w:rFonts w:hint="eastAsia" w:ascii="宋体" w:hAnsi="宋体"/>
          <w:color w:val="auto"/>
          <w:sz w:val="24"/>
        </w:rPr>
        <w:t>、资格审查前，投标人须在广州市住房和城乡建设局建立企业信用档案及拟担任本工程项目负责人、专职安全员须是本企业信用档案中的在册人员。企业信用档案取自递交资格预审申请文件截止时间投标人在信用管理平台的信息，投标人无需提交相关资料，若招标人延长递交投标文件截止时间的，信用档案信息的评审时点也相应延长。（信用档案办理详见《广州市住建行业信用管理平台施工企业信息录入指引 》http://zfcj.gz.gov.cn/zwgk/zsdwxxgkzl/gzsjzyglfwzx/bszy/content/post_8484886.html）</w:t>
      </w:r>
    </w:p>
    <w:p w14:paraId="4308A0F6">
      <w:pPr>
        <w:keepNext w:val="0"/>
        <w:keepLines w:val="0"/>
        <w:pageBreakBefore w:val="0"/>
        <w:widowControl w:val="0"/>
        <w:kinsoku/>
        <w:wordWrap w:val="0"/>
        <w:overflowPunct/>
        <w:topLinePunct w:val="0"/>
        <w:autoSpaceDE/>
        <w:autoSpaceDN/>
        <w:bidi w:val="0"/>
        <w:adjustRightInd/>
        <w:snapToGrid/>
        <w:spacing w:line="360" w:lineRule="auto"/>
        <w:ind w:firstLine="537" w:firstLineChars="224"/>
        <w:textAlignment w:val="auto"/>
        <w:rPr>
          <w:rFonts w:ascii="宋体" w:hAnsi="宋体" w:cs="宋体"/>
          <w:color w:val="auto"/>
          <w:kern w:val="0"/>
          <w:sz w:val="24"/>
          <w:szCs w:val="24"/>
        </w:rPr>
      </w:pPr>
      <w:r>
        <w:rPr>
          <w:rFonts w:hint="eastAsia" w:ascii="宋体"/>
          <w:color w:val="auto"/>
          <w:sz w:val="24"/>
        </w:rPr>
        <w:t>1</w:t>
      </w:r>
      <w:r>
        <w:rPr>
          <w:rFonts w:hint="eastAsia" w:ascii="宋体"/>
          <w:color w:val="auto"/>
          <w:sz w:val="24"/>
          <w:lang w:val="en-US" w:eastAsia="zh-CN"/>
        </w:rPr>
        <w:t>2</w:t>
      </w:r>
      <w:r>
        <w:rPr>
          <w:rFonts w:hint="eastAsia" w:ascii="宋体"/>
          <w:color w:val="auto"/>
          <w:sz w:val="24"/>
        </w:rPr>
        <w:t>、</w:t>
      </w:r>
      <w:r>
        <w:rPr>
          <w:rFonts w:hint="eastAsia" w:ascii="宋体" w:hAnsi="宋体" w:cs="宋体"/>
          <w:color w:val="auto"/>
          <w:kern w:val="0"/>
          <w:sz w:val="24"/>
          <w:szCs w:val="24"/>
        </w:rPr>
        <w:t>投标人未出现以下情形：与其它投标人的单位负责人为同一人或者存在控股、管理关系的（按投标人提供的《投标</w:t>
      </w:r>
      <w:r>
        <w:rPr>
          <w:rFonts w:hint="eastAsia" w:ascii="宋体" w:hAnsi="宋体" w:cs="宋体"/>
          <w:color w:val="auto"/>
          <w:kern w:val="0"/>
          <w:sz w:val="24"/>
          <w:szCs w:val="24"/>
          <w:lang w:val="en-US" w:eastAsia="zh-CN"/>
        </w:rPr>
        <w:t>申请</w:t>
      </w:r>
      <w:r>
        <w:rPr>
          <w:rFonts w:hint="eastAsia" w:ascii="宋体" w:hAnsi="宋体" w:cs="宋体"/>
          <w:color w:val="auto"/>
          <w:kern w:val="0"/>
          <w:sz w:val="24"/>
          <w:szCs w:val="24"/>
        </w:rPr>
        <w:t>人声明》第</w:t>
      </w:r>
      <w:r>
        <w:rPr>
          <w:rFonts w:hint="eastAsia" w:ascii="宋体" w:hAnsi="宋体" w:cs="宋体"/>
          <w:color w:val="auto"/>
          <w:kern w:val="0"/>
          <w:sz w:val="24"/>
          <w:szCs w:val="24"/>
          <w:lang w:val="en-US" w:eastAsia="zh-CN"/>
        </w:rPr>
        <w:t>七</w:t>
      </w:r>
      <w:r>
        <w:rPr>
          <w:rFonts w:hint="eastAsia" w:ascii="宋体" w:hAnsi="宋体" w:cs="宋体"/>
          <w:color w:val="auto"/>
          <w:kern w:val="0"/>
          <w:sz w:val="24"/>
          <w:szCs w:val="24"/>
        </w:rPr>
        <w:t>条内容进行评审）。如不同投标申请人出现单位负责人为同一人或者存在控股、管理关系的情形，则</w:t>
      </w:r>
      <w:r>
        <w:rPr>
          <w:rFonts w:hint="eastAsia" w:ascii="宋体" w:hAnsi="宋体" w:cs="宋体"/>
          <w:color w:val="auto"/>
          <w:kern w:val="0"/>
          <w:sz w:val="24"/>
          <w:szCs w:val="24"/>
          <w:u w:val="single"/>
        </w:rPr>
        <w:t>相关投标均无效。</w:t>
      </w:r>
    </w:p>
    <w:p w14:paraId="512EE172">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hint="eastAsia" w:ascii="宋体" w:hAnsi="宋体" w:cs="宋体"/>
          <w:color w:val="auto"/>
          <w:kern w:val="0"/>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w:t>
      </w:r>
      <w:r>
        <w:rPr>
          <w:rFonts w:hint="eastAsia" w:ascii="宋体" w:hAnsi="宋体" w:cs="宋体"/>
          <w:color w:val="auto"/>
          <w:kern w:val="0"/>
          <w:sz w:val="24"/>
          <w:szCs w:val="24"/>
          <w:u w:val="single"/>
        </w:rPr>
        <w:t>未被列入拖欠农民工工资失信联合惩戒对象名单。</w:t>
      </w:r>
    </w:p>
    <w:p w14:paraId="3ACB3E1C">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ascii="宋体" w:hAnsi="宋体"/>
          <w:color w:val="auto"/>
          <w:sz w:val="24"/>
          <w:szCs w:val="24"/>
        </w:rPr>
      </w:pPr>
      <w:r>
        <w:rPr>
          <w:rFonts w:hint="eastAsia" w:ascii="宋体" w:hAnsi="宋体" w:cs="宋体"/>
          <w:color w:val="auto"/>
          <w:kern w:val="0"/>
          <w:sz w:val="24"/>
          <w:szCs w:val="24"/>
        </w:rPr>
        <w:t>注：因联合惩戒措施表述存在细微差别，惩戒措施与上文不完全一致但措施内容相同的，也应属于被限制参与相关项目的投标。</w:t>
      </w:r>
    </w:p>
    <w:p w14:paraId="42A55D11">
      <w:pPr>
        <w:pStyle w:val="11"/>
        <w:keepNext w:val="0"/>
        <w:keepLines w:val="0"/>
        <w:pageBreakBefore w:val="0"/>
        <w:tabs>
          <w:tab w:val="left" w:pos="7380"/>
        </w:tabs>
        <w:kinsoku/>
        <w:overflowPunct/>
        <w:topLinePunct w:val="0"/>
        <w:autoSpaceDE/>
        <w:autoSpaceDN/>
        <w:bidi w:val="0"/>
        <w:adjustRightInd/>
        <w:snapToGrid/>
        <w:spacing w:after="0" w:line="360" w:lineRule="auto"/>
        <w:ind w:firstLine="523" w:firstLineChars="218"/>
        <w:textAlignment w:val="auto"/>
        <w:rPr>
          <w:rFonts w:ascii="宋体"/>
          <w:color w:val="auto"/>
          <w:sz w:val="24"/>
        </w:rPr>
      </w:pPr>
      <w:r>
        <w:rPr>
          <w:rFonts w:hint="eastAsia" w:ascii="宋体" w:hAnsi="宋体"/>
          <w:color w:val="auto"/>
          <w:sz w:val="24"/>
        </w:rPr>
        <w:t>注：未在资格预审公告第九条单列的资审合格条件，不作为资审不合格的依据。</w:t>
      </w:r>
    </w:p>
    <w:p w14:paraId="6FD9F33B">
      <w:pPr>
        <w:keepNext w:val="0"/>
        <w:keepLines w:val="0"/>
        <w:pageBreakBefore w:val="0"/>
        <w:kinsoku/>
        <w:overflowPunct/>
        <w:topLinePunct w:val="0"/>
        <w:autoSpaceDE/>
        <w:autoSpaceDN/>
        <w:bidi w:val="0"/>
        <w:adjustRightInd/>
        <w:snapToGrid/>
        <w:spacing w:line="360" w:lineRule="auto"/>
        <w:ind w:firstLine="480" w:firstLineChars="200"/>
        <w:textAlignment w:val="auto"/>
        <w:rPr>
          <w:color w:val="auto"/>
          <w:highlight w:val="none"/>
        </w:rPr>
      </w:pPr>
      <w:bookmarkStart w:id="8" w:name="_Toc416357985"/>
      <w:bookmarkStart w:id="9" w:name="_Toc249846224"/>
      <w:bookmarkStart w:id="10" w:name="_Toc245023998"/>
      <w:bookmarkStart w:id="11" w:name="_Toc249845969"/>
      <w:bookmarkStart w:id="12" w:name="_Toc253143217"/>
      <w:bookmarkStart w:id="13" w:name="_Toc416358156"/>
      <w:bookmarkStart w:id="14" w:name="_Toc266093546"/>
      <w:bookmarkStart w:id="15" w:name="_Toc266881398"/>
      <w:r>
        <w:rPr>
          <w:rFonts w:hint="eastAsia"/>
          <w:color w:val="auto"/>
          <w:sz w:val="24"/>
          <w:szCs w:val="24"/>
          <w:highlight w:val="none"/>
        </w:rPr>
        <w:t>十、正式投标人的确定方式：</w:t>
      </w:r>
      <w:bookmarkEnd w:id="8"/>
      <w:bookmarkEnd w:id="9"/>
      <w:bookmarkEnd w:id="10"/>
      <w:bookmarkEnd w:id="11"/>
      <w:bookmarkEnd w:id="12"/>
      <w:bookmarkEnd w:id="13"/>
      <w:bookmarkEnd w:id="14"/>
      <w:bookmarkEnd w:id="15"/>
    </w:p>
    <w:p w14:paraId="417A15B5">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、满足资格审查合格条件的投标申请人多于等于</w:t>
      </w:r>
      <w:r>
        <w:rPr>
          <w:rFonts w:hint="eastAsia" w:ascii="宋体" w:hAnsi="宋体"/>
          <w:color w:val="auto"/>
          <w:sz w:val="24"/>
          <w:highlight w:val="none"/>
          <w:u w:val="single"/>
        </w:rPr>
        <w:t>3</w:t>
      </w:r>
      <w:r>
        <w:rPr>
          <w:rFonts w:ascii="宋体" w:hAnsi="宋体"/>
          <w:color w:val="auto"/>
          <w:sz w:val="24"/>
          <w:highlight w:val="none"/>
          <w:u w:val="single"/>
        </w:rPr>
        <w:t xml:space="preserve"> </w:t>
      </w:r>
      <w:r>
        <w:rPr>
          <w:rFonts w:hint="eastAsia" w:ascii="宋体" w:hAnsi="宋体"/>
          <w:color w:val="auto"/>
          <w:sz w:val="24"/>
          <w:highlight w:val="none"/>
        </w:rPr>
        <w:t>名且少于等于</w:t>
      </w:r>
      <w:r>
        <w:rPr>
          <w:rFonts w:hint="eastAsia" w:ascii="宋体" w:hAnsi="宋体"/>
          <w:color w:val="auto"/>
          <w:sz w:val="24"/>
          <w:highlight w:val="none"/>
          <w:u w:val="single"/>
          <w:lang w:val="en-US" w:eastAsia="zh-CN"/>
        </w:rPr>
        <w:t>15</w:t>
      </w:r>
      <w:r>
        <w:rPr>
          <w:rFonts w:hint="eastAsia" w:ascii="宋体" w:hAnsi="宋体"/>
          <w:color w:val="auto"/>
          <w:sz w:val="24"/>
          <w:highlight w:val="none"/>
        </w:rPr>
        <w:t>名时，取全部满足资格审查合格条件的投标申请人为正式投标人。</w:t>
      </w:r>
    </w:p>
    <w:p w14:paraId="234163A0">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ascii="宋体" w:hAnsi="宋体" w:cs="宋体"/>
          <w:color w:val="auto"/>
          <w:kern w:val="0"/>
          <w:sz w:val="24"/>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s="宋体"/>
          <w:color w:val="auto"/>
          <w:kern w:val="0"/>
          <w:sz w:val="24"/>
          <w:highlight w:val="none"/>
        </w:rPr>
        <w:t>满足资格审查合格条件的投标申请人超过</w:t>
      </w:r>
      <w:r>
        <w:rPr>
          <w:rFonts w:hint="eastAsia" w:ascii="宋体" w:hAnsi="宋体" w:cs="宋体"/>
          <w:color w:val="auto"/>
          <w:kern w:val="0"/>
          <w:sz w:val="24"/>
          <w:highlight w:val="none"/>
          <w:u w:val="single"/>
          <w:lang w:val="en-US" w:eastAsia="zh-CN"/>
        </w:rPr>
        <w:t>15</w:t>
      </w:r>
      <w:r>
        <w:rPr>
          <w:rFonts w:hint="eastAsia" w:ascii="宋体" w:hAnsi="宋体" w:cs="宋体"/>
          <w:color w:val="auto"/>
          <w:kern w:val="0"/>
          <w:sz w:val="24"/>
          <w:highlight w:val="none"/>
        </w:rPr>
        <w:t>名时，择优选取综合得分前</w:t>
      </w:r>
      <w:r>
        <w:rPr>
          <w:rFonts w:hint="eastAsia" w:ascii="宋体" w:hAnsi="宋体" w:cs="宋体"/>
          <w:color w:val="auto"/>
          <w:kern w:val="0"/>
          <w:sz w:val="24"/>
          <w:highlight w:val="none"/>
          <w:u w:val="single"/>
          <w:lang w:val="en-US" w:eastAsia="zh-CN"/>
        </w:rPr>
        <w:t>15</w:t>
      </w:r>
      <w:r>
        <w:rPr>
          <w:rFonts w:hint="eastAsia" w:ascii="宋体" w:hAnsi="宋体" w:cs="宋体"/>
          <w:color w:val="auto"/>
          <w:kern w:val="0"/>
          <w:sz w:val="24"/>
          <w:highlight w:val="none"/>
        </w:rPr>
        <w:t>名成为正式投标人。</w:t>
      </w:r>
    </w:p>
    <w:p w14:paraId="7AE268A6">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ascii="宋体" w:hAnsi="宋体" w:cs="宋体"/>
          <w:color w:val="auto"/>
          <w:kern w:val="0"/>
          <w:sz w:val="24"/>
          <w:highlight w:val="none"/>
        </w:rPr>
      </w:pPr>
      <w:r>
        <w:rPr>
          <w:rFonts w:ascii="宋体" w:hAnsi="宋体"/>
          <w:color w:val="auto"/>
          <w:sz w:val="24"/>
          <w:highlight w:val="none"/>
        </w:rPr>
        <w:t>3</w:t>
      </w:r>
      <w:r>
        <w:rPr>
          <w:rFonts w:hint="eastAsia" w:ascii="宋体" w:hAnsi="宋体"/>
          <w:color w:val="auto"/>
          <w:sz w:val="24"/>
          <w:highlight w:val="none"/>
        </w:rPr>
        <w:t>、满足资格审查合格条件的投标申请人不足</w:t>
      </w:r>
      <w:r>
        <w:rPr>
          <w:rFonts w:hint="eastAsia" w:ascii="宋体" w:hAnsi="宋体"/>
          <w:color w:val="auto"/>
          <w:sz w:val="24"/>
          <w:highlight w:val="none"/>
          <w:u w:val="single"/>
        </w:rPr>
        <w:t>3</w:t>
      </w:r>
      <w:r>
        <w:rPr>
          <w:rFonts w:hint="eastAsia" w:ascii="宋体" w:hAnsi="宋体"/>
          <w:color w:val="auto"/>
          <w:sz w:val="24"/>
          <w:highlight w:val="none"/>
        </w:rPr>
        <w:t>名时为招标失败。</w:t>
      </w:r>
    </w:p>
    <w:p w14:paraId="78C4655E">
      <w:pPr>
        <w:keepNext w:val="0"/>
        <w:keepLines w:val="0"/>
        <w:pageBreakBefore w:val="0"/>
        <w:kinsoku/>
        <w:wordWrap/>
        <w:overflowPunct/>
        <w:topLinePunct w:val="0"/>
        <w:autoSpaceDE/>
        <w:autoSpaceDN/>
        <w:bidi w:val="0"/>
        <w:adjustRightInd/>
        <w:snapToGrid/>
        <w:spacing w:line="360" w:lineRule="auto"/>
        <w:ind w:firstLine="537" w:firstLineChars="224"/>
        <w:textAlignment w:val="auto"/>
        <w:rPr>
          <w:rFonts w:ascii="宋体" w:hAnsi="宋体"/>
          <w:color w:val="auto"/>
          <w:sz w:val="24"/>
        </w:rPr>
      </w:pPr>
      <w:r>
        <w:rPr>
          <w:rFonts w:hint="eastAsia" w:ascii="宋体" w:hAnsi="宋体"/>
          <w:color w:val="auto"/>
          <w:sz w:val="24"/>
        </w:rPr>
        <w:t>十一、投标申请人、投标人和中标候选人的重大变化告知义务：投标申请人或通过资格预审的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907799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十二、</w:t>
      </w:r>
      <w:r>
        <w:rPr>
          <w:rFonts w:hint="eastAsia" w:ascii="宋体" w:hAnsi="宋体" w:eastAsia="宋体" w:cs="宋体"/>
          <w:color w:val="auto"/>
          <w:kern w:val="0"/>
          <w:sz w:val="24"/>
          <w:szCs w:val="24"/>
        </w:rPr>
        <w:t>资格预审申请文件和投标文件全部采用电子文档。投标申请人按《资格预审申请文件提交资料一览表》中的要求提交资格预审申请文件。若资料要求取自广州市住建行业信用管理平台的，则投标人选择平台中记录的该部分上传件将被视为投标申请人递交资格审查资料的一部分，不需重复提交（类似工程业绩需提供项目名称及项目编号）。资审委员会对该部分资料的审查将以递交资格预审申请文件截止时间在广州市住建行业信用管理平台内上传件为依据。若招标人延长递交资格预审申请文件时间，以上资料的评审时点也相应延长。投标人应及时维护其在广州市住建行业信用管理平台登记的信息及上传件，确保各项信息及上传件在有效期内。</w:t>
      </w:r>
    </w:p>
    <w:p w14:paraId="70405142">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资格预审申请文件提交资料一览表》中没有要求提交的资料，不作为资审不合格的依据。采用择优方式确定正式投标人的，择优所用资料在《资格预审申请文件提交资料一览表》标明为“择优资料”，投标申请人如不提交这部分资料，不被认定为资审不合格，但将影响投标申请人的择优结果。</w:t>
      </w:r>
    </w:p>
    <w:p w14:paraId="28764C9E">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color w:val="auto"/>
          <w:sz w:val="24"/>
          <w:szCs w:val="24"/>
        </w:rPr>
      </w:pPr>
      <w:r>
        <w:rPr>
          <w:rFonts w:hint="eastAsia" w:ascii="宋体" w:hAnsi="宋体" w:eastAsia="宋体" w:cs="宋体"/>
          <w:b/>
          <w:bCs/>
          <w:color w:val="auto"/>
          <w:kern w:val="0"/>
          <w:sz w:val="24"/>
          <w:szCs w:val="24"/>
        </w:rPr>
        <w:t>注：招标人不得随意增加内容大致相同格式有细微差别的资格预审申请文件格式，不得随意增加签字、加盖实物印章等内容，避免因招标文件前后不一致或细微的格式错误引起投标文件被废标，增加投标人负担，影响招标投标活动。</w:t>
      </w:r>
    </w:p>
    <w:p w14:paraId="7A7095BF">
      <w:pPr>
        <w:keepNext w:val="0"/>
        <w:keepLines w:val="0"/>
        <w:pageBreakBefore w:val="0"/>
        <w:numPr>
          <w:ilvl w:val="0"/>
          <w:numId w:val="1"/>
        </w:numPr>
        <w:kinsoku/>
        <w:wordWrap/>
        <w:overflowPunct/>
        <w:topLinePunct w:val="0"/>
        <w:autoSpaceDE/>
        <w:autoSpaceDN/>
        <w:bidi w:val="0"/>
        <w:adjustRightInd/>
        <w:snapToGrid/>
        <w:spacing w:line="360" w:lineRule="auto"/>
        <w:ind w:left="538" w:leftChars="256"/>
        <w:textAlignment w:val="auto"/>
        <w:rPr>
          <w:rFonts w:ascii="宋体" w:hAnsi="宋体"/>
          <w:color w:val="auto"/>
          <w:sz w:val="24"/>
        </w:rPr>
      </w:pPr>
      <w:r>
        <w:rPr>
          <w:rFonts w:hint="eastAsia" w:ascii="宋体" w:hAnsi="宋体"/>
          <w:color w:val="auto"/>
          <w:sz w:val="24"/>
        </w:rPr>
        <w:t>潜在投标人或利害关系人对本资格预审公告、资格预审申请文件及招标文件有异议的，向招标人书面提出。</w:t>
      </w:r>
    </w:p>
    <w:p w14:paraId="08A69F43">
      <w:pPr>
        <w:keepNext w:val="0"/>
        <w:keepLines w:val="0"/>
        <w:pageBreakBefore w:val="0"/>
        <w:numPr>
          <w:ilvl w:val="255"/>
          <w:numId w:val="0"/>
        </w:numPr>
        <w:kinsoku/>
        <w:overflowPunct/>
        <w:topLinePunct w:val="0"/>
        <w:autoSpaceDE/>
        <w:autoSpaceDN/>
        <w:bidi w:val="0"/>
        <w:adjustRightInd/>
        <w:snapToGrid/>
        <w:spacing w:line="360" w:lineRule="auto"/>
        <w:ind w:firstLine="480" w:firstLineChars="200"/>
        <w:textAlignment w:val="auto"/>
        <w:rPr>
          <w:rFonts w:ascii="宋体"/>
          <w:color w:val="auto"/>
          <w:sz w:val="24"/>
          <w:u w:val="single"/>
        </w:rPr>
      </w:pPr>
      <w:r>
        <w:rPr>
          <w:rFonts w:hint="eastAsia" w:ascii="宋体" w:hAnsi="宋体"/>
          <w:color w:val="auto"/>
          <w:sz w:val="24"/>
        </w:rPr>
        <w:t>异议受理部门：</w:t>
      </w:r>
      <w:r>
        <w:rPr>
          <w:rFonts w:ascii="宋体" w:hAnsi="宋体"/>
          <w:color w:val="auto"/>
          <w:sz w:val="24"/>
        </w:rPr>
        <w:t xml:space="preserve"> </w:t>
      </w:r>
      <w:r>
        <w:rPr>
          <w:rFonts w:hint="eastAsia" w:ascii="宋体" w:hAnsi="宋体"/>
          <w:color w:val="auto"/>
          <w:sz w:val="24"/>
          <w:u w:val="single"/>
        </w:rPr>
        <w:t>广东省信息技术应用研究所</w:t>
      </w:r>
    </w:p>
    <w:p w14:paraId="6536D1F5">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ascii="宋体"/>
          <w:color w:val="auto"/>
          <w:sz w:val="24"/>
          <w:u w:val="single"/>
        </w:rPr>
      </w:pPr>
      <w:r>
        <w:rPr>
          <w:rFonts w:hint="eastAsia" w:ascii="宋体" w:hAnsi="宋体"/>
          <w:color w:val="auto"/>
          <w:sz w:val="24"/>
        </w:rPr>
        <w:t>异议受理电话：</w:t>
      </w:r>
      <w:r>
        <w:rPr>
          <w:rFonts w:hint="eastAsia" w:ascii="宋体" w:hAnsi="宋体"/>
          <w:color w:val="auto"/>
          <w:sz w:val="24"/>
          <w:u w:val="single"/>
        </w:rPr>
        <w:t>02037282786</w:t>
      </w:r>
    </w:p>
    <w:p w14:paraId="0C82CC4A">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hint="eastAsia" w:ascii="宋体" w:hAnsi="宋体"/>
          <w:color w:val="auto"/>
          <w:sz w:val="24"/>
          <w:u w:val="single"/>
        </w:rPr>
      </w:pPr>
      <w:r>
        <w:rPr>
          <w:rFonts w:hint="eastAsia" w:ascii="宋体" w:hAnsi="宋体"/>
          <w:color w:val="auto"/>
          <w:sz w:val="24"/>
        </w:rPr>
        <w:t>地址：</w:t>
      </w:r>
      <w:r>
        <w:rPr>
          <w:rFonts w:ascii="宋体" w:hAnsi="宋体"/>
          <w:color w:val="auto"/>
          <w:sz w:val="24"/>
        </w:rPr>
        <w:t xml:space="preserve"> </w:t>
      </w:r>
      <w:r>
        <w:rPr>
          <w:rFonts w:hint="eastAsia" w:ascii="宋体" w:hAnsi="宋体"/>
          <w:color w:val="auto"/>
          <w:sz w:val="24"/>
          <w:u w:val="single"/>
        </w:rPr>
        <w:t>广州市黄埔大道君紫花园14号603房</w:t>
      </w:r>
    </w:p>
    <w:p w14:paraId="14C87F40">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hint="eastAsia" w:ascii="宋体" w:hAnsi="宋体" w:eastAsia="宋体"/>
          <w:color w:val="auto"/>
          <w:sz w:val="24"/>
        </w:rPr>
      </w:pPr>
      <w:r>
        <w:rPr>
          <w:rFonts w:hint="eastAsia" w:ascii="宋体" w:hAnsi="宋体" w:eastAsia="宋体"/>
          <w:color w:val="auto"/>
          <w:sz w:val="24"/>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0F0C160C">
      <w:pPr>
        <w:keepNext w:val="0"/>
        <w:keepLines w:val="0"/>
        <w:pageBreakBefore w:val="0"/>
        <w:widowControl w:val="0"/>
        <w:kinsoku/>
        <w:wordWrap w:val="0"/>
        <w:overflowPunct/>
        <w:topLinePunct w:val="0"/>
        <w:autoSpaceDE/>
        <w:autoSpaceDN/>
        <w:bidi w:val="0"/>
        <w:adjustRightInd/>
        <w:snapToGrid/>
        <w:spacing w:line="360" w:lineRule="auto"/>
        <w:ind w:left="239" w:leftChars="114" w:firstLine="297" w:firstLineChars="124"/>
        <w:textAlignment w:val="auto"/>
        <w:rPr>
          <w:rFonts w:ascii="宋体"/>
          <w:color w:val="auto"/>
          <w:sz w:val="24"/>
        </w:rPr>
      </w:pPr>
      <w:r>
        <w:rPr>
          <w:rFonts w:hint="eastAsia" w:ascii="宋体" w:hAnsi="宋体"/>
          <w:color w:val="auto"/>
          <w:sz w:val="24"/>
        </w:rPr>
        <w:t>十四、本公告在</w:t>
      </w:r>
      <w:r>
        <w:rPr>
          <w:rFonts w:hint="eastAsia" w:ascii="宋体" w:hAnsi="宋体"/>
          <w:color w:val="auto"/>
          <w:sz w:val="24"/>
          <w:u w:val="single"/>
        </w:rPr>
        <w:t>广州交易集团有限公司（广州公共资源交易中心）</w:t>
      </w:r>
      <w:r>
        <w:rPr>
          <w:rFonts w:hint="eastAsia" w:ascii="宋体" w:hAnsi="宋体"/>
          <w:color w:val="auto"/>
          <w:sz w:val="24"/>
        </w:rPr>
        <w:t>交易平台（网址：</w:t>
      </w:r>
      <w:r>
        <w:rPr>
          <w:rFonts w:hint="eastAsia" w:ascii="宋体" w:hAnsi="宋体"/>
          <w:color w:val="auto"/>
          <w:sz w:val="24"/>
          <w:u w:val="single"/>
        </w:rPr>
        <w:t>http://www.gzggzy.cn</w:t>
      </w:r>
      <w:r>
        <w:rPr>
          <w:rFonts w:hint="eastAsia" w:ascii="宋体" w:hAnsi="宋体"/>
          <w:color w:val="auto"/>
          <w:sz w:val="24"/>
        </w:rPr>
        <w:t>）、中国招标投标公共服务平台（网址：http://www.cebpubservice.com/）发布，本公告的修改、补充，在</w:t>
      </w:r>
      <w:r>
        <w:rPr>
          <w:rFonts w:hint="eastAsia" w:ascii="宋体" w:hAnsi="宋体"/>
          <w:color w:val="auto"/>
          <w:sz w:val="24"/>
          <w:u w:val="single"/>
        </w:rPr>
        <w:t>广州交易集团有限公司（广州公共资源交易中心）</w:t>
      </w:r>
      <w:r>
        <w:rPr>
          <w:rFonts w:hint="eastAsia" w:ascii="宋体" w:hAnsi="宋体"/>
          <w:color w:val="auto"/>
          <w:sz w:val="24"/>
        </w:rPr>
        <w:t>交易平台发布。</w:t>
      </w:r>
    </w:p>
    <w:p w14:paraId="40454943">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ascii="宋体"/>
          <w:color w:val="auto"/>
          <w:sz w:val="24"/>
        </w:rPr>
      </w:pPr>
      <w:r>
        <w:rPr>
          <w:rFonts w:hint="eastAsia" w:ascii="宋体" w:hAnsi="宋体"/>
          <w:color w:val="auto"/>
          <w:sz w:val="24"/>
        </w:rPr>
        <w:t>十五、本资格预审公告及招标文件使用GZZB2018-1招标文件范本。本公告与范本内容不同之处均以下划线标明，所有标明下划线部分属于本公告的组成部分，同其他部分具有同样的效力。</w:t>
      </w:r>
    </w:p>
    <w:p w14:paraId="1E7EF804">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ascii="宋体" w:hAnsi="宋体"/>
          <w:color w:val="auto"/>
          <w:sz w:val="24"/>
        </w:rPr>
      </w:pPr>
      <w:r>
        <w:rPr>
          <w:rFonts w:hint="eastAsia" w:ascii="宋体" w:hAnsi="宋体"/>
          <w:color w:val="auto"/>
          <w:sz w:val="24"/>
        </w:rPr>
        <w:t>十六、本工程根据国家和省有关计价规范设置最高投标限价。资格预审公告发布同时需一起发布最高投标限价和招标文件。</w:t>
      </w:r>
    </w:p>
    <w:p w14:paraId="3F9D463E">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ascii="宋体"/>
          <w:color w:val="auto"/>
          <w:sz w:val="24"/>
        </w:rPr>
      </w:pPr>
      <w:r>
        <w:rPr>
          <w:rFonts w:hint="eastAsia" w:ascii="宋体"/>
          <w:color w:val="auto"/>
          <w:sz w:val="24"/>
        </w:rPr>
        <w:t>十七、 《投诉处理决定书》和《行政处理决定书》在</w:t>
      </w:r>
      <w:r>
        <w:rPr>
          <w:rFonts w:hint="eastAsia" w:ascii="宋体" w:hAnsi="宋体"/>
          <w:color w:val="auto"/>
          <w:sz w:val="24"/>
        </w:rPr>
        <w:t>广州市住房和城乡建设局</w:t>
      </w:r>
      <w:r>
        <w:rPr>
          <w:rFonts w:hint="eastAsia" w:ascii="宋体"/>
          <w:color w:val="auto"/>
          <w:sz w:val="24"/>
        </w:rPr>
        <w:t>网站上公布的，视为送达其他与决定书有关的当事人。</w:t>
      </w:r>
    </w:p>
    <w:p w14:paraId="5BB87EDF">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hint="eastAsia" w:ascii="宋体"/>
          <w:color w:val="auto"/>
          <w:sz w:val="24"/>
        </w:rPr>
      </w:pPr>
      <w:r>
        <w:rPr>
          <w:rFonts w:hint="eastAsia" w:ascii="宋体"/>
          <w:color w:val="auto"/>
          <w:sz w:val="24"/>
        </w:rPr>
        <w:t>特别提示：投标人在本项目招标人的工程项目中存在下列行为的，将被拒绝一定时期内参与招标人后续工程投标。（注：拒绝投标时限由招标人视严重程度确定，最低三个月起，自招标人发出通知之日起计）：</w:t>
      </w:r>
    </w:p>
    <w:p w14:paraId="630CA282">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hint="eastAsia" w:ascii="宋体"/>
          <w:color w:val="auto"/>
          <w:sz w:val="24"/>
        </w:rPr>
      </w:pPr>
      <w:r>
        <w:rPr>
          <w:rFonts w:hint="eastAsia" w:ascii="宋体"/>
          <w:color w:val="auto"/>
          <w:sz w:val="24"/>
        </w:rPr>
        <w:t>1.将中标工程转包或者违法分包的;</w:t>
      </w:r>
    </w:p>
    <w:p w14:paraId="7597D8F4">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hint="eastAsia" w:ascii="宋体"/>
          <w:color w:val="auto"/>
          <w:sz w:val="24"/>
        </w:rPr>
      </w:pPr>
      <w:r>
        <w:rPr>
          <w:rFonts w:hint="eastAsia" w:ascii="宋体"/>
          <w:color w:val="auto"/>
          <w:sz w:val="24"/>
        </w:rPr>
        <w:t>2.在中标工程中不执行质量、安全生产相关规定的，造成质量或安全事故的；</w:t>
      </w:r>
    </w:p>
    <w:p w14:paraId="674E50FC">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hint="eastAsia" w:ascii="宋体"/>
          <w:color w:val="auto"/>
          <w:sz w:val="24"/>
        </w:rPr>
      </w:pPr>
      <w:r>
        <w:rPr>
          <w:rFonts w:hint="eastAsia" w:ascii="宋体"/>
          <w:color w:val="auto"/>
          <w:sz w:val="24"/>
        </w:rPr>
        <w:t>3.出让投标资格的；</w:t>
      </w:r>
    </w:p>
    <w:p w14:paraId="0EC044AB">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hint="eastAsia" w:ascii="宋体" w:eastAsia="宋体"/>
          <w:color w:val="auto"/>
          <w:sz w:val="24"/>
          <w:lang w:eastAsia="zh-CN"/>
        </w:rPr>
      </w:pPr>
      <w:r>
        <w:rPr>
          <w:rFonts w:hint="eastAsia" w:ascii="宋体"/>
          <w:color w:val="auto"/>
          <w:sz w:val="24"/>
        </w:rPr>
        <w:t>4.存在围标或串标情形的</w:t>
      </w:r>
      <w:r>
        <w:rPr>
          <w:rFonts w:hint="eastAsia" w:ascii="宋体"/>
          <w:color w:val="auto"/>
          <w:sz w:val="24"/>
          <w:lang w:eastAsia="zh-CN"/>
        </w:rPr>
        <w:t>；</w:t>
      </w:r>
    </w:p>
    <w:p w14:paraId="50721422">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hint="eastAsia" w:ascii="宋体"/>
          <w:color w:val="auto"/>
          <w:sz w:val="24"/>
        </w:rPr>
      </w:pPr>
      <w:r>
        <w:rPr>
          <w:rFonts w:hint="eastAsia" w:ascii="宋体"/>
          <w:color w:val="auto"/>
          <w:sz w:val="24"/>
        </w:rPr>
        <w:t>5.在投标文件中提供虚假材料的；</w:t>
      </w:r>
    </w:p>
    <w:p w14:paraId="11B2E551">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hint="eastAsia" w:ascii="宋体"/>
          <w:color w:val="auto"/>
          <w:sz w:val="24"/>
        </w:rPr>
      </w:pPr>
      <w:r>
        <w:rPr>
          <w:rFonts w:hint="eastAsia" w:ascii="宋体"/>
          <w:color w:val="auto"/>
          <w:sz w:val="24"/>
        </w:rPr>
        <w:t>6.存在少放、不放业绩、奖项等客观评审资料，减少自身竞争力情形的；</w:t>
      </w:r>
    </w:p>
    <w:p w14:paraId="15270E18">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hint="eastAsia" w:ascii="宋体" w:eastAsia="宋体"/>
          <w:color w:val="auto"/>
          <w:sz w:val="24"/>
          <w:lang w:eastAsia="zh-CN"/>
        </w:rPr>
      </w:pPr>
      <w:r>
        <w:rPr>
          <w:rFonts w:hint="eastAsia" w:ascii="宋体"/>
          <w:color w:val="auto"/>
          <w:sz w:val="24"/>
        </w:rPr>
        <w:t>7.存在行贿情形的</w:t>
      </w:r>
      <w:r>
        <w:rPr>
          <w:rFonts w:hint="eastAsia" w:ascii="宋体"/>
          <w:color w:val="auto"/>
          <w:sz w:val="24"/>
          <w:lang w:eastAsia="zh-CN"/>
        </w:rPr>
        <w:t>；</w:t>
      </w:r>
    </w:p>
    <w:p w14:paraId="6112C01B">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hint="eastAsia" w:ascii="宋体"/>
          <w:color w:val="auto"/>
          <w:sz w:val="24"/>
        </w:rPr>
      </w:pPr>
      <w:r>
        <w:rPr>
          <w:rFonts w:hint="eastAsia" w:ascii="宋体"/>
          <w:color w:val="auto"/>
          <w:sz w:val="24"/>
        </w:rPr>
        <w:t>8.拖欠农民工工资的；</w:t>
      </w:r>
    </w:p>
    <w:p w14:paraId="3DEB71E3">
      <w:pPr>
        <w:keepNext w:val="0"/>
        <w:keepLines w:val="0"/>
        <w:pageBreakBefore w:val="0"/>
        <w:kinsoku/>
        <w:overflowPunct/>
        <w:topLinePunct w:val="0"/>
        <w:autoSpaceDE/>
        <w:autoSpaceDN/>
        <w:bidi w:val="0"/>
        <w:adjustRightInd/>
        <w:snapToGrid/>
        <w:spacing w:line="360" w:lineRule="auto"/>
        <w:ind w:firstLine="537" w:firstLineChars="224"/>
        <w:textAlignment w:val="auto"/>
        <w:rPr>
          <w:rFonts w:hint="eastAsia" w:ascii="宋体" w:eastAsia="宋体"/>
          <w:color w:val="auto"/>
          <w:sz w:val="24"/>
          <w:lang w:eastAsia="zh-CN"/>
        </w:rPr>
      </w:pPr>
      <w:r>
        <w:rPr>
          <w:rFonts w:hint="eastAsia" w:ascii="宋体"/>
          <w:color w:val="auto"/>
          <w:sz w:val="24"/>
        </w:rPr>
        <w:t>9.未按照国家、省、市有关建筑施工实名制管理和工人工资支付分账管理的规定执行，被行政监管部门处罚的</w:t>
      </w:r>
      <w:r>
        <w:rPr>
          <w:rFonts w:hint="eastAsia" w:ascii="宋体"/>
          <w:color w:val="auto"/>
          <w:sz w:val="24"/>
          <w:lang w:eastAsia="zh-CN"/>
        </w:rPr>
        <w:t>。</w:t>
      </w:r>
    </w:p>
    <w:p w14:paraId="7606E936">
      <w:pPr>
        <w:keepNext w:val="0"/>
        <w:keepLines w:val="0"/>
        <w:pageBreakBefore w:val="0"/>
        <w:kinsoku/>
        <w:overflowPunct/>
        <w:topLinePunct w:val="0"/>
        <w:autoSpaceDE/>
        <w:autoSpaceDN/>
        <w:bidi w:val="0"/>
        <w:adjustRightInd/>
        <w:snapToGrid/>
        <w:spacing w:line="360" w:lineRule="auto"/>
        <w:jc w:val="right"/>
        <w:textAlignment w:val="auto"/>
        <w:rPr>
          <w:rFonts w:hint="eastAsia" w:ascii="宋体" w:hAnsi="宋体"/>
          <w:color w:val="auto"/>
          <w:sz w:val="24"/>
        </w:rPr>
      </w:pPr>
      <w:r>
        <w:rPr>
          <w:rFonts w:hint="eastAsia" w:ascii="宋体" w:hAnsi="宋体"/>
          <w:color w:val="auto"/>
          <w:sz w:val="24"/>
        </w:rPr>
        <w:t>招标人:</w:t>
      </w:r>
      <w:r>
        <w:rPr>
          <w:rFonts w:hint="eastAsia" w:ascii="宋体" w:hAnsi="宋体"/>
          <w:color w:val="auto"/>
          <w:sz w:val="24"/>
          <w:u w:val="single"/>
        </w:rPr>
        <w:t>广东省信息技术应用研究所</w:t>
      </w:r>
      <w:r>
        <w:rPr>
          <w:rFonts w:hint="eastAsia" w:ascii="宋体" w:hAnsi="宋体"/>
          <w:color w:val="auto"/>
          <w:sz w:val="24"/>
        </w:rPr>
        <w:t xml:space="preserve">                  </w:t>
      </w:r>
    </w:p>
    <w:p w14:paraId="67D4CF77">
      <w:pPr>
        <w:keepNext w:val="0"/>
        <w:keepLines w:val="0"/>
        <w:pageBreakBefore w:val="0"/>
        <w:kinsoku/>
        <w:overflowPunct/>
        <w:topLinePunct w:val="0"/>
        <w:autoSpaceDE/>
        <w:autoSpaceDN/>
        <w:bidi w:val="0"/>
        <w:adjustRightInd/>
        <w:snapToGrid/>
        <w:spacing w:line="360" w:lineRule="auto"/>
        <w:ind w:firstLine="480"/>
        <w:jc w:val="right"/>
        <w:textAlignment w:val="auto"/>
        <w:rPr>
          <w:rFonts w:hint="eastAsia" w:ascii="宋体" w:hAnsi="宋体"/>
          <w:color w:val="auto"/>
          <w:sz w:val="24"/>
        </w:rPr>
      </w:pPr>
      <w:r>
        <w:rPr>
          <w:rFonts w:hint="eastAsia" w:ascii="宋体" w:hAnsi="宋体"/>
          <w:color w:val="auto"/>
          <w:sz w:val="24"/>
        </w:rPr>
        <w:t>招标代理:</w:t>
      </w:r>
      <w:r>
        <w:rPr>
          <w:rFonts w:hint="eastAsia" w:ascii="宋体" w:hAnsi="宋体"/>
          <w:color w:val="auto"/>
          <w:sz w:val="24"/>
          <w:u w:val="single"/>
        </w:rPr>
        <w:t>广州市市政工程监理有限公司</w:t>
      </w:r>
    </w:p>
    <w:p w14:paraId="675B3708">
      <w:pPr>
        <w:keepNext w:val="0"/>
        <w:keepLines w:val="0"/>
        <w:pageBreakBefore w:val="0"/>
        <w:kinsoku/>
        <w:overflowPunct/>
        <w:topLinePunct w:val="0"/>
        <w:autoSpaceDE/>
        <w:autoSpaceDN/>
        <w:bidi w:val="0"/>
        <w:adjustRightInd/>
        <w:snapToGrid/>
        <w:spacing w:line="360" w:lineRule="auto"/>
        <w:ind w:firstLine="480"/>
        <w:jc w:val="right"/>
        <w:textAlignment w:val="auto"/>
        <w:rPr>
          <w:color w:val="auto"/>
        </w:rPr>
      </w:pPr>
      <w:r>
        <w:rPr>
          <w:rFonts w:hint="eastAsia" w:ascii="宋体" w:hAnsi="宋体"/>
          <w:color w:val="auto"/>
          <w:sz w:val="24"/>
        </w:rPr>
        <w:t>2024年</w:t>
      </w:r>
      <w:r>
        <w:rPr>
          <w:rFonts w:hint="eastAsia" w:ascii="宋体" w:hAnsi="宋体"/>
          <w:color w:val="auto"/>
          <w:sz w:val="24"/>
          <w:lang w:val="en-US" w:eastAsia="zh-CN"/>
        </w:rPr>
        <w:t>11</w:t>
      </w:r>
      <w:r>
        <w:rPr>
          <w:rFonts w:hint="eastAsia" w:ascii="宋体" w:hAnsi="宋体"/>
          <w:color w:val="auto"/>
          <w:sz w:val="24"/>
        </w:rPr>
        <w:t>月</w:t>
      </w:r>
      <w:r>
        <w:rPr>
          <w:rFonts w:hint="eastAsia" w:ascii="宋体" w:hAnsi="宋体"/>
          <w:color w:val="auto"/>
          <w:sz w:val="24"/>
          <w:lang w:val="en-US" w:eastAsia="zh-CN"/>
        </w:rPr>
        <w:t>28</w:t>
      </w:r>
      <w:r>
        <w:rPr>
          <w:rFonts w:hint="eastAsia" w:ascii="宋体" w:hAnsi="宋体"/>
          <w:color w:val="auto"/>
          <w:sz w:val="24"/>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D8367">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E432D6">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5E432D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CEDCEA"/>
    <w:multiLevelType w:val="singleLevel"/>
    <w:tmpl w:val="F5CEDCEA"/>
    <w:lvl w:ilvl="0" w:tentative="0">
      <w:start w:val="1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ZDQwNWI5YzcxZmVjN2Q5MTUxYWY0ZTlkZTJlYmIifQ=="/>
  </w:docVars>
  <w:rsids>
    <w:rsidRoot w:val="47425E65"/>
    <w:rsid w:val="02011E80"/>
    <w:rsid w:val="029A22D5"/>
    <w:rsid w:val="09167234"/>
    <w:rsid w:val="12081C36"/>
    <w:rsid w:val="123A23F6"/>
    <w:rsid w:val="159330FD"/>
    <w:rsid w:val="17706279"/>
    <w:rsid w:val="1B55239A"/>
    <w:rsid w:val="1DC064A5"/>
    <w:rsid w:val="1E042E4C"/>
    <w:rsid w:val="20AF1FB5"/>
    <w:rsid w:val="24341D04"/>
    <w:rsid w:val="2CED46B0"/>
    <w:rsid w:val="31126CE6"/>
    <w:rsid w:val="31930FE5"/>
    <w:rsid w:val="32852EE6"/>
    <w:rsid w:val="3BF87692"/>
    <w:rsid w:val="453527B8"/>
    <w:rsid w:val="45837C34"/>
    <w:rsid w:val="47425E65"/>
    <w:rsid w:val="49FD41AA"/>
    <w:rsid w:val="4A2A1328"/>
    <w:rsid w:val="4BAB1FED"/>
    <w:rsid w:val="4D5C226E"/>
    <w:rsid w:val="596F4300"/>
    <w:rsid w:val="5C5D6287"/>
    <w:rsid w:val="5DD010E5"/>
    <w:rsid w:val="5ECF03B5"/>
    <w:rsid w:val="5EF84D97"/>
    <w:rsid w:val="63273D28"/>
    <w:rsid w:val="63E83BC0"/>
    <w:rsid w:val="64245A84"/>
    <w:rsid w:val="64D4595F"/>
    <w:rsid w:val="667E3DD4"/>
    <w:rsid w:val="6A8676FB"/>
    <w:rsid w:val="70C05A49"/>
    <w:rsid w:val="72024072"/>
    <w:rsid w:val="74DD4F79"/>
    <w:rsid w:val="757069FE"/>
    <w:rsid w:val="79AE5130"/>
    <w:rsid w:val="79D541DA"/>
    <w:rsid w:val="7CB22EBE"/>
    <w:rsid w:val="7EDB7BBE"/>
    <w:rsid w:val="7FD82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4">
    <w:name w:val="Default Paragraph Font"/>
    <w:autoRedefine/>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rPr>
      <w:rFonts w:ascii="Times New Roman" w:hAnsi="Times New Roman"/>
      <w:szCs w:val="20"/>
    </w:rPr>
  </w:style>
  <w:style w:type="paragraph" w:styleId="4">
    <w:name w:val="annotation text"/>
    <w:basedOn w:val="1"/>
    <w:qFormat/>
    <w:uiPriority w:val="0"/>
    <w:pPr>
      <w:jc w:val="left"/>
    </w:pPr>
  </w:style>
  <w:style w:type="paragraph" w:styleId="5">
    <w:name w:val="Body Text"/>
    <w:basedOn w:val="1"/>
    <w:qFormat/>
    <w:uiPriority w:val="0"/>
    <w:pPr>
      <w:spacing w:after="120"/>
    </w:pPr>
    <w:rPr>
      <w:rFonts w:ascii="Times New Roman" w:hAnsi="Times New Roman"/>
      <w:szCs w:val="20"/>
    </w:rPr>
  </w:style>
  <w:style w:type="paragraph" w:styleId="6">
    <w:name w:val="Body Text Indent"/>
    <w:basedOn w:val="1"/>
    <w:next w:val="7"/>
    <w:qFormat/>
    <w:uiPriority w:val="0"/>
    <w:pPr>
      <w:ind w:firstLine="570"/>
    </w:pPr>
    <w:rPr>
      <w:rFonts w:ascii="Times New Roman" w:hAnsi="Times New Roman"/>
      <w:kern w:val="0"/>
      <w:sz w:val="28"/>
      <w:szCs w:val="20"/>
    </w:rPr>
  </w:style>
  <w:style w:type="paragraph" w:styleId="7">
    <w:name w:val="envelope return"/>
    <w:basedOn w:val="1"/>
    <w:qFormat/>
    <w:uiPriority w:val="0"/>
    <w:pPr>
      <w:snapToGrid w:val="0"/>
    </w:pPr>
    <w:rPr>
      <w:rFonts w:ascii="Arial" w:hAnsi="Arial" w:eastAsia="宋体" w:cs="Times New Roman"/>
      <w:szCs w:val="24"/>
      <w:lang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qFormat/>
    <w:uiPriority w:val="0"/>
    <w:rPr>
      <w:rFonts w:ascii="宋体" w:hAnsi="宋体"/>
      <w:szCs w:val="24"/>
      <w:u w:val="single"/>
    </w:rPr>
  </w:style>
  <w:style w:type="paragraph" w:styleId="11">
    <w:name w:val="Body Text First Indent"/>
    <w:basedOn w:val="5"/>
    <w:qFormat/>
    <w:uiPriority w:val="0"/>
    <w:pPr>
      <w:ind w:firstLine="420"/>
    </w:pPr>
  </w:style>
  <w:style w:type="paragraph" w:styleId="12">
    <w:name w:val="Body Text First Indent 2"/>
    <w:basedOn w:val="6"/>
    <w:qFormat/>
    <w:uiPriority w:val="99"/>
    <w:pPr>
      <w:spacing w:after="120" w:line="240" w:lineRule="auto"/>
      <w:ind w:left="200" w:leftChars="200" w:firstLine="200" w:firstLineChars="200"/>
    </w:pPr>
    <w:rPr>
      <w:rFonts w:ascii="Calibri" w:hAnsi="Calibri"/>
      <w:color w:val="0D0D0D"/>
      <w:kern w:val="2"/>
      <w:sz w:val="21"/>
      <w:szCs w:val="24"/>
      <w:lang w:eastAsia="en-US"/>
    </w:rPr>
  </w:style>
  <w:style w:type="paragraph" w:customStyle="1" w:styleId="1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5722</Words>
  <Characters>6065</Characters>
  <Lines>0</Lines>
  <Paragraphs>0</Paragraphs>
  <TotalTime>0</TotalTime>
  <ScaleCrop>false</ScaleCrop>
  <LinksUpToDate>false</LinksUpToDate>
  <CharactersWithSpaces>6175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2024-11-11T08:12:00Z</dcterms:created>
  <dc:creator>市政监理招标代理</dc:creator>
  <cp:lastModifiedBy>市政监理招标代理</cp:lastModifiedBy>
  <dcterms:modified xsi:type="dcterms:W3CDTF">2024-11-27T10:59:50Z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425351716800423AAD89FC56F42D18D1_13</vt:lpwstr>
  </property>
</Properties>
</file>